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bf40566</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44 exact duplicates removed,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Eight comparators on each dataset: Baseline XGBoost (independently tuned), stock scale_pos_weight XGBoost, Decision Tree, Naive Bayes, Logistic Regression (scaled), SVM (scaled), Random Forest, and the proposed KAB-XGBoost-WCE. Each tunable model receives its own GridSearchCV on the training folds, on both datasets.</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tunes max_depth over {2,3,5,7} with its own GridSearchCV, independent of the WCE tuning,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vanilla depth 5, B depth 3, C depth 5 with weights, D depth 3 with weights), all from the same 5 x 10-fold protocol. Primary test: Wilcoxon signed-rank on 50 paired folds with W+, W-, p, fold-win and ties reported. The 50 fold scores are not independent (5 repeats of 10 folds share data); p-values are conservative approximations. Each of the eight pairwise comparisons uses its own Wilcoxon test. No Bonferroni correction is applied; all eight p-values are reported and readers can apply their own threshold.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(-0.0055 at depth 5 p=0.1652, +0.0016 at depth 3 p=0.5157, both non-significant).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0.0236) on KNUST. On Alzubaidi WCE (0.6877) is above Baseline (0.6844); no pairwise comparison is significant.</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(0.4323) and A_agg (0.3406) rank first and second on KNUST. On Alzubaidi B18_3 (0.4288) ranks first; A_agg (0.1801) ranks fourth. K_agg does not appear in the Alzubaidi top ten. This supports the KAB framework as a theoretical organiser on KNUST.</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bf40566 (GitHub: 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