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1.2 - TESTBED SUBMISSION</w:t>
      </w:r>
    </w:p>
    <w:p>
      <w:pPr>
        <w:spacing w:after="200" w:line="360" w:lineRule="auto"/>
        <w:jc w:val="center"/>
      </w:pPr>
      <w:r>
        <w:rPr>
          <w:rFonts w:ascii="Times New Roman" w:hAnsi="Times New Roman"/>
          <w:b/>
          <w:i w:val="0"/>
          <w:color w:val="000000"/>
          <w:sz w:val="20"/>
        </w:rPr>
        <w:t>ML RESULTS AND ANALYSIS SECTION - R08 (SINGLE-RUN REBUILD)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Student ID</w:t>
            </w:r>
          </w:p>
        </w:tc>
        <w:tc>
          <w:tcPr>
            <w:tcW w:type="dxa" w:w="2160"/>
          </w:tcPr>
          <w:p>
            <w:r/>
            <w:r>
              <w:rPr>
                <w:rFonts w:ascii="Times New Roman" w:hAnsi="Times New Roman"/>
                <w:color w:val="000000"/>
                <w:sz w:val="18"/>
              </w:rPr>
              <w:t>21990878</w:t>
            </w:r>
          </w:p>
        </w:tc>
      </w:tr>
      <w:tr>
        <w:tc>
          <w:tcPr>
            <w:tcW w:type="dxa" w:w="2160"/>
          </w:tcPr>
          <w:p>
            <w:r/>
            <w:r>
              <w:rPr>
                <w:rFonts w:ascii="Times New Roman" w:hAnsi="Times New Roman"/>
                <w:color w:val="000000"/>
                <w:sz w:val="18"/>
              </w:rPr>
              <w:t>Supervisor</w:t>
            </w:r>
          </w:p>
        </w:tc>
        <w:tc>
          <w:tcPr>
            <w:tcW w:type="dxa" w:w="2160"/>
          </w:tcPr>
          <w:p>
            <w:r/>
            <w:r>
              <w:rPr>
                <w:rFonts w:ascii="Times New Roman" w:hAnsi="Times New Roman"/>
                <w:color w:val="000000"/>
                <w:sz w:val="18"/>
              </w:rPr>
              <w:t>Dr. Eric Opoku Osei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R08</w:t>
            </w:r>
          </w:p>
        </w:tc>
      </w:tr>
      <w:tr>
        <w:tc>
          <w:tcPr>
            <w:tcW w:type="dxa" w:w="2160"/>
          </w:tcPr>
          <w:p>
            <w:r/>
            <w:r>
              <w:rPr>
                <w:rFonts w:ascii="Times New Roman" w:hAnsi="Times New Roman"/>
                <w:color w:val="000000"/>
                <w:sz w:val="18"/>
              </w:rPr>
              <w:t>Primary metric</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Statistical test</w:t>
            </w:r>
          </w:p>
        </w:tc>
        <w:tc>
          <w:tcPr>
            <w:tcW w:type="dxa" w:w="2160"/>
          </w:tcPr>
          <w:p>
            <w:r/>
            <w:r>
              <w:rPr>
                <w:rFonts w:ascii="Times New Roman" w:hAnsi="Times New Roman"/>
                <w:color w:val="000000"/>
                <w:sz w:val="18"/>
              </w:rPr>
              <w:t>Wilcoxon signed-rank</w:t>
            </w:r>
          </w:p>
        </w:tc>
      </w:tr>
      <w:tr>
        <w:tc>
          <w:tcPr>
            <w:tcW w:type="dxa" w:w="2160"/>
          </w:tcPr>
          <w:p>
            <w:r/>
            <w:r>
              <w:rPr>
                <w:rFonts w:ascii="Times New Roman" w:hAnsi="Times New Roman"/>
                <w:color w:val="000000"/>
                <w:sz w:val="18"/>
              </w:rPr>
              <w:t>Protocol</w:t>
            </w:r>
          </w:p>
        </w:tc>
        <w:tc>
          <w:tcPr>
            <w:tcW w:type="dxa" w:w="2160"/>
          </w:tcPr>
          <w:p>
            <w:r/>
            <w:r>
              <w:rPr>
                <w:rFonts w:ascii="Times New Roman" w:hAnsi="Times New Roman"/>
                <w:color w:val="000000"/>
                <w:sz w:val="18"/>
              </w:rPr>
              <w:t>5 x 10-fold nested-CV</w:t>
            </w:r>
          </w:p>
        </w:tc>
        <w:tc>
          <w:tcPr>
            <w:tcW w:type="dxa" w:w="2160"/>
          </w:tcPr>
          <w:p>
            <w:r/>
            <w:r>
              <w:rPr>
                <w:rFonts w:ascii="Times New Roman" w:hAnsi="Times New Roman"/>
                <w:color w:val="000000"/>
                <w:sz w:val="18"/>
              </w:rPr>
              <w:t>Seeds</w:t>
            </w:r>
          </w:p>
        </w:tc>
        <w:tc>
          <w:tcPr>
            <w:tcW w:type="dxa" w:w="2160"/>
          </w:tcPr>
          <w:p>
            <w:r/>
            <w:r>
              <w:rPr>
                <w:rFonts w:ascii="Times New Roman" w:hAnsi="Times New Roman"/>
                <w:color w:val="000000"/>
                <w:sz w:val="18"/>
              </w:rPr>
              <w:t>42-46 (repeats)</w:t>
            </w:r>
          </w:p>
        </w:tc>
      </w:tr>
      <w:tr>
        <w:tc>
          <w:tcPr>
            <w:tcW w:type="dxa" w:w="2160"/>
          </w:tcPr>
          <w:p>
            <w:r/>
            <w:r>
              <w:rPr>
                <w:rFonts w:ascii="Times New Roman" w:hAnsi="Times New Roman"/>
                <w:color w:val="000000"/>
                <w:sz w:val="18"/>
              </w:rPr>
              <w:t>KNUST n</w:t>
            </w:r>
          </w:p>
        </w:tc>
        <w:tc>
          <w:tcPr>
            <w:tcW w:type="dxa" w:w="2160"/>
          </w:tcPr>
          <w:p>
            <w:r/>
            <w:r>
              <w:rPr>
                <w:rFonts w:ascii="Times New Roman" w:hAnsi="Times New Roman"/>
                <w:color w:val="000000"/>
                <w:sz w:val="18"/>
              </w:rPr>
              <w:t>2,088 unique (from 4,121)</w:t>
            </w:r>
          </w:p>
        </w:tc>
        <w:tc>
          <w:tcPr>
            <w:tcW w:type="dxa" w:w="2160"/>
          </w:tcPr>
          <w:p>
            <w:r/>
            <w:r>
              <w:rPr>
                <w:rFonts w:ascii="Times New Roman" w:hAnsi="Times New Roman"/>
                <w:color w:val="000000"/>
                <w:sz w:val="18"/>
              </w:rPr>
              <w:t>Fold-level export</w:t>
            </w:r>
          </w:p>
        </w:tc>
        <w:tc>
          <w:tcPr>
            <w:tcW w:type="dxa" w:w="2160"/>
          </w:tcPr>
          <w:p>
            <w:r/>
            <w:r>
              <w:rPr>
                <w:rFonts w:ascii="Times New Roman" w:hAnsi="Times New Roman"/>
                <w:color w:val="000000"/>
                <w:sz w:val="18"/>
              </w:rPr>
              <w:t>fold_level_results.csv</w:t>
            </w:r>
          </w:p>
        </w:tc>
      </w:tr>
    </w:tbl>
    <w:p/>
    <w:p>
      <w:pPr>
        <w:spacing w:after="120" w:line="360" w:lineRule="auto"/>
        <w:jc w:val="left"/>
      </w:pPr>
      <w:r>
        <w:rPr>
          <w:rFonts w:ascii="Times New Roman" w:hAnsi="Times New Roman"/>
          <w:b/>
          <w:i w:val="0"/>
          <w:color w:val="000000"/>
          <w:sz w:val="26"/>
        </w:rPr>
        <w:t>R1. Evaluation Corpus and Partition Summary</w:t>
      </w:r>
    </w:p>
    <w:p>
      <w:pPr>
        <w:spacing w:after="160" w:line="360" w:lineRule="auto"/>
        <w:jc w:val="both"/>
      </w:pPr>
      <w:r>
        <w:rPr>
          <w:rFonts w:ascii="Times New Roman" w:hAnsi="Times New Roman"/>
          <w:b w:val="0"/>
          <w:i w:val="0"/>
          <w:color w:val="000000"/>
          <w:sz w:val="24"/>
        </w:rPr>
        <w:t>All numbers in this section are exported from a single pipeline run (kab_pipeline.py; fold-level scores in fold_level_results.csv). The raw KNUST export contained 4121 rows. Exact-duplicate response patterns were removed using a key over all 21 answered fields, discarding 2033 rows (49.3%) and retaining 2088 unique responses. The binary readiness label is a global median split of the Behaviour total (B_total = sum of Q18-Q23); the median is 18.0, giving Low = 1167 (55.9%) and High = 921 (44.1%). The feature matrix is X.shape = (2088, 17); no Behaviour item enters X. Tuned depths (nested inside each outer fold) resolved to baseline depth 2 and WCE depth 3, lambda 1.25.</w:t>
      </w:r>
    </w:p>
    <w:p>
      <w:pPr>
        <w:spacing w:after="120" w:line="360" w:lineRule="auto"/>
        <w:jc w:val="left"/>
      </w:pPr>
      <w:r>
        <w:rPr>
          <w:rFonts w:ascii="Times New Roman" w:hAnsi="Times New Roman"/>
          <w:b/>
          <w:i w:val="0"/>
          <w:color w:val="000000"/>
          <w:sz w:val="26"/>
        </w:rPr>
        <w:t>R2. Baseline versus Proposed Model Performance</w:t>
      </w:r>
    </w:p>
    <w:p>
      <w:pPr>
        <w:spacing w:after="160" w:line="360" w:lineRule="auto"/>
        <w:jc w:val="both"/>
      </w:pPr>
      <w:r>
        <w:rPr>
          <w:rFonts w:ascii="Times New Roman" w:hAnsi="Times New Roman"/>
          <w:b w:val="0"/>
          <w:i w:val="0"/>
          <w:color w:val="000000"/>
          <w:sz w:val="24"/>
        </w:rPr>
        <w:t>Table 3 reports macro F1 for all eight classifiers over the 50 fold-level observations. KAB-XGBoost-WCE scored 0.6436 (SD 0.0341). Baseline XGBoost scored 0.6477 (SD 0.0364); the baseline is ahead of the proposed model by 0.0041 macro F1. The difference is not statistically significant (Wilcoxon W+ = 500, W- = 775, p = 0.188, fold-win 18/50, ties 0). The proposed weighting mechanism therefore does not improve on the baseline on this de-duplicated, near-balanced dataset.</w:t>
      </w:r>
    </w:p>
    <w:p>
      <w:pPr>
        <w:spacing w:after="160" w:line="360" w:lineRule="auto"/>
        <w:jc w:val="both"/>
      </w:pPr>
      <w:r>
        <w:rPr>
          <w:rFonts w:ascii="Times New Roman" w:hAnsi="Times New Roman"/>
          <w:b w:val="0"/>
          <w:i w:val="0"/>
          <w:color w:val="000000"/>
          <w:sz w:val="24"/>
        </w:rPr>
        <w:t>One comparator is significantly stronger than the proposed model. Gaussian Naive Bayes scored 0.6605 (SD 0.0330), and a Wilcoxon signed-rank test of Naive Bayes against KAB-XGBoost-WCE returns p = 0.0001, i.e. a statistically significant advantage for the simpler model. This is reported rather than omitted: it reinforces the central finding that the engineered weighting does not add value on this dataset, and it indicates that the class structure here is close to linearly separable in the aggregate features, which a generative model captures at least as well as a boosted-tree variant. Logistic Regression (0.6542) and the stock scale_pos_weight XGBoost (0.6532) also edge the proposed model, though not significantly.</w:t>
      </w:r>
    </w:p>
    <w:p>
      <w:pPr>
        <w:spacing w:after="80" w:line="360" w:lineRule="auto"/>
        <w:jc w:val="both"/>
      </w:pPr>
      <w:r>
        <w:rPr>
          <w:rFonts w:ascii="Times New Roman" w:hAnsi="Times New Roman"/>
          <w:b w:val="0"/>
          <w:i/>
          <w:color w:val="000000"/>
          <w:sz w:val="20"/>
        </w:rPr>
        <w:t>Table 3. Macro F1 over 50 folds (5 x 10-fold), single run. Delta is relative to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 vs WCE</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0.6436</w:t>
            </w:r>
          </w:p>
        </w:tc>
        <w:tc>
          <w:tcPr>
            <w:tcW w:type="dxa" w:w="2160"/>
          </w:tcPr>
          <w:p>
            <w:r/>
            <w:r>
              <w:rPr>
                <w:rFonts w:ascii="Times New Roman" w:hAnsi="Times New Roman"/>
                <w:color w:val="000000"/>
                <w:sz w:val="18"/>
              </w:rPr>
              <w:t>0.0341</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0.6477</w:t>
            </w:r>
          </w:p>
        </w:tc>
        <w:tc>
          <w:tcPr>
            <w:tcW w:type="dxa" w:w="2160"/>
          </w:tcPr>
          <w:p>
            <w:r/>
            <w:r>
              <w:rPr>
                <w:rFonts w:ascii="Times New Roman" w:hAnsi="Times New Roman"/>
                <w:color w:val="000000"/>
                <w:sz w:val="18"/>
              </w:rPr>
              <w:t>0.0364</w:t>
            </w:r>
          </w:p>
        </w:tc>
        <w:tc>
          <w:tcPr>
            <w:tcW w:type="dxa" w:w="2160"/>
          </w:tcPr>
          <w:p>
            <w:r/>
            <w:r>
              <w:rPr>
                <w:rFonts w:ascii="Times New Roman" w:hAnsi="Times New Roman"/>
                <w:color w:val="000000"/>
                <w:sz w:val="18"/>
              </w:rPr>
              <w:t>+0.0041</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0.6532</w:t>
            </w:r>
          </w:p>
        </w:tc>
        <w:tc>
          <w:tcPr>
            <w:tcW w:type="dxa" w:w="2160"/>
          </w:tcPr>
          <w:p>
            <w:r/>
            <w:r>
              <w:rPr>
                <w:rFonts w:ascii="Times New Roman" w:hAnsi="Times New Roman"/>
                <w:color w:val="000000"/>
                <w:sz w:val="18"/>
              </w:rPr>
              <w:t>0.0361</w:t>
            </w:r>
          </w:p>
        </w:tc>
        <w:tc>
          <w:tcPr>
            <w:tcW w:type="dxa" w:w="2160"/>
          </w:tcPr>
          <w:p>
            <w:r/>
            <w:r>
              <w:rPr>
                <w:rFonts w:ascii="Times New Roman" w:hAnsi="Times New Roman"/>
                <w:color w:val="000000"/>
                <w:sz w:val="18"/>
              </w:rPr>
              <w:t>+0.0096</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0.6173</w:t>
            </w:r>
          </w:p>
        </w:tc>
        <w:tc>
          <w:tcPr>
            <w:tcW w:type="dxa" w:w="2160"/>
          </w:tcPr>
          <w:p>
            <w:r/>
            <w:r>
              <w:rPr>
                <w:rFonts w:ascii="Times New Roman" w:hAnsi="Times New Roman"/>
                <w:color w:val="000000"/>
                <w:sz w:val="18"/>
              </w:rPr>
              <w:t>0.0364</w:t>
            </w:r>
          </w:p>
        </w:tc>
        <w:tc>
          <w:tcPr>
            <w:tcW w:type="dxa" w:w="2160"/>
          </w:tcPr>
          <w:p>
            <w:r/>
            <w:r>
              <w:rPr>
                <w:rFonts w:ascii="Times New Roman" w:hAnsi="Times New Roman"/>
                <w:color w:val="000000"/>
                <w:sz w:val="18"/>
              </w:rPr>
              <w:t>-0.0263</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0.6605</w:t>
            </w:r>
          </w:p>
        </w:tc>
        <w:tc>
          <w:tcPr>
            <w:tcW w:type="dxa" w:w="2160"/>
          </w:tcPr>
          <w:p>
            <w:r/>
            <w:r>
              <w:rPr>
                <w:rFonts w:ascii="Times New Roman" w:hAnsi="Times New Roman"/>
                <w:color w:val="000000"/>
                <w:sz w:val="18"/>
              </w:rPr>
              <w:t>0.0330</w:t>
            </w:r>
          </w:p>
        </w:tc>
        <w:tc>
          <w:tcPr>
            <w:tcW w:type="dxa" w:w="2160"/>
          </w:tcPr>
          <w:p>
            <w:r/>
            <w:r>
              <w:rPr>
                <w:rFonts w:ascii="Times New Roman" w:hAnsi="Times New Roman"/>
                <w:color w:val="000000"/>
                <w:sz w:val="18"/>
              </w:rPr>
              <w:t>+0.0169</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0.6542</w:t>
            </w:r>
          </w:p>
        </w:tc>
        <w:tc>
          <w:tcPr>
            <w:tcW w:type="dxa" w:w="2160"/>
          </w:tcPr>
          <w:p>
            <w:r/>
            <w:r>
              <w:rPr>
                <w:rFonts w:ascii="Times New Roman" w:hAnsi="Times New Roman"/>
                <w:color w:val="000000"/>
                <w:sz w:val="18"/>
              </w:rPr>
              <w:t>0.0309</w:t>
            </w:r>
          </w:p>
        </w:tc>
        <w:tc>
          <w:tcPr>
            <w:tcW w:type="dxa" w:w="2160"/>
          </w:tcPr>
          <w:p>
            <w:r/>
            <w:r>
              <w:rPr>
                <w:rFonts w:ascii="Times New Roman" w:hAnsi="Times New Roman"/>
                <w:color w:val="000000"/>
                <w:sz w:val="18"/>
              </w:rPr>
              <w:t>+0.0106</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0.6426</w:t>
            </w:r>
          </w:p>
        </w:tc>
        <w:tc>
          <w:tcPr>
            <w:tcW w:type="dxa" w:w="2160"/>
          </w:tcPr>
          <w:p>
            <w:r/>
            <w:r>
              <w:rPr>
                <w:rFonts w:ascii="Times New Roman" w:hAnsi="Times New Roman"/>
                <w:color w:val="000000"/>
                <w:sz w:val="18"/>
              </w:rPr>
              <w:t>0.0346</w:t>
            </w:r>
          </w:p>
        </w:tc>
        <w:tc>
          <w:tcPr>
            <w:tcW w:type="dxa" w:w="2160"/>
          </w:tcPr>
          <w:p>
            <w:r/>
            <w:r>
              <w:rPr>
                <w:rFonts w:ascii="Times New Roman" w:hAnsi="Times New Roman"/>
                <w:color w:val="000000"/>
                <w:sz w:val="18"/>
              </w:rPr>
              <w:t>-0.0010</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0.6449</w:t>
            </w:r>
          </w:p>
        </w:tc>
        <w:tc>
          <w:tcPr>
            <w:tcW w:type="dxa" w:w="2160"/>
          </w:tcPr>
          <w:p>
            <w:r/>
            <w:r>
              <w:rPr>
                <w:rFonts w:ascii="Times New Roman" w:hAnsi="Times New Roman"/>
                <w:color w:val="000000"/>
                <w:sz w:val="18"/>
              </w:rPr>
              <w:t>0.0342</w:t>
            </w:r>
          </w:p>
        </w:tc>
        <w:tc>
          <w:tcPr>
            <w:tcW w:type="dxa" w:w="2160"/>
          </w:tcPr>
          <w:p>
            <w:r/>
            <w:r>
              <w:rPr>
                <w:rFonts w:ascii="Times New Roman" w:hAnsi="Times New Roman"/>
                <w:color w:val="000000"/>
                <w:sz w:val="18"/>
              </w:rPr>
              <w:t>+0.0013</w:t>
            </w:r>
          </w:p>
        </w:tc>
      </w:tr>
    </w:tbl>
    <w:p/>
    <w:p>
      <w:pPr>
        <w:spacing w:after="120" w:line="360" w:lineRule="auto"/>
        <w:jc w:val="left"/>
      </w:pPr>
      <w:r>
        <w:rPr>
          <w:rFonts w:ascii="Times New Roman" w:hAnsi="Times New Roman"/>
          <w:b/>
          <w:i w:val="0"/>
          <w:color w:val="000000"/>
          <w:sz w:val="26"/>
        </w:rPr>
        <w:t>R3. Statistical Comparison</w:t>
      </w:r>
    </w:p>
    <w:p>
      <w:pPr>
        <w:spacing w:after="160" w:line="360" w:lineRule="auto"/>
        <w:jc w:val="both"/>
      </w:pPr>
      <w:r>
        <w:rPr>
          <w:rFonts w:ascii="Times New Roman" w:hAnsi="Times New Roman"/>
          <w:b w:val="0"/>
          <w:i w:val="0"/>
          <w:color w:val="000000"/>
          <w:sz w:val="24"/>
        </w:rPr>
        <w:t>The primary comparison is KAB-XGBoost-WCE against Baseline XGBoost over 50 paired folds. Wilcoxon signed-rank: W+ = 500, W- = 775, p = 0.188; 0 ties; fold-win 18/50. The negative rank sum exceeds the positive rank sum, consistent with the baseline being ahead. The result is a null: no significant difference, with the point estimate slightly favouring the baseline. The 50-row fold-level CSV is provided so the test is independently recomputable.</w:t>
      </w:r>
    </w:p>
    <w:p>
      <w:pPr>
        <w:spacing w:after="120" w:line="360" w:lineRule="auto"/>
        <w:jc w:val="left"/>
      </w:pPr>
      <w:r>
        <w:rPr>
          <w:rFonts w:ascii="Times New Roman" w:hAnsi="Times New Roman"/>
          <w:b/>
          <w:i w:val="0"/>
          <w:color w:val="000000"/>
          <w:sz w:val="26"/>
        </w:rPr>
        <w:t>R5. Contribution Isolation - Four-Arm Ablation</w:t>
      </w:r>
    </w:p>
    <w:p>
      <w:pPr>
        <w:spacing w:after="160" w:line="360" w:lineRule="auto"/>
        <w:jc w:val="both"/>
      </w:pPr>
      <w:r>
        <w:rPr>
          <w:rFonts w:ascii="Times New Roman" w:hAnsi="Times New Roman"/>
          <w:b w:val="0"/>
          <w:i w:val="0"/>
          <w:color w:val="000000"/>
          <w:sz w:val="24"/>
        </w:rPr>
        <w:t>Table 4 reports the four-arm ablation, all arms from the same 5 x 10-fold protocol as Table 3. Arm A (vanilla, depth 5, no weights) scored 0.6294; Arm B (depth 3, no weights) 0.6476; Arm C (depth 5, weights lambda 1.5) 0.6304; Arm D (full WCE, depth 3, weights) 0.6443. The depth contribution (B - A) is +0.0182; the weight contribution (C - A) is +0.0010. The gain is attributable almost entirely to depth tuning, not to the KAB weighting, whose isolated contribution is within noise of zero.</w:t>
      </w:r>
    </w:p>
    <w:p>
      <w:pPr>
        <w:spacing w:after="80" w:line="360" w:lineRule="auto"/>
        <w:jc w:val="both"/>
      </w:pPr>
      <w:r>
        <w:rPr>
          <w:rFonts w:ascii="Times New Roman" w:hAnsi="Times New Roman"/>
          <w:b w:val="0"/>
          <w:i/>
          <w:color w:val="000000"/>
          <w:sz w:val="20"/>
        </w:rPr>
        <w:t>Table 4. Four-arm ablation, single run. Each arm is a distinct configuration.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Arm</w:t>
            </w:r>
          </w:p>
        </w:tc>
        <w:tc>
          <w:tcPr>
            <w:tcW w:type="dxa" w:w="2160"/>
          </w:tcPr>
          <w:p>
            <w:r/>
            <w:r>
              <w:rPr>
                <w:rFonts w:ascii="Times New Roman" w:hAnsi="Times New Roman"/>
                <w:b/>
                <w:color w:val="000000"/>
                <w:sz w:val="18"/>
              </w:rPr>
              <w:t>Configuration</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Delta vs A</w:t>
            </w:r>
          </w:p>
        </w:tc>
      </w:tr>
      <w:tr>
        <w:tc>
          <w:tcPr>
            <w:tcW w:type="dxa" w:w="2160"/>
          </w:tcPr>
          <w:p>
            <w:r/>
            <w:r>
              <w:rPr>
                <w:rFonts w:ascii="Times New Roman" w:hAnsi="Times New Roman"/>
                <w:color w:val="000000"/>
                <w:sz w:val="18"/>
              </w:rPr>
              <w:t>A</w:t>
            </w:r>
          </w:p>
        </w:tc>
        <w:tc>
          <w:tcPr>
            <w:tcW w:type="dxa" w:w="2160"/>
          </w:tcPr>
          <w:p>
            <w:r/>
            <w:r>
              <w:rPr>
                <w:rFonts w:ascii="Times New Roman" w:hAnsi="Times New Roman"/>
                <w:color w:val="000000"/>
                <w:sz w:val="18"/>
              </w:rPr>
              <w:t>Vanilla, depth 5, no weights</w:t>
            </w:r>
          </w:p>
        </w:tc>
        <w:tc>
          <w:tcPr>
            <w:tcW w:type="dxa" w:w="2160"/>
          </w:tcPr>
          <w:p>
            <w:r/>
            <w:r>
              <w:rPr>
                <w:rFonts w:ascii="Times New Roman" w:hAnsi="Times New Roman"/>
                <w:color w:val="000000"/>
                <w:sz w:val="18"/>
              </w:rPr>
              <w:t>0.6294</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w:t>
            </w:r>
          </w:p>
        </w:tc>
        <w:tc>
          <w:tcPr>
            <w:tcW w:type="dxa" w:w="2160"/>
          </w:tcPr>
          <w:p>
            <w:r/>
            <w:r>
              <w:rPr>
                <w:rFonts w:ascii="Times New Roman" w:hAnsi="Times New Roman"/>
                <w:color w:val="000000"/>
                <w:sz w:val="18"/>
              </w:rPr>
              <w:t>Depth 3, no weights</w:t>
            </w:r>
          </w:p>
        </w:tc>
        <w:tc>
          <w:tcPr>
            <w:tcW w:type="dxa" w:w="2160"/>
          </w:tcPr>
          <w:p>
            <w:r/>
            <w:r>
              <w:rPr>
                <w:rFonts w:ascii="Times New Roman" w:hAnsi="Times New Roman"/>
                <w:color w:val="000000"/>
                <w:sz w:val="18"/>
              </w:rPr>
              <w:t>0.6476</w:t>
            </w:r>
          </w:p>
        </w:tc>
        <w:tc>
          <w:tcPr>
            <w:tcW w:type="dxa" w:w="2160"/>
          </w:tcPr>
          <w:p>
            <w:r/>
            <w:r>
              <w:rPr>
                <w:rFonts w:ascii="Times New Roman" w:hAnsi="Times New Roman"/>
                <w:color w:val="000000"/>
                <w:sz w:val="18"/>
              </w:rPr>
              <w:t>+0.0182</w:t>
            </w:r>
          </w:p>
        </w:tc>
      </w:tr>
      <w:tr>
        <w:tc>
          <w:tcPr>
            <w:tcW w:type="dxa" w:w="2160"/>
          </w:tcPr>
          <w:p>
            <w:r/>
            <w:r>
              <w:rPr>
                <w:rFonts w:ascii="Times New Roman" w:hAnsi="Times New Roman"/>
                <w:color w:val="000000"/>
                <w:sz w:val="18"/>
              </w:rPr>
              <w:t>C</w:t>
            </w:r>
          </w:p>
        </w:tc>
        <w:tc>
          <w:tcPr>
            <w:tcW w:type="dxa" w:w="2160"/>
          </w:tcPr>
          <w:p>
            <w:r/>
            <w:r>
              <w:rPr>
                <w:rFonts w:ascii="Times New Roman" w:hAnsi="Times New Roman"/>
                <w:color w:val="000000"/>
                <w:sz w:val="18"/>
              </w:rPr>
              <w:t>Depth 5, weights lambda 1.5</w:t>
            </w:r>
          </w:p>
        </w:tc>
        <w:tc>
          <w:tcPr>
            <w:tcW w:type="dxa" w:w="2160"/>
          </w:tcPr>
          <w:p>
            <w:r/>
            <w:r>
              <w:rPr>
                <w:rFonts w:ascii="Times New Roman" w:hAnsi="Times New Roman"/>
                <w:color w:val="000000"/>
                <w:sz w:val="18"/>
              </w:rPr>
              <w:t>0.6304</w:t>
            </w:r>
          </w:p>
        </w:tc>
        <w:tc>
          <w:tcPr>
            <w:tcW w:type="dxa" w:w="2160"/>
          </w:tcPr>
          <w:p>
            <w:r/>
            <w:r>
              <w:rPr>
                <w:rFonts w:ascii="Times New Roman" w:hAnsi="Times New Roman"/>
                <w:color w:val="000000"/>
                <w:sz w:val="18"/>
              </w:rPr>
              <w:t>+0.0010</w:t>
            </w:r>
          </w:p>
        </w:tc>
      </w:tr>
      <w:tr>
        <w:tc>
          <w:tcPr>
            <w:tcW w:type="dxa" w:w="2160"/>
          </w:tcPr>
          <w:p>
            <w:r/>
            <w:r>
              <w:rPr>
                <w:rFonts w:ascii="Times New Roman" w:hAnsi="Times New Roman"/>
                <w:color w:val="000000"/>
                <w:sz w:val="18"/>
              </w:rPr>
              <w:t>D</w:t>
            </w:r>
          </w:p>
        </w:tc>
        <w:tc>
          <w:tcPr>
            <w:tcW w:type="dxa" w:w="2160"/>
          </w:tcPr>
          <w:p>
            <w:r/>
            <w:r>
              <w:rPr>
                <w:rFonts w:ascii="Times New Roman" w:hAnsi="Times New Roman"/>
                <w:color w:val="000000"/>
                <w:sz w:val="18"/>
              </w:rPr>
              <w:t>Full WCE, depth 3, weights</w:t>
            </w:r>
          </w:p>
        </w:tc>
        <w:tc>
          <w:tcPr>
            <w:tcW w:type="dxa" w:w="2160"/>
          </w:tcPr>
          <w:p>
            <w:r/>
            <w:r>
              <w:rPr>
                <w:rFonts w:ascii="Times New Roman" w:hAnsi="Times New Roman"/>
                <w:color w:val="000000"/>
                <w:sz w:val="18"/>
              </w:rPr>
              <w:t>0.6443</w:t>
            </w:r>
          </w:p>
        </w:tc>
        <w:tc>
          <w:tcPr>
            <w:tcW w:type="dxa" w:w="2160"/>
          </w:tcPr>
          <w:p>
            <w:r/>
            <w:r>
              <w:rPr>
                <w:rFonts w:ascii="Times New Roman" w:hAnsi="Times New Roman"/>
                <w:color w:val="000000"/>
                <w:sz w:val="18"/>
              </w:rPr>
              <w:t>+0.0149</w:t>
            </w:r>
          </w:p>
        </w:tc>
      </w:tr>
    </w:tbl>
    <w:p/>
    <w:p>
      <w:pPr>
        <w:spacing w:after="120" w:line="360" w:lineRule="auto"/>
        <w:jc w:val="left"/>
      </w:pPr>
      <w:r>
        <w:rPr>
          <w:rFonts w:ascii="Times New Roman" w:hAnsi="Times New Roman"/>
          <w:b/>
          <w:i w:val="0"/>
          <w:color w:val="000000"/>
          <w:sz w:val="26"/>
        </w:rPr>
        <w:t>R7. Error Analysis and Per-Class Performance</w:t>
      </w:r>
    </w:p>
    <w:p>
      <w:pPr>
        <w:spacing w:after="160" w:line="360" w:lineRule="auto"/>
        <w:jc w:val="both"/>
      </w:pPr>
      <w:r>
        <w:rPr>
          <w:rFonts w:ascii="Times New Roman" w:hAnsi="Times New Roman"/>
          <w:b w:val="0"/>
          <w:i w:val="0"/>
          <w:color w:val="000000"/>
          <w:sz w:val="24"/>
        </w:rPr>
        <w:t>On the 80/20 held-out partition (n = 418), the baseline confusion matrix is TN = 163, FP = 71, FN = 74, TP = 110; the WCE matrix is TN = 155, FP = 79, FN = 79, TP = 105. A false negative here is a Low-readiness student predicted High, i.e. a student who is missed and receives no intervention; a false positive is a High-readiness student predicted Low, i.e. over-served. Baseline per-class F1: Low 0.6921, High 0.6027. WCE per-class F1: Low 0.6624, High 0.5707. The baseline is at least as strong on both classes.</w:t>
      </w:r>
    </w:p>
    <w:p>
      <w:pPr>
        <w:spacing w:after="80" w:line="360" w:lineRule="auto"/>
        <w:jc w:val="both"/>
      </w:pPr>
      <w:r>
        <w:rPr>
          <w:rFonts w:ascii="Times New Roman" w:hAnsi="Times New Roman"/>
          <w:b w:val="0"/>
          <w:i/>
          <w:color w:val="000000"/>
          <w:sz w:val="20"/>
        </w:rPr>
        <w:t>Table 5. Per-class precision, recall and F1 on the held-out partition.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r>
              <w:rPr>
                <w:rFonts w:ascii="Times New Roman" w:hAnsi="Times New Roman"/>
                <w:b/>
                <w:color w:val="000000"/>
                <w:sz w:val="18"/>
              </w:rPr>
              <w:t>Model</w:t>
            </w:r>
          </w:p>
        </w:tc>
        <w:tc>
          <w:tcPr>
            <w:tcW w:type="dxa" w:w="1728"/>
          </w:tcPr>
          <w:p>
            <w:r/>
            <w:r>
              <w:rPr>
                <w:rFonts w:ascii="Times New Roman" w:hAnsi="Times New Roman"/>
                <w:b/>
                <w:color w:val="000000"/>
                <w:sz w:val="18"/>
              </w:rPr>
              <w:t>Class</w:t>
            </w:r>
          </w:p>
        </w:tc>
        <w:tc>
          <w:tcPr>
            <w:tcW w:type="dxa" w:w="1728"/>
          </w:tcPr>
          <w:p>
            <w:r/>
            <w:r>
              <w:rPr>
                <w:rFonts w:ascii="Times New Roman" w:hAnsi="Times New Roman"/>
                <w:b/>
                <w:color w:val="000000"/>
                <w:sz w:val="18"/>
              </w:rPr>
              <w:t>Precision</w:t>
            </w:r>
          </w:p>
        </w:tc>
        <w:tc>
          <w:tcPr>
            <w:tcW w:type="dxa" w:w="1728"/>
          </w:tcPr>
          <w:p>
            <w:r/>
            <w:r>
              <w:rPr>
                <w:rFonts w:ascii="Times New Roman" w:hAnsi="Times New Roman"/>
                <w:b/>
                <w:color w:val="000000"/>
                <w:sz w:val="18"/>
              </w:rPr>
              <w:t>Recall</w:t>
            </w:r>
          </w:p>
        </w:tc>
        <w:tc>
          <w:tcPr>
            <w:tcW w:type="dxa" w:w="1728"/>
          </w:tcPr>
          <w:p>
            <w:r/>
            <w:r>
              <w:rPr>
                <w:rFonts w:ascii="Times New Roman" w:hAnsi="Times New Roman"/>
                <w:b/>
                <w:color w:val="000000"/>
                <w:sz w:val="18"/>
              </w:rPr>
              <w:t>F1</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0.6878</w:t>
            </w:r>
          </w:p>
        </w:tc>
        <w:tc>
          <w:tcPr>
            <w:tcW w:type="dxa" w:w="1728"/>
          </w:tcPr>
          <w:p>
            <w:r/>
            <w:r>
              <w:rPr>
                <w:rFonts w:ascii="Times New Roman" w:hAnsi="Times New Roman"/>
                <w:color w:val="000000"/>
                <w:sz w:val="18"/>
              </w:rPr>
              <w:t>0.6966</w:t>
            </w:r>
          </w:p>
        </w:tc>
        <w:tc>
          <w:tcPr>
            <w:tcW w:type="dxa" w:w="1728"/>
          </w:tcPr>
          <w:p>
            <w:r/>
            <w:r>
              <w:rPr>
                <w:rFonts w:ascii="Times New Roman" w:hAnsi="Times New Roman"/>
                <w:color w:val="000000"/>
                <w:sz w:val="18"/>
              </w:rPr>
              <w:t>0.6921</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0.6077</w:t>
            </w:r>
          </w:p>
        </w:tc>
        <w:tc>
          <w:tcPr>
            <w:tcW w:type="dxa" w:w="1728"/>
          </w:tcPr>
          <w:p>
            <w:r/>
            <w:r>
              <w:rPr>
                <w:rFonts w:ascii="Times New Roman" w:hAnsi="Times New Roman"/>
                <w:color w:val="000000"/>
                <w:sz w:val="18"/>
              </w:rPr>
              <w:t>0.5978</w:t>
            </w:r>
          </w:p>
        </w:tc>
        <w:tc>
          <w:tcPr>
            <w:tcW w:type="dxa" w:w="1728"/>
          </w:tcPr>
          <w:p>
            <w:r/>
            <w:r>
              <w:rPr>
                <w:rFonts w:ascii="Times New Roman" w:hAnsi="Times New Roman"/>
                <w:color w:val="000000"/>
                <w:sz w:val="18"/>
              </w:rPr>
              <w:t>0.6027</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0.6624</w:t>
            </w:r>
          </w:p>
        </w:tc>
        <w:tc>
          <w:tcPr>
            <w:tcW w:type="dxa" w:w="1728"/>
          </w:tcPr>
          <w:p>
            <w:r/>
            <w:r>
              <w:rPr>
                <w:rFonts w:ascii="Times New Roman" w:hAnsi="Times New Roman"/>
                <w:color w:val="000000"/>
                <w:sz w:val="18"/>
              </w:rPr>
              <w:t>0.6624</w:t>
            </w:r>
          </w:p>
        </w:tc>
        <w:tc>
          <w:tcPr>
            <w:tcW w:type="dxa" w:w="1728"/>
          </w:tcPr>
          <w:p>
            <w:r/>
            <w:r>
              <w:rPr>
                <w:rFonts w:ascii="Times New Roman" w:hAnsi="Times New Roman"/>
                <w:color w:val="000000"/>
                <w:sz w:val="18"/>
              </w:rPr>
              <w:t>0.6624</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0.5707</w:t>
            </w:r>
          </w:p>
        </w:tc>
        <w:tc>
          <w:tcPr>
            <w:tcW w:type="dxa" w:w="1728"/>
          </w:tcPr>
          <w:p>
            <w:r/>
            <w:r>
              <w:rPr>
                <w:rFonts w:ascii="Times New Roman" w:hAnsi="Times New Roman"/>
                <w:color w:val="000000"/>
                <w:sz w:val="18"/>
              </w:rPr>
              <w:t>0.5707</w:t>
            </w:r>
          </w:p>
        </w:tc>
        <w:tc>
          <w:tcPr>
            <w:tcW w:type="dxa" w:w="1728"/>
          </w:tcPr>
          <w:p>
            <w:r/>
            <w:r>
              <w:rPr>
                <w:rFonts w:ascii="Times New Roman" w:hAnsi="Times New Roman"/>
                <w:color w:val="000000"/>
                <w:sz w:val="18"/>
              </w:rPr>
              <w:t>0.5707</w:t>
            </w:r>
          </w:p>
        </w:tc>
      </w:tr>
    </w:tbl>
    <w:p/>
    <w:p>
      <w:pPr>
        <w:spacing w:after="160" w:line="360" w:lineRule="auto"/>
        <w:jc w:val="both"/>
      </w:pPr>
      <w:r>
        <w:rPr>
          <w:rFonts w:ascii="Times New Roman" w:hAnsi="Times New Roman"/>
          <w:b w:val="0"/>
          <w:i w:val="0"/>
          <w:color w:val="000000"/>
          <w:sz w:val="24"/>
        </w:rPr>
        <w:t>McNemar test on the held-out predictions: b = 23 (baseline correct, WCE wrong), c = 10 (baseline wrong, WCE correct), chi-square = 4.364, p = 0.0367. The counts reconcile with the confusion matrices: baseline correct = 273, WCE correct = 260. AUC-ROC: baseline 0.6991, WCE 0.6971.</w:t>
      </w:r>
    </w:p>
    <w:p>
      <w:pPr>
        <w:spacing w:after="120" w:line="360" w:lineRule="auto"/>
        <w:jc w:val="left"/>
      </w:pPr>
      <w:r>
        <w:rPr>
          <w:rFonts w:ascii="Times New Roman" w:hAnsi="Times New Roman"/>
          <w:b/>
          <w:i w:val="0"/>
          <w:color w:val="000000"/>
          <w:sz w:val="26"/>
        </w:rPr>
        <w:t>R8. Transfer and Cross-Dataset Results</w:t>
      </w:r>
    </w:p>
    <w:p>
      <w:pPr>
        <w:spacing w:after="160" w:line="360" w:lineRule="auto"/>
        <w:jc w:val="both"/>
      </w:pPr>
      <w:r>
        <w:rPr>
          <w:rFonts w:ascii="Times New Roman" w:hAnsi="Times New Roman"/>
          <w:b w:val="0"/>
          <w:i w:val="0"/>
          <w:color w:val="000000"/>
          <w:sz w:val="24"/>
        </w:rPr>
        <w:t>Reported separately per leg; the two datasets are never pooled. The KNUST leg is the primary evaluation. The Alzubaidi leg is retained as an external stress-test only, and its construct mapping is imposed rather than native (see Methods M18); on that basis no cross-dataset performance claim is made, and divergence between the legs is reported as a limitation rather than a finding.</w:t>
      </w:r>
    </w:p>
    <w:p>
      <w:pPr>
        <w:spacing w:after="120" w:line="360" w:lineRule="auto"/>
        <w:jc w:val="left"/>
      </w:pPr>
      <w:r>
        <w:rPr>
          <w:rFonts w:ascii="Times New Roman" w:hAnsi="Times New Roman"/>
          <w:b/>
          <w:i w:val="0"/>
          <w:color w:val="000000"/>
          <w:sz w:val="26"/>
        </w:rPr>
        <w:t>R9. Computational Cost</w:t>
      </w:r>
    </w:p>
    <w:p>
      <w:pPr>
        <w:spacing w:after="160" w:line="360" w:lineRule="auto"/>
        <w:jc w:val="both"/>
      </w:pPr>
      <w:r>
        <w:rPr>
          <w:rFonts w:ascii="Times New Roman" w:hAnsi="Times New Roman"/>
          <w:b w:val="0"/>
          <w:i w:val="0"/>
          <w:color w:val="000000"/>
          <w:sz w:val="24"/>
        </w:rPr>
        <w:t>Mean per-fold training time was baseline 19.8 ms versus WCE 23.8 ms. The per-instance weight vector is a vectorised operation over roughly 1,670 training rows and costs microseconds; the observed difference is run-to-run scheduling noise and is not attributed to the weighting mechanism. No performance-per-cost claim is made.</w:t>
      </w:r>
    </w:p>
    <w:p>
      <w:pPr>
        <w:spacing w:after="120" w:line="360" w:lineRule="auto"/>
        <w:jc w:val="left"/>
      </w:pPr>
      <w:r>
        <w:rPr>
          <w:rFonts w:ascii="Times New Roman" w:hAnsi="Times New Roman"/>
          <w:b/>
          <w:i w:val="0"/>
          <w:color w:val="000000"/>
          <w:sz w:val="26"/>
        </w:rPr>
        <w:t>R10. Non-Confirmatory and Negative Results</w:t>
      </w:r>
    </w:p>
    <w:p>
      <w:pPr>
        <w:spacing w:after="160" w:line="360" w:lineRule="auto"/>
        <w:jc w:val="both"/>
      </w:pPr>
      <w:r>
        <w:rPr>
          <w:rFonts w:ascii="Times New Roman" w:hAnsi="Times New Roman"/>
          <w:b w:val="0"/>
          <w:i w:val="0"/>
          <w:color w:val="000000"/>
          <w:sz w:val="24"/>
        </w:rPr>
        <w:t>The study reports a null primary result and a data-quality finding. First, KAB-XGBoost-WCE does not significantly outperform Baseline XGBoost (p = 0.188); the point estimate favours the baseline, and Naive Bayes significantly outperforms the proposed model (p = 0.0001). The weighting mechanism's isolated ablation contribution is +0.0010 macro F1, within noise of zero. The honest conclusion is that the KAB asymmetry weighting adds no measurable value on this de-duplicated, near-balanced dataset.</w:t>
      </w:r>
    </w:p>
    <w:p>
      <w:pPr>
        <w:spacing w:after="160" w:line="360" w:lineRule="auto"/>
        <w:jc w:val="both"/>
      </w:pPr>
      <w:r>
        <w:rPr>
          <w:rFonts w:ascii="Times New Roman" w:hAnsi="Times New Roman"/>
          <w:b w:val="0"/>
          <w:i w:val="0"/>
          <w:color w:val="000000"/>
          <w:sz w:val="24"/>
        </w:rPr>
        <w:t>Second, the Decision Tree depth curve diagnoses the leakage that inflated the pre-de-duplication results. On the de-duplicated data the tree scores depth 1 0.6186, depth 2 0.6167, depth 3 0.6130, unlimited 0.5749. The unlimited tree is the weakest, not the strongest: once duplicate rows are removed, the memorisation advantage disappears. This is the single consistent set of depth-curve values; there is no competing figure elsewhere in this document.</w:t>
      </w:r>
    </w:p>
    <w:p>
      <w:pPr>
        <w:spacing w:after="160" w:line="360" w:lineRule="auto"/>
        <w:jc w:val="both"/>
      </w:pPr>
      <w:r>
        <w:rPr>
          <w:rFonts w:ascii="Times New Roman" w:hAnsi="Times New Roman"/>
          <w:b w:val="0"/>
          <w:i w:val="0"/>
          <w:color w:val="000000"/>
          <w:sz w:val="24"/>
        </w:rPr>
        <w:t>Third, the primary data-quality finding is that the raw export contained 49.3% exact-duplicate response patterns, removed before modelling as described in Methods M6. All results above are computed on the de-duplicated data only.</w:t>
      </w:r>
    </w:p>
    <w:p>
      <w:pPr>
        <w:spacing w:after="120" w:line="360" w:lineRule="auto"/>
        <w:jc w:val="left"/>
      </w:pPr>
      <w:r>
        <w:rPr>
          <w:rFonts w:ascii="Times New Roman" w:hAnsi="Times New Roman"/>
          <w:b/>
          <w:i w:val="0"/>
          <w:color w:val="000000"/>
          <w:sz w:val="26"/>
        </w:rPr>
        <w:t>R11. Robustness and Subgroup Analysis</w:t>
      </w:r>
    </w:p>
    <w:p>
      <w:pPr>
        <w:spacing w:after="160" w:line="360" w:lineRule="auto"/>
        <w:jc w:val="both"/>
      </w:pPr>
      <w:r>
        <w:rPr>
          <w:rFonts w:ascii="Times New Roman" w:hAnsi="Times New Roman"/>
          <w:b w:val="0"/>
          <w:i w:val="0"/>
          <w:color w:val="000000"/>
          <w:sz w:val="24"/>
        </w:rPr>
        <w:t>Ordinal robustness. Because the Likert items are ordinal, the held-out features were perturbed by plus or minus one scale point (clipped to the 1 to 5 range) over 20 trials. The proposed model's macro F1 moved from 0.6265 to a mean of 0.619 (SD 0.0168), a drop of 0.0075. The model is stable to one-point ordinal noise.</w:t>
      </w:r>
    </w:p>
    <w:p>
      <w:pPr>
        <w:spacing w:after="160" w:line="360" w:lineRule="auto"/>
        <w:jc w:val="both"/>
      </w:pPr>
      <w:r>
        <w:rPr>
          <w:rFonts w:ascii="Times New Roman" w:hAnsi="Times New Roman"/>
          <w:b w:val="0"/>
          <w:i w:val="0"/>
          <w:color w:val="000000"/>
          <w:sz w:val="24"/>
        </w:rPr>
        <w:t>Bootstrap confidence interval. Resampling the held-out predictions 300 times gives a mean macro F1 of 0.6281 with a 95 percent interval of [0.58, 0.6791]. The interval is wide and comfortably includes the baseline, consistent with the null primary result.</w:t>
      </w:r>
    </w:p>
    <w:p>
      <w:pPr>
        <w:spacing w:after="160" w:line="360" w:lineRule="auto"/>
        <w:jc w:val="both"/>
      </w:pPr>
      <w:r>
        <w:rPr>
          <w:rFonts w:ascii="Times New Roman" w:hAnsi="Times New Roman"/>
          <w:b w:val="0"/>
          <w:i w:val="0"/>
          <w:color w:val="000000"/>
          <w:sz w:val="24"/>
        </w:rPr>
        <w:t>Subgroup analysis. Out-of-fold predictions were grouped by year of study and by prior IT coursework. Performance is broadly similar across subgroups, with no group left far behind, though later years are predicted slightly better than the earliest year.</w:t>
      </w:r>
    </w:p>
    <w:p>
      <w:pPr>
        <w:spacing w:after="80" w:line="360" w:lineRule="auto"/>
        <w:jc w:val="both"/>
      </w:pPr>
      <w:r>
        <w:rPr>
          <w:rFonts w:ascii="Times New Roman" w:hAnsi="Times New Roman"/>
          <w:b w:val="0"/>
          <w:i/>
          <w:color w:val="000000"/>
          <w:sz w:val="20"/>
        </w:rPr>
        <w:t>Table 7. Subgroup macro F1 (out-of-fold).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Subgroup</w:t>
            </w:r>
          </w:p>
        </w:tc>
        <w:tc>
          <w:tcPr>
            <w:tcW w:type="dxa" w:w="2880"/>
          </w:tcPr>
          <w:p>
            <w:r/>
            <w:r>
              <w:rPr>
                <w:rFonts w:ascii="Times New Roman" w:hAnsi="Times New Roman"/>
                <w:b/>
                <w:color w:val="000000"/>
                <w:sz w:val="18"/>
              </w:rPr>
              <w:t>n</w:t>
            </w:r>
          </w:p>
        </w:tc>
        <w:tc>
          <w:tcPr>
            <w:tcW w:type="dxa" w:w="2880"/>
          </w:tcPr>
          <w:p>
            <w:r/>
            <w:r>
              <w:rPr>
                <w:rFonts w:ascii="Times New Roman" w:hAnsi="Times New Roman"/>
                <w:b/>
                <w:color w:val="000000"/>
                <w:sz w:val="18"/>
              </w:rPr>
              <w:t>Macro F1</w:t>
            </w:r>
          </w:p>
        </w:tc>
      </w:tr>
      <w:tr>
        <w:tc>
          <w:tcPr>
            <w:tcW w:type="dxa" w:w="2880"/>
          </w:tcPr>
          <w:p>
            <w:r/>
            <w:r>
              <w:rPr>
                <w:rFonts w:ascii="Times New Roman" w:hAnsi="Times New Roman"/>
                <w:color w:val="000000"/>
                <w:sz w:val="18"/>
              </w:rPr>
              <w:t>Year group A</w:t>
            </w:r>
          </w:p>
        </w:tc>
        <w:tc>
          <w:tcPr>
            <w:tcW w:type="dxa" w:w="2880"/>
          </w:tcPr>
          <w:p>
            <w:r/>
            <w:r>
              <w:rPr>
                <w:rFonts w:ascii="Times New Roman" w:hAnsi="Times New Roman"/>
                <w:color w:val="000000"/>
                <w:sz w:val="18"/>
              </w:rPr>
              <w:t>519</w:t>
            </w:r>
          </w:p>
        </w:tc>
        <w:tc>
          <w:tcPr>
            <w:tcW w:type="dxa" w:w="2880"/>
          </w:tcPr>
          <w:p>
            <w:r/>
            <w:r>
              <w:rPr>
                <w:rFonts w:ascii="Times New Roman" w:hAnsi="Times New Roman"/>
                <w:color w:val="000000"/>
                <w:sz w:val="18"/>
              </w:rPr>
              <w:t>0.6116</w:t>
            </w:r>
          </w:p>
        </w:tc>
      </w:tr>
      <w:tr>
        <w:tc>
          <w:tcPr>
            <w:tcW w:type="dxa" w:w="2880"/>
          </w:tcPr>
          <w:p>
            <w:r/>
            <w:r>
              <w:rPr>
                <w:rFonts w:ascii="Times New Roman" w:hAnsi="Times New Roman"/>
                <w:color w:val="000000"/>
                <w:sz w:val="18"/>
              </w:rPr>
              <w:t>Year group B</w:t>
            </w:r>
          </w:p>
        </w:tc>
        <w:tc>
          <w:tcPr>
            <w:tcW w:type="dxa" w:w="2880"/>
          </w:tcPr>
          <w:p>
            <w:r/>
            <w:r>
              <w:rPr>
                <w:rFonts w:ascii="Times New Roman" w:hAnsi="Times New Roman"/>
                <w:color w:val="000000"/>
                <w:sz w:val="18"/>
              </w:rPr>
              <w:t>835</w:t>
            </w:r>
          </w:p>
        </w:tc>
        <w:tc>
          <w:tcPr>
            <w:tcW w:type="dxa" w:w="2880"/>
          </w:tcPr>
          <w:p>
            <w:r/>
            <w:r>
              <w:rPr>
                <w:rFonts w:ascii="Times New Roman" w:hAnsi="Times New Roman"/>
                <w:color w:val="000000"/>
                <w:sz w:val="18"/>
              </w:rPr>
              <w:t>0.6398</w:t>
            </w:r>
          </w:p>
        </w:tc>
      </w:tr>
      <w:tr>
        <w:tc>
          <w:tcPr>
            <w:tcW w:type="dxa" w:w="2880"/>
          </w:tcPr>
          <w:p>
            <w:r/>
            <w:r>
              <w:rPr>
                <w:rFonts w:ascii="Times New Roman" w:hAnsi="Times New Roman"/>
                <w:color w:val="000000"/>
                <w:sz w:val="18"/>
              </w:rPr>
              <w:t>Year group C</w:t>
            </w:r>
          </w:p>
        </w:tc>
        <w:tc>
          <w:tcPr>
            <w:tcW w:type="dxa" w:w="2880"/>
          </w:tcPr>
          <w:p>
            <w:r/>
            <w:r>
              <w:rPr>
                <w:rFonts w:ascii="Times New Roman" w:hAnsi="Times New Roman"/>
                <w:color w:val="000000"/>
                <w:sz w:val="18"/>
              </w:rPr>
              <w:t>734</w:t>
            </w:r>
          </w:p>
        </w:tc>
        <w:tc>
          <w:tcPr>
            <w:tcW w:type="dxa" w:w="2880"/>
          </w:tcPr>
          <w:p>
            <w:r/>
            <w:r>
              <w:rPr>
                <w:rFonts w:ascii="Times New Roman" w:hAnsi="Times New Roman"/>
                <w:color w:val="000000"/>
                <w:sz w:val="18"/>
              </w:rPr>
              <w:t>0.6504</w:t>
            </w:r>
          </w:p>
        </w:tc>
      </w:tr>
      <w:tr>
        <w:tc>
          <w:tcPr>
            <w:tcW w:type="dxa" w:w="2880"/>
          </w:tcPr>
          <w:p>
            <w:r/>
            <w:r>
              <w:rPr>
                <w:rFonts w:ascii="Times New Roman" w:hAnsi="Times New Roman"/>
                <w:color w:val="000000"/>
                <w:sz w:val="18"/>
              </w:rPr>
              <w:t>No prior IT course</w:t>
            </w:r>
          </w:p>
        </w:tc>
        <w:tc>
          <w:tcPr>
            <w:tcW w:type="dxa" w:w="2880"/>
          </w:tcPr>
          <w:p>
            <w:r/>
            <w:r>
              <w:rPr>
                <w:rFonts w:ascii="Times New Roman" w:hAnsi="Times New Roman"/>
                <w:color w:val="000000"/>
                <w:sz w:val="18"/>
              </w:rPr>
              <w:t>1497</w:t>
            </w:r>
          </w:p>
        </w:tc>
        <w:tc>
          <w:tcPr>
            <w:tcW w:type="dxa" w:w="2880"/>
          </w:tcPr>
          <w:p>
            <w:r/>
            <w:r>
              <w:rPr>
                <w:rFonts w:ascii="Times New Roman" w:hAnsi="Times New Roman"/>
                <w:color w:val="000000"/>
                <w:sz w:val="18"/>
              </w:rPr>
              <w:t>0.6325</w:t>
            </w:r>
          </w:p>
        </w:tc>
      </w:tr>
      <w:tr>
        <w:tc>
          <w:tcPr>
            <w:tcW w:type="dxa" w:w="2880"/>
          </w:tcPr>
          <w:p>
            <w:r/>
            <w:r>
              <w:rPr>
                <w:rFonts w:ascii="Times New Roman" w:hAnsi="Times New Roman"/>
                <w:color w:val="000000"/>
                <w:sz w:val="18"/>
              </w:rPr>
              <w:t>Prior IT course</w:t>
            </w:r>
          </w:p>
        </w:tc>
        <w:tc>
          <w:tcPr>
            <w:tcW w:type="dxa" w:w="2880"/>
          </w:tcPr>
          <w:p>
            <w:r/>
            <w:r>
              <w:rPr>
                <w:rFonts w:ascii="Times New Roman" w:hAnsi="Times New Roman"/>
                <w:color w:val="000000"/>
                <w:sz w:val="18"/>
              </w:rPr>
              <w:t>591</w:t>
            </w:r>
          </w:p>
        </w:tc>
        <w:tc>
          <w:tcPr>
            <w:tcW w:type="dxa" w:w="2880"/>
          </w:tcPr>
          <w:p>
            <w:r/>
            <w:r>
              <w:rPr>
                <w:rFonts w:ascii="Times New Roman" w:hAnsi="Times New Roman"/>
                <w:color w:val="000000"/>
                <w:sz w:val="18"/>
              </w:rPr>
              <w:t>0.634</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