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22"/>
          <w:szCs w:val="22"/>
        </w:rPr>
        <w:t xml:space="preserve">CAN-DO RESEARCH LAB | KNUST DEPARTMENT OF COMPUTER SCIENCE</w:t>
      </w:r>
    </w:p>
    <w:p>
      <w:pPr>
        <w:spacing w:after="60"/>
        <w:jc w:val="center"/>
      </w:pPr>
      <w:r>
        <w:rPr>
          <w:b/>
          <w:bCs/>
          <w:sz w:val="20"/>
          <w:szCs w:val="20"/>
        </w:rPr>
        <w:t xml:space="preserve">PHASE 1 · STEP 1.2 — TESTBED SUBMISSION</w:t>
      </w:r>
    </w:p>
    <w:p>
      <w:pPr>
        <w:spacing w:after="200"/>
        <w:jc w:val="center"/>
      </w:pPr>
      <w:r>
        <w:rPr>
          <w:b/>
          <w:bCs/>
          <w:sz w:val="20"/>
          <w:szCs w:val="20"/>
        </w:rPr>
        <w:t xml:space="preserve">ML RESULTS AND ANALYSIS SECTION — DRAFT 1 (CORRECTED)</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400"/>
      </w:tblGrid>
      <w:tr>
        <w:tc>
          <w:tcPr>
            <w:tcW w:type="dxa" w:w="2400"/>
            <w:tcBorders>
              <w:top w:val="single" w:color="000000" w:sz="6"/>
              <w:left w:val="single" w:color="000000" w:sz="6"/>
              <w:bottom w:val="single" w:color="000000" w:sz="6"/>
              <w:right w:val="single" w:color="000000" w:sz="6"/>
            </w:tcBorders>
          </w:tcPr>
          <w:p>
            <w:pPr>
              <w:jc w:val="center"/>
            </w:pPr>
            <w:r>
              <w:rPr>
                <w:b/>
                <w:bCs/>
                <w:sz w:val="18"/>
                <w:szCs w:val="18"/>
              </w:rPr>
              <w:t xml:space="preserve">Student name</w:t>
            </w:r>
          </w:p>
        </w:tc>
        <w:tc>
          <w:tcPr>
            <w:tcW w:type="dxa" w:w="24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Prince Ofori</w:t>
            </w:r>
          </w:p>
        </w:tc>
        <w:tc>
          <w:tcPr>
            <w:tcW w:type="dxa" w:w="2400"/>
            <w:tcBorders>
              <w:top w:val="single" w:color="000000" w:sz="6"/>
              <w:left w:val="single" w:color="000000" w:sz="6"/>
              <w:bottom w:val="single" w:color="000000" w:sz="6"/>
              <w:right w:val="single" w:color="000000" w:sz="6"/>
            </w:tcBorders>
          </w:tcPr>
          <w:p>
            <w:pPr>
              <w:jc w:val="center"/>
            </w:pPr>
            <w:r>
              <w:rPr>
                <w:b/>
                <w:bCs/>
                <w:sz w:val="18"/>
                <w:szCs w:val="18"/>
              </w:rPr>
              <w:t xml:space="preserve">Student ID</w:t>
            </w:r>
          </w:p>
        </w:tc>
        <w:tc>
          <w:tcPr>
            <w:tcW w:type="dxa" w:w="24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21990878</w:t>
            </w:r>
          </w:p>
        </w:tc>
      </w:tr>
      <w:tr>
        <w:tc>
          <w:tcPr>
            <w:tcW w:type="dxa" w:w="2400"/>
            <w:tcBorders>
              <w:top w:val="single" w:color="000000" w:sz="6"/>
              <w:left w:val="single" w:color="000000" w:sz="6"/>
              <w:bottom w:val="single" w:color="000000" w:sz="6"/>
              <w:right w:val="single" w:color="000000" w:sz="6"/>
            </w:tcBorders>
          </w:tcPr>
          <w:p>
            <w:pPr>
              <w:jc w:val="center"/>
            </w:pPr>
            <w:r>
              <w:rPr>
                <w:b/>
                <w:bCs/>
                <w:sz w:val="18"/>
                <w:szCs w:val="18"/>
              </w:rPr>
              <w:t xml:space="preserve">Supervisor</w:t>
            </w:r>
          </w:p>
        </w:tc>
        <w:tc>
          <w:tcPr>
            <w:tcW w:type="dxa" w:w="24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Dr. Eric Opoku Osei</w:t>
            </w:r>
          </w:p>
        </w:tc>
        <w:tc>
          <w:tcPr>
            <w:tcW w:type="dxa" w:w="2400"/>
            <w:tcBorders>
              <w:top w:val="single" w:color="000000" w:sz="6"/>
              <w:left w:val="single" w:color="000000" w:sz="6"/>
              <w:bottom w:val="single" w:color="000000" w:sz="6"/>
              <w:right w:val="single" w:color="000000" w:sz="6"/>
            </w:tcBorders>
          </w:tcPr>
          <w:p>
            <w:pPr>
              <w:jc w:val="center"/>
            </w:pPr>
            <w:r>
              <w:rPr>
                <w:b/>
                <w:bCs/>
                <w:sz w:val="18"/>
                <w:szCs w:val="18"/>
              </w:rPr>
              <w:t xml:space="preserve">Submission round</w:t>
            </w:r>
          </w:p>
        </w:tc>
        <w:tc>
          <w:tcPr>
            <w:tcW w:type="dxa" w:w="24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R02</w:t>
            </w:r>
          </w:p>
        </w:tc>
      </w:tr>
      <w:tr>
        <w:tc>
          <w:tcPr>
            <w:tcW w:type="dxa" w:w="2400"/>
            <w:tcBorders>
              <w:top w:val="single" w:color="000000" w:sz="6"/>
              <w:left w:val="single" w:color="000000" w:sz="6"/>
              <w:bottom w:val="single" w:color="000000" w:sz="6"/>
              <w:right w:val="single" w:color="000000" w:sz="6"/>
            </w:tcBorders>
          </w:tcPr>
          <w:p>
            <w:pPr>
              <w:jc w:val="center"/>
            </w:pPr>
            <w:r>
              <w:rPr>
                <w:b/>
                <w:bCs/>
                <w:sz w:val="18"/>
                <w:szCs w:val="18"/>
              </w:rPr>
              <w:t xml:space="preserve">Model status</w:t>
            </w:r>
          </w:p>
        </w:tc>
        <w:tc>
          <w:tcPr>
            <w:tcW w:type="dxa" w:w="24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ENGINEERED</w:t>
            </w:r>
          </w:p>
        </w:tc>
        <w:tc>
          <w:tcPr>
            <w:tcW w:type="dxa" w:w="2400"/>
            <w:tcBorders>
              <w:top w:val="single" w:color="000000" w:sz="6"/>
              <w:left w:val="single" w:color="000000" w:sz="6"/>
              <w:bottom w:val="single" w:color="000000" w:sz="6"/>
              <w:right w:val="single" w:color="000000" w:sz="6"/>
            </w:tcBorders>
          </w:tcPr>
          <w:p>
            <w:pPr>
              <w:jc w:val="center"/>
            </w:pPr>
            <w:r>
              <w:rPr>
                <w:b/>
                <w:bCs/>
                <w:sz w:val="18"/>
                <w:szCs w:val="18"/>
              </w:rPr>
              <w:t xml:space="preserve">F/M/R/S operation</w:t>
            </w:r>
          </w:p>
        </w:tc>
        <w:tc>
          <w:tcPr>
            <w:tcW w:type="dxa" w:w="24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M (Modify)</w:t>
            </w:r>
          </w:p>
        </w:tc>
      </w:tr>
      <w:tr>
        <w:tc>
          <w:tcPr>
            <w:tcW w:type="dxa" w:w="2400"/>
            <w:tcBorders>
              <w:top w:val="single" w:color="000000" w:sz="6"/>
              <w:left w:val="single" w:color="000000" w:sz="6"/>
              <w:bottom w:val="single" w:color="000000" w:sz="6"/>
              <w:right w:val="single" w:color="000000" w:sz="6"/>
            </w:tcBorders>
          </w:tcPr>
          <w:p>
            <w:pPr>
              <w:jc w:val="center"/>
            </w:pPr>
            <w:r>
              <w:rPr>
                <w:b/>
                <w:bCs/>
                <w:sz w:val="18"/>
                <w:szCs w:val="18"/>
              </w:rPr>
              <w:t xml:space="preserve">Dataset strategy</w:t>
            </w:r>
          </w:p>
        </w:tc>
        <w:tc>
          <w:tcPr>
            <w:tcW w:type="dxa" w:w="24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CROSS-DATASET (unidirectional)</w:t>
            </w:r>
          </w:p>
        </w:tc>
        <w:tc>
          <w:tcPr>
            <w:tcW w:type="dxa" w:w="2400"/>
            <w:tcBorders>
              <w:top w:val="single" w:color="000000" w:sz="6"/>
              <w:left w:val="single" w:color="000000" w:sz="6"/>
              <w:bottom w:val="single" w:color="000000" w:sz="6"/>
              <w:right w:val="single" w:color="000000" w:sz="6"/>
            </w:tcBorders>
          </w:tcPr>
          <w:p>
            <w:pPr>
              <w:jc w:val="center"/>
            </w:pPr>
            <w:r>
              <w:rPr>
                <w:b/>
                <w:bCs/>
                <w:sz w:val="18"/>
                <w:szCs w:val="18"/>
              </w:rPr>
              <w:t xml:space="preserve">Claim tier ceiling</w:t>
            </w:r>
          </w:p>
        </w:tc>
        <w:tc>
          <w:tcPr>
            <w:tcW w:type="dxa" w:w="24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Tier 1 bounded</w:t>
            </w:r>
          </w:p>
        </w:tc>
      </w:tr>
      <w:tr>
        <w:tc>
          <w:tcPr>
            <w:tcW w:type="dxa" w:w="2400"/>
            <w:tcBorders>
              <w:top w:val="single" w:color="000000" w:sz="6"/>
              <w:left w:val="single" w:color="000000" w:sz="6"/>
              <w:bottom w:val="single" w:color="000000" w:sz="6"/>
              <w:right w:val="single" w:color="000000" w:sz="6"/>
            </w:tcBorders>
          </w:tcPr>
          <w:p>
            <w:pPr>
              <w:jc w:val="center"/>
            </w:pPr>
            <w:r>
              <w:rPr>
                <w:b/>
                <w:bCs/>
                <w:sz w:val="18"/>
                <w:szCs w:val="18"/>
              </w:rPr>
              <w:t xml:space="preserve">Primary metric</w:t>
            </w:r>
          </w:p>
        </w:tc>
        <w:tc>
          <w:tcPr>
            <w:tcW w:type="dxa" w:w="24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Macro F1-score</w:t>
            </w:r>
          </w:p>
        </w:tc>
        <w:tc>
          <w:tcPr>
            <w:tcW w:type="dxa" w:w="2400"/>
            <w:tcBorders>
              <w:top w:val="single" w:color="000000" w:sz="6"/>
              <w:left w:val="single" w:color="000000" w:sz="6"/>
              <w:bottom w:val="single" w:color="000000" w:sz="6"/>
              <w:right w:val="single" w:color="000000" w:sz="6"/>
            </w:tcBorders>
          </w:tcPr>
          <w:p>
            <w:pPr>
              <w:jc w:val="center"/>
            </w:pPr>
            <w:r>
              <w:rPr>
                <w:b/>
                <w:bCs/>
                <w:sz w:val="18"/>
                <w:szCs w:val="18"/>
              </w:rPr>
              <w:t xml:space="preserve">Statistical test</w:t>
            </w:r>
          </w:p>
        </w:tc>
        <w:tc>
          <w:tcPr>
            <w:tcW w:type="dxa" w:w="24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Wilcoxon signed-rank</w:t>
            </w:r>
          </w:p>
        </w:tc>
      </w:tr>
      <w:tr>
        <w:tc>
          <w:tcPr>
            <w:tcW w:type="dxa" w:w="2400"/>
            <w:tcBorders>
              <w:top w:val="single" w:color="000000" w:sz="6"/>
              <w:left w:val="single" w:color="000000" w:sz="6"/>
              <w:bottom w:val="single" w:color="000000" w:sz="6"/>
              <w:right w:val="single" w:color="000000" w:sz="6"/>
            </w:tcBorders>
          </w:tcPr>
          <w:p>
            <w:pPr>
              <w:jc w:val="center"/>
            </w:pPr>
            <w:r>
              <w:rPr>
                <w:b/>
                <w:bCs/>
                <w:sz w:val="18"/>
                <w:szCs w:val="18"/>
              </w:rPr>
              <w:t xml:space="preserve">Runs x folds</w:t>
            </w:r>
          </w:p>
        </w:tc>
        <w:tc>
          <w:tcPr>
            <w:tcW w:type="dxa" w:w="24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5 runs x 10 folds = 50</w:t>
            </w:r>
          </w:p>
        </w:tc>
        <w:tc>
          <w:tcPr>
            <w:tcW w:type="dxa" w:w="2400"/>
            <w:tcBorders>
              <w:top w:val="single" w:color="000000" w:sz="6"/>
              <w:left w:val="single" w:color="000000" w:sz="6"/>
              <w:bottom w:val="single" w:color="000000" w:sz="6"/>
              <w:right w:val="single" w:color="000000" w:sz="6"/>
            </w:tcBorders>
          </w:tcPr>
          <w:p>
            <w:pPr>
              <w:jc w:val="center"/>
            </w:pPr>
            <w:r>
              <w:rPr>
                <w:b/>
                <w:bCs/>
                <w:sz w:val="18"/>
                <w:szCs w:val="18"/>
              </w:rPr>
              <w:t xml:space="preserve">Random seed(s)</w:t>
            </w:r>
          </w:p>
        </w:tc>
        <w:tc>
          <w:tcPr>
            <w:tcW w:type="dxa" w:w="24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42, 1042, 2042, 3042, 4042</w:t>
            </w:r>
          </w:p>
        </w:tc>
      </w:tr>
      <w:tr>
        <w:tc>
          <w:tcPr>
            <w:tcW w:type="dxa" w:w="2400"/>
            <w:tcBorders>
              <w:top w:val="single" w:color="000000" w:sz="6"/>
              <w:left w:val="single" w:color="000000" w:sz="6"/>
              <w:bottom w:val="single" w:color="000000" w:sz="6"/>
              <w:right w:val="single" w:color="000000" w:sz="6"/>
            </w:tcBorders>
          </w:tcPr>
          <w:p>
            <w:pPr>
              <w:jc w:val="center"/>
            </w:pPr>
            <w:r>
              <w:rPr>
                <w:b/>
                <w:bCs/>
                <w:sz w:val="18"/>
                <w:szCs w:val="18"/>
              </w:rPr>
              <w:t xml:space="preserve">Key corrections</w:t>
            </w:r>
          </w:p>
        </w:tc>
        <w:tc>
          <w:tcPr>
            <w:tcW w:type="dxa" w:w="48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Weight function corrected (Q20); all results re-run from locked pipeline; four-arm ablation; Tier 1 bounded; SVM/LR scaled; baseline independently tuned</w:t>
            </w:r>
          </w:p>
        </w:tc>
      </w:tr>
    </w:tbl>
    <w:p>
      <w:pPr>
        <w:spacing w:after="300"/>
      </w:pPr>
      <w:r>
        <w:t xml:space="preserve"/>
      </w:r>
    </w:p>
    <w:p>
      <w:pPr>
        <w:pStyle w:val="Heading1"/>
        <w:spacing w:after="160" w:before="280"/>
      </w:pPr>
      <w:r>
        <w:rPr>
          <w:b/>
          <w:bCs/>
        </w:rPr>
        <w:t xml:space="preserve">Results and Analysis</w:t>
      </w:r>
    </w:p>
    <w:p>
      <w:pPr>
        <w:pStyle w:val="Heading2"/>
        <w:spacing w:after="120" w:before="240"/>
      </w:pPr>
      <w:r>
        <w:rPr>
          <w:b/>
          <w:bCs/>
        </w:rPr>
        <w:t xml:space="preserve">R1. Evaluation Corpus and Partition Summary</w:t>
      </w:r>
    </w:p>
    <w:p>
      <w:pPr>
        <w:spacing w:after="160" w:line="276"/>
      </w:pPr>
      <w:r>
        <w:t xml:space="preserve">All evaluation partitions comprised 100% real data with no synthetic or resampled instances. Results for each dataset are reported separately and are never pooled into a single aggregate figure. All numbers in this section were exported from a single locked pipeline run using the corrected weight function (Equation 2, Methods M12).</w:t>
      </w:r>
    </w:p>
    <w:p>
      <w:pPr>
        <w:spacing w:after="160" w:line="276"/>
      </w:pPr>
      <w:r>
        <w:rPr>
          <w:b/>
          <w:bCs/>
        </w:rPr>
        <w:t xml:space="preserve">KNUST field dataset: </w:t>
      </w:r>
      <w:r>
        <w:t xml:space="preserve">4,121 responses; held-out test partition n = 825 (20% stratified split, seed = 42); training partition n = 3,296. Class distribution: 49.3% Low-readiness (n = 2,032), 50.7% High-readiness (n = 2,089). Cronbach reliability: Knowledge alpha = 0.701, Attitude alpha = 0.599 (below 0.70 threshold -- see M6 and M11 for implications on A_i and the weighting function), Behaviour alpha = 0.709.</w:t>
      </w:r>
    </w:p>
    <w:p>
      <w:pPr>
        <w:spacing w:after="160" w:line="276"/>
      </w:pPr>
      <w:r>
        <w:rPr>
          <w:b/>
          <w:bCs/>
        </w:rPr>
        <w:t xml:space="preserve">Alzubaidi public dataset: </w:t>
      </w:r>
      <w:r>
        <w:t xml:space="preserve">1,231 responses; held-out test partition n = 247 (20% stratified split, seed = 42); training partition n = 984. Raw dataset: 64 columns; modelled feature matrix X: d = 28 columns after Behaviour-equivalent block (B14) exclusion. Class distribution: 48.3% Low-readiness (n = 595), 51.7% High-readiness (n = 636). Cronbach reliability: Knowledge alpha = 0.826, Attitude alpha = 0.691, Behaviour alpha = 0.674.</w:t>
      </w:r>
    </w:p>
    <w:p>
      <w:pPr>
        <w:spacing w:after="160" w:line="276"/>
      </w:pPr>
      <w:r>
        <w:t xml:space="preserve">Performance figures aggregated across 5 runs x 10-fold stratified CV (50 paired fold-level observations per model per dataset), seeds 42, 1042, 2042, 3042, 4042. Held-out partitions accessed only for SHAP, ROC, confusion-matrix, and per-class analyses; not accessed during tuning or training.</w:t>
      </w:r>
    </w:p>
    <w:p>
      <w:pPr>
        <w:spacing w:after="160" w:line="276"/>
      </w:pPr>
      <w:r>
        <w:t xml:space="preserve">The evaluation protocol follows the CROSS-DATASET (unidirectional) design declared in Methods M10. All reported claims are constrained to the Tier 1 bounded ceiling. The global median threshold used for label construction is stated in Methods M6.</w:t>
      </w:r>
    </w:p>
    <w:p>
      <w:pPr>
        <w:pStyle w:val="Heading2"/>
        <w:spacing w:after="120" w:before="240"/>
      </w:pPr>
      <w:r>
        <w:rPr>
          <w:b/>
          <w:bCs/>
        </w:rPr>
        <w:t xml:space="preserve">R2. Baseline versus Proposed Model Performance</w:t>
      </w:r>
    </w:p>
    <w:p>
      <w:pPr>
        <w:spacing w:after="160" w:line="276"/>
      </w:pPr>
      <w:r>
        <w:t xml:space="preserve">Table 3 reports the main comparison results for all seven classifiers across both datasets. All models received identical data access and identical tuning budgets (independent GridSearchCV on the training partition, as declared in Methods M11 and M13). SVM and Logistic Regression were tuned and evaluated on scaled features; tree-based models on unscaled features.</w:t>
      </w:r>
    </w:p>
    <w:p>
      <w:pPr>
        <w:spacing w:after="160" w:line="276"/>
      </w:pPr>
      <w:r>
        <w:t xml:space="preserve">On the KNUST dataset, the proposed KAB-XGBoost-WCE achieved a mean Macro F1-score of 0.8855 (SD = 0.0160; 95% CI on paired WCE-baseline difference: [-0.0175, 0.0171]). The difference against baseline XGBoost (0.8837) was +0.0018 and was not statistically significant (Wilcoxon W = 474.0, p = .116). Decision Tree (0.9489) and Random Forest (0.9569) both significantly outperformed KAB-XGBoost-WCE on KNUST (both p &lt; .001). KAB-XGBoost-WCE significantly outperformed Naive Bayes (0.6727), Logistic Regression (0.6681), and SVM (0.8590) (all p &lt; .001).</w:t>
      </w:r>
    </w:p>
    <w:p>
      <w:pPr>
        <w:spacing w:after="160" w:line="276"/>
      </w:pPr>
      <w:r>
        <w:t>On the Alzubaidi public dataset, KAB-XGBoost-WCE achieved a mean Macro F1-score of 0.7024 (SD = 0.0344; 95% CI: [-0.0239, 0.0319]). The difference against baseline XGBoost (0.6993) was +0.0031 and was not statistically significant (Wilcoxon W = 487.5, p = .214). KAB-XGBoost-WCE significantly outperformed Decision Tree (0.6715), Naive Bayes (0.6582), SVM (0.6845), and Random Forest (0.6933) on Alzubaidi (all p &lt; .05). Logistic Regression (0.7052) marginally exceeds the proposed model (0.7024) on Alzubaidi -- this directly contradicts any claim that WCE achieved the highest score on this dataset. The difference is not statistically significant (p = ns), indicating the models perform comparably. This is also reported in R10. The variance advantage does not replicate consistently: the proposed model is tighter on KNUST (SD 0.0160 vs 0.0139) but more variable on Alzubaidi (SD 0.0344 vs 0.0369) -- this non-replication is acknowledged.</w:t>
      </w:r>
    </w:p>
    <w:p>
      <w:pPr>
        <w:spacing w:after="60" w:before="80"/>
      </w:pPr>
      <w:r>
        <w:rPr>
          <w:i/>
          <w:iCs/>
          <w:sz w:val="18"/>
          <w:szCs w:val="18"/>
        </w:rPr>
        <w:t xml:space="preserve">Table 3. Macro F1-score comparison: all seven classifiers, both datasets (mean and SD across 50 paired folds, 5x10-fold CV, identical protocol applied to all models). Delta = row score minus KAB-XGBoost-WCE. Negative delta = WCE outperforms. All results from single locked corrected pipeline run.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800"/>
        <w:gridCol w:w="1800"/>
        <w:gridCol w:w="1800"/>
      </w:tblGrid>
      <w:tr>
        <w:tc>
          <w:tcPr>
            <w:tcW w:type="dxa" w:w="2000"/>
            <w:tcBorders>
              <w:top w:val="single" w:color="000000" w:sz="6"/>
              <w:left w:val="single" w:color="000000" w:sz="6"/>
              <w:bottom w:val="single" w:color="000000" w:sz="6"/>
              <w:right w:val="single" w:color="000000" w:sz="6"/>
            </w:tcBorders>
          </w:tcPr>
          <w:p>
            <w:pPr>
              <w:jc w:val="center"/>
            </w:pPr>
            <w:r>
              <w:rPr>
                <w:b/>
                <w:bCs/>
                <w:sz w:val="18"/>
                <w:szCs w:val="18"/>
              </w:rPr>
              <w:t xml:space="preserve">Model</w:t>
            </w:r>
          </w:p>
        </w:tc>
        <w:tc>
          <w:tcPr>
            <w:tcW w:type="dxa" w:w="1600"/>
            <w:tcBorders>
              <w:top w:val="single" w:color="000000" w:sz="6"/>
              <w:left w:val="single" w:color="000000" w:sz="6"/>
              <w:bottom w:val="single" w:color="000000" w:sz="6"/>
              <w:right w:val="single" w:color="000000" w:sz="6"/>
            </w:tcBorders>
          </w:tcPr>
          <w:p>
            <w:pPr>
              <w:jc w:val="center"/>
            </w:pPr>
            <w:r>
              <w:rPr>
                <w:b/>
                <w:bCs/>
                <w:sz w:val="18"/>
                <w:szCs w:val="18"/>
              </w:rPr>
              <w:t xml:space="preserve">Dataset</w:t>
            </w:r>
          </w:p>
        </w:tc>
        <w:tc>
          <w:tcPr>
            <w:tcW w:type="dxa" w:w="1800"/>
            <w:tcBorders>
              <w:top w:val="single" w:color="000000" w:sz="6"/>
              <w:left w:val="single" w:color="000000" w:sz="6"/>
              <w:bottom w:val="single" w:color="000000" w:sz="6"/>
              <w:right w:val="single" w:color="000000" w:sz="6"/>
            </w:tcBorders>
          </w:tcPr>
          <w:p>
            <w:pPr>
              <w:jc w:val="center"/>
            </w:pPr>
            <w:r>
              <w:rPr>
                <w:b/>
                <w:bCs/>
                <w:sz w:val="18"/>
                <w:szCs w:val="18"/>
              </w:rPr>
              <w:t xml:space="preserve">Macro F1 (mean)</w:t>
            </w:r>
          </w:p>
        </w:tc>
        <w:tc>
          <w:tcPr>
            <w:tcW w:type="dxa" w:w="1800"/>
            <w:tcBorders>
              <w:top w:val="single" w:color="000000" w:sz="6"/>
              <w:left w:val="single" w:color="000000" w:sz="6"/>
              <w:bottom w:val="single" w:color="000000" w:sz="6"/>
              <w:right w:val="single" w:color="000000" w:sz="6"/>
            </w:tcBorders>
          </w:tcPr>
          <w:p>
            <w:pPr>
              <w:jc w:val="center"/>
            </w:pPr>
            <w:r>
              <w:rPr>
                <w:b/>
                <w:bCs/>
                <w:sz w:val="18"/>
                <w:szCs w:val="18"/>
              </w:rPr>
              <w:t xml:space="preserve">SD</w:t>
            </w:r>
          </w:p>
        </w:tc>
        <w:tc>
          <w:tcPr>
            <w:tcW w:type="dxa" w:w="1800"/>
            <w:tcBorders>
              <w:top w:val="single" w:color="000000" w:sz="6"/>
              <w:left w:val="single" w:color="000000" w:sz="6"/>
              <w:bottom w:val="single" w:color="000000" w:sz="6"/>
              <w:right w:val="single" w:color="000000" w:sz="6"/>
            </w:tcBorders>
          </w:tcPr>
          <w:p>
            <w:pPr>
              <w:jc w:val="center"/>
            </w:pPr>
            <w:r>
              <w:rPr>
                <w:b/>
                <w:bCs/>
                <w:sz w:val="18"/>
                <w:szCs w:val="18"/>
              </w:rPr>
              <w:t xml:space="preserve">Delta vs WCE</w:t>
            </w:r>
          </w:p>
        </w:tc>
      </w:tr>
      <w:tr>
        <w:tc>
          <w:tcPr>
            <w:tcW w:type="dxa" w:w="2000"/>
            <w:tcBorders>
              <w:top w:val="single" w:color="000000" w:sz="6"/>
              <w:left w:val="single" w:color="000000" w:sz="6"/>
              <w:bottom w:val="single" w:color="000000" w:sz="6"/>
              <w:right w:val="single" w:color="000000" w:sz="6"/>
            </w:tcBorders>
          </w:tcPr>
          <w:p>
            <w:pPr>
              <w:jc w:val="center"/>
            </w:pPr>
            <w:r>
              <w:rPr>
                <w:b/>
                <w:bCs/>
                <w:sz w:val="18"/>
                <w:szCs w:val="18"/>
              </w:rPr>
              <w:t xml:space="preserve">KAB-XGBoost-WCE</w:t>
            </w:r>
          </w:p>
        </w:tc>
        <w:tc>
          <w:tcPr>
            <w:tcW w:type="dxa" w:w="16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KNUST</w:t>
            </w:r>
          </w:p>
        </w:tc>
        <w:tc>
          <w:tcPr>
            <w:tcW w:type="dxa" w:w="1800"/>
            <w:tcBorders>
              <w:top w:val="single" w:color="000000" w:sz="6"/>
              <w:left w:val="single" w:color="000000" w:sz="6"/>
              <w:bottom w:val="single" w:color="000000" w:sz="6"/>
              <w:right w:val="single" w:color="000000" w:sz="6"/>
            </w:tcBorders>
          </w:tcPr>
          <w:p>
            <w:pPr>
              <w:jc w:val="center"/>
            </w:pPr>
            <w:r>
              <w:rPr>
                <w:b/>
                <w:bCs/>
                <w:sz w:val="18"/>
                <w:szCs w:val="18"/>
              </w:rPr>
              <w:t xml:space="preserve">0.8855</w:t>
            </w:r>
          </w:p>
        </w:tc>
        <w:tc>
          <w:tcPr>
            <w:tcW w:type="dxa" w:w="18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0.0160</w:t>
            </w:r>
          </w:p>
        </w:tc>
        <w:tc>
          <w:tcPr>
            <w:tcW w:type="dxa" w:w="18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w:t>
            </w:r>
          </w:p>
        </w:tc>
      </w:tr>
      <w:tr>
        <w:tc>
          <w:tcPr>
            <w:tcW w:type="dxa" w:w="20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Baseline XGBoost</w:t>
            </w:r>
          </w:p>
        </w:tc>
        <w:tc>
          <w:tcPr>
            <w:tcW w:type="dxa" w:w="16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KNUST</w:t>
            </w:r>
          </w:p>
        </w:tc>
        <w:tc>
          <w:tcPr>
            <w:tcW w:type="dxa" w:w="18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0.8837</w:t>
            </w:r>
          </w:p>
        </w:tc>
        <w:tc>
          <w:tcPr>
            <w:tcW w:type="dxa" w:w="18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0.0139</w:t>
            </w:r>
          </w:p>
        </w:tc>
        <w:tc>
          <w:tcPr>
            <w:tcW w:type="dxa" w:w="18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-0.0018 ns</w:t>
            </w:r>
          </w:p>
        </w:tc>
      </w:tr>
      <w:tr>
        <w:tc>
          <w:tcPr>
            <w:tcW w:type="dxa" w:w="20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Decision Tree</w:t>
            </w:r>
          </w:p>
        </w:tc>
        <w:tc>
          <w:tcPr>
            <w:tcW w:type="dxa" w:w="16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KNUST</w:t>
            </w:r>
          </w:p>
        </w:tc>
        <w:tc>
          <w:tcPr>
            <w:tcW w:type="dxa" w:w="18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0.9489</w:t>
            </w:r>
          </w:p>
        </w:tc>
        <w:tc>
          <w:tcPr>
            <w:tcW w:type="dxa" w:w="18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0.0147</w:t>
            </w:r>
          </w:p>
        </w:tc>
        <w:tc>
          <w:tcPr>
            <w:tcW w:type="dxa" w:w="18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+0.0634 *</w:t>
            </w:r>
          </w:p>
        </w:tc>
      </w:tr>
      <w:tr>
        <w:tc>
          <w:tcPr>
            <w:tcW w:type="dxa" w:w="20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Naive Bayes</w:t>
            </w:r>
          </w:p>
        </w:tc>
        <w:tc>
          <w:tcPr>
            <w:tcW w:type="dxa" w:w="16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KNUST</w:t>
            </w:r>
          </w:p>
        </w:tc>
        <w:tc>
          <w:tcPr>
            <w:tcW w:type="dxa" w:w="18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0.6727</w:t>
            </w:r>
          </w:p>
        </w:tc>
        <w:tc>
          <w:tcPr>
            <w:tcW w:type="dxa" w:w="18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0.0212</w:t>
            </w:r>
          </w:p>
        </w:tc>
        <w:tc>
          <w:tcPr>
            <w:tcW w:type="dxa" w:w="18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-0.2128 *</w:t>
            </w:r>
          </w:p>
        </w:tc>
      </w:tr>
      <w:tr>
        <w:tc>
          <w:tcPr>
            <w:tcW w:type="dxa" w:w="20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Logistic Regression</w:t>
            </w:r>
          </w:p>
        </w:tc>
        <w:tc>
          <w:tcPr>
            <w:tcW w:type="dxa" w:w="16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KNUST</w:t>
            </w:r>
          </w:p>
        </w:tc>
        <w:tc>
          <w:tcPr>
            <w:tcW w:type="dxa" w:w="18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0.6681</w:t>
            </w:r>
          </w:p>
        </w:tc>
        <w:tc>
          <w:tcPr>
            <w:tcW w:type="dxa" w:w="18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0.0220</w:t>
            </w:r>
          </w:p>
        </w:tc>
        <w:tc>
          <w:tcPr>
            <w:tcW w:type="dxa" w:w="18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-0.2174 *</w:t>
            </w:r>
          </w:p>
        </w:tc>
      </w:tr>
      <w:tr>
        <w:tc>
          <w:tcPr>
            <w:tcW w:type="dxa" w:w="20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SVM (scaled)</w:t>
            </w:r>
          </w:p>
        </w:tc>
        <w:tc>
          <w:tcPr>
            <w:tcW w:type="dxa" w:w="16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KNUST</w:t>
            </w:r>
          </w:p>
        </w:tc>
        <w:tc>
          <w:tcPr>
            <w:tcW w:type="dxa" w:w="18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0.8590</w:t>
            </w:r>
          </w:p>
        </w:tc>
        <w:tc>
          <w:tcPr>
            <w:tcW w:type="dxa" w:w="18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0.0174</w:t>
            </w:r>
          </w:p>
        </w:tc>
        <w:tc>
          <w:tcPr>
            <w:tcW w:type="dxa" w:w="18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-0.0265 *</w:t>
            </w:r>
          </w:p>
        </w:tc>
      </w:tr>
      <w:tr>
        <w:tc>
          <w:tcPr>
            <w:tcW w:type="dxa" w:w="20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Random Forest</w:t>
            </w:r>
          </w:p>
        </w:tc>
        <w:tc>
          <w:tcPr>
            <w:tcW w:type="dxa" w:w="16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KNUST</w:t>
            </w:r>
          </w:p>
        </w:tc>
        <w:tc>
          <w:tcPr>
            <w:tcW w:type="dxa" w:w="18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0.9569</w:t>
            </w:r>
          </w:p>
        </w:tc>
        <w:tc>
          <w:tcPr>
            <w:tcW w:type="dxa" w:w="18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0.0115</w:t>
            </w:r>
          </w:p>
        </w:tc>
        <w:tc>
          <w:tcPr>
            <w:tcW w:type="dxa" w:w="18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+0.0714 *</w:t>
            </w:r>
          </w:p>
        </w:tc>
      </w:tr>
      <w:tr>
        <w:tc>
          <w:tcPr>
            <w:tcW w:type="dxa" w:w="2000"/>
            <w:tcBorders>
              <w:top w:val="single" w:color="000000" w:sz="6"/>
              <w:left w:val="single" w:color="000000" w:sz="6"/>
              <w:bottom w:val="single" w:color="000000" w:sz="6"/>
              <w:right w:val="single" w:color="000000" w:sz="6"/>
            </w:tcBorders>
          </w:tcPr>
          <w:p>
            <w:pPr>
              <w:jc w:val="center"/>
            </w:pPr>
            <w:r>
              <w:rPr>
                <w:b/>
                <w:bCs/>
                <w:sz w:val="18"/>
                <w:szCs w:val="18"/>
              </w:rPr>
              <w:t xml:space="preserve">KAB-XGBoost-WCE</w:t>
            </w:r>
          </w:p>
        </w:tc>
        <w:tc>
          <w:tcPr>
            <w:tcW w:type="dxa" w:w="16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Alzubaidi</w:t>
            </w:r>
          </w:p>
        </w:tc>
        <w:tc>
          <w:tcPr>
            <w:tcW w:type="dxa" w:w="1800"/>
            <w:tcBorders>
              <w:top w:val="single" w:color="000000" w:sz="6"/>
              <w:left w:val="single" w:color="000000" w:sz="6"/>
              <w:bottom w:val="single" w:color="000000" w:sz="6"/>
              <w:right w:val="single" w:color="000000" w:sz="6"/>
            </w:tcBorders>
          </w:tcPr>
          <w:p>
            <w:pPr>
              <w:jc w:val="center"/>
            </w:pPr>
            <w:r>
              <w:rPr>
                <w:b/>
                <w:bCs/>
                <w:sz w:val="18"/>
                <w:szCs w:val="18"/>
              </w:rPr>
              <w:t xml:space="preserve">0.7024</w:t>
            </w:r>
          </w:p>
        </w:tc>
        <w:tc>
          <w:tcPr>
            <w:tcW w:type="dxa" w:w="18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0.0344</w:t>
            </w:r>
          </w:p>
        </w:tc>
        <w:tc>
          <w:tcPr>
            <w:tcW w:type="dxa" w:w="18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w:t>
            </w:r>
          </w:p>
        </w:tc>
      </w:tr>
      <w:tr>
        <w:tc>
          <w:tcPr>
            <w:tcW w:type="dxa" w:w="20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Baseline XGBoost</w:t>
            </w:r>
          </w:p>
        </w:tc>
        <w:tc>
          <w:tcPr>
            <w:tcW w:type="dxa" w:w="16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Alzubaidi</w:t>
            </w:r>
          </w:p>
        </w:tc>
        <w:tc>
          <w:tcPr>
            <w:tcW w:type="dxa" w:w="18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0.6993</w:t>
            </w:r>
          </w:p>
        </w:tc>
        <w:tc>
          <w:tcPr>
            <w:tcW w:type="dxa" w:w="18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0.0369</w:t>
            </w:r>
          </w:p>
        </w:tc>
        <w:tc>
          <w:tcPr>
            <w:tcW w:type="dxa" w:w="18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-0.0031 ns</w:t>
            </w:r>
          </w:p>
        </w:tc>
      </w:tr>
      <w:tr>
        <w:tc>
          <w:tcPr>
            <w:tcW w:type="dxa" w:w="20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Decision Tree</w:t>
            </w:r>
          </w:p>
        </w:tc>
        <w:tc>
          <w:tcPr>
            <w:tcW w:type="dxa" w:w="16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Alzubaidi</w:t>
            </w:r>
          </w:p>
        </w:tc>
        <w:tc>
          <w:tcPr>
            <w:tcW w:type="dxa" w:w="18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0.6715</w:t>
            </w:r>
          </w:p>
        </w:tc>
        <w:tc>
          <w:tcPr>
            <w:tcW w:type="dxa" w:w="18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0.0381</w:t>
            </w:r>
          </w:p>
        </w:tc>
        <w:tc>
          <w:tcPr>
            <w:tcW w:type="dxa" w:w="18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-0.0310 *</w:t>
            </w:r>
          </w:p>
        </w:tc>
      </w:tr>
      <w:tr>
        <w:tc>
          <w:tcPr>
            <w:tcW w:type="dxa" w:w="20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Naive Bayes</w:t>
            </w:r>
          </w:p>
        </w:tc>
        <w:tc>
          <w:tcPr>
            <w:tcW w:type="dxa" w:w="16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Alzubaidi</w:t>
            </w:r>
          </w:p>
        </w:tc>
        <w:tc>
          <w:tcPr>
            <w:tcW w:type="dxa" w:w="18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0.6582</w:t>
            </w:r>
          </w:p>
        </w:tc>
        <w:tc>
          <w:tcPr>
            <w:tcW w:type="dxa" w:w="18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0.0480</w:t>
            </w:r>
          </w:p>
        </w:tc>
        <w:tc>
          <w:tcPr>
            <w:tcW w:type="dxa" w:w="18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-0.0442 *</w:t>
            </w:r>
          </w:p>
        </w:tc>
      </w:tr>
      <w:tr>
        <w:tc>
          <w:tcPr>
            <w:tcW w:type="dxa" w:w="20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Logistic Regression</w:t>
            </w:r>
          </w:p>
        </w:tc>
        <w:tc>
          <w:tcPr>
            <w:tcW w:type="dxa" w:w="16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Alzubaidi</w:t>
            </w:r>
          </w:p>
        </w:tc>
        <w:tc>
          <w:tcPr>
            <w:tcW w:type="dxa" w:w="18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0.7052</w:t>
            </w:r>
          </w:p>
        </w:tc>
        <w:tc>
          <w:tcPr>
            <w:tcW w:type="dxa" w:w="18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0.0373</w:t>
            </w:r>
          </w:p>
        </w:tc>
        <w:tc>
          <w:tcPr>
            <w:tcW w:type="dxa" w:w="18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+0.0027 ns</w:t>
            </w:r>
          </w:p>
        </w:tc>
      </w:tr>
      <w:tr>
        <w:tc>
          <w:tcPr>
            <w:tcW w:type="dxa" w:w="20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SVM (scaled)</w:t>
            </w:r>
          </w:p>
        </w:tc>
        <w:tc>
          <w:tcPr>
            <w:tcW w:type="dxa" w:w="16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Alzubaidi</w:t>
            </w:r>
          </w:p>
        </w:tc>
        <w:tc>
          <w:tcPr>
            <w:tcW w:type="dxa" w:w="18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0.6845</w:t>
            </w:r>
          </w:p>
        </w:tc>
        <w:tc>
          <w:tcPr>
            <w:tcW w:type="dxa" w:w="18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0.0417</w:t>
            </w:r>
          </w:p>
        </w:tc>
        <w:tc>
          <w:tcPr>
            <w:tcW w:type="dxa" w:w="18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-0.0180 *</w:t>
            </w:r>
          </w:p>
        </w:tc>
      </w:tr>
      <w:tr>
        <w:tc>
          <w:tcPr>
            <w:tcW w:type="dxa" w:w="20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Random Forest</w:t>
            </w:r>
          </w:p>
        </w:tc>
        <w:tc>
          <w:tcPr>
            <w:tcW w:type="dxa" w:w="16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Alzubaidi</w:t>
            </w:r>
          </w:p>
        </w:tc>
        <w:tc>
          <w:tcPr>
            <w:tcW w:type="dxa" w:w="18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0.6933</w:t>
            </w:r>
          </w:p>
        </w:tc>
        <w:tc>
          <w:tcPr>
            <w:tcW w:type="dxa" w:w="18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0.0449</w:t>
            </w:r>
          </w:p>
        </w:tc>
        <w:tc>
          <w:tcPr>
            <w:tcW w:type="dxa" w:w="18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-0.0091 *</w:t>
            </w:r>
          </w:p>
        </w:tc>
      </w:tr>
    </w:tbl>
    <w:p>
      <w:pPr>
        <w:spacing w:after="180" w:before="40"/>
      </w:pPr>
      <w:r>
        <w:rPr>
          <w:i/>
          <w:iCs/>
          <w:sz w:val="16"/>
          <w:szCs w:val="16"/>
        </w:rPr>
        <w:t xml:space="preserve">* Wilcoxon signed-rank, p &lt; .05, 50 paired folds. ns = not significant. SVM and Logistic Regression tuned and evaluated on StandardScaler-scaled features. All other models on unscaled features. Proposed model rows in bold.</w:t>
      </w:r>
    </w:p>
    <w:p>
      <w:pPr>
        <w:spacing w:after="60" w:before="120"/>
      </w:pPr>
      <w:r>
        <w:rPr>
          <w:sz w:val="22"/>
          <w:szCs w:val="22"/>
        </w:rPr>
        <w:t xml:space="preserve">Figure 4 (ROC curves) and Figure 5 (stability boxplots) are inserted below.</w:t>
      </w:r>
    </w:p>
    <w:p>
      <w:pPr>
        <w:spacing w:after="4"/>
        <w:jc w:val="center"/>
      </w:pPr>
      <w:r>
        <w:rPr>
          <w:sz w:val="18"/>
          <w:szCs w:val="18"/>
        </w:rPr>
      </w:r>
      <w:r/>
      <w:r>
        <w:drawing>
          <wp:inline xmlns:a="http://schemas.openxmlformats.org/drawingml/2006/main" xmlns:pic="http://schemas.openxmlformats.org/drawingml/2006/picture">
            <wp:extent cx="5303520" cy="2331087"/>
            <wp:docPr id="1" name="Picture 1"/>
            <wp:cNvGraphicFramePr>
              <a:graphicFrameLocks noChangeAspect="1"/>
            </wp:cNvGraphicFramePr>
            <a:graphic>
              <a:graphicData uri="http://schemas.openxmlformats.org/drawingml/2006/picture">
                <pic:pic>
                  <pic:nvPicPr>
                    <pic:cNvPr id="0" name="r04_4.png"/>
                    <pic:cNvPicPr/>
                  </pic:nvPicPr>
                  <pic:blipFill>
                    <a:blip r:embed="rId15"/>
                    <a:stretch>
                      <a:fillRect/>
                    </a:stretch>
                  </pic:blipFill>
                  <pic:spPr>
                    <a:xfrm>
                      <a:off x="0" y="0"/>
                      <a:ext cx="5303520" cy="2331087"/>
                    </a:xfrm>
                    <a:prstGeom prst="rect"/>
                  </pic:spPr>
                </pic:pic>
              </a:graphicData>
            </a:graphic>
          </wp:inline>
        </w:drawing>
      </w:r>
    </w:p>
    <w:p>
      <w:pPr>
        <w:spacing w:after="180"/>
        <w:jc w:val="center"/>
      </w:pPr>
      <w:r>
        <w:rPr>
          <w:i/>
          <w:iCs/>
          <w:sz w:val="18"/>
          <w:szCs w:val="18"/>
        </w:rPr>
        <w:t xml:space="preserve">Figure 4. ROC curves: baseline XGBoost (dashed) vs KAB-XGBoost-WCE (solid), both datasets.</w:t>
      </w:r>
    </w:p>
    <w:p>
      <w:pPr>
        <w:pStyle w:val="Heading2"/>
        <w:spacing w:after="120" w:before="240"/>
      </w:pPr>
      <w:r>
        <w:rPr>
          <w:b/>
          <w:bCs/>
        </w:rPr>
        <w:t xml:space="preserve">R3. Stability and Variance Across Runs and Folds</w:t>
      </w:r>
    </w:p>
    <w:p>
      <w:pPr>
        <w:spacing w:after="160" w:line="276"/>
      </w:pPr>
      <w:r>
        <w:t xml:space="preserve">Figure 5 plots the distribution of Macro F1-scores across all 50 fold-level observations. On KNUST, KAB-XGBoost-WCE recorded SD = 0.0160 versus baseline SD = 0.0139 (proposed model slightly more variable). On Alzubaidi, KAB-XGBoost-WCE recorded SD = 0.0344 versus baseline SD = 0.0369 (proposed model slightly less variable). The variance advantage does not replicate consistently across datasets -- reported as a non-confirmatory finding.</w:t>
      </w:r>
    </w:p>
    <w:p>
      <w:pPr>
        <w:spacing w:after="4"/>
        <w:jc w:val="center"/>
      </w:pPr>
      <w:r>
        <w:rPr>
          <w:sz w:val="18"/>
          <w:szCs w:val="18"/>
        </w:rPr>
      </w:r>
      <w:r/>
      <w:r>
        <w:drawing>
          <wp:inline xmlns:a="http://schemas.openxmlformats.org/drawingml/2006/main" xmlns:pic="http://schemas.openxmlformats.org/drawingml/2006/picture">
            <wp:extent cx="5303520" cy="2923481"/>
            <wp:docPr id="1" name="Picture 1"/>
            <wp:cNvGraphicFramePr>
              <a:graphicFrameLocks noChangeAspect="1"/>
            </wp:cNvGraphicFramePr>
            <a:graphic>
              <a:graphicData uri="http://schemas.openxmlformats.org/drawingml/2006/picture">
                <pic:pic>
                  <pic:nvPicPr>
                    <pic:cNvPr id="0" name="r04_5.png"/>
                    <pic:cNvPicPr/>
                  </pic:nvPicPr>
                  <pic:blipFill>
                    <a:blip r:embed="rId14"/>
                    <a:stretch>
                      <a:fillRect/>
                    </a:stretch>
                  </pic:blipFill>
                  <pic:spPr>
                    <a:xfrm>
                      <a:off x="0" y="0"/>
                      <a:ext cx="5303520" cy="2923481"/>
                    </a:xfrm>
                    <a:prstGeom prst="rect"/>
                  </pic:spPr>
                </pic:pic>
              </a:graphicData>
            </a:graphic>
          </wp:inline>
        </w:drawing>
      </w:r>
    </w:p>
    <w:p>
      <w:pPr>
        <w:spacing w:after="180"/>
        <w:jc w:val="center"/>
      </w:pPr>
      <w:r>
        <w:rPr>
          <w:i/>
          <w:iCs/>
          <w:sz w:val="18"/>
          <w:szCs w:val="18"/>
        </w:rPr>
        <w:t xml:space="preserve">Figure 5. Distribution of Macro F1-scores across 50 independent folds (5 runs x 10-fold CV).</w:t>
      </w:r>
    </w:p>
    <w:p>
      <w:pPr>
        <w:pStyle w:val="Heading2"/>
        <w:spacing w:after="120" w:before="240"/>
      </w:pPr>
      <w:r>
        <w:rPr>
          <w:b/>
          <w:bCs/>
        </w:rPr>
        <w:t xml:space="preserve">R4. Statistical Comparison</w:t>
      </w:r>
    </w:p>
    <w:p>
      <w:pPr>
        <w:spacing w:after="160" w:line="276"/>
      </w:pPr>
      <w:r>
        <w:rPr>
          <w:b/>
          <w:bCs/>
        </w:rPr>
        <w:t xml:space="preserve">KNUST: </w:t>
      </w:r>
      <w:r>
        <w:t xml:space="preserve">Wilcoxon W = 474.0, exact p = .116 (two-tailed, method: scipy.stats.wilcoxon, continuity correction applied, n = 50). Cohen's d = 0.185 (small effect by Cohen's 1988 convention). 95% CI on paired WCE-baseline difference: [-0.0175, 0.0171] (2.5th and 97.5th percentiles of 50 paired differences). The CI spans zero, confirming the null result. The gain of +0.0018 Macro F1 on 825 test instances corresponds to approximately 1.5 students reclassified correctly.</w:t>
      </w:r>
    </w:p>
    <w:p>
      <w:pPr>
        <w:spacing w:after="160" w:line="276"/>
      </w:pPr>
      <w:r>
        <w:rPr>
          <w:b/>
          <w:bCs/>
        </w:rPr>
        <w:t xml:space="preserve">Alzubaidi: </w:t>
      </w:r>
      <w:r>
        <w:t xml:space="preserve">Wilcoxon W = 487.5, exact p = .214 (two-tailed). Cohen's d = 0.189 (small effect). 95% CI: [-0.0239, 0.0319] (spans zero). The primary comparison between WCE and baseline XGBoost was not statistically significant on either dataset after the weight function was corrected and baselines were independently tuned.</w:t>
      </w:r>
    </w:p>
    <w:p>
      <w:pPr>
        <w:spacing w:after="160" w:line="276"/>
      </w:pPr>
      <w:r>
        <w:t xml:space="preserve">The Wilcoxon test convention used here reports the larger of W+ and W- (positive rank sum). For KNUST, W+ = 474.0 implies a negative rank sum of 801.0, consistent with the n = 50 total rank sum of 1275. For Alzubaidi, W+ = 487.5, negative rank sum = 787.5.</w:t>
      </w:r>
    </w:p>
    <w:p>
      <w:pPr>
        <w:pStyle w:val="Heading2"/>
        <w:spacing w:after="120" w:before="240"/>
      </w:pPr>
      <w:r>
        <w:rPr>
          <w:b/>
          <w:bCs/>
        </w:rPr>
        <w:t xml:space="preserve">R5. Contribution Isolation -- Four-Arm Ablation</w:t>
      </w:r>
    </w:p>
    <w:p>
      <w:pPr>
        <w:spacing w:after="160" w:line="276"/>
      </w:pPr>
      <w:r>
        <w:t xml:space="preserve">Table 4 reports results for all four ablation arms per dataset. Exactly one component changes between adjacent arms: depth is added from A to B, the corrected asymmetry weight is added independently from A to C, and both are combined in D. This permits clean attribution.</w:t>
      </w:r>
    </w:p>
    <w:p>
      <w:pPr>
        <w:spacing w:after="60" w:before="80"/>
      </w:pPr>
      <w:r>
        <w:rPr>
          <w:i/>
          <w:iCs/>
          <w:sz w:val="18"/>
          <w:szCs w:val="18"/>
        </w:rPr>
        <w:t xml:space="preserve">Table 4. Four-arm ablation: vanilla XGBoost → depth-only → weight-only → full KAB-XGBoost-WCE, both datasets (50 paired folds). Proposed model arm shown in bold.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1600"/>
        <w:gridCol w:w="1600"/>
        <w:gridCol w:w="1600"/>
      </w:tblGrid>
      <w:tr>
        <w:tc>
          <w:tcPr>
            <w:tcW w:type="dxa" w:w="1800"/>
            <w:tcBorders>
              <w:top w:val="single" w:color="000000" w:sz="6"/>
              <w:left w:val="single" w:color="000000" w:sz="6"/>
              <w:bottom w:val="single" w:color="000000" w:sz="6"/>
              <w:right w:val="single" w:color="000000" w:sz="6"/>
            </w:tcBorders>
          </w:tcPr>
          <w:p>
            <w:pPr>
              <w:jc w:val="center"/>
            </w:pPr>
            <w:r>
              <w:rPr>
                <w:b/>
                <w:bCs/>
                <w:sz w:val="18"/>
                <w:szCs w:val="18"/>
              </w:rPr>
              <w:t xml:space="preserve">Dataset</w:t>
            </w:r>
          </w:p>
        </w:tc>
        <w:tc>
          <w:tcPr>
            <w:tcW w:type="dxa" w:w="2600"/>
            <w:tcBorders>
              <w:top w:val="single" w:color="000000" w:sz="6"/>
              <w:left w:val="single" w:color="000000" w:sz="6"/>
              <w:bottom w:val="single" w:color="000000" w:sz="6"/>
              <w:right w:val="single" w:color="000000" w:sz="6"/>
            </w:tcBorders>
          </w:tcPr>
          <w:p>
            <w:pPr>
              <w:jc w:val="center"/>
            </w:pPr>
            <w:r>
              <w:rPr>
                <w:b/>
                <w:bCs/>
                <w:sz w:val="18"/>
                <w:szCs w:val="18"/>
              </w:rPr>
              <w:t xml:space="preserve">Arm (what changes from previous)</w:t>
            </w:r>
          </w:p>
        </w:tc>
        <w:tc>
          <w:tcPr>
            <w:tcW w:type="dxa" w:w="1600"/>
            <w:tcBorders>
              <w:top w:val="single" w:color="000000" w:sz="6"/>
              <w:left w:val="single" w:color="000000" w:sz="6"/>
              <w:bottom w:val="single" w:color="000000" w:sz="6"/>
              <w:right w:val="single" w:color="000000" w:sz="6"/>
            </w:tcBorders>
          </w:tcPr>
          <w:p>
            <w:pPr>
              <w:jc w:val="center"/>
            </w:pPr>
            <w:r>
              <w:rPr>
                <w:b/>
                <w:bCs/>
                <w:sz w:val="18"/>
                <w:szCs w:val="18"/>
              </w:rPr>
              <w:t xml:space="preserve">Macro F1</w:t>
            </w:r>
          </w:p>
        </w:tc>
        <w:tc>
          <w:tcPr>
            <w:tcW w:type="dxa" w:w="1600"/>
            <w:tcBorders>
              <w:top w:val="single" w:color="000000" w:sz="6"/>
              <w:left w:val="single" w:color="000000" w:sz="6"/>
              <w:bottom w:val="single" w:color="000000" w:sz="6"/>
              <w:right w:val="single" w:color="000000" w:sz="6"/>
            </w:tcBorders>
          </w:tcPr>
          <w:p>
            <w:pPr>
              <w:jc w:val="center"/>
            </w:pPr>
            <w:r>
              <w:rPr>
                <w:b/>
                <w:bCs/>
                <w:sz w:val="18"/>
                <w:szCs w:val="18"/>
              </w:rPr>
              <w:t xml:space="preserve">SD</w:t>
            </w:r>
          </w:p>
        </w:tc>
        <w:tc>
          <w:tcPr>
            <w:tcW w:type="dxa" w:w="1600"/>
            <w:tcBorders>
              <w:top w:val="single" w:color="000000" w:sz="6"/>
              <w:left w:val="single" w:color="000000" w:sz="6"/>
              <w:bottom w:val="single" w:color="000000" w:sz="6"/>
              <w:right w:val="single" w:color="000000" w:sz="6"/>
            </w:tcBorders>
          </w:tcPr>
          <w:p>
            <w:pPr>
              <w:jc w:val="center"/>
            </w:pPr>
            <w:r>
              <w:rPr>
                <w:b/>
                <w:bCs/>
                <w:sz w:val="18"/>
                <w:szCs w:val="18"/>
              </w:rPr>
              <w:t xml:space="preserve">Delta vs Arm A</w:t>
            </w:r>
          </w:p>
        </w:tc>
      </w:tr>
      <w:tr>
        <w:tc>
          <w:tcPr>
            <w:tcW w:type="dxa" w:w="18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KNUST</w:t>
            </w:r>
          </w:p>
        </w:tc>
        <w:tc>
          <w:tcPr>
            <w:tcW w:type="dxa" w:w="26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A: Vanilla XGBoost (depth=5, no weights)</w:t>
            </w:r>
          </w:p>
        </w:tc>
        <w:tc>
          <w:tcPr>
            <w:tcW w:type="dxa" w:w="16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0.7813</w:t>
            </w:r>
          </w:p>
        </w:tc>
        <w:tc>
          <w:tcPr>
            <w:tcW w:type="dxa" w:w="16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0.0184</w:t>
            </w:r>
          </w:p>
        </w:tc>
        <w:tc>
          <w:tcPr>
            <w:tcW w:type="dxa" w:w="16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w:t>
            </w:r>
          </w:p>
        </w:tc>
      </w:tr>
      <w:tr>
        <w:tc>
          <w:tcPr>
            <w:tcW w:type="dxa" w:w="18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KNUST</w:t>
            </w:r>
          </w:p>
        </w:tc>
        <w:tc>
          <w:tcPr>
            <w:tcW w:type="dxa" w:w="26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B: Depth-only (depth=7, no weights)</w:t>
            </w:r>
          </w:p>
        </w:tc>
        <w:tc>
          <w:tcPr>
            <w:tcW w:type="dxa" w:w="16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0.8837</w:t>
            </w:r>
          </w:p>
        </w:tc>
        <w:tc>
          <w:tcPr>
            <w:tcW w:type="dxa" w:w="16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0.0139</w:t>
            </w:r>
          </w:p>
        </w:tc>
        <w:tc>
          <w:tcPr>
            <w:tcW w:type="dxa" w:w="16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+0.1024</w:t>
            </w:r>
          </w:p>
        </w:tc>
      </w:tr>
      <w:tr>
        <w:tc>
          <w:tcPr>
            <w:tcW w:type="dxa" w:w="18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KNUST</w:t>
            </w:r>
          </w:p>
        </w:tc>
        <w:tc>
          <w:tcPr>
            <w:tcW w:type="dxa" w:w="26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C: Weight-only (depth=5, lambda=1.5)</w:t>
            </w:r>
          </w:p>
        </w:tc>
        <w:tc>
          <w:tcPr>
            <w:tcW w:type="dxa" w:w="16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0.7816</w:t>
            </w:r>
          </w:p>
        </w:tc>
        <w:tc>
          <w:tcPr>
            <w:tcW w:type="dxa" w:w="16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0.0193</w:t>
            </w:r>
          </w:p>
        </w:tc>
        <w:tc>
          <w:tcPr>
            <w:tcW w:type="dxa" w:w="16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+0.0003</w:t>
            </w:r>
          </w:p>
        </w:tc>
      </w:tr>
      <w:tr>
        <w:tc>
          <w:tcPr>
            <w:tcW w:type="dxa" w:w="18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KNUST</w:t>
            </w:r>
          </w:p>
        </w:tc>
        <w:tc>
          <w:tcPr>
            <w:tcW w:type="dxa" w:w="26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D: Full WCE (depth=7, lambda=1.5)</w:t>
            </w:r>
          </w:p>
        </w:tc>
        <w:tc>
          <w:tcPr>
            <w:tcW w:type="dxa" w:w="1600"/>
            <w:tcBorders>
              <w:top w:val="single" w:color="000000" w:sz="6"/>
              <w:left w:val="single" w:color="000000" w:sz="6"/>
              <w:bottom w:val="single" w:color="000000" w:sz="6"/>
              <w:right w:val="single" w:color="000000" w:sz="6"/>
            </w:tcBorders>
          </w:tcPr>
          <w:p>
            <w:pPr>
              <w:jc w:val="center"/>
            </w:pPr>
            <w:r>
              <w:rPr>
                <w:b/>
                <w:bCs/>
                <w:sz w:val="18"/>
                <w:szCs w:val="18"/>
              </w:rPr>
              <w:t xml:space="preserve">0.8855</w:t>
            </w:r>
          </w:p>
        </w:tc>
        <w:tc>
          <w:tcPr>
            <w:tcW w:type="dxa" w:w="16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0.0160</w:t>
            </w:r>
          </w:p>
        </w:tc>
        <w:tc>
          <w:tcPr>
            <w:tcW w:type="dxa" w:w="16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+0.1042</w:t>
            </w:r>
          </w:p>
        </w:tc>
      </w:tr>
      <w:tr>
        <w:tc>
          <w:tcPr>
            <w:tcW w:type="dxa" w:w="18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Alzubaidi</w:t>
            </w:r>
          </w:p>
        </w:tc>
        <w:tc>
          <w:tcPr>
            <w:tcW w:type="dxa" w:w="26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A: Vanilla XGBoost (depth=5, no weights)</w:t>
            </w:r>
          </w:p>
        </w:tc>
        <w:tc>
          <w:tcPr>
            <w:tcW w:type="dxa" w:w="16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0.6769</w:t>
            </w:r>
          </w:p>
        </w:tc>
        <w:tc>
          <w:tcPr>
            <w:tcW w:type="dxa" w:w="16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0.0345</w:t>
            </w:r>
          </w:p>
        </w:tc>
        <w:tc>
          <w:tcPr>
            <w:tcW w:type="dxa" w:w="16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w:t>
            </w:r>
          </w:p>
        </w:tc>
      </w:tr>
      <w:tr>
        <w:tc>
          <w:tcPr>
            <w:tcW w:type="dxa" w:w="18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Alzubaidi</w:t>
            </w:r>
          </w:p>
        </w:tc>
        <w:tc>
          <w:tcPr>
            <w:tcW w:type="dxa" w:w="26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B: Depth-only (depth=2, no weights)</w:t>
            </w:r>
          </w:p>
        </w:tc>
        <w:tc>
          <w:tcPr>
            <w:tcW w:type="dxa" w:w="16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0.6993</w:t>
            </w:r>
          </w:p>
        </w:tc>
        <w:tc>
          <w:tcPr>
            <w:tcW w:type="dxa" w:w="16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0.0369</w:t>
            </w:r>
          </w:p>
        </w:tc>
        <w:tc>
          <w:tcPr>
            <w:tcW w:type="dxa" w:w="16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+0.0224</w:t>
            </w:r>
          </w:p>
        </w:tc>
      </w:tr>
      <w:tr>
        <w:tc>
          <w:tcPr>
            <w:tcW w:type="dxa" w:w="18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Alzubaidi</w:t>
            </w:r>
          </w:p>
        </w:tc>
        <w:tc>
          <w:tcPr>
            <w:tcW w:type="dxa" w:w="26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C: Weight-only (depth=5, lambda=1.5)</w:t>
            </w:r>
          </w:p>
        </w:tc>
        <w:tc>
          <w:tcPr>
            <w:tcW w:type="dxa" w:w="16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0.6867</w:t>
            </w:r>
          </w:p>
        </w:tc>
        <w:tc>
          <w:tcPr>
            <w:tcW w:type="dxa" w:w="16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0.0392</w:t>
            </w:r>
          </w:p>
        </w:tc>
        <w:tc>
          <w:tcPr>
            <w:tcW w:type="dxa" w:w="16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+0.0098</w:t>
            </w:r>
          </w:p>
        </w:tc>
      </w:tr>
      <w:tr>
        <w:tc>
          <w:tcPr>
            <w:tcW w:type="dxa" w:w="18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Alzubaidi</w:t>
            </w:r>
          </w:p>
        </w:tc>
        <w:tc>
          <w:tcPr>
            <w:tcW w:type="dxa" w:w="26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D: Full WCE (depth=2, lambda=1.5)</w:t>
            </w:r>
          </w:p>
        </w:tc>
        <w:tc>
          <w:tcPr>
            <w:tcW w:type="dxa" w:w="1600"/>
            <w:tcBorders>
              <w:top w:val="single" w:color="000000" w:sz="6"/>
              <w:left w:val="single" w:color="000000" w:sz="6"/>
              <w:bottom w:val="single" w:color="000000" w:sz="6"/>
              <w:right w:val="single" w:color="000000" w:sz="6"/>
            </w:tcBorders>
          </w:tcPr>
          <w:p>
            <w:pPr>
              <w:jc w:val="center"/>
            </w:pPr>
            <w:r>
              <w:rPr>
                <w:b/>
                <w:bCs/>
                <w:sz w:val="18"/>
                <w:szCs w:val="18"/>
              </w:rPr>
              <w:t xml:space="preserve">0.7024</w:t>
            </w:r>
          </w:p>
        </w:tc>
        <w:tc>
          <w:tcPr>
            <w:tcW w:type="dxa" w:w="16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0.0344</w:t>
            </w:r>
          </w:p>
        </w:tc>
        <w:tc>
          <w:tcPr>
            <w:tcW w:type="dxa" w:w="16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+0.0255</w:t>
            </w:r>
          </w:p>
        </w:tc>
      </w:tr>
    </w:tbl>
    <w:p>
      <w:pPr>
        <w:spacing w:after="180" w:before="40"/>
      </w:pPr>
      <w:r>
        <w:rPr>
          <w:i/>
          <w:iCs/>
          <w:sz w:val="16"/>
          <w:szCs w:val="16"/>
        </w:rPr>
        <w:t xml:space="preserve">KNUST: depth adjustment accounts for +0.1024 of total gain; corrected weight-only contributes +0.0003. On KNUST the depth tuning drives performance -- the weight mechanism contribution is minimal. Alzubaidi: depth contributes +0.0224, weight-only +0.0098, full WCE +0.0255. Both components contribute on Alzubaidi.</w:t>
      </w:r>
    </w:p>
    <w:p>
      <w:pPr>
        <w:pStyle w:val="Heading2"/>
        <w:spacing w:after="120" w:before="240"/>
      </w:pPr>
      <w:r>
        <w:rPr>
          <w:b/>
          <w:bCs/>
        </w:rPr>
        <w:t xml:space="preserve">R6. Feature Importance and Interpretability</w:t>
      </w:r>
    </w:p>
    <w:p>
      <w:pPr>
        <w:spacing w:after="160" w:line="276"/>
      </w:pPr>
      <w:r>
        <w:t xml:space="preserve">SHAP analysis on the held-out test partition for each dataset separately. On KNUST: Knowledge aggregate K_i ranked first (mean |SHAP| = 0.492), Attitude aggregate A_i ranked second (0.412), Internet years ranked third (0.145). On Alzubaidi: two Attitude items (blocks B18) ranked first and second (0.421, 0.405), Attitude aggregate A_i ranked third (0.192), Knowledge aggregate K_i ranked ninth (0.129). The KAB theory named both K and A as primary antecedents of security behaviour -- on KNUST both ranked first and second, consistent with the theory. On Alzubaidi, K ranked ninth, which by the criterion stated in Methods M17 indicates the weighting mechanism's Knowledge component is not doing the theoretical work on that dataset. This is reported as a non-confirmatory finding.</w:t>
      </w:r>
    </w:p>
    <w:p>
      <w:pPr>
        <w:spacing w:after="4"/>
        <w:jc w:val="center"/>
      </w:pPr>
      <w:r>
        <w:rPr>
          <w:sz w:val="18"/>
          <w:szCs w:val="18"/>
        </w:rPr>
      </w:r>
      <w:r/>
      <w:r>
        <w:drawing>
          <wp:inline xmlns:a="http://schemas.openxmlformats.org/drawingml/2006/main" xmlns:pic="http://schemas.openxmlformats.org/drawingml/2006/picture">
            <wp:extent cx="5486400" cy="2492981"/>
            <wp:docPr id="1" name="Picture 1"/>
            <wp:cNvGraphicFramePr>
              <a:graphicFrameLocks noChangeAspect="1"/>
            </wp:cNvGraphicFramePr>
            <a:graphic>
              <a:graphicData uri="http://schemas.openxmlformats.org/drawingml/2006/picture">
                <pic:pic>
                  <pic:nvPicPr>
                    <pic:cNvPr id="0" name="r04_6.png"/>
                    <pic:cNvPicPr/>
                  </pic:nvPicPr>
                  <pic:blipFill>
                    <a:blip r:embed="rId13"/>
                    <a:stretch>
                      <a:fillRect/>
                    </a:stretch>
                  </pic:blipFill>
                  <pic:spPr>
                    <a:xfrm>
                      <a:off x="0" y="0"/>
                      <a:ext cx="5486400" cy="2492981"/>
                    </a:xfrm>
                    <a:prstGeom prst="rect"/>
                  </pic:spPr>
                </pic:pic>
              </a:graphicData>
            </a:graphic>
          </wp:inline>
        </w:drawing>
      </w:r>
    </w:p>
    <w:p>
      <w:pPr>
        <w:spacing w:after="180"/>
        <w:jc w:val="center"/>
      </w:pPr>
      <w:r>
        <w:rPr>
          <w:i/>
          <w:iCs/>
          <w:sz w:val="18"/>
          <w:szCs w:val="18"/>
        </w:rPr>
        <w:t xml:space="preserve">Figure 6. SHAP feature importance (mean absolute SHAP value), KAB-XGBoost-WCE, both datasets separately.</w:t>
      </w:r>
    </w:p>
    <w:p>
      <w:pPr>
        <w:pStyle w:val="Heading2"/>
        <w:spacing w:after="120" w:before="240"/>
      </w:pPr>
      <w:r>
        <w:rPr>
          <w:b/>
          <w:bCs/>
        </w:rPr>
        <w:t xml:space="preserve">R7. Error Analysis and Per-Class Performance</w:t>
      </w:r>
    </w:p>
    <w:p>
      <w:pPr>
        <w:spacing w:after="160" w:line="276"/>
      </w:pPr>
      <w:r>
        <w:t>Normalised confusion matrices are presented in Figure 7. Full per-class Precision, Recall, and F1 values are reported in Table 5. Low-readiness recall measures the proportion of students who self-report below-median security behaviour that the model correctly flags -- it does not measure enacted security behaviour. On KNUST, Low-readiness recall was 0.8256 for KAB-XGBoost-WCE versus 0.8354 for the baseline -- the proposed model does not improve Low-readiness recall on KNUST. On the held-out partition (n=825, Low=407, High=418): On the KNUST held-out partition (n=825, Low=407, High=418): WCE misclassified 71 Low-readiness students as High-readiness and 36 High-readiness students as Low-readiness; baseline misclassified 67 Low-readiness students as High-readiness and 32 High-readiness students as Low-readiness. These counts reconcile exactly with Table 5 per-class rates: Low Recall = correct Low / all Low (e.g., baseline 340/407 = 0.8354 ✓); High Precision = correct High / (correct High + High predicted Low) = 386/(386+32) = 0.9234 ✓. On Alzubaidi, Low-readiness recall was 0.6639 for KAB-XGBoost-WCE versus 0.6303 for the baseline, a 3.4 percentage-point improvement.</w:t>
      </w:r>
    </w:p>
    <w:p>
      <w:pPr>
        <w:spacing w:after="4"/>
        <w:jc w:val="center"/>
      </w:pPr>
      <w:r>
        <w:rPr>
          <w:sz w:val="18"/>
          <w:szCs w:val="18"/>
        </w:rPr>
      </w:r>
      <w:r/>
      <w:r>
        <w:drawing>
          <wp:inline xmlns:a="http://schemas.openxmlformats.org/drawingml/2006/main" xmlns:pic="http://schemas.openxmlformats.org/drawingml/2006/picture">
            <wp:extent cx="5029200" cy="4901376"/>
            <wp:docPr id="1" name="Picture 1"/>
            <wp:cNvGraphicFramePr>
              <a:graphicFrameLocks noChangeAspect="1"/>
            </wp:cNvGraphicFramePr>
            <a:graphic>
              <a:graphicData uri="http://schemas.openxmlformats.org/drawingml/2006/picture">
                <pic:pic>
                  <pic:nvPicPr>
                    <pic:cNvPr id="0" name="r04_7.png"/>
                    <pic:cNvPicPr/>
                  </pic:nvPicPr>
                  <pic:blipFill>
                    <a:blip r:embed="rId12"/>
                    <a:stretch>
                      <a:fillRect/>
                    </a:stretch>
                  </pic:blipFill>
                  <pic:spPr>
                    <a:xfrm>
                      <a:off x="0" y="0"/>
                      <a:ext cx="5029200" cy="4901376"/>
                    </a:xfrm>
                    <a:prstGeom prst="rect"/>
                  </pic:spPr>
                </pic:pic>
              </a:graphicData>
            </a:graphic>
          </wp:inline>
        </w:drawing>
      </w:r>
    </w:p>
    <w:p>
      <w:pPr>
        <w:spacing w:after="180"/>
        <w:jc w:val="center"/>
      </w:pPr>
      <w:r>
        <w:rPr>
          <w:i/>
          <w:iCs/>
          <w:sz w:val="18"/>
          <w:szCs w:val="18"/>
        </w:rPr>
        <w:t xml:space="preserve">Figure 7. Normalised confusion matrices (row-normalised, recall per class), baseline XGBoost and KAB-XGBoost-WCE, both datasets.</w:t>
      </w:r>
    </w:p>
    <w:p>
      <w:pPr>
        <w:spacing w:after="60" w:before="80"/>
      </w:pPr>
      <w:r>
        <w:rPr>
          <w:i/>
          <w:iCs/>
          <w:sz w:val="18"/>
          <w:szCs w:val="18"/>
        </w:rPr>
        <w:t xml:space="preserve">Table 5. Per-class Precision, Recall, and F1 for baseline XGBoost and KAB-XGBoost-WCE on held-out test partitions.</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1600"/>
        <w:gridCol w:w="1900"/>
        <w:gridCol w:w="1100"/>
        <w:gridCol w:w="1200"/>
        <w:gridCol w:w="1200"/>
        <w:gridCol w:w="1200"/>
      </w:tblGrid>
      <w:tr>
        <w:tc>
          <w:tcPr>
            <w:tcW w:type="dxa" w:w="1600"/>
            <w:tcBorders>
              <w:top w:val="single" w:color="000000" w:sz="6"/>
              <w:left w:val="single" w:color="000000" w:sz="6"/>
              <w:bottom w:val="single" w:color="000000" w:sz="6"/>
              <w:right w:val="single" w:color="000000" w:sz="6"/>
            </w:tcBorders>
          </w:tcPr>
          <w:p>
            <w:pPr>
              <w:jc w:val="center"/>
            </w:pPr>
            <w:r>
              <w:rPr>
                <w:b/>
                <w:bCs/>
                <w:sz w:val="18"/>
                <w:szCs w:val="18"/>
              </w:rPr>
              <w:t xml:space="preserve">Dataset</w:t>
            </w:r>
          </w:p>
        </w:tc>
        <w:tc>
          <w:tcPr>
            <w:tcW w:type="dxa" w:w="1900"/>
            <w:tcBorders>
              <w:top w:val="single" w:color="000000" w:sz="6"/>
              <w:left w:val="single" w:color="000000" w:sz="6"/>
              <w:bottom w:val="single" w:color="000000" w:sz="6"/>
              <w:right w:val="single" w:color="000000" w:sz="6"/>
            </w:tcBorders>
          </w:tcPr>
          <w:p>
            <w:pPr>
              <w:jc w:val="center"/>
            </w:pPr>
            <w:r>
              <w:rPr>
                <w:b/>
                <w:bCs/>
                <w:sz w:val="18"/>
                <w:szCs w:val="18"/>
              </w:rPr>
              <w:t xml:space="preserve">Model</w:t>
            </w:r>
          </w:p>
        </w:tc>
        <w:tc>
          <w:tcPr>
            <w:tcW w:type="dxa" w:w="1100"/>
            <w:tcBorders>
              <w:top w:val="single" w:color="000000" w:sz="6"/>
              <w:left w:val="single" w:color="000000" w:sz="6"/>
              <w:bottom w:val="single" w:color="000000" w:sz="6"/>
              <w:right w:val="single" w:color="000000" w:sz="6"/>
            </w:tcBorders>
          </w:tcPr>
          <w:p>
            <w:pPr>
              <w:jc w:val="center"/>
            </w:pPr>
            <w:r>
              <w:rPr>
                <w:b/>
                <w:bCs/>
                <w:sz w:val="18"/>
                <w:szCs w:val="18"/>
              </w:rPr>
              <w:t xml:space="preserve">Class</w:t>
            </w:r>
          </w:p>
        </w:tc>
        <w:tc>
          <w:tcPr>
            <w:tcW w:type="dxa" w:w="1200"/>
            <w:tcBorders>
              <w:top w:val="single" w:color="000000" w:sz="6"/>
              <w:left w:val="single" w:color="000000" w:sz="6"/>
              <w:bottom w:val="single" w:color="000000" w:sz="6"/>
              <w:right w:val="single" w:color="000000" w:sz="6"/>
            </w:tcBorders>
          </w:tcPr>
          <w:p>
            <w:pPr>
              <w:jc w:val="center"/>
            </w:pPr>
            <w:r>
              <w:rPr>
                <w:b/>
                <w:bCs/>
                <w:sz w:val="18"/>
                <w:szCs w:val="18"/>
              </w:rPr>
              <w:t xml:space="preserve">Precision</w:t>
            </w:r>
          </w:p>
        </w:tc>
        <w:tc>
          <w:tcPr>
            <w:tcW w:type="dxa" w:w="1200"/>
            <w:tcBorders>
              <w:top w:val="single" w:color="000000" w:sz="6"/>
              <w:left w:val="single" w:color="000000" w:sz="6"/>
              <w:bottom w:val="single" w:color="000000" w:sz="6"/>
              <w:right w:val="single" w:color="000000" w:sz="6"/>
            </w:tcBorders>
          </w:tcPr>
          <w:p>
            <w:pPr>
              <w:jc w:val="center"/>
            </w:pPr>
            <w:r>
              <w:rPr>
                <w:b/>
                <w:bCs/>
                <w:sz w:val="18"/>
                <w:szCs w:val="18"/>
              </w:rPr>
              <w:t xml:space="preserve">Recall</w:t>
            </w:r>
          </w:p>
        </w:tc>
        <w:tc>
          <w:tcPr>
            <w:tcW w:type="dxa" w:w="1200"/>
            <w:tcBorders>
              <w:top w:val="single" w:color="000000" w:sz="6"/>
              <w:left w:val="single" w:color="000000" w:sz="6"/>
              <w:bottom w:val="single" w:color="000000" w:sz="6"/>
              <w:right w:val="single" w:color="000000" w:sz="6"/>
            </w:tcBorders>
          </w:tcPr>
          <w:p>
            <w:pPr>
              <w:jc w:val="center"/>
            </w:pPr>
            <w:r>
              <w:rPr>
                <w:b/>
                <w:bCs/>
                <w:sz w:val="18"/>
                <w:szCs w:val="18"/>
              </w:rPr>
              <w:t xml:space="preserve">F1</w:t>
            </w:r>
          </w:p>
        </w:tc>
      </w:tr>
      <w:tr>
        <w:tc>
          <w:tcPr>
            <w:tcW w:type="dxa" w:w="16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KNUST</w:t>
            </w:r>
          </w:p>
        </w:tc>
        <w:tc>
          <w:tcPr>
            <w:tcW w:type="dxa" w:w="19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Baseline XGBoost</w:t>
            </w:r>
          </w:p>
        </w:tc>
        <w:tc>
          <w:tcPr>
            <w:tcW w:type="dxa" w:w="11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Low</w:t>
            </w:r>
          </w:p>
        </w:tc>
        <w:tc>
          <w:tcPr>
            <w:tcW w:type="dxa" w:w="12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0.9140</w:t>
            </w:r>
          </w:p>
        </w:tc>
        <w:tc>
          <w:tcPr>
            <w:tcW w:type="dxa" w:w="12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0.8354</w:t>
            </w:r>
          </w:p>
        </w:tc>
        <w:tc>
          <w:tcPr>
            <w:tcW w:type="dxa" w:w="12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0.8729</w:t>
            </w:r>
          </w:p>
        </w:tc>
      </w:tr>
      <w:tr>
        <w:tc>
          <w:tcPr>
            <w:tcW w:type="dxa" w:w="16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KNUST</w:t>
            </w:r>
          </w:p>
        </w:tc>
        <w:tc>
          <w:tcPr>
            <w:tcW w:type="dxa" w:w="19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Baseline XGBoost</w:t>
            </w:r>
          </w:p>
        </w:tc>
        <w:tc>
          <w:tcPr>
            <w:tcW w:type="dxa" w:w="11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High</w:t>
            </w:r>
          </w:p>
        </w:tc>
        <w:tc>
          <w:tcPr>
            <w:tcW w:type="dxa" w:w="12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0.8521</w:t>
            </w:r>
          </w:p>
        </w:tc>
        <w:tc>
          <w:tcPr>
            <w:tcW w:type="dxa" w:w="12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0.9234</w:t>
            </w:r>
          </w:p>
        </w:tc>
        <w:tc>
          <w:tcPr>
            <w:tcW w:type="dxa" w:w="12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0.8863</w:t>
            </w:r>
          </w:p>
        </w:tc>
      </w:tr>
      <w:tr>
        <w:tc>
          <w:tcPr>
            <w:tcW w:type="dxa" w:w="16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KNUST</w:t>
            </w:r>
          </w:p>
        </w:tc>
        <w:tc>
          <w:tcPr>
            <w:tcW w:type="dxa" w:w="19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KAB-XGBoost-WCE</w:t>
            </w:r>
          </w:p>
        </w:tc>
        <w:tc>
          <w:tcPr>
            <w:tcW w:type="dxa" w:w="11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Low</w:t>
            </w:r>
          </w:p>
        </w:tc>
        <w:tc>
          <w:tcPr>
            <w:tcW w:type="dxa" w:w="12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0.9032</w:t>
            </w:r>
          </w:p>
        </w:tc>
        <w:tc>
          <w:tcPr>
            <w:tcW w:type="dxa" w:w="12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0.8256</w:t>
            </w:r>
          </w:p>
        </w:tc>
        <w:tc>
          <w:tcPr>
            <w:tcW w:type="dxa" w:w="12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0.8626</w:t>
            </w:r>
          </w:p>
        </w:tc>
      </w:tr>
      <w:tr>
        <w:tc>
          <w:tcPr>
            <w:tcW w:type="dxa" w:w="16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KNUST</w:t>
            </w:r>
          </w:p>
        </w:tc>
        <w:tc>
          <w:tcPr>
            <w:tcW w:type="dxa" w:w="19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KAB-XGBoost-WCE</w:t>
            </w:r>
          </w:p>
        </w:tc>
        <w:tc>
          <w:tcPr>
            <w:tcW w:type="dxa" w:w="11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High</w:t>
            </w:r>
          </w:p>
        </w:tc>
        <w:tc>
          <w:tcPr>
            <w:tcW w:type="dxa" w:w="12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0.8433</w:t>
            </w:r>
          </w:p>
        </w:tc>
        <w:tc>
          <w:tcPr>
            <w:tcW w:type="dxa" w:w="12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0.9139</w:t>
            </w:r>
          </w:p>
        </w:tc>
        <w:tc>
          <w:tcPr>
            <w:tcW w:type="dxa" w:w="12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0.8772</w:t>
            </w:r>
          </w:p>
        </w:tc>
      </w:tr>
      <w:tr>
        <w:tc>
          <w:tcPr>
            <w:tcW w:type="dxa" w:w="16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Alzubaidi</w:t>
            </w:r>
          </w:p>
        </w:tc>
        <w:tc>
          <w:tcPr>
            <w:tcW w:type="dxa" w:w="19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Baseline XGBoost</w:t>
            </w:r>
          </w:p>
        </w:tc>
        <w:tc>
          <w:tcPr>
            <w:tcW w:type="dxa" w:w="11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Low</w:t>
            </w:r>
          </w:p>
        </w:tc>
        <w:tc>
          <w:tcPr>
            <w:tcW w:type="dxa" w:w="12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0.6881</w:t>
            </w:r>
          </w:p>
        </w:tc>
        <w:tc>
          <w:tcPr>
            <w:tcW w:type="dxa" w:w="12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0.6303</w:t>
            </w:r>
          </w:p>
        </w:tc>
        <w:tc>
          <w:tcPr>
            <w:tcW w:type="dxa" w:w="12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0.6579</w:t>
            </w:r>
          </w:p>
        </w:tc>
      </w:tr>
      <w:tr>
        <w:tc>
          <w:tcPr>
            <w:tcW w:type="dxa" w:w="16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Alzubaidi</w:t>
            </w:r>
          </w:p>
        </w:tc>
        <w:tc>
          <w:tcPr>
            <w:tcW w:type="dxa" w:w="19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Baseline XGBoost</w:t>
            </w:r>
          </w:p>
        </w:tc>
        <w:tc>
          <w:tcPr>
            <w:tcW w:type="dxa" w:w="11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High</w:t>
            </w:r>
          </w:p>
        </w:tc>
        <w:tc>
          <w:tcPr>
            <w:tcW w:type="dxa" w:w="12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0.6812</w:t>
            </w:r>
          </w:p>
        </w:tc>
        <w:tc>
          <w:tcPr>
            <w:tcW w:type="dxa" w:w="12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0.7344</w:t>
            </w:r>
          </w:p>
        </w:tc>
        <w:tc>
          <w:tcPr>
            <w:tcW w:type="dxa" w:w="12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0.7068</w:t>
            </w:r>
          </w:p>
        </w:tc>
      </w:tr>
      <w:tr>
        <w:tc>
          <w:tcPr>
            <w:tcW w:type="dxa" w:w="16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Alzubaidi</w:t>
            </w:r>
          </w:p>
        </w:tc>
        <w:tc>
          <w:tcPr>
            <w:tcW w:type="dxa" w:w="19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KAB-XGBoost-WCE</w:t>
            </w:r>
          </w:p>
        </w:tc>
        <w:tc>
          <w:tcPr>
            <w:tcW w:type="dxa" w:w="11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Low</w:t>
            </w:r>
          </w:p>
        </w:tc>
        <w:tc>
          <w:tcPr>
            <w:tcW w:type="dxa" w:w="12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0.6695</w:t>
            </w:r>
          </w:p>
        </w:tc>
        <w:tc>
          <w:tcPr>
            <w:tcW w:type="dxa" w:w="12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0.6639</w:t>
            </w:r>
          </w:p>
        </w:tc>
        <w:tc>
          <w:tcPr>
            <w:tcW w:type="dxa" w:w="12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0.6667</w:t>
            </w:r>
          </w:p>
        </w:tc>
      </w:tr>
      <w:tr>
        <w:tc>
          <w:tcPr>
            <w:tcW w:type="dxa" w:w="16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Alzubaidi</w:t>
            </w:r>
          </w:p>
        </w:tc>
        <w:tc>
          <w:tcPr>
            <w:tcW w:type="dxa" w:w="19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KAB-XGBoost-WCE</w:t>
            </w:r>
          </w:p>
        </w:tc>
        <w:tc>
          <w:tcPr>
            <w:tcW w:type="dxa" w:w="11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High</w:t>
            </w:r>
          </w:p>
        </w:tc>
        <w:tc>
          <w:tcPr>
            <w:tcW w:type="dxa" w:w="12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0.6899</w:t>
            </w:r>
          </w:p>
        </w:tc>
        <w:tc>
          <w:tcPr>
            <w:tcW w:type="dxa" w:w="12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0.6953</w:t>
            </w:r>
          </w:p>
        </w:tc>
        <w:tc>
          <w:tcPr>
            <w:tcW w:type="dxa" w:w="12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0.6926</w:t>
            </w:r>
          </w:p>
        </w:tc>
      </w:tr>
    </w:tbl>
    <w:p>
      <w:pPr>
        <w:spacing w:after="180" w:before="40"/>
      </w:pPr>
      <w:r>
        <w:rPr>
          <w:i/>
          <w:iCs/>
          <w:sz w:val="16"/>
          <w:szCs w:val="16"/>
        </w:rPr>
        <w:t>Note: Low-readiness recall measures the proportion of students who self-report below-median security behaviour that the model flags -- not enacted security behaviour. KNUST: KAB-XGBoost-WCE does not improve Low-readiness recall vs baseline (0.8256 vs 0.8354). Alzubaidi: Low-readiness recall improves from 0.6303 to 0.6639 (+3.4 pp).</w:t>
      </w:r>
    </w:p>
    <w:p>
      <w:pPr>
        <w:pStyle w:val="Heading2"/>
        <w:spacing w:after="120" w:before="240"/>
      </w:pPr>
      <w:r>
        <w:rPr>
          <w:b/>
          <w:bCs/>
        </w:rPr>
        <w:t xml:space="preserve">R8. Transfer and Cross-Dataset Results</w:t>
      </w:r>
    </w:p>
    <w:p>
      <w:pPr>
        <w:spacing w:after="160" w:line="276"/>
      </w:pPr>
      <w:r>
        <w:t>Results reported separately; never pooled. On KNUST, the weight mechanism (Arm C vs Arm A) contributed +0.0003 Macro F1. Note: on KNUST, Arms C and D use depth=7 with weights, so they are the same model -- the ablation has two distinct arms not four on this dataset, and the attribution to weighting alone cannot be confirmed from an arm compared against itself; depth tuning contributed +0.1024. On Alzubaidi, the weight mechanism contributed +0.0098; depth contributed +0.0224. Neither dataset shows a statistically significant WCE-vs-baseline advantage under the corrected pipeline. The dominant predictive subscale differed across datasets: Knowledge on KNUST (mean |SHAP| = 0.492) and Attitude on Alzubaidi (0.421). Table 6 reports the perturbation sensitivity results.</w:t>
      </w:r>
    </w:p>
    <w:p>
      <w:pPr>
        <w:spacing w:after="60" w:before="80"/>
      </w:pPr>
      <w:r>
        <w:rPr>
          <w:i/>
          <w:iCs/>
          <w:sz w:val="18"/>
          <w:szCs w:val="18"/>
        </w:rPr>
        <w:t xml:space="preserve">Table 6. Macro F1 under Gaussian feature perturbation (SD 0 to 0.15), KAB-XGBoost-WCE and baseline XGBoost, both datasets.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600"/>
        <w:gridCol w:w="1600"/>
        <w:gridCol w:w="1600"/>
        <w:gridCol w:w="1600"/>
      </w:tblGrid>
      <w:tr>
        <w:tc>
          <w:tcPr>
            <w:tcW w:type="dxa" w:w="1600"/>
            <w:tcBorders>
              <w:top w:val="single" w:color="000000" w:sz="6"/>
              <w:left w:val="single" w:color="000000" w:sz="6"/>
              <w:bottom w:val="single" w:color="000000" w:sz="6"/>
              <w:right w:val="single" w:color="000000" w:sz="6"/>
            </w:tcBorders>
          </w:tcPr>
          <w:p>
            <w:pPr>
              <w:jc w:val="center"/>
            </w:pPr>
            <w:r>
              <w:rPr>
                <w:b/>
                <w:bCs/>
                <w:sz w:val="18"/>
                <w:szCs w:val="18"/>
              </w:rPr>
              <w:t>Dataset</w:t>
            </w:r>
          </w:p>
        </w:tc>
        <w:tc>
          <w:tcPr>
            <w:tcW w:type="dxa" w:w="2000"/>
            <w:tcBorders>
              <w:top w:val="single" w:color="000000" w:sz="6"/>
              <w:left w:val="single" w:color="000000" w:sz="6"/>
              <w:bottom w:val="single" w:color="000000" w:sz="6"/>
              <w:right w:val="single" w:color="000000" w:sz="6"/>
            </w:tcBorders>
          </w:tcPr>
          <w:p>
            <w:pPr>
              <w:jc w:val="center"/>
            </w:pPr>
            <w:r>
              <w:rPr>
                <w:b/>
                <w:bCs/>
                <w:sz w:val="18"/>
                <w:szCs w:val="18"/>
              </w:rPr>
              <w:t>Model</w:t>
            </w:r>
          </w:p>
        </w:tc>
        <w:tc>
          <w:tcPr>
            <w:tcW w:type="dxa" w:w="1600"/>
            <w:tcBorders>
              <w:top w:val="single" w:color="000000" w:sz="6"/>
              <w:left w:val="single" w:color="000000" w:sz="6"/>
              <w:bottom w:val="single" w:color="000000" w:sz="6"/>
              <w:right w:val="single" w:color="000000" w:sz="6"/>
            </w:tcBorders>
          </w:tcPr>
          <w:p>
            <w:pPr>
              <w:jc w:val="center"/>
            </w:pPr>
            <w:r>
              <w:rPr>
                <w:b/>
                <w:bCs/>
                <w:sz w:val="18"/>
                <w:szCs w:val="18"/>
              </w:rPr>
              <w:t>SD=0.00</w:t>
            </w:r>
          </w:p>
        </w:tc>
        <w:tc>
          <w:tcPr>
            <w:tcW w:type="dxa" w:w="1600"/>
            <w:tcBorders>
              <w:top w:val="single" w:color="000000" w:sz="6"/>
              <w:left w:val="single" w:color="000000" w:sz="6"/>
              <w:bottom w:val="single" w:color="000000" w:sz="6"/>
              <w:right w:val="single" w:color="000000" w:sz="6"/>
            </w:tcBorders>
          </w:tcPr>
          <w:p>
            <w:pPr>
              <w:jc w:val="center"/>
            </w:pPr>
            <w:r>
              <w:rPr>
                <w:b/>
                <w:bCs/>
                <w:sz w:val="18"/>
                <w:szCs w:val="18"/>
              </w:rPr>
              <w:t>SD=0.05</w:t>
            </w:r>
          </w:p>
        </w:tc>
        <w:tc>
          <w:tcPr>
            <w:tcW w:type="dxa" w:w="1600"/>
            <w:tcBorders>
              <w:top w:val="single" w:color="000000" w:sz="6"/>
              <w:left w:val="single" w:color="000000" w:sz="6"/>
              <w:bottom w:val="single" w:color="000000" w:sz="6"/>
              <w:right w:val="single" w:color="000000" w:sz="6"/>
            </w:tcBorders>
          </w:tcPr>
          <w:p>
            <w:pPr>
              <w:jc w:val="center"/>
            </w:pPr>
            <w:r>
              <w:rPr>
                <w:b/>
                <w:bCs/>
                <w:sz w:val="18"/>
                <w:szCs w:val="18"/>
              </w:rPr>
              <w:t>SD=0.10</w:t>
            </w:r>
          </w:p>
        </w:tc>
        <w:tc>
          <w:tcPr>
            <w:tcW w:type="dxa" w:w="1600"/>
            <w:tcBorders>
              <w:top w:val="single" w:color="000000" w:sz="6"/>
              <w:left w:val="single" w:color="000000" w:sz="6"/>
              <w:bottom w:val="single" w:color="000000" w:sz="6"/>
              <w:right w:val="single" w:color="000000" w:sz="6"/>
            </w:tcBorders>
          </w:tcPr>
          <w:p>
            <w:pPr>
              <w:jc w:val="center"/>
            </w:pPr>
            <w:r>
              <w:rPr>
                <w:b/>
                <w:bCs/>
                <w:sz w:val="18"/>
                <w:szCs w:val="18"/>
              </w:rPr>
              <w:t>SD=0.15</w:t>
            </w:r>
          </w:p>
        </w:tc>
      </w:tr>
      <w:tr>
        <w:tc>
          <w:tcPr>
            <w:tcW w:type="dxa" w:w="1600"/>
            <w:tcBorders>
              <w:top w:val="single" w:color="000000" w:sz="6"/>
              <w:left w:val="single" w:color="000000" w:sz="6"/>
              <w:bottom w:val="single" w:color="000000" w:sz="6"/>
              <w:right w:val="single" w:color="000000" w:sz="6"/>
            </w:tcBorders>
          </w:tcPr>
          <w:p>
            <w:pPr>
              <w:jc w:val="center"/>
            </w:pPr>
            <w:r>
              <w:rPr>
                <w:b w:val="false"/>
                <w:bCs w:val="false"/>
                <w:sz w:val="18"/>
                <w:szCs w:val="18"/>
              </w:rPr>
              <w:t>KNUST</w:t>
            </w:r>
          </w:p>
        </w:tc>
        <w:tc>
          <w:tcPr>
            <w:tcW w:type="dxa" w:w="2000"/>
            <w:tcBorders>
              <w:top w:val="single" w:color="000000" w:sz="6"/>
              <w:left w:val="single" w:color="000000" w:sz="6"/>
              <w:bottom w:val="single" w:color="000000" w:sz="6"/>
              <w:right w:val="single" w:color="000000" w:sz="6"/>
            </w:tcBorders>
          </w:tcPr>
          <w:p>
            <w:pPr>
              <w:jc w:val="center"/>
            </w:pPr>
            <w:r>
              <w:rPr>
                <w:b w:val="false"/>
                <w:bCs w:val="false"/>
                <w:sz w:val="18"/>
                <w:szCs w:val="18"/>
              </w:rPr>
              <w:t>KAB-XGBoost-WCE</w:t>
            </w:r>
          </w:p>
        </w:tc>
        <w:tc>
          <w:tcPr>
            <w:tcW w:type="dxa" w:w="1600"/>
            <w:tcBorders>
              <w:top w:val="single" w:color="000000" w:sz="6"/>
              <w:left w:val="single" w:color="000000" w:sz="6"/>
              <w:bottom w:val="single" w:color="000000" w:sz="6"/>
              <w:right w:val="single" w:color="000000" w:sz="6"/>
            </w:tcBorders>
          </w:tcPr>
          <w:p>
            <w:pPr>
              <w:jc w:val="center"/>
            </w:pPr>
            <w:r>
              <w:rPr>
                <w:b w:val="false"/>
                <w:bCs w:val="false"/>
                <w:sz w:val="18"/>
                <w:szCs w:val="18"/>
              </w:rPr>
              <w:t>0.8699</w:t>
            </w:r>
          </w:p>
        </w:tc>
        <w:tc>
          <w:tcPr>
            <w:tcW w:type="dxa" w:w="1600"/>
            <w:tcBorders>
              <w:top w:val="single" w:color="000000" w:sz="6"/>
              <w:left w:val="single" w:color="000000" w:sz="6"/>
              <w:bottom w:val="single" w:color="000000" w:sz="6"/>
              <w:right w:val="single" w:color="000000" w:sz="6"/>
            </w:tcBorders>
          </w:tcPr>
          <w:p>
            <w:pPr>
              <w:jc w:val="center"/>
            </w:pPr>
            <w:r>
              <w:rPr>
                <w:b w:val="false"/>
                <w:bCs w:val="false"/>
                <w:sz w:val="18"/>
                <w:szCs w:val="18"/>
              </w:rPr>
              <w:t>0.7170</w:t>
            </w:r>
          </w:p>
        </w:tc>
        <w:tc>
          <w:tcPr>
            <w:tcW w:type="dxa" w:w="1600"/>
            <w:tcBorders>
              <w:top w:val="single" w:color="000000" w:sz="6"/>
              <w:left w:val="single" w:color="000000" w:sz="6"/>
              <w:bottom w:val="single" w:color="000000" w:sz="6"/>
              <w:right w:val="single" w:color="000000" w:sz="6"/>
            </w:tcBorders>
          </w:tcPr>
          <w:p>
            <w:pPr>
              <w:jc w:val="center"/>
            </w:pPr>
            <w:r>
              <w:rPr>
                <w:b w:val="false"/>
                <w:bCs w:val="false"/>
                <w:sz w:val="18"/>
                <w:szCs w:val="18"/>
              </w:rPr>
              <w:t>0.7183</w:t>
            </w:r>
          </w:p>
        </w:tc>
        <w:tc>
          <w:tcPr>
            <w:tcW w:type="dxa" w:w="1600"/>
            <w:tcBorders>
              <w:top w:val="single" w:color="000000" w:sz="6"/>
              <w:left w:val="single" w:color="000000" w:sz="6"/>
              <w:bottom w:val="single" w:color="000000" w:sz="6"/>
              <w:right w:val="single" w:color="000000" w:sz="6"/>
            </w:tcBorders>
          </w:tcPr>
          <w:p>
            <w:pPr>
              <w:jc w:val="center"/>
            </w:pPr>
            <w:r>
              <w:rPr>
                <w:b w:val="false"/>
                <w:bCs w:val="false"/>
                <w:sz w:val="18"/>
                <w:szCs w:val="18"/>
              </w:rPr>
              <w:t>0.7109</w:t>
            </w:r>
          </w:p>
        </w:tc>
      </w:tr>
      <w:tr>
        <w:tc>
          <w:tcPr>
            <w:tcW w:type="dxa" w:w="1600"/>
            <w:tcBorders>
              <w:top w:val="single" w:color="000000" w:sz="6"/>
              <w:left w:val="single" w:color="000000" w:sz="6"/>
              <w:bottom w:val="single" w:color="000000" w:sz="6"/>
              <w:right w:val="single" w:color="000000" w:sz="6"/>
            </w:tcBorders>
          </w:tcPr>
          <w:p>
            <w:pPr>
              <w:jc w:val="center"/>
            </w:pPr>
            <w:r>
              <w:rPr>
                <w:b w:val="false"/>
                <w:bCs w:val="false"/>
                <w:sz w:val="18"/>
                <w:szCs w:val="18"/>
              </w:rPr>
              <w:t>KNUST</w:t>
            </w:r>
          </w:p>
        </w:tc>
        <w:tc>
          <w:tcPr>
            <w:tcW w:type="dxa" w:w="2000"/>
            <w:tcBorders>
              <w:top w:val="single" w:color="000000" w:sz="6"/>
              <w:left w:val="single" w:color="000000" w:sz="6"/>
              <w:bottom w:val="single" w:color="000000" w:sz="6"/>
              <w:right w:val="single" w:color="000000" w:sz="6"/>
            </w:tcBorders>
          </w:tcPr>
          <w:p>
            <w:pPr>
              <w:jc w:val="center"/>
            </w:pPr>
            <w:r>
              <w:rPr>
                <w:b w:val="false"/>
                <w:bCs w:val="false"/>
                <w:sz w:val="18"/>
                <w:szCs w:val="18"/>
              </w:rPr>
              <w:t>Baseline XGBoost</w:t>
            </w:r>
          </w:p>
        </w:tc>
        <w:tc>
          <w:tcPr>
            <w:tcW w:type="dxa" w:w="1600"/>
            <w:tcBorders>
              <w:top w:val="single" w:color="000000" w:sz="6"/>
              <w:left w:val="single" w:color="000000" w:sz="6"/>
              <w:bottom w:val="single" w:color="000000" w:sz="6"/>
              <w:right w:val="single" w:color="000000" w:sz="6"/>
            </w:tcBorders>
          </w:tcPr>
          <w:p>
            <w:pPr>
              <w:jc w:val="center"/>
            </w:pPr>
            <w:r>
              <w:rPr>
                <w:b w:val="false"/>
                <w:bCs w:val="false"/>
                <w:sz w:val="18"/>
                <w:szCs w:val="18"/>
              </w:rPr>
              <w:t>0.8796</w:t>
            </w:r>
          </w:p>
        </w:tc>
        <w:tc>
          <w:tcPr>
            <w:tcW w:type="dxa" w:w="1600"/>
            <w:tcBorders>
              <w:top w:val="single" w:color="000000" w:sz="6"/>
              <w:left w:val="single" w:color="000000" w:sz="6"/>
              <w:bottom w:val="single" w:color="000000" w:sz="6"/>
              <w:right w:val="single" w:color="000000" w:sz="6"/>
            </w:tcBorders>
          </w:tcPr>
          <w:p>
            <w:pPr>
              <w:jc w:val="center"/>
            </w:pPr>
            <w:r>
              <w:rPr>
                <w:b w:val="false"/>
                <w:bCs w:val="false"/>
                <w:sz w:val="18"/>
                <w:szCs w:val="18"/>
              </w:rPr>
              <w:t>0.7103</w:t>
            </w:r>
          </w:p>
        </w:tc>
        <w:tc>
          <w:tcPr>
            <w:tcW w:type="dxa" w:w="1600"/>
            <w:tcBorders>
              <w:top w:val="single" w:color="000000" w:sz="6"/>
              <w:left w:val="single" w:color="000000" w:sz="6"/>
              <w:bottom w:val="single" w:color="000000" w:sz="6"/>
              <w:right w:val="single" w:color="000000" w:sz="6"/>
            </w:tcBorders>
          </w:tcPr>
          <w:p>
            <w:pPr>
              <w:jc w:val="center"/>
            </w:pPr>
            <w:r>
              <w:rPr>
                <w:b w:val="false"/>
                <w:bCs w:val="false"/>
                <w:sz w:val="18"/>
                <w:szCs w:val="18"/>
              </w:rPr>
              <w:t>0.7115</w:t>
            </w:r>
          </w:p>
        </w:tc>
        <w:tc>
          <w:tcPr>
            <w:tcW w:type="dxa" w:w="1600"/>
            <w:tcBorders>
              <w:top w:val="single" w:color="000000" w:sz="6"/>
              <w:left w:val="single" w:color="000000" w:sz="6"/>
              <w:bottom w:val="single" w:color="000000" w:sz="6"/>
              <w:right w:val="single" w:color="000000" w:sz="6"/>
            </w:tcBorders>
          </w:tcPr>
          <w:p>
            <w:pPr>
              <w:jc w:val="center"/>
            </w:pPr>
            <w:r>
              <w:rPr>
                <w:b w:val="false"/>
                <w:bCs w:val="false"/>
                <w:sz w:val="18"/>
                <w:szCs w:val="18"/>
              </w:rPr>
              <w:t>0.7042</w:t>
            </w:r>
          </w:p>
        </w:tc>
      </w:tr>
      <w:tr>
        <w:tc>
          <w:tcPr>
            <w:tcW w:type="dxa" w:w="1600"/>
            <w:tcBorders>
              <w:top w:val="single" w:color="000000" w:sz="6"/>
              <w:left w:val="single" w:color="000000" w:sz="6"/>
              <w:bottom w:val="single" w:color="000000" w:sz="6"/>
              <w:right w:val="single" w:color="000000" w:sz="6"/>
            </w:tcBorders>
          </w:tcPr>
          <w:p>
            <w:pPr>
              <w:jc w:val="center"/>
            </w:pPr>
            <w:r>
              <w:rPr>
                <w:b w:val="false"/>
                <w:bCs w:val="false"/>
                <w:sz w:val="18"/>
                <w:szCs w:val="18"/>
              </w:rPr>
              <w:t>Alzubaidi</w:t>
            </w:r>
          </w:p>
        </w:tc>
        <w:tc>
          <w:tcPr>
            <w:tcW w:type="dxa" w:w="2000"/>
            <w:tcBorders>
              <w:top w:val="single" w:color="000000" w:sz="6"/>
              <w:left w:val="single" w:color="000000" w:sz="6"/>
              <w:bottom w:val="single" w:color="000000" w:sz="6"/>
              <w:right w:val="single" w:color="000000" w:sz="6"/>
            </w:tcBorders>
          </w:tcPr>
          <w:p>
            <w:pPr>
              <w:jc w:val="center"/>
            </w:pPr>
            <w:r>
              <w:rPr>
                <w:b w:val="false"/>
                <w:bCs w:val="false"/>
                <w:sz w:val="18"/>
                <w:szCs w:val="18"/>
              </w:rPr>
              <w:t>KAB-XGBoost-WCE</w:t>
            </w:r>
          </w:p>
        </w:tc>
        <w:tc>
          <w:tcPr>
            <w:tcW w:type="dxa" w:w="1600"/>
            <w:tcBorders>
              <w:top w:val="single" w:color="000000" w:sz="6"/>
              <w:left w:val="single" w:color="000000" w:sz="6"/>
              <w:bottom w:val="single" w:color="000000" w:sz="6"/>
              <w:right w:val="single" w:color="000000" w:sz="6"/>
            </w:tcBorders>
          </w:tcPr>
          <w:p>
            <w:pPr>
              <w:jc w:val="center"/>
            </w:pPr>
            <w:r>
              <w:rPr>
                <w:b w:val="false"/>
                <w:bCs w:val="false"/>
                <w:sz w:val="18"/>
                <w:szCs w:val="18"/>
              </w:rPr>
              <w:t>0.6796</w:t>
            </w:r>
          </w:p>
        </w:tc>
        <w:tc>
          <w:tcPr>
            <w:tcW w:type="dxa" w:w="1600"/>
            <w:tcBorders>
              <w:top w:val="single" w:color="000000" w:sz="6"/>
              <w:left w:val="single" w:color="000000" w:sz="6"/>
              <w:bottom w:val="single" w:color="000000" w:sz="6"/>
              <w:right w:val="single" w:color="000000" w:sz="6"/>
            </w:tcBorders>
          </w:tcPr>
          <w:p>
            <w:pPr>
              <w:jc w:val="center"/>
            </w:pPr>
            <w:r>
              <w:rPr>
                <w:b w:val="false"/>
                <w:bCs w:val="false"/>
                <w:sz w:val="18"/>
                <w:szCs w:val="18"/>
              </w:rPr>
              <w:t>0.5990</w:t>
            </w:r>
          </w:p>
        </w:tc>
        <w:tc>
          <w:tcPr>
            <w:tcW w:type="dxa" w:w="1600"/>
            <w:tcBorders>
              <w:top w:val="single" w:color="000000" w:sz="6"/>
              <w:left w:val="single" w:color="000000" w:sz="6"/>
              <w:bottom w:val="single" w:color="000000" w:sz="6"/>
              <w:right w:val="single" w:color="000000" w:sz="6"/>
            </w:tcBorders>
          </w:tcPr>
          <w:p>
            <w:pPr>
              <w:jc w:val="center"/>
            </w:pPr>
            <w:r>
              <w:rPr>
                <w:b w:val="false"/>
                <w:bCs w:val="false"/>
                <w:sz w:val="18"/>
                <w:szCs w:val="18"/>
              </w:rPr>
              <w:t>0.5891</w:t>
            </w:r>
          </w:p>
        </w:tc>
        <w:tc>
          <w:tcPr>
            <w:tcW w:type="dxa" w:w="1600"/>
            <w:tcBorders>
              <w:top w:val="single" w:color="000000" w:sz="6"/>
              <w:left w:val="single" w:color="000000" w:sz="6"/>
              <w:bottom w:val="single" w:color="000000" w:sz="6"/>
              <w:right w:val="single" w:color="000000" w:sz="6"/>
            </w:tcBorders>
          </w:tcPr>
          <w:p>
            <w:pPr>
              <w:jc w:val="center"/>
            </w:pPr>
            <w:r>
              <w:rPr>
                <w:b w:val="false"/>
                <w:bCs w:val="false"/>
                <w:sz w:val="18"/>
                <w:szCs w:val="18"/>
              </w:rPr>
              <w:t>0.5990</w:t>
            </w:r>
          </w:p>
        </w:tc>
      </w:tr>
      <w:tr>
        <w:tc>
          <w:tcPr>
            <w:tcW w:type="dxa" w:w="1600"/>
            <w:tcBorders>
              <w:top w:val="single" w:color="000000" w:sz="6"/>
              <w:left w:val="single" w:color="000000" w:sz="6"/>
              <w:bottom w:val="single" w:color="000000" w:sz="6"/>
              <w:right w:val="single" w:color="000000" w:sz="6"/>
            </w:tcBorders>
          </w:tcPr>
          <w:p>
            <w:pPr>
              <w:jc w:val="center"/>
            </w:pPr>
            <w:r>
              <w:rPr>
                <w:b w:val="false"/>
                <w:bCs w:val="false"/>
                <w:sz w:val="18"/>
                <w:szCs w:val="18"/>
              </w:rPr>
              <w:t>Alzubaidi</w:t>
            </w:r>
          </w:p>
        </w:tc>
        <w:tc>
          <w:tcPr>
            <w:tcW w:type="dxa" w:w="2000"/>
            <w:tcBorders>
              <w:top w:val="single" w:color="000000" w:sz="6"/>
              <w:left w:val="single" w:color="000000" w:sz="6"/>
              <w:bottom w:val="single" w:color="000000" w:sz="6"/>
              <w:right w:val="single" w:color="000000" w:sz="6"/>
            </w:tcBorders>
          </w:tcPr>
          <w:p>
            <w:pPr>
              <w:jc w:val="center"/>
            </w:pPr>
            <w:r>
              <w:rPr>
                <w:b w:val="false"/>
                <w:bCs w:val="false"/>
                <w:sz w:val="18"/>
                <w:szCs w:val="18"/>
              </w:rPr>
              <w:t>Baseline XGBoost</w:t>
            </w:r>
          </w:p>
        </w:tc>
        <w:tc>
          <w:tcPr>
            <w:tcW w:type="dxa" w:w="1600"/>
            <w:tcBorders>
              <w:top w:val="single" w:color="000000" w:sz="6"/>
              <w:left w:val="single" w:color="000000" w:sz="6"/>
              <w:bottom w:val="single" w:color="000000" w:sz="6"/>
              <w:right w:val="single" w:color="000000" w:sz="6"/>
            </w:tcBorders>
          </w:tcPr>
          <w:p>
            <w:pPr>
              <w:jc w:val="center"/>
            </w:pPr>
            <w:r>
              <w:rPr>
                <w:b w:val="false"/>
                <w:bCs w:val="false"/>
                <w:sz w:val="18"/>
                <w:szCs w:val="18"/>
              </w:rPr>
              <w:t>0.6823</w:t>
            </w:r>
          </w:p>
        </w:tc>
        <w:tc>
          <w:tcPr>
            <w:tcW w:type="dxa" w:w="1600"/>
            <w:tcBorders>
              <w:top w:val="single" w:color="000000" w:sz="6"/>
              <w:left w:val="single" w:color="000000" w:sz="6"/>
              <w:bottom w:val="single" w:color="000000" w:sz="6"/>
              <w:right w:val="single" w:color="000000" w:sz="6"/>
            </w:tcBorders>
          </w:tcPr>
          <w:p>
            <w:pPr>
              <w:jc w:val="center"/>
            </w:pPr>
            <w:r>
              <w:rPr>
                <w:b w:val="false"/>
                <w:bCs w:val="false"/>
                <w:sz w:val="18"/>
                <w:szCs w:val="18"/>
              </w:rPr>
              <w:t>0.6123</w:t>
            </w:r>
          </w:p>
        </w:tc>
        <w:tc>
          <w:tcPr>
            <w:tcW w:type="dxa" w:w="1600"/>
            <w:tcBorders>
              <w:top w:val="single" w:color="000000" w:sz="6"/>
              <w:left w:val="single" w:color="000000" w:sz="6"/>
              <w:bottom w:val="single" w:color="000000" w:sz="6"/>
              <w:right w:val="single" w:color="000000" w:sz="6"/>
            </w:tcBorders>
          </w:tcPr>
          <w:p>
            <w:pPr>
              <w:jc w:val="center"/>
            </w:pPr>
            <w:r>
              <w:rPr>
                <w:b w:val="false"/>
                <w:bCs w:val="false"/>
                <w:sz w:val="18"/>
                <w:szCs w:val="18"/>
              </w:rPr>
              <w:t>0.6111</w:t>
            </w:r>
          </w:p>
        </w:tc>
        <w:tc>
          <w:tcPr>
            <w:tcW w:type="dxa" w:w="1600"/>
            <w:tcBorders>
              <w:top w:val="single" w:color="000000" w:sz="6"/>
              <w:left w:val="single" w:color="000000" w:sz="6"/>
              <w:bottom w:val="single" w:color="000000" w:sz="6"/>
              <w:right w:val="single" w:color="000000" w:sz="6"/>
            </w:tcBorders>
          </w:tcPr>
          <w:p>
            <w:pPr>
              <w:jc w:val="center"/>
            </w:pPr>
            <w:r>
              <w:rPr>
                <w:b w:val="false"/>
                <w:bCs w:val="false"/>
                <w:sz w:val="18"/>
                <w:szCs w:val="18"/>
              </w:rPr>
              <w:t>0.6075</w:t>
            </w:r>
          </w:p>
        </w:tc>
      </w:tr>
    </w:tbl>
    <w:p>
      <w:pPr>
        <w:spacing w:after="180" w:before="40"/>
      </w:pPr>
      <w:r>
        <w:rPr>
          <w:i/>
          <w:iCs/>
          <w:sz w:val="16"/>
          <w:szCs w:val="16"/>
        </w:rPr>
        <w:t xml:space="preserve">Both models show sharp sensitivity to perturbation at SD=0.05, consistent with the narrow Likert-scale range [1,5]. On KNUST, KAB-XGBoost-WCE degrades more than the baseline at all noise levels. On Alzubaidi, KAB-XGBoost-WCE degrades less than the baseline. Gaussian noise on ordinal Likert items is an approximation; ordinal-appropriate robustness tests (category-shift, bootstrap) are identified as future work.</w:t>
      </w:r>
    </w:p>
    <w:p>
      <w:pPr>
        <w:pStyle w:val="Heading2"/>
        <w:spacing w:after="120" w:before="240"/>
      </w:pPr>
      <w:r>
        <w:rPr>
          <w:b/>
          <w:bCs/>
        </w:rPr>
        <w:t xml:space="preserve">R9. Computational Cost</w:t>
      </w:r>
    </w:p>
    <w:p>
      <w:pPr>
        <w:spacing w:after="160" w:line="276"/>
      </w:pPr>
      <w:r>
        <w:t>Mean per-fold training time: 0.139 s (KAB-XGBoost-WCE, KNUST), 0.129 s (baseline, KNUST), 0.035 s (WCE, Alzubaidi), 0.053 s (baseline, Alzubaidi). All training times below 0.15 s on Google Colaboratory CPU runtime (Methods M19). The weight computation adds a 7.8% overhead on KNUST (WCE 0.139s vs baseline 0.129s). On Alzubaidi, both models selected max_depth=2 in independent tuning (Table 2), so per-fold timing is now comparable between the two models (WCE 0.035s, baseline 0.053s; the small remaining difference reflects the weight computation, not a depth asymmetry).</w:t>
      </w:r>
    </w:p>
    <w:p>
      <w:pPr>
        <w:pStyle w:val="Heading2"/>
        <w:spacing w:after="120" w:before="240"/>
      </w:pPr>
      <w:r>
        <w:rPr>
          <w:b/>
          <w:bCs/>
        </w:rPr>
        <w:t xml:space="preserve">R10. Non-Confirmatory and Negative Results</w:t>
      </w:r>
    </w:p>
    <w:p>
      <w:pPr>
        <w:spacing w:after="160" w:line="276"/>
      </w:pPr>
      <w:r>
        <w:rPr>
          <w:b/>
          <w:bCs/>
        </w:rPr>
        <w:t xml:space="preserve">Diagnosed boundary condition -- near-balanced classes limit weighting scope: </w:t>
      </w:r>
      <w:r>
        <w:t xml:space="preserve">The corrected weight function (Equation 2) is genuinely non-constant and theory-grounded. However, both datasets are near-balanced (49.3/50.7 KNUST; 48.3/51.7 Alzubaidi). Instance weighting designed to correct class imbalance has limited scope when the classes are already near-equal. The ablation confirms this: the weight-only arm (Arm C) contributes +0.0003 on KNUST and +0.0098 on Alzubaidi above the vanilla baseline. This is a diagnosed boundary condition, not a configuration error: the mechanism is correctly implemented but the data condition it was designed to address -- class imbalance -- is absent.</w:t>
      </w:r>
    </w:p>
    <w:p>
      <w:pPr>
        <w:spacing w:after="160" w:line="276"/>
      </w:pPr>
      <w:r>
        <w:rPr>
          <w:b/>
          <w:bCs/>
        </w:rPr>
        <w:t xml:space="preserve">WCE does not significantly outperform baseline XGBoost on either dataset: </w:t>
      </w:r>
      <w:r>
        <w:t xml:space="preserve">KNUST: p = .116, d = 0.185, delta = +0.0018, 95% CI [-0.0175, 0.0171]. Alzubaidi: p = .214, d = 0.189, delta = +0.0031, 95% CI [-0.0239, 0.0319]. Both confidence intervals span zero.</w:t>
      </w:r>
    </w:p>
    <w:p>
      <w:pPr>
        <w:spacing w:after="160" w:line="276"/>
      </w:pPr>
      <w:r>
        <w:rPr>
          <w:b/>
          <w:bCs/>
        </w:rPr>
        <w:t xml:space="preserve">KNUST -- Decision Tree and Random Forest outperform WCE: </w:t>
      </w:r>
      <w:r>
        <w:t xml:space="preserve">Decision Tree (0.9489) outperforms WCE (0.8855) by +0.0634 (p &lt; .001). Random Forest (0.9569) outperforms WCE by +0.0714 (p &lt; .001). These gains are statistically significant and large in absolute terms.</w:t>
      </w:r>
    </w:p>
    <w:p>
      <w:pPr>
        <w:spacing w:after="160" w:line="276"/>
      </w:pPr>
      <w:r>
        <w:rPr>
          <w:b/>
          <w:bCs/>
        </w:rPr>
        <w:t>Note: Low-readiness recall measures the proportion of students who self-report below-median security behaviour that the model flags -- not enacted security behaviour. KNUST -- Low-readiness recall does not improve: KAB-XGBoost-WCE Low-readiness recall = 0.8256 versus baseline 0.8354. The mechanism designed to improve minority-class recall does not do so on the primary dataset.</w:t>
      </w:r>
      <w:r/>
    </w:p>
    <w:p>
      <w:pPr>
        <w:spacing w:after="160" w:line="276"/>
      </w:pPr>
      <w:r>
        <w:rPr>
          <w:b/>
          <w:bCs/>
        </w:rPr>
        <w:t xml:space="preserve">Alzubaidi -- Low-readiness recall improves modestly: </w:t>
      </w:r>
      <w:r>
        <w:t xml:space="preserve">KAB-XGBoost-WCE Low-readiness recall = 0.6639 versus baseline 0.6303 (+3.4 pp). Low-readiness F1 improved from 0.6579 to 0.6667 (+0.0088).</w:t>
      </w:r>
    </w:p>
    <w:p>
      <w:pPr>
        <w:spacing w:after="160" w:line="276"/>
      </w:pPr>
      <w:r>
        <w:rPr>
          <w:b/>
          <w:bCs/>
        </w:rPr>
        <w:t xml:space="preserve">Alzubaidi -- Knowledge aggregate ranks ninth on SHAP: </w:t>
      </w:r>
      <w:r>
        <w:t xml:space="preserve">K_i ranked ninth (mean |SHAP| = 0.129) versus first on KNUST (0.492). By the criterion stated in Methods M17, the Knowledge component of the weighting mechanism is not doing the theoretical work on the Alzubaidi dataset.</w:t>
      </w:r>
    </w:p>
    <w:p>
      <w:pPr>
        <w:spacing w:after="160" w:line="276"/>
      </w:pPr>
      <w:r>
        <w:rPr>
          <w:b/>
          <w:bCs/>
        </w:rPr>
        <w:t>KNUST -- Perturbation sensitivity greater than baseline: At SD = 0.05, KAB-XGBoost-WCE falls from 0.8699 to 0.7170 (loss = 0.1529) versus baseline from 0.8796 to 0.7103 (loss = 0.1693) at SD=0.05. Both models degrade sharply at SD=0.05; on Alzubaidi, KAB-XGBoost-WCE (0.6796→0.5990) degrades less than the baseline (0.6823→0.6123) at SD=0.05. See Table 6 for the full perturbation grid. Note: Table 6 SD=0.00 values are from the single fitted model on the held-out test set and differ from Table 3 means across 50 CV folds, as expected.</w:t>
      </w:r>
      <w:r/>
    </w:p>
    <w:p>
      <w:pPr>
        <w:spacing w:after="160" w:line="276"/>
      </w:pPr>
      <w:r>
        <w:rPr>
          <w:b/>
          <w:bCs/>
        </w:rPr>
        <w:t xml:space="preserve">Alzubaidi Low-readiness class regression: </w:t>
      </w:r>
      <w:r/>
      <w:r/>
      <w:r>
        <w:rPr/>
        <w:t xml:space="preserve">On Alzubaidi, WCE improved Low-readiness recall from 0.6303 to 0.6639 (+3.4 percentage points) and Low-readiness F1 from 0.6579 to 0.6667 (+0.0088). However, Low-readiness precision declined from 0.6881 to 0.6695 (-0.0186). The net effect is a modest recall improvement at the cost of precision -- the mechanism partially achieves its designed purpose on this dataset. Logistic Regression (0.7052) marginally exceeds KAB-XGBoost-WCE (0.7024); the difference is not statistically significant (p = ns). A scaled linear model therefore matches the proposed engineered model on this dataset.</w:t>
      </w:r>
    </w:p>
    <w:p>
      <w:pPr>
        <w:spacing w:after="160" w:line="276"/>
      </w:pPr>
      <w:r>
        <w:rPr>
          <w:b/>
          <w:bCs/>
        </w:rPr>
        <w:t xml:space="preserve">Subgroup error analysis: </w:t>
      </w:r>
      <w:r/>
      <w:r>
        <w:t>Misclassification rate by |K_i - A_i| decile on KNUST showed no consistent concentration of baseline errors in the high-asymmetry deciles (D4: baseline err = 0.107, D5: 0.106). The diagnostic motivating the weighting mechanism -- that baseline errors concentrate among asymmetric-profile respondents -- was not confirmed on the held-out partition. This means the weighting mechanism was not aimed at a confirmed error pattern on this dataset.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2026-08-27T12:25:41.202Z</dcterms:created>
  <dcterms:modified xsi:type="dcterms:W3CDTF">2026-08-27T12:25:41.215Z</dcterms:modified>
</cp:coreProperties>
</file>

<file path=docProps/custom.xml><?xml version="1.0" encoding="utf-8"?>
<Properties xmlns="http://schemas.openxmlformats.org/officeDocument/2006/custom-properties" xmlns:vt="http://schemas.openxmlformats.org/officeDocument/2006/docPropsVTypes"/>
</file>