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R10 (TWO-DATASET PIPELINE REBUILD WITH VERIFY2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R10</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1214</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[INSERT HuSSREC REFERENCE NUMBER]</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[INSERT DATE]</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t>96fa90f</w:t>
            </w:r>
            <w:r>
              <w:rPr>
                <w:rFonts w:ascii="Times New Roman" w:hAnsi="Times New Roman"/>
                <w:color w:val="000000"/>
                <w:sz w:val="18"/>
              </w:rPr>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(1214,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[INSERT HuSSREC REFERENCE NUMBER]).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estimated at 3200 students (Faculty of Business records; exact denominator to be confirmed). Data were collected on printed paper questionnaires, then typed manually into an Excel spreadsheet, then pushed to Google Forms in batches using a Google Apps Script. The script appended the paper responses in batches; a fault in the batch loop re-appended exactly two contiguous runs of already-entered rows: rows 1,589 to 2,683 (1,095 rows, re-appending earlier rows at a 500-row offset) and rows 3,184 to 4,121 (938 rows, re-appending rows 1 to 938). The 2,088 retained rows are the non-repeated rows 1 to 1,588 and 2,684 to 3,183. The export timestamps (6 to 7 July 2026, median gap 1.9 s) are transcription times, not response times, which is why no early-versus-late comparison is possible.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65.2%.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65.2%</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17 exact duplicates removed, leaving 1214 unique responses;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[INSERT HuSSREC REFERENCE NUMBER].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Exactly one Attitude item was lost. No item beyond Q11 and Q12 was affected. Straight-lining screening found zero uniform-response rows among the 2,088 retained records.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pStyle w:val="Normal"/>
      </w:pPr>
      <w:r>
        <w:rPr>
          <w:i/>
        </w:rPr>
        <w:t xml:space="preserve">Table M7a. Demographic feature encoding scheme.</w:t>
      </w:r>
    </w:p>
    <w:p>
      <w:pPr>
        <w:pStyle w:val="Normal"/>
      </w:pPr>
      <w:r>
        <w:t xml:space="preserve">Table M7a gives the encoding scheme for the five demographic predictors.</w:t>
      </w:r>
    </w:p>
    <w:tbl>
      <w:tblPr>
        <w:tblStyle w:val="TableGrid"/>
        <w:tblW w:w="8000" w:type="dxa"/>
      </w:tblPr>
      <w:tblGrid>
        <w:gridCol w:w="1200"/>
        <w:gridCol w:w="2000"/>
        <w:gridCol w:w="2400"/>
        <w:gridCol w:w="2400"/>
      </w:tblGrid>
      <w:tr>
        <w:tc>
          <w:tcPr>
            <w:tcW w:w="1200" w:type="dxa"/>
            <w:shd w:val="clear" w:color="auto" w:fill="CCCCCC"/>
          </w:tcPr>
          <w:p>
            <w:r>
              <w:rPr>
                <w:b/>
              </w:rPr>
              <w:t>Item</w:t>
            </w:r>
          </w:p>
        </w:tc>
        <w:tc>
          <w:tcPr>
            <w:tcW w:w="2000" w:type="dxa"/>
            <w:shd w:val="clear" w:color="auto" w:fill="CCCCCC"/>
          </w:tcPr>
          <w:p>
            <w:r>
              <w:rPr>
                <w:b/>
              </w:rPr>
              <w:t>Type</w:t>
            </w:r>
          </w:p>
        </w:tc>
        <w:tc>
          <w:tcPr>
            <w:tcW w:w="2400" w:type="dxa"/>
            <w:shd w:val="clear" w:color="auto" w:fill="CCCCCC"/>
          </w:tcPr>
          <w:p>
            <w:r>
              <w:rPr>
                <w:b/>
              </w:rPr>
              <w:t>Levels</w:t>
            </w:r>
          </w:p>
        </w:tc>
        <w:tc>
          <w:tcPr>
            <w:tcW w:w="2400" w:type="dxa"/>
            <w:shd w:val="clear" w:color="auto" w:fill="CCCCCC"/>
          </w:tcPr>
          <w:p>
            <w:r>
              <w:rPr>
                <w:b/>
              </w:rPr>
              <w:t>Encoded values</w:t>
            </w:r>
          </w:p>
        </w:tc>
      </w:tr>
      <w:tr>
        <w:tc>
          <w:tcPr>
            <w:tcW w:w="1200" w:type="dxa"/>
          </w:tcPr>
          <w:p>
            <w:r>
              <w:t>Q1 Gender</w:t>
            </w:r>
          </w:p>
        </w:tc>
        <w:tc>
          <w:tcPr>
            <w:tcW w:w="2000" w:type="dxa"/>
          </w:tcPr>
          <w:p>
            <w:r>
              <w:t>Binary</w:t>
            </w:r>
          </w:p>
        </w:tc>
        <w:tc>
          <w:tcPr>
            <w:tcW w:w="2400" w:type="dxa"/>
          </w:tcPr>
          <w:p>
            <w:r>
              <w:t>Male, Female</w:t>
            </w:r>
          </w:p>
        </w:tc>
        <w:tc>
          <w:tcPr>
            <w:tcW w:w="2400" w:type="dxa"/>
          </w:tcPr>
          <w:p>
            <w:r>
              <w:t>Male=1, else=0</w:t>
            </w:r>
          </w:p>
        </w:tc>
      </w:tr>
      <w:tr>
        <w:tc>
          <w:tcPr>
            <w:tcW w:w="1200" w:type="dxa"/>
          </w:tcPr>
          <w:p>
            <w:r>
              <w:t>Q2 Year</w:t>
            </w:r>
          </w:p>
        </w:tc>
        <w:tc>
          <w:tcPr>
            <w:tcW w:w="2000" w:type="dxa"/>
          </w:tcPr>
          <w:p>
            <w:r>
              <w:t>Ordinal</w:t>
            </w:r>
          </w:p>
        </w:tc>
        <w:tc>
          <w:tcPr>
            <w:tcW w:w="2400" w:type="dxa"/>
          </w:tcPr>
          <w:p>
            <w:r>
              <w:t>Year 2, Year 3, Year 4</w:t>
            </w:r>
          </w:p>
        </w:tc>
        <w:tc>
          <w:tcPr>
            <w:tcW w:w="2400" w:type="dxa"/>
          </w:tcPr>
          <w:p>
            <w:r>
              <w:t>2, 3, 4</w:t>
            </w:r>
          </w:p>
        </w:tc>
      </w:tr>
      <w:tr>
        <w:tc>
          <w:tcPr>
            <w:tcW w:w="1200" w:type="dxa"/>
          </w:tcPr>
          <w:p>
            <w:r>
              <w:t>Q3 IT course</w:t>
            </w:r>
          </w:p>
        </w:tc>
        <w:tc>
          <w:tcPr>
            <w:tcW w:w="2000" w:type="dxa"/>
          </w:tcPr>
          <w:p>
            <w:r>
              <w:t>Binary</w:t>
            </w:r>
          </w:p>
        </w:tc>
        <w:tc>
          <w:tcPr>
            <w:tcW w:w="2400" w:type="dxa"/>
          </w:tcPr>
          <w:p>
            <w:r>
              <w:t>Yes, No</w:t>
            </w:r>
          </w:p>
        </w:tc>
        <w:tc>
          <w:tcPr>
            <w:tcW w:w="2400" w:type="dxa"/>
          </w:tcPr>
          <w:p>
            <w:r>
              <w:t>Yes=1, No=0</w:t>
            </w:r>
          </w:p>
        </w:tc>
      </w:tr>
      <w:tr>
        <w:tc>
          <w:tcPr>
            <w:tcW w:w="1200" w:type="dxa"/>
          </w:tcPr>
          <w:p>
            <w:r>
              <w:t>Q4 Internet years</w:t>
            </w:r>
          </w:p>
        </w:tc>
        <w:tc>
          <w:tcPr>
            <w:tcW w:w="2000" w:type="dxa"/>
          </w:tcPr>
          <w:p>
            <w:r>
              <w:t>Ordinal</w:t>
            </w:r>
          </w:p>
        </w:tc>
        <w:tc>
          <w:tcPr>
            <w:tcW w:w="2400" w:type="dxa"/>
          </w:tcPr>
          <w:p>
            <w:r>
              <w:t>Less than 2 yrs, 2-5 yrs, More than 5 yrs</w:t>
            </w:r>
          </w:p>
        </w:tc>
        <w:tc>
          <w:tcPr>
            <w:tcW w:w="2400" w:type="dxa"/>
          </w:tcPr>
          <w:p>
            <w:r>
              <w:t>1, 2, 3</w:t>
            </w:r>
          </w:p>
        </w:tc>
      </w:tr>
      <w:tr>
        <w:tc>
          <w:tcPr>
            <w:tcW w:w="1200" w:type="dxa"/>
          </w:tcPr>
          <w:p>
            <w:r>
              <w:t>Q5 Tool use</w:t>
            </w:r>
          </w:p>
        </w:tc>
        <w:tc>
          <w:tcPr>
            <w:tcW w:w="2000" w:type="dxa"/>
          </w:tcPr>
          <w:p>
            <w:r>
              <w:t>Ordinal</w:t>
            </w:r>
          </w:p>
        </w:tc>
        <w:tc>
          <w:tcPr>
            <w:tcW w:w="2400" w:type="dxa"/>
          </w:tcPr>
          <w:p>
            <w:r>
              <w:t>Rarely, Sometimes, Often, Very often</w:t>
            </w:r>
          </w:p>
        </w:tc>
        <w:tc>
          <w:tcPr>
            <w:tcW w:w="2400" w:type="dxa"/>
          </w:tcPr>
          <w:p>
            <w:r>
              <w:t>1, 2, 3, 4</w:t>
            </w:r>
          </w:p>
        </w:tc>
      </w:tr>
    </w:tbl>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1015 (48.6%), High 1073 (51.4%). Alzubaidi: Low 567 (46.7%), High 647 (53.3%).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only for the confusion matrices, McNemar test, AUC, SHAP and robustness in R6/R7/R11. Average tuned depths across folds: KNUST baseline 2.22 / WCE 2.26; Alzubaidi baseline 2 / WCE 2. Average tuned lambda (KNUST): 1.385. Lambda and depth are tuned per fold via 3-fold inner CV.</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Eight comparators on each dataset: Baseline XGBoost (independently tuned), stock scale_pos_weight XGBoost, Decision Tree, Naive Bayes, Logistic Regression (scaled), SVM (scaled), Random Forest, and the proposed KAB-XGBoost-WCE. Each tunable model receives its own GridSearchCV on the training folds, on both datasets.</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instances where K_agg &lt; median(K_agg) OR A_agg &lt; median(A_agg), the per-instance weight is w_i = lambda; all other instances receive w_i = 1.0. The weight targets low-knowledge or negative-attitude instances regardless of class label. Lambda is tuned per fold. The full definition is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tunes max_depth over {2,3,5,7} with its own GridSearchCV, independent of the WCE tuning,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{2,3,5} x lambda {1.25,1.5}</w:t>
            </w:r>
          </w:p>
        </w:tc>
        <w:tc>
          <w:tcPr>
            <w:tcW w:type="dxa" w:w="2160"/>
          </w:tcPr>
          <w:p>
            <w:r/>
            <w:r>
              <w:rPr>
                <w:rFonts w:ascii="Times New Roman" w:hAnsi="Times New Roman"/>
                <w:color w:val="000000"/>
                <w:sz w:val="18"/>
              </w:rPr>
              <w:t>avg depth 2.26, lam 1.385</w:t>
            </w:r>
          </w:p>
        </w:tc>
        <w:tc>
          <w:tcPr>
            <w:tcW w:type="dxa" w:w="2160"/>
          </w:tcPr>
          <w:p>
            <w:r/>
            <w:r>
              <w:rPr>
                <w:rFonts w:ascii="Times New Roman" w:hAnsi="Times New Roman"/>
                <w:color w:val="000000"/>
                <w:sz w:val="18"/>
              </w:rPr>
              <w:t>depth 2, lam 1.25</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300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(seven comparators plus the proposed KAB-XGBoost-WCE),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vanilla depth 5, B depth 3, C depth 5 with weights, D depth 3 with weights), all from the same 5 x 10-fold protocol. Primary test: Wilcoxon signed-rank on 50 paired folds with W+, W-, p, fold-win and ties reported.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item-level mapping.</w:t>
      </w:r>
    </w:p>
    <w:p>
      <w:pPr>
        <w:spacing w:after="80" w:line="360" w:lineRule="auto"/>
        <w:jc w:val="both"/>
      </w:pPr>
      <w:r>
        <w:rPr>
          <w:rFonts w:ascii="Times New Roman" w:hAnsi="Times New Roman"/>
          <w:b w:val="0"/>
          <w:i/>
          <w:color w:val="000000"/>
          <w:sz w:val="20"/>
        </w:rPr>
        <w:t>Table M18a. Item-level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at matched depth (both models run at WCE-tuned depth): baseline 12.4 ms, WCE 12.7 ms on KNUST; baseline 10.5 ms, WCE 10.6 ms on Alzubaidi. The 0.3 ms or 0.1 ms difference is scheduling noise. No performance-per-cost claim is made.</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+0.0182 macro F1 while the weighting contributes +0.0010,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p>
            <w:r>
              <w:rPr>
                <w:rFonts w:ascii="Times New Roman" w:hAnsi="Times New Roman"/>
                <w:color w:val="000000"/>
                <w:sz w:val="18"/>
                <w:i/>
              </w:rPr>
              <w:t>Answer: The weighting adds no measurable value (+0.0026 at depth 5, -0.0033 at depth 3); WCE does not beat the baseline on either dataset.</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p>
            <w:r>
              <w:rPr>
                <w:rFonts w:ascii="Times New Roman" w:hAnsi="Times New Roman"/>
                <w:color w:val="000000"/>
                <w:sz w:val="18"/>
                <w:i/>
              </w:rPr>
              <w:t>Answer: WCE is outperformed by Naive Bayes (p = 0.024) on KNUST; no comparator significantly beats WCE on Alzubaidi (WCE 0.6897 is the highest mean, though no pairwise comparison is significant).</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p>
            <w:r>
              <w:rPr>
                <w:rFonts w:ascii="Times New Roman" w:hAnsi="Times New Roman"/>
                <w:color w:val="000000"/>
                <w:sz w:val="18"/>
                <w:i/>
              </w:rPr>
              <w:t>Answer: K_agg and A_agg rank first and second on KNUST; A_agg ranks first on Alzubaidi. This supports the KAB framework as a theoretical organiser, not as a weighting mechanism.</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positive (Low predicted High) = at-risk student missed, receives no intervention</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96fa90f.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