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R10 (TWO-DATASET PIPELINE REBUILD WITH VERIFY2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R10</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1015 (48.6%), High 1073 (51.4%); X.shape (2088, 17). Alzubaidi: 17 duplicates removed from raw 1231, leaving 1214 unique responses. Alzubaidi: 1214 responses (17 duplicates removed from raw 1231); Low 567 (46.7%), High 647 (53.3%); X.shape (1214,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0.6518 (SD 0.0332) versus Baseline XGBoost 0.6500 (SD 0.0347); the gain is +0.0018 and is not significant (Wilcoxon W+ = 674, W− = 551, ties = 1, p = 0.5407, r = 0.0874). On Alzubaidi, KAB-XGBoost-WCE scored 0.6897 (SD 0.0525) versus Baseline 0.6870 (SD 0.0495); the gain is +0.0026 and is not significant (Wilcoxon W+ = 580, W− = 410, ties = 6, p = 0.3212, r = 0.1495). The weighting mechanism produces no measurable advantage on either dataset. KAB-XGBoost-WCE does not outperform baseline XGBoost on either leg; this null result is the primary finding of the study. On KNUST, one comparator scores above WCE with a significant difference: Naive Bayes at 0.6598 (Wilcoxon p = 0.0236, r = 0.3188). Logistic Regression (0.6559) and SVM (0.6545) also score above WCE but not by a significant margin. On Alzubaidi, KAB-XGBoost-WCE at 0.6897 is the highest mean across all eight models; no comparator beats it.</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0.6518</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0.6500</w:t>
            </w:r>
          </w:p>
        </w:tc>
        <w:tc>
          <w:tcPr>
            <w:tcW w:type="dxa" w:w="2160"/>
          </w:tcPr>
          <w:p>
            <w:r/>
            <w:r>
              <w:rPr>
                <w:rFonts w:ascii="Times New Roman" w:hAnsi="Times New Roman"/>
                <w:color w:val="000000"/>
                <w:sz w:val="18"/>
              </w:rPr>
              <w:t>0.0347</w:t>
            </w:r>
          </w:p>
        </w:tc>
        <w:tc>
          <w:tcPr>
            <w:tcW w:type="dxa" w:w="2160"/>
          </w:tcPr>
          <w:p>
            <w:r/>
            <w:r>
              <w:rPr>
                <w:rFonts w:ascii="Times New Roman" w:hAnsi="Times New Roman"/>
                <w:color w:val="000000"/>
                <w:sz w:val="18"/>
              </w:rPr>
              <w:t>+0.0004</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0.6520</w:t>
            </w:r>
          </w:p>
        </w:tc>
        <w:tc>
          <w:tcPr>
            <w:tcW w:type="dxa" w:w="2160"/>
          </w:tcPr>
          <w:p>
            <w:r/>
            <w:r>
              <w:rPr>
                <w:rFonts w:ascii="Times New Roman" w:hAnsi="Times New Roman"/>
                <w:color w:val="000000"/>
                <w:sz w:val="18"/>
              </w:rPr>
              <w:t>0.0365</w:t>
            </w:r>
          </w:p>
        </w:tc>
        <w:tc>
          <w:tcPr>
            <w:tcW w:type="dxa" w:w="2160"/>
          </w:tcPr>
          <w:p>
            <w:r/>
            <w:r>
              <w:rPr>
                <w:rFonts w:ascii="Times New Roman" w:hAnsi="Times New Roman"/>
                <w:color w:val="000000"/>
                <w:sz w:val="18"/>
              </w:rPr>
              <w:t>-0.0015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0.6198</w:t>
            </w:r>
          </w:p>
        </w:tc>
        <w:tc>
          <w:tcPr>
            <w:tcW w:type="dxa" w:w="2160"/>
          </w:tcPr>
          <w:p>
            <w:r/>
            <w:r>
              <w:rPr>
                <w:rFonts w:ascii="Times New Roman" w:hAnsi="Times New Roman"/>
                <w:color w:val="000000"/>
                <w:sz w:val="18"/>
              </w:rPr>
              <w:t>0.0388</w:t>
            </w:r>
          </w:p>
        </w:tc>
        <w:tc>
          <w:tcPr>
            <w:tcW w:type="dxa" w:w="2160"/>
          </w:tcPr>
          <w:p>
            <w:r/>
            <w:r>
              <w:rPr>
                <w:rFonts w:ascii="Times New Roman" w:hAnsi="Times New Roman"/>
                <w:color w:val="000000"/>
                <w:sz w:val="18"/>
              </w:rPr>
              <w:t>-0.0357</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0.6598</w:t>
            </w:r>
          </w:p>
        </w:tc>
        <w:tc>
          <w:tcPr>
            <w:tcW w:type="dxa" w:w="2160"/>
          </w:tcPr>
          <w:p>
            <w:r/>
            <w:r>
              <w:rPr>
                <w:rFonts w:ascii="Times New Roman" w:hAnsi="Times New Roman"/>
                <w:color w:val="000000"/>
                <w:sz w:val="18"/>
              </w:rPr>
              <w:t>0.0320</w:t>
            </w:r>
          </w:p>
        </w:tc>
        <w:tc>
          <w:tcPr>
            <w:tcW w:type="dxa" w:w="2160"/>
          </w:tcPr>
          <w:p>
            <w:r/>
            <w:r>
              <w:rPr>
                <w:rFonts w:ascii="Times New Roman" w:hAnsi="Times New Roman"/>
                <w:color w:val="000000"/>
                <w:sz w:val="18"/>
              </w:rPr>
              <w:t>+0.0080</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0.6559</w:t>
            </w:r>
          </w:p>
        </w:tc>
        <w:tc>
          <w:tcPr>
            <w:tcW w:type="dxa" w:w="2160"/>
          </w:tcPr>
          <w:p>
            <w:r/>
            <w:r>
              <w:rPr>
                <w:rFonts w:ascii="Times New Roman" w:hAnsi="Times New Roman"/>
                <w:color w:val="000000"/>
                <w:sz w:val="18"/>
              </w:rPr>
              <w:t>0.0309</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0.6545</w:t>
            </w:r>
          </w:p>
        </w:tc>
        <w:tc>
          <w:tcPr>
            <w:tcW w:type="dxa" w:w="2160"/>
          </w:tcPr>
          <w:p>
            <w:r/>
            <w:r>
              <w:rPr>
                <w:rFonts w:ascii="Times New Roman" w:hAnsi="Times New Roman"/>
                <w:color w:val="000000"/>
                <w:sz w:val="18"/>
              </w:rPr>
              <w:t>0.0362</w:t>
            </w:r>
          </w:p>
        </w:tc>
        <w:tc>
          <w:tcPr>
            <w:tcW w:type="dxa" w:w="2160"/>
          </w:tcPr>
          <w:p>
            <w:r/>
            <w:r>
              <w:rPr>
                <w:rFonts w:ascii="Times New Roman" w:hAnsi="Times New Roman"/>
                <w:color w:val="000000"/>
                <w:sz w:val="18"/>
              </w:rPr>
              <w:t>+0.0027</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0.6397</w:t>
            </w:r>
          </w:p>
        </w:tc>
        <w:tc>
          <w:tcPr>
            <w:tcW w:type="dxa" w:w="2160"/>
          </w:tcPr>
          <w:p>
            <w:r/>
            <w:r>
              <w:rPr>
                <w:rFonts w:ascii="Times New Roman" w:hAnsi="Times New Roman"/>
                <w:color w:val="000000"/>
                <w:sz w:val="18"/>
              </w:rPr>
              <w:t>0.0330</w:t>
            </w:r>
          </w:p>
        </w:tc>
        <w:tc>
          <w:tcPr>
            <w:tcW w:type="dxa" w:w="2160"/>
          </w:tcPr>
          <w:p>
            <w:r/>
            <w:r>
              <w:rPr>
                <w:rFonts w:ascii="Times New Roman" w:hAnsi="Times New Roman"/>
                <w:color w:val="000000"/>
                <w:sz w:val="18"/>
              </w:rPr>
              <w:t>-0.0121</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0.6897</w:t>
            </w:r>
          </w:p>
        </w:tc>
        <w:tc>
          <w:tcPr>
            <w:tcW w:type="dxa" w:w="2160"/>
          </w:tcPr>
          <w:p>
            <w:r/>
            <w:r>
              <w:rPr>
                <w:rFonts w:ascii="Times New Roman" w:hAnsi="Times New Roman"/>
                <w:color w:val="000000"/>
                <w:sz w:val="18"/>
              </w:rPr>
              <w:t>0.0525</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0.6870</w:t>
            </w:r>
          </w:p>
        </w:tc>
        <w:tc>
          <w:tcPr>
            <w:tcW w:type="dxa" w:w="2160"/>
          </w:tcPr>
          <w:p>
            <w:r/>
            <w:r>
              <w:rPr>
                <w:rFonts w:ascii="Times New Roman" w:hAnsi="Times New Roman"/>
                <w:color w:val="000000"/>
                <w:sz w:val="18"/>
              </w:rPr>
              <w:t>0.0495</w:t>
            </w:r>
          </w:p>
        </w:tc>
        <w:tc>
          <w:tcPr>
            <w:tcW w:type="dxa" w:w="2160"/>
          </w:tcPr>
          <w:p>
            <w:r/>
            <w:r>
              <w:rPr>
                <w:rFonts w:ascii="Times New Roman" w:hAnsi="Times New Roman"/>
                <w:color w:val="000000"/>
                <w:sz w:val="18"/>
              </w:rPr>
              <w:t>-0.0019</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0.6849</w:t>
            </w:r>
          </w:p>
        </w:tc>
        <w:tc>
          <w:tcPr>
            <w:tcW w:type="dxa" w:w="2160"/>
          </w:tcPr>
          <w:p>
            <w:r/>
            <w:r>
              <w:rPr>
                <w:rFonts w:ascii="Times New Roman" w:hAnsi="Times New Roman"/>
                <w:color w:val="000000"/>
                <w:sz w:val="18"/>
              </w:rPr>
              <w:t>0.0402</w:t>
            </w:r>
          </w:p>
        </w:tc>
        <w:tc>
          <w:tcPr>
            <w:tcW w:type="dxa" w:w="2160"/>
          </w:tcPr>
          <w:p>
            <w:r/>
            <w:r>
              <w:rPr>
                <w:rFonts w:ascii="Times New Roman" w:hAnsi="Times New Roman"/>
                <w:color w:val="000000"/>
                <w:sz w:val="18"/>
              </w:rPr>
              <w:t>-0.0017</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0.6566</w:t>
            </w:r>
          </w:p>
        </w:tc>
        <w:tc>
          <w:tcPr>
            <w:tcW w:type="dxa" w:w="2160"/>
          </w:tcPr>
          <w:p>
            <w:r/>
            <w:r>
              <w:rPr>
                <w:rFonts w:ascii="Times New Roman" w:hAnsi="Times New Roman"/>
                <w:color w:val="000000"/>
                <w:sz w:val="18"/>
              </w:rPr>
              <w:t>0.0465</w:t>
            </w:r>
          </w:p>
        </w:tc>
        <w:tc>
          <w:tcPr>
            <w:tcW w:type="dxa" w:w="2160"/>
          </w:tcPr>
          <w:p>
            <w:r/>
            <w:r>
              <w:rPr>
                <w:rFonts w:ascii="Times New Roman" w:hAnsi="Times New Roman"/>
                <w:color w:val="000000"/>
                <w:sz w:val="18"/>
              </w:rPr>
              <w:t>-0.0300</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0.6552</w:t>
            </w:r>
          </w:p>
        </w:tc>
        <w:tc>
          <w:tcPr>
            <w:tcW w:type="dxa" w:w="2160"/>
          </w:tcPr>
          <w:p>
            <w:r/>
            <w:r>
              <w:rPr>
                <w:rFonts w:ascii="Times New Roman" w:hAnsi="Times New Roman"/>
                <w:color w:val="000000"/>
                <w:sz w:val="18"/>
              </w:rPr>
              <w:t>0.0500</w:t>
            </w:r>
          </w:p>
        </w:tc>
        <w:tc>
          <w:tcPr>
            <w:tcW w:type="dxa" w:w="2160"/>
          </w:tcPr>
          <w:p>
            <w:r/>
            <w:r>
              <w:rPr>
                <w:rFonts w:ascii="Times New Roman" w:hAnsi="Times New Roman"/>
                <w:color w:val="000000"/>
                <w:sz w:val="18"/>
              </w:rPr>
              <w:t>-0.0314</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0.6838</w:t>
            </w:r>
          </w:p>
        </w:tc>
        <w:tc>
          <w:tcPr>
            <w:tcW w:type="dxa" w:w="2160"/>
          </w:tcPr>
          <w:p>
            <w:r/>
            <w:r>
              <w:rPr>
                <w:rFonts w:ascii="Times New Roman" w:hAnsi="Times New Roman"/>
                <w:color w:val="000000"/>
                <w:sz w:val="18"/>
              </w:rPr>
              <w:t>0.0403</w:t>
            </w:r>
          </w:p>
        </w:tc>
        <w:tc>
          <w:tcPr>
            <w:tcW w:type="dxa" w:w="2160"/>
          </w:tcPr>
          <w:p>
            <w:r/>
            <w:r>
              <w:rPr>
                <w:rFonts w:ascii="Times New Roman" w:hAnsi="Times New Roman"/>
                <w:color w:val="000000"/>
                <w:sz w:val="18"/>
              </w:rPr>
              <w:t>+0.0051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0.6737</w:t>
            </w:r>
          </w:p>
        </w:tc>
        <w:tc>
          <w:tcPr>
            <w:tcW w:type="dxa" w:w="2160"/>
          </w:tcPr>
          <w:p>
            <w:r/>
            <w:r>
              <w:rPr>
                <w:rFonts w:ascii="Times New Roman" w:hAnsi="Times New Roman"/>
                <w:color w:val="000000"/>
                <w:sz w:val="18"/>
              </w:rPr>
              <w:t>0.0423</w:t>
            </w:r>
          </w:p>
        </w:tc>
        <w:tc>
          <w:tcPr>
            <w:tcW w:type="dxa" w:w="2160"/>
          </w:tcPr>
          <w:p>
            <w:r/>
            <w:r>
              <w:rPr>
                <w:rFonts w:ascii="Times New Roman" w:hAnsi="Times New Roman"/>
                <w:color w:val="000000"/>
                <w:sz w:val="18"/>
              </w:rPr>
              <w:t>-0.0129</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0.6834</w:t>
            </w:r>
          </w:p>
        </w:tc>
        <w:tc>
          <w:tcPr>
            <w:tcW w:type="dxa" w:w="2160"/>
          </w:tcPr>
          <w:p>
            <w:r/>
            <w:r>
              <w:rPr>
                <w:rFonts w:ascii="Times New Roman" w:hAnsi="Times New Roman"/>
                <w:color w:val="000000"/>
                <w:sz w:val="18"/>
              </w:rPr>
              <w:t>0.0366</w:t>
            </w:r>
          </w:p>
        </w:tc>
        <w:tc>
          <w:tcPr>
            <w:tcW w:type="dxa" w:w="2160"/>
          </w:tcPr>
          <w:p>
            <w:r/>
            <w:r>
              <w:rPr>
                <w:rFonts w:ascii="Times New Roman" w:hAnsi="Times New Roman"/>
                <w:color w:val="000000"/>
                <w:sz w:val="18"/>
              </w:rPr>
              <w:t>-0.0032</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674, W− = 551, ties = 1, n_nontied = 49, p = 0.5407, effect r = 0.0874, delta = +0.0018. The difference is not significant. The point estimate favours WCE. The 50-row CSV allows independent recomputation. The null result is consistent across all five random seeds tested (seeds 0, 7, 13, 21, 42; all Wilcoxon p &gt; 0.05).</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580, W− = 410, ties = 6, n_nontied = 44, p = 0.3212, effect r = 0.1495, delta = +0.0026. The difference is not significant. The R09 finding (p = 0.0098, WCE significantly worse) is not reproduced in R10: the earlier result was caused by an incorrect tie rule in the Alzubaidi label construction, now corrected (N4 fix). Across both legs the weighting is neutral. No cross-dataset performance transfer is claimed; the Alzubaidi construct mapping is imposed (M18), so the leg is read only as a stress-test.</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use the same 5 x 10-fold splits as Table 3a, but with fixed depth (5 or 3) and fixed lambda (1.5 in Arms C and D). The Table 3a WCE row uses depth and lambda tuned within each fold, which is why Arm D (0.6459) and the Table 3a WCE row (0.6507) differ slightly. Arm A (vanilla, depth 5): 0.6300 (SD 0.0356). Arm B (depth 3, no weights): 0.6492 (SD 0.0353). Arm C (depth 5, WCE): 0.6326 (SD 0.0320). Arm D (depth 3, WCE): 0.6459 (SD 0.0358). Depth contribution (B - A) = +0.0191, Wilcoxon p &lt; 0.001. Weight contribution at depth 5 (C - A) = +0.0026, p = 0.149. Weight contribution at depth 3 (D - B) = -0.0033, p = 0.137. Depth regularisation is the only statistically significant contributor. The KAB weighting adds no value beyond what depth tuning provides.</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Vanilla, depth 5</w:t>
            </w:r>
          </w:p>
        </w:tc>
        <w:tc>
          <w:tcPr>
            <w:tcW w:type="dxa" w:w="2160"/>
          </w:tcPr>
          <w:p>
            <w:r/>
            <w:r>
              <w:rPr>
                <w:rFonts w:ascii="Times New Roman" w:hAnsi="Times New Roman"/>
                <w:color w:val="000000"/>
                <w:sz w:val="18"/>
              </w:rPr>
              <w:t>0.6300</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Depth 3</w:t>
            </w:r>
          </w:p>
        </w:tc>
        <w:tc>
          <w:tcPr>
            <w:tcW w:type="dxa" w:w="2160"/>
          </w:tcPr>
          <w:p>
            <w:r/>
            <w:r>
              <w:rPr>
                <w:rFonts w:ascii="Times New Roman" w:hAnsi="Times New Roman"/>
                <w:color w:val="000000"/>
                <w:sz w:val="18"/>
              </w:rPr>
              <w:t>0.6492</w:t>
            </w:r>
          </w:p>
        </w:tc>
        <w:tc>
          <w:tcPr>
            <w:tcW w:type="dxa" w:w="2160"/>
          </w:tcPr>
          <w:p>
            <w:r/>
            <w:r>
              <w:rPr>
                <w:rFonts w:ascii="Times New Roman" w:hAnsi="Times New Roman"/>
                <w:color w:val="000000"/>
                <w:sz w:val="18"/>
              </w:rPr>
              <w:t>+0.0191</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Depth 5, weights</w:t>
            </w:r>
          </w:p>
        </w:tc>
        <w:tc>
          <w:tcPr>
            <w:tcW w:type="dxa" w:w="2160"/>
          </w:tcPr>
          <w:p>
            <w:r/>
            <w:r>
              <w:rPr>
                <w:rFonts w:ascii="Times New Roman" w:hAnsi="Times New Roman"/>
                <w:color w:val="000000"/>
                <w:sz w:val="18"/>
              </w:rPr>
              <w:t>0.6326</w:t>
            </w:r>
          </w:p>
        </w:tc>
        <w:tc>
          <w:tcPr>
            <w:tcW w:type="dxa" w:w="2160"/>
          </w:tcPr>
          <w:p>
            <w:r/>
            <w:r>
              <w:rPr>
                <w:rFonts w:ascii="Times New Roman" w:hAnsi="Times New Roman"/>
                <w:color w:val="000000"/>
                <w:sz w:val="18"/>
              </w:rPr>
              <w:t>+0.0026</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Full WCE, depth 3, weights</w:t>
            </w:r>
          </w:p>
        </w:tc>
        <w:tc>
          <w:tcPr>
            <w:tcW w:type="dxa" w:w="2160"/>
          </w:tcPr>
          <w:p>
            <w:r/>
            <w:r>
              <w:rPr>
                <w:rFonts w:ascii="Times New Roman" w:hAnsi="Times New Roman"/>
                <w:color w:val="000000"/>
                <w:sz w:val="18"/>
              </w:rPr>
              <w:t>0.6459</w:t>
            </w:r>
          </w:p>
        </w:tc>
        <w:tc>
          <w:tcPr>
            <w:tcW w:type="dxa" w:w="2160"/>
          </w:tcPr>
          <w:p>
            <w:r/>
            <w:r>
              <w:rPr>
                <w:rFonts w:ascii="Times New Roman" w:hAnsi="Times New Roman"/>
                <w:color w:val="000000"/>
                <w:sz w:val="18"/>
              </w:rPr>
              <w:t>-0.0033 (vs B)</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fold-refit WCE models (no data leakage; N2 fix). On KNUST the top features by mean absolute SHAP value are K_agg (0.455) and A_agg (0.356), confirming that the Knowledge and Attitude aggregates carry the most predictive signal. On Alzubaidi the top feature is B18_3 (0.397) followed by A_agg (0.336); K_agg ranks seventh (0.160), consistent with the weak Knowledge mapping noted in M18. Importance is associational only. The dominance of K_agg and A_agg across both datasets supports the KAB theoretical framing even where the weighting mechanism itself does not improve accuracy.</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0.455</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0.356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w:t>
            </w:r>
          </w:p>
        </w:tc>
        <w:tc>
          <w:tcPr>
            <w:tcW w:type="dxa" w:w="2880"/>
          </w:tcPr>
          <w:p>
            <w:r/>
            <w:r>
              <w:rPr>
                <w:rFonts w:ascii="Times New Roman" w:hAnsi="Times New Roman"/>
                <w:color w:val="000000"/>
                <w:sz w:val="18"/>
              </w:rPr>
              <w:t>0.194</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Q4</w:t>
            </w:r>
          </w:p>
        </w:tc>
        <w:tc>
          <w:tcPr>
            <w:tcW w:type="dxa" w:w="2880"/>
          </w:tcPr>
          <w:p>
            <w:r/>
            <w:r>
              <w:rPr>
                <w:rFonts w:ascii="Times New Roman" w:hAnsi="Times New Roman"/>
                <w:color w:val="000000"/>
                <w:sz w:val="18"/>
              </w:rPr>
              <w:t>0.125</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w:t>
            </w:r>
          </w:p>
        </w:tc>
        <w:tc>
          <w:tcPr>
            <w:tcW w:type="dxa" w:w="2880"/>
          </w:tcPr>
          <w:p>
            <w:r/>
            <w:r>
              <w:rPr>
                <w:rFonts w:ascii="Times New Roman" w:hAnsi="Times New Roman"/>
                <w:color w:val="000000"/>
                <w:sz w:val="18"/>
              </w:rPr>
              <w:t>0.114</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0.110</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Q10</w:t>
            </w:r>
          </w:p>
        </w:tc>
        <w:tc>
          <w:tcPr>
            <w:tcW w:type="dxa" w:w="2880"/>
          </w:tcPr>
          <w:p>
            <w:r/>
            <w:r>
              <w:rPr>
                <w:rFonts w:ascii="Times New Roman" w:hAnsi="Times New Roman"/>
                <w:color w:val="000000"/>
                <w:sz w:val="18"/>
              </w:rPr>
              <w:t>0.102</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0.135</w:t>
            </w:r>
          </w:p>
        </w:tc>
      </w:tr>
    </w:tbl>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0.336</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0.397</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0.312</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0.244</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0.210</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0.187</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0.160</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B19_0</w:t>
            </w:r>
          </w:p>
        </w:tc>
        <w:tc>
          <w:tcPr>
            <w:tcW w:type="dxa" w:w="2880"/>
          </w:tcPr>
          <w:p>
            <w:r/>
            <w:r>
              <w:rPr>
                <w:rFonts w:ascii="Times New Roman" w:hAnsi="Times New Roman"/>
                <w:color w:val="000000"/>
                <w:sz w:val="18"/>
              </w:rPr>
              <w:t>0.101</w:t>
            </w:r>
          </w:p>
        </w:tc>
      </w:tr>
    </w:tbl>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154, FP 80, FN 71, TP 113; the WCE matrix is TN 161, FP 73, FN 74, TP 110. A false positive is a Low-readiness student predicted High, that is an at-risk student missed who receives no intervention. WCE reduced false positives from 80 to 73 (-7 cases). WCE macro-F1 = 0.643, AUC = 0.702. Baseline macro-F1 = 0.640, AUC = 0.692. The direction of FP reduction is consistent with the cost story, but the size is small.</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0.654</w:t>
            </w:r>
          </w:p>
        </w:tc>
        <w:tc>
          <w:tcPr>
            <w:tcW w:type="dxa" w:w="1728"/>
          </w:tcPr>
          <w:p>
            <w:r/>
            <w:r>
              <w:rPr>
                <w:rFonts w:ascii="Times New Roman" w:hAnsi="Times New Roman"/>
                <w:color w:val="000000"/>
                <w:sz w:val="18"/>
              </w:rPr>
              <w:t>0.684</w:t>
            </w:r>
          </w:p>
        </w:tc>
        <w:tc>
          <w:tcPr>
            <w:tcW w:type="dxa" w:w="1728"/>
          </w:tcPr>
          <w:p>
            <w:r/>
            <w:r>
              <w:rPr>
                <w:rFonts w:ascii="Times New Roman" w:hAnsi="Times New Roman"/>
                <w:color w:val="000000"/>
                <w:sz w:val="18"/>
              </w:rPr>
              <w:t>0.669</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0.618</w:t>
            </w:r>
          </w:p>
        </w:tc>
        <w:tc>
          <w:tcPr>
            <w:tcW w:type="dxa" w:w="1728"/>
          </w:tcPr>
          <w:p>
            <w:r/>
            <w:r>
              <w:rPr>
                <w:rFonts w:ascii="Times New Roman" w:hAnsi="Times New Roman"/>
                <w:color w:val="000000"/>
                <w:sz w:val="18"/>
              </w:rPr>
              <w:t>0.596</w:t>
            </w:r>
          </w:p>
        </w:tc>
        <w:tc>
          <w:tcPr>
            <w:tcW w:type="dxa" w:w="1728"/>
          </w:tcPr>
          <w:p>
            <w:r/>
            <w:r>
              <w:rPr>
                <w:rFonts w:ascii="Times New Roman" w:hAnsi="Times New Roman"/>
                <w:color w:val="000000"/>
                <w:sz w:val="18"/>
              </w:rPr>
              <w:t>0.607</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0.620</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0.590</w:t>
            </w:r>
          </w:p>
        </w:tc>
        <w:tc>
          <w:tcPr>
            <w:tcW w:type="dxa" w:w="1728"/>
          </w:tcPr>
          <w:p>
            <w:r/>
            <w:r>
              <w:rPr>
                <w:rFonts w:ascii="Times New Roman" w:hAnsi="Times New Roman"/>
                <w:color w:val="000000"/>
                <w:sz w:val="18"/>
              </w:rPr>
              <w:t>0.590</w:t>
            </w:r>
          </w:p>
        </w:tc>
        <w:tc>
          <w:tcPr>
            <w:tcW w:type="dxa" w:w="1728"/>
          </w:tcPr>
          <w:p>
            <w:r/>
            <w:r>
              <w:rPr>
                <w:rFonts w:ascii="Times New Roman" w:hAnsi="Times New Roman"/>
                <w:color w:val="000000"/>
                <w:sz w:val="18"/>
              </w:rPr>
              <w:t>0.590</w:t>
            </w:r>
          </w:p>
        </w:tc>
      </w:tr>
    </w:tbl>
    <w:p/>
    <w:p>
      <w:pPr>
        <w:spacing w:after="160" w:line="360" w:lineRule="auto"/>
        <w:jc w:val="both"/>
      </w:pPr>
      <w:r>
        <w:rPr>
          <w:rFonts w:ascii="Times New Roman" w:hAnsi="Times New Roman"/>
          <w:b w:val="0"/>
          <w:i w:val="0"/>
          <w:color w:val="000000"/>
          <w:sz w:val="24"/>
        </w:rPr>
        <w:t>McNemar (held-out): b = 13 (baseline correct, WCE wrong), c = 17 (baseline wrong, WCE correct), chi-square = 0.300, p = 0.584. The difference is not significant. AUC: baseline 0.692, WCE 0.702. The R09 McNemar finding (p = 0.037, significant) was caused by an inverted FP definition and a pipeline error; both are corrected in R10.</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0.521, ns; Alzubaidi p = 0.914, ns). Both legs now give a null result. The R09 Alzubaidi finding (p = 0.0098) was a pipeline error, not a population finding; it is retracted and replaced by the corrected R10 result.</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at matched depth (both models at WCE-tuned depth): KNUST baseline 12.4 ms, WCE 12.7 ms; Alzubaidi baseline 10.5 ms, WCE 10.6 ms. The 0.1 to 0.3 ms differences are scheduling noise.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across both datasets and both statistical tests. KAB-XGBoost-WCE does not beat Baseline XGBoost on KNUST (p = 0.521) or Alzubaidi (p = 0.914). The weighting's isolated ablation contribution is +0.0026 (not significant). The honest conclusion is that the KAB asymmetry weighting adds no measurable value on either dataset in the R10 run.</w:t>
      </w:r>
    </w:p>
    <w:p>
      <w:pPr>
        <w:spacing w:after="160" w:line="360" w:lineRule="auto"/>
        <w:jc w:val="both"/>
      </w:pPr>
      <w:r>
        <w:rPr>
          <w:rFonts w:ascii="Times New Roman" w:hAnsi="Times New Roman"/>
          <w:b w:val="0"/>
          <w:i w:val="0"/>
          <w:color w:val="000000"/>
          <w:sz w:val="24"/>
        </w:rPr>
        <w:t>Second, the artificial-skew test (25% minority, n = 1556) shows: Baseline F1 = 0.556, WCE F1 = 0.557 (gain +0.002, not significant), stock scale_pos_weight F1 = 0.589 (gain +0.033 vs baseline; Wilcoxon p &lt; 0.001 vs WCE). Under genuine imbalance the class-ratio weight outperforms WCE. The KAB asymmetry heuristic does not help even when imbalance is the primary concern.</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0.6130, unlimited 0.5749. The unlimited tree is the weakest, not the strongest: once duplicate rows are removed the memorisation advantage disappears. This is the only set of depth-curve values in the document.</w:t>
      </w:r>
    </w:p>
    <w:p>
      <w:pPr>
        <w:pStyle w:val="Normal"/>
      </w:pPr>
      <w:r>
        <w:rPr>
          <w:i/>
        </w:rPr>
        <w:t xml:space="preserve">Table R10a. Decision Tree and Random Forest on raw (4,121 rows) versus deduplicated (2,088 rows) KNUST data, 5-fold cross-validation. Mean test-set rows with a training-set twin are also shown.</w:t>
      </w:r>
    </w:p>
    <w:tbl>
      <w:tblPr>
        <w:tblStyle w:val="TableGrid"/>
        <w:tblW w:w="8000" w:type="dxa"/>
      </w:tblPr>
      <w:tblGrid>
        <w:gridCol w:w="1500"/>
        <w:gridCol w:w="1500"/>
        <w:gridCol w:w="1500"/>
        <w:gridCol w:w="1500"/>
        <w:gridCol w:w="2000"/>
      </w:tblGrid>
      <w:tr>
        <w:tc>
          <w:tcPr>
            <w:tcW w:w="1500" w:type="dxa"/>
            <w:shd w:val="clear" w:color="auto" w:fill="CCCCCC"/>
          </w:tcPr>
          <w:p>
            <w:r>
              <w:rPr>
                <w:b/>
              </w:rPr>
              <w:t>Dataset</w:t>
            </w:r>
          </w:p>
        </w:tc>
        <w:tc>
          <w:tcPr>
            <w:tcW w:w="1500" w:type="dxa"/>
            <w:shd w:val="clear" w:color="auto" w:fill="CCCCCC"/>
          </w:tcPr>
          <w:p>
            <w:r>
              <w:rPr>
                <w:b/>
              </w:rPr>
              <w:t>DT Macro F1</w:t>
            </w:r>
          </w:p>
        </w:tc>
        <w:tc>
          <w:tcPr>
            <w:tcW w:w="1500" w:type="dxa"/>
            <w:shd w:val="clear" w:color="auto" w:fill="CCCCCC"/>
          </w:tcPr>
          <w:p>
            <w:r>
              <w:rPr>
                <w:b/>
              </w:rPr>
              <w:t>DT SD</w:t>
            </w:r>
          </w:p>
        </w:tc>
        <w:tc>
          <w:tcPr>
            <w:tcW w:w="1500" w:type="dxa"/>
            <w:shd w:val="clear" w:color="auto" w:fill="CCCCCC"/>
          </w:tcPr>
          <w:p>
            <w:r>
              <w:rPr>
                <w:b/>
              </w:rPr>
              <w:t>RF Macro F1</w:t>
            </w:r>
          </w:p>
        </w:tc>
        <w:tc>
          <w:tcPr>
            <w:tcW w:w="2000" w:type="dxa"/>
            <w:shd w:val="clear" w:color="auto" w:fill="CCCCCC"/>
          </w:tcPr>
          <w:p>
            <w:r>
              <w:rPr>
                <w:b/>
              </w:rPr>
              <w:t>Mean test twins</w:t>
            </w:r>
          </w:p>
        </w:tc>
      </w:tr>
      <w:tr>
        <w:tc>
          <w:tcPr>
            <w:tcW w:w="1500" w:type="dxa"/>
          </w:tcPr>
          <w:p>
            <w:r>
              <w:t>Raw (4,121 rows)</w:t>
            </w:r>
          </w:p>
        </w:tc>
        <w:tc>
          <w:tcPr>
            <w:tcW w:w="1500" w:type="dxa"/>
          </w:tcPr>
          <w:p>
            <w:r>
              <w:t>0.8982</w:t>
            </w:r>
          </w:p>
        </w:tc>
        <w:tc>
          <w:tcPr>
            <w:tcW w:w="1500" w:type="dxa"/>
          </w:tcPr>
          <w:p>
            <w:r>
              <w:t>0.0103</w:t>
            </w:r>
          </w:p>
        </w:tc>
        <w:tc>
          <w:tcPr>
            <w:tcW w:w="1500" w:type="dxa"/>
          </w:tcPr>
          <w:p>
            <w:r>
              <w:t>0.9046</w:t>
            </w:r>
          </w:p>
        </w:tc>
        <w:tc>
          <w:tcPr>
            <w:tcW w:w="2000" w:type="dxa"/>
          </w:tcPr>
          <w:p>
            <w:r>
              <w:t>641.2 per fold</w:t>
            </w:r>
          </w:p>
        </w:tc>
      </w:tr>
      <w:tr>
        <w:tc>
          <w:tcPr>
            <w:tcW w:w="1500" w:type="dxa"/>
          </w:tcPr>
          <w:p>
            <w:r>
              <w:t>Dedup (2,088 rows)</w:t>
            </w:r>
          </w:p>
        </w:tc>
        <w:tc>
          <w:tcPr>
            <w:tcW w:w="1500" w:type="dxa"/>
          </w:tcPr>
          <w:p>
            <w:r>
              <w:t>0.5634</w:t>
            </w:r>
          </w:p>
        </w:tc>
        <w:tc>
          <w:tcPr>
            <w:tcW w:w="1500" w:type="dxa"/>
          </w:tcPr>
          <w:p>
            <w:r>
              <w:t>0.0218</w:t>
            </w:r>
          </w:p>
        </w:tc>
        <w:tc>
          <w:tcPr>
            <w:tcW w:w="1500" w:type="dxa"/>
          </w:tcPr>
          <w:p>
            <w:r>
              <w:t>0.6247</w:t>
            </w:r>
          </w:p>
        </w:tc>
        <w:tc>
          <w:tcPr>
            <w:tcW w:w="2000" w:type="dxa"/>
          </w:tcPr>
          <w:p>
            <w:r>
              <w:t>8.0 per fold</w:t>
            </w:r>
          </w:p>
        </w:tc>
      </w:tr>
    </w:tbl>
    <w:p>
      <w:pPr>
        <w:pStyle w:val="Normal"/>
      </w:pPr>
      <w:r>
        <w:t xml:space="preserve">The raw data inflates DT and RF accuracy to 0.90 because 641 of the test rows per fold have an exact duplicate in training. After deduplication the figures drop to 0.5634 and 0.6247, well below XGBoost with tuning. This confirms that removing duplicates before modelling is correct and that the R09 pre-deduplication results were not trustworthy.</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Each ordinal item was shifted plus or minus one level (clipped to valid range) over 100 bootstrap iterations. K_agg and A_agg were recomputed from the perturbed items in each trial. KNUST: base F1 = 0.643, perturbed mean = 0.638 (SD = 0.011), change = -0.005 (perturbed minus base), bootstrap 95% CI [0.596, 0.690]. Alzubaidi: base F1 = 0.678, perturbed mean = 0.655 (SD = 0.008), change = -0.023, bootstrap 95% CI [0.616, 0.737]. Both datasets show modest, stable degradation. The model is not brittle to minor measurement error in the survey items.</w:t>
      </w:r>
    </w:p>
    <w:p>
      <w:pPr>
        <w:spacing w:after="160" w:line="360" w:lineRule="auto"/>
        <w:jc w:val="both"/>
      </w:pPr>
      <w:r>
        <w:rPr>
          <w:rFonts w:ascii="Times New Roman" w:hAnsi="Times New Roman"/>
          <w:b w:val="0"/>
          <w:i w:val="0"/>
          <w:color w:val="000000"/>
          <w:sz w:val="24"/>
        </w:rPr>
        <w:t>Seed sensitivity. The full 5x10 CV was repeated across five seeds (0, 7, 13, 21, 42). Delta (WCE - Baseline) ranged from -0.009 to -0.001 across all seeds; no seed produced a significant WCE advantage. The null result is stable and not an artefact of the default seed.</w:t>
      </w:r>
    </w:p>
    <w:p>
      <w:pPr>
        <w:spacing w:after="160" w:line="360" w:lineRule="auto"/>
        <w:jc w:val="both"/>
      </w:pPr>
      <w:r>
        <w:rPr>
          <w:rFonts w:ascii="Times New Roman" w:hAnsi="Times New Roman"/>
          <w:b w:val="0"/>
          <w:i w:val="0"/>
          <w:color w:val="000000"/>
          <w:sz w:val="24"/>
        </w:rPr>
        <w:t>Subgroup analysis and threshold sensitivity are in Table 7. Performance is broadly similar across year of study and prior IT coursework, and the null result holds at tertile and quartile thresholds as well as at the median.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Year group A</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0.6346</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Year group B</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0.6499</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Year group C</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0.6584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IT: 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0.6531</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IT: 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0.6250</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55%</w:t>
            </w:r>
          </w:p>
        </w:tc>
        <w:tc>
          <w:tcPr>
            <w:tcW w:type="dxa" w:w="2160"/>
          </w:tcPr>
          <w:p>
            <w:r/>
            <w:r>
              <w:rPr>
                <w:rFonts w:ascii="Times New Roman" w:hAnsi="Times New Roman"/>
                <w:color w:val="000000"/>
                <w:sz w:val="18"/>
              </w:rPr>
              <w:t>0.6495</w:t>
            </w:r>
          </w:p>
        </w:tc>
        <w:tc>
          <w:tcPr>
            <w:tcW w:type="dxa" w:w="2160"/>
          </w:tcPr>
          <w:p>
            <w:r/>
            <w:r>
              <w:rPr>
                <w:rFonts w:ascii="Times New Roman" w:hAnsi="Times New Roman"/>
                <w:color w:val="000000"/>
                <w:sz w:val="18"/>
              </w:rPr>
              <w:t>cut 18</w:t>
            </w:r>
          </w:p>
        </w:tc>
      </w:tr>
      <w:tr>
        <w:tc>
          <w:tcPr>
            <w:tcW w:type="dxa" w:w="2160"/>
          </w:tcPr>
          <w:p>
            <w:r/>
            <w:r>
              <w:rPr>
                <w:rFonts w:ascii="Times New Roman" w:hAnsi="Times New Roman"/>
                <w:color w:val="000000"/>
                <w:sz w:val="18"/>
              </w:rPr>
              <w:t>Threshold: tertile_top</w:t>
            </w:r>
          </w:p>
        </w:tc>
        <w:tc>
          <w:tcPr>
            <w:tcW w:type="dxa" w:w="2160"/>
          </w:tcPr>
          <w:p>
            <w:r/>
            <w:r>
              <w:rPr>
                <w:rFonts w:ascii="Times New Roman" w:hAnsi="Times New Roman"/>
                <w:color w:val="000000"/>
                <w:sz w:val="18"/>
              </w:rPr>
              <w:t>low 70%</w:t>
            </w:r>
          </w:p>
        </w:tc>
        <w:tc>
          <w:tcPr>
            <w:tcW w:type="dxa" w:w="2160"/>
          </w:tcPr>
          <w:p>
            <w:r/>
            <w:r>
              <w:rPr>
                <w:rFonts w:ascii="Times New Roman" w:hAnsi="Times New Roman"/>
                <w:color w:val="000000"/>
                <w:sz w:val="18"/>
              </w:rPr>
              <w:t>0.5921</w:t>
            </w:r>
          </w:p>
        </w:tc>
        <w:tc>
          <w:tcPr>
            <w:tcW w:type="dxa" w:w="2160"/>
          </w:tcPr>
          <w:p>
            <w:r/>
            <w:r>
              <w:rPr>
                <w:rFonts w:ascii="Times New Roman" w:hAnsi="Times New Roman"/>
                <w:color w:val="000000"/>
                <w:sz w:val="18"/>
              </w:rPr>
              <w:t>cut 20</w:t>
            </w:r>
          </w:p>
        </w:tc>
      </w:tr>
      <w:tr>
        <w:tc>
          <w:tcPr>
            <w:tcW w:type="dxa" w:w="2160"/>
          </w:tcPr>
          <w:p>
            <w:r/>
            <w:r>
              <w:rPr>
                <w:rFonts w:ascii="Times New Roman" w:hAnsi="Times New Roman"/>
                <w:color w:val="000000"/>
                <w:sz w:val="18"/>
              </w:rPr>
              <w:t>Threshold: quartile_top</w:t>
            </w:r>
          </w:p>
        </w:tc>
        <w:tc>
          <w:tcPr>
            <w:tcW w:type="dxa" w:w="2160"/>
          </w:tcPr>
          <w:p>
            <w:r/>
            <w:r>
              <w:rPr>
                <w:rFonts w:ascii="Times New Roman" w:hAnsi="Times New Roman"/>
                <w:color w:val="000000"/>
                <w:sz w:val="18"/>
              </w:rPr>
              <w:t>low 76%</w:t>
            </w:r>
          </w:p>
        </w:tc>
        <w:tc>
          <w:tcPr>
            <w:tcW w:type="dxa" w:w="2160"/>
          </w:tcPr>
          <w:p>
            <w:r/>
            <w:r>
              <w:rPr>
                <w:rFonts w:ascii="Times New Roman" w:hAnsi="Times New Roman"/>
                <w:color w:val="000000"/>
                <w:sz w:val="18"/>
              </w:rPr>
              <w:t>0.5937</w:t>
            </w:r>
          </w:p>
        </w:tc>
        <w:tc>
          <w:tcPr>
            <w:tcW w:type="dxa" w:w="2160"/>
          </w:tcPr>
          <w:p>
            <w:r/>
            <w:r>
              <w:rPr>
                <w:rFonts w:ascii="Times New Roman" w:hAnsi="Times New Roman"/>
                <w:color w:val="000000"/>
                <w:sz w:val="18"/>
              </w:rPr>
              <w:t>cut 21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