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bf40566</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44 exact duplicates removed,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Eight comparators on each dataset: Baseline XGBoost (independently tuned), stock scale_pos_weight XGBoost, Decision Tree, Naive Bayes, Logistic Regression (scaled), SVM (scaled), Random Forest, and the proposed KAB-XGBoost-WCE. Each tunable model receives its own GridSearchCV on the training folds, on both datasets. On Alzubaidi, WCE (0.6877) is above Decision Tree, Naive Bayes, SVM, and Random Forest (all p &lt; 0.001) and above stock scale_pos_weight (p = 0.0959). Logistic Regression (0.6830) and Baseline (0.6844) are not significantly different from WCE.</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and KAB-XGBoost-WCE both tune max_depth over {2,3,5,7}. Each uses its own GridSearchCV, run independently per fold,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max_depth 5 no weighting, B: max_depth 3 no weighting, C: max_depth 5 lambda = 1.5, D: max_depth 3 lambda = 1.5), all from the same 5 x 10-fold protocol. Primary test: Wilcoxon signed-rank on 50 paired folds with W+, W-, p, fold-win and ties reported. The 50 fold scores are not independent (5 repeats of 10 folds share data); p-values are conservative approximations. The p-value uses scipy.stats.wilcoxon: exact when no ties and n 50 or fewer, normal approximation otherwise. Effect size: r = |z| / sqrt(n_nontied), where n_nontied is the number of non-tied pairs. Each of the eight pairwise comparisons uses its own Wilcoxon test. No Bonferroni correction is applied; all eight p-values are reported. Seven comparators gives a Bonferroni threshold of alpha = 0.007; readers can apply this or their own threshold.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 (primary)</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(-0.0055 at depth 5 p=0.1652, +0.0016 at depth 3 p=0.5157, both non-significant).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0.0236) on KNUST. On Alzubaidi WCE (0.6877) is above Baseline (0.6844); no pairwise comparison is significant.</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(0.4323) and A_agg (0.3406) rank first and second on KNUST. On Alzubaidi B18_3 (0.4288) ranks first; A_agg (0.1801) ranks fourth. K_agg does not appear in the Alzubaidi top ten. This supports the KAB framework as a theoretical organiser on KNUST.</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Over-identification of risk</w:t>
            </w:r>
          </w:p>
        </w:tc>
        <w:tc>
          <w:tcPr>
            <w:tcW w:type="dxa" w:w="2160"/>
          </w:tcPr>
          <w:p>
            <w:r/>
            <w:r>
              <w:rPr>
                <w:rFonts w:ascii="Times New Roman" w:hAnsi="Times New Roman"/>
                <w:color w:val="000000"/>
                <w:sz w:val="18"/>
              </w:rPr>
              <w:t xml:space="preserve">False negative (High predicted Low) = student over-served, intervention resources spent unnecessarily</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bf40566 (GitHub: 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