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bf40566</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44 duplicates removed (exact match on all mapped feature values after block mapping and imputation),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60" w:line="360" w:lineRule="auto"/>
        <w:jc w:val="both"/>
      </w:pPr>
      <w:r>
        <w:rPr>
          <w:rFonts w:ascii="Times New Roman" w:hAnsi="Times New Roman"/>
          <w:b w:val="0"/>
          <w:i w:val="0"/>
          <w:color w:val="000000"/>
          <w:sz w:val="24"/>
        </w:rPr>
        <w:t xml:space="preserve">Alzubaidi ordinal coding. Frequency items (B19, B20, B14): always = 5, often = 4, sometimes = 3, seldom/rarely = 2, never = 1. "Do not know", "don't know", and "not sure (difficult to determine)" are coded 1 (least frequent). Justification: a participant who does not know how often they perform a security behaviour is treated as performing it infrequently. This affects approximately 45% of B19 cells. Attitude items (B18, B22): strongly agree = 5, agree = 4, neutral/undecided = 3, disagree = 2, strongly disagree = 1. Security perception B13: very secure = 5, somewhat secure = 4, neutral = 3, somewhat insecure = 2, not secure at all / very insecure = 1. Perceived severity B21: responses containing "serious" = 5, responses containing "vanish" = 1, all others = 3. Any response not matched by its map is filled with 3.0 (neutral midpoint).</w:t>
      </w:r>
    </w:p>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Seven comparators on each dataset: Baseline XGBoost (independently tuned), stock scale_pos_weight XGBoost, Decision Tree, Naive Bayes, Logistic Regression (scaled), SVM (scaled), and Random Forest. The proposed KAB-XGBoost-WCE is the eighth model. Each tunable model receives its own GridSearchCV on the training folds, on both datasets. On Alzubaidi, WCE (0.6877) is above Decision Tree, Naive Bayes, SVM, and Random Forest (all p &lt; 0.001) and above stock scale_pos_weight (p = 0.0959). Logistic Regression (0.6830) and Baseline (0.6844) are not significantly different from WCE.</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and KAB-XGBoost-WCE both tune max_depth over {2,3,5,7}. Each uses its own GridSearchCV, run independently per fold,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max_depth 5 no weighting, B: max_depth 3 no weighting, C: max_depth 5 lambda = 1.5, D: max_depth 3 lambda = 1.5), all from the same 5 x 10-fold protocol. Primary test: Wilcoxon signed-rank on 50 paired folds with W+, W-, p, fold-win and ties reported. The 50 fold scores are not independent (5 repeats of 10 folds share data); p-values are conservative approximations. The p-value uses scipy.stats.wilcoxon: exact when no ties and n 50 or fewer, normal approximation otherwise. Effect size: r = |z| / sqrt(n_nontied), where n_nontied is the number of non-tied pairs. Each of the eight pairwise comparisons uses its own Wilcoxon test. No Bonferroni correction is applied; all eight p-values are reported. Seven comparators gives a Bonferroni threshold of alpha = 0.007; readers can apply this or their own threshold.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 (primary)</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(-0.0055 at depth 5 p=0.1652, +0.0016 at depth 3 p=0.5157, both non-significant).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0.0236) on KNUST. On Alzubaidi WCE (0.6877) is above Baseline (0.6844) and above DT, NB, SVM, and RF (all p &lt; 0.001). WCE approaches significance vs stock scale_pos_weight (p = 0.0959). Logistic Regression (0.6830) is not significantly different from WCE.</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(0.4323) and A_agg (0.3406) rank first and second on KNUST. On Alzubaidi B18_3 (0.4288) ranks first; A_agg (0.1801) ranks fourth. K_agg does not appear in the Alzubaidi top ten. This supports the KAB framework as a theoretical organiser on KNUST.</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Over-identification of risk</w:t>
            </w:r>
          </w:p>
        </w:tc>
        <w:tc>
          <w:tcPr>
            <w:tcW w:type="dxa" w:w="2160"/>
          </w:tcPr>
          <w:p>
            <w:r/>
            <w:r>
              <w:rPr>
                <w:rFonts w:ascii="Times New Roman" w:hAnsi="Times New Roman"/>
                <w:color w:val="000000"/>
                <w:sz w:val="18"/>
              </w:rPr>
              <w:t xml:space="preserve">False negative (High predicted Low) = student over-served, intervention resources spent unnecessarily</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bf40566 (GitHub: 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