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b/>
          <w:bCs/>
          <w:sz w:val="22"/>
          <w:szCs w:val="22"/>
        </w:rPr>
        <w:t xml:space="preserve">CAN-DO RESEARCH LAB | KNUST DEPARTMENT OF COMPUTER SCIENCE</w:t>
      </w:r>
    </w:p>
    <w:p>
      <w:pPr>
        <w:spacing w:after="60"/>
        <w:jc w:val="center"/>
      </w:pPr>
      <w:r>
        <w:rPr>
          <w:b/>
          <w:bCs/>
          <w:sz w:val="20"/>
          <w:szCs w:val="20"/>
        </w:rPr>
        <w:t xml:space="preserve">PHASE 1 · STEP 1.1 — TESTBED SUBMISSION</w:t>
      </w:r>
    </w:p>
    <w:p>
      <w:pPr>
        <w:spacing w:after="200"/>
        <w:jc w:val="center"/>
      </w:pPr>
      <w:r>
        <w:rPr>
          <w:b/>
          <w:bCs/>
          <w:sz w:val="20"/>
          <w:szCs w:val="20"/>
        </w:rPr>
        <w:t xml:space="preserve">ML METHODS SECTION — R05 (DE-DUPLICATED)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2400"/>
      </w:tblGrid>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Student name</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Prince Ofori</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Student ID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21990878</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Supervisor</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Dr. Eric Opoku Osei</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Submission round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R05</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Model status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ENGINEERED</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Target claim tier</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Tier 1 bounded</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Dataset strategy</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CROSS-DATASET (unidirectional)</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Date submitted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[INSERT DATE]</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KNUST n (used)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2,088 unique (de-duplicated from 4,121)</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Passport attached</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w:t>
            </w:r>
          </w:p>
        </w:tc>
      </w:tr>
      <w:tr>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Key corrections R05</w:t>
            </w:r>
          </w:p>
        </w:tc>
        <w:tc>
          <w:tcPr>
            <w:tcW w:type="dxa" w:w="4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De-duplication applied (Q11); all Q5 text contradictions fixed; Q6 W+/p corrected; Q19 root cause diagnosed; construct/metric/traceability tables added (Q3,Q12,Q16); scale_pos_weight arm (Q20); ordinal robustness (Q8); "independent replication" removed (Q18)</w:t>
            </w:r>
          </w:p>
        </w:tc>
      </w:tr>
    </w:tbl>
    <w:p>
      <w:pPr>
        <w:spacing w:after="300"/>
      </w:pPr>
      <w:r>
        <w:t xml:space="preserve"/>
      </w:r>
    </w:p>
    <w:p>
      <w:pPr>
        <w:spacing w:after="160"/>
        <w:jc w:val="center"/>
      </w:pPr>
      <w:r>
        <w:rPr>
          <w:b/>
          <w:bCs/>
          <w:sz w:val="28"/>
          <w:szCs w:val="28"/>
        </w:rPr>
        <w:t xml:space="preserve">KAB-XGBoost-WCE: A Cost-Sensitive XGBoost Variant for Predicting Cybersecurity Behavioural Readiness</w:t>
      </w:r>
    </w:p>
    <w:p>
      <w:pPr>
        <w:spacing w:after="80"/>
      </w:pPr>
      <w:r>
        <w:rPr>
          <w:b/>
          <w:bCs/>
        </w:rPr>
        <w:t xml:space="preserve">Problem Statement</w:t>
      </w:r>
    </w:p>
    <w:p>
      <w:pPr>
        <w:spacing w:after="160" w:line="276"/>
      </w:pPr>
      <w:r>
        <w:t xml:space="preserve">Existing approaches to measuring cybersecurity awareness in educational settings rely predominantly on descriptive survey analyses without predictive capability. Studies such as Zwilling et al. (2022) and Bognar and Bottyan (2024) have developed validated KAB instruments, but these frameworks stop at measurement. Machine learning approaches remain nascent (Hu et al., 2026; AL and Sagiroglu, 2025). This study applies KAB-grounded XGBoost to SCM students at a Ghanaian HEI, with an external stress-test on the Alzubaidi (2021) public dataset.</w:t>
      </w:r>
    </w:p>
    <w:p>
      <w:pPr>
        <w:spacing w:after="80" w:before="120"/>
      </w:pPr>
      <w:r>
        <w:rPr>
          <w:b/>
          <w:bCs/>
        </w:rPr>
        <w:t xml:space="preserve">Objectives</w:t>
      </w:r>
    </w:p>
    <w:p>
      <w:pPr>
        <w:spacing w:after="160" w:line="276"/>
      </w:pPr>
      <w:r>
        <w:rPr>
          <w:b/>
          <w:bCs/>
        </w:rPr>
        <w:t xml:space="preserve">Objective 1: </w:t>
      </w:r>
      <w:r>
        <w:t xml:space="preserve">To propose KAB-XGBoost-WCE, a cost-sensitive Modify variant of XGBoost whose instance-weighting mechanism is grounded in the KAB model, and evaluate its performance in predicting cybersecurity behavioural readiness.</w:t>
      </w:r>
    </w:p>
    <w:p>
      <w:pPr>
        <w:spacing w:after="160" w:line="276"/>
      </w:pPr>
      <w:r>
        <w:rPr>
          <w:b/>
          <w:bCs/>
        </w:rPr>
        <w:t xml:space="preserve">Objective 2: </w:t>
      </w:r>
      <w:r>
        <w:t xml:space="preserve">To benchmark KAB-XGBoost-WCE against seven independently-tuned classifiers (Decision Tree, Naive Bayes, Logistic Regression, SVM, Random Forest, standard XGBoost, and stock scale_pos_weight XGBoost) on the de-duplicated KNUST dataset (n=2,088) and the Alzubaidi (2021) public dataset (n=1,231), using an identical 5x10-fold repeated stratified CV protocol applied to all models.</w:t>
      </w:r>
    </w:p>
    <w:p>
      <w:pPr>
        <w:spacing w:after="160" w:line="276"/>
      </w:pPr>
      <w:r>
        <w:rPr>
          <w:b/>
          <w:bCs/>
        </w:rPr>
        <w:t xml:space="preserve">Objective 3: </w:t>
      </w:r>
      <w:r>
        <w:t xml:space="preserve">To apply SHAP explainability to characterise the population-specific feature importance profile. Feature importance rankings are reported as associational findings; no causal inference or curriculum-intervention mapping is claimed.</w:t>
      </w:r>
    </w:p>
    <w:p>
      <w:pPr>
        <w:spacing w:after="80" w:before="120"/>
      </w:pPr>
      <w:r>
        <w:rPr>
          <w:b/>
          <w:bCs/>
        </w:rPr>
        <w:t xml:space="preserve">Construct → Feature → Metric → Stakeholder Consequence (Q3)</w:t>
      </w:r>
    </w:p>
    <w:p>
      <w:pPr>
        <w:spacing w:after="160" w:line="276"/>
      </w:pPr>
      <w:r>
        <w:t xml:space="preserve">Table A maps each KAB construct to its features, the metric used to evaluate prediction, and the stakeholder consequence. This table is the single cost story and it is the reference for all metric-choice justifications in M15 and M20.</w:t>
      </w:r>
    </w:p>
    <w:p>
      <w:pPr>
        <w:spacing w:after="60" w:before="80"/>
      </w:pPr>
      <w:r>
        <w:rPr>
          <w:i/>
          <w:iCs/>
          <w:sz w:val="18"/>
          <w:szCs w:val="18"/>
        </w:rPr>
        <w:t xml:space="preserve">Table A. Construct → feature → metric → stakeholder consequence. The Macro F1 cost structure is symmetric (both error types penalised equally) and is used consistently in M15 and M20.</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200"/>
        <w:gridCol w:w="2200"/>
      </w:tblGrid>
      <w:tr>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Construct</w:t>
            </w:r>
          </w:p>
        </w:tc>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Feature(s)</w:t>
            </w:r>
          </w:p>
        </w:tc>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Metric used</w:t>
            </w:r>
          </w:p>
        </w:tc>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Stakeholder consequence</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Cybersecurity Knowledge</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Q6-Q10, K_agg</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 (class-balanced)</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Educator knows which knowledge gaps predict low readiness</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Security Attitude</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Q13-Q17, A_agg</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Attitude items drive weighting; A_agg alpha=0.599 limits precision</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Behavioural Readiness (outcome)</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B_total median split (label)</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 Recall per class</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False negative (Low predicted High) = student receives no intervention</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Demographics</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Q1-Q5 (5 vars)</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Year-of-study error rates: Year 4 error=0.362; prior IT: Yes error=0.372</w:t>
            </w:r>
          </w:p>
        </w:tc>
      </w:tr>
    </w:tbl>
    <w:p>
      <w:pPr>
        <w:spacing w:after="200"/>
      </w:pPr>
      <w:r>
        <w:t xml:space="preserve"/>
      </w:r>
    </w:p>
    <w:p>
      <w:pPr>
        <w:pStyle w:val="Heading2"/>
        <w:spacing w:after="120" w:before="240"/>
      </w:pPr>
      <w:r>
        <w:rPr>
          <w:b/>
          <w:bCs/>
        </w:rPr>
        <w:t xml:space="preserve">M1. Research Design Overview</w:t>
      </w:r>
    </w:p>
    <w:p>
      <w:pPr>
        <w:spacing w:after="160" w:line="276"/>
      </w:pPr>
      <w:r>
        <w:t xml:space="preserve">Supervised binary classification to predict cybersecurity behavioural readiness from Knowledge subscale items, Attitude items, and demographic predictors. The KNUST dataset was de-duplicated before any partition was drawn (see M6). The subsections that follow describe: data sources (M3-M4), ethics (M5), preprocessing and de-duplication (M6), features (M7), class imbalance (M8), partitioning (M9), combining strategy (M10), baseline selection (M11), proposed model (M12), tuning (M13), training protocol (M14), metrics (M15), ablation and statistics (M16), SHAP (M17), generalisation (M18), environment (M19), defences (M20), and data availability (M21).</w:t>
      </w:r>
    </w:p>
    <w:p>
      <w:pPr>
        <w:pStyle w:val="Heading2"/>
        <w:spacing w:after="120" w:before="240"/>
      </w:pPr>
      <w:r>
        <w:rPr>
          <w:b/>
          <w:bCs/>
        </w:rPr>
        <w:t xml:space="preserve">M2. Problem Formalisation and Notation</w:t>
      </w:r>
    </w:p>
    <w:p>
      <w:pPr>
        <w:spacing w:after="160" w:line="276"/>
      </w:pPr>
      <w:r>
        <w:t xml:space="preserve">Let D = {(x_i, y_i)}^n_{i=1} where n=2,088 (KNUST de-duplicated) or n=1,231 (Alzubaidi). Feature vector x_i in R^d: d=17 for KNUST (5 demographics + 10 Likert items Q6-Q10,Q13-Q17 + 2 aggregates K_agg, A_agg). Alzubaidi: d=28 modelled features from 64-column raw dataset; X.shape=(1231,28) confirmed programmatically; no B14 items in X (assertion verified on every model run). The Alzubaidi column list: K-block items from blocks B19+B20 (Knowledge equivalent), A-block items from B18+B22+B13+B21 (Attitude equivalent), plus K_agg and A_agg aggregates. Label y_i in {0,1}: global median split of B_total = sum of Behaviour items Q18-Q23 (KNUST) or B14-block (Alzubaidi), computed on the de-duplicated full dataset before any partition. Behaviour items excluded from x_i.</w:t>
      </w:r>
    </w:p>
    <w:p>
      <w:pPr>
        <w:pStyle w:val="Heading2"/>
        <w:spacing w:after="120" w:before="240"/>
      </w:pPr>
      <w:r>
        <w:rPr>
          <w:b/>
          <w:bCs/>
        </w:rPr>
        <w:t xml:space="preserve">M3. Data Sources and Provenance</w:t>
      </w:r>
    </w:p>
    <w:p>
      <w:pPr>
        <w:spacing w:after="160" w:line="276"/>
      </w:pPr>
      <w:r>
        <w:t xml:space="preserve">Table 1 reports all datasets used. Note: the KNUST field raw n=4,121 is not used for modelling; the de-duplicated n=2,088 is the modelled partition. The raw file is retained for audit.</w:t>
      </w:r>
    </w:p>
    <w:p>
      <w:pPr>
        <w:spacing w:after="60" w:before="80"/>
      </w:pPr>
      <w:r>
        <w:rPr>
          <w:i/>
          <w:iCs/>
          <w:sz w:val="18"/>
          <w:szCs w:val="18"/>
        </w:rPr>
        <w:t xml:space="preserve">Table 1. Dataset provenance. "Size (used)" is the de-duplicated count for KNUST.</w:t>
      </w:r>
    </w:p>
    <w:tbl>
      <w:tblPr>
        <w:tblW w:type="dxa" w:w="98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600"/>
        <w:gridCol w:w="1200"/>
        <w:gridCol w:w="1200"/>
        <w:gridCol w:w="1400"/>
        <w:gridCol w:w="1400"/>
      </w:tblGrid>
      <w:tr>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Dataset</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Type</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Size (used)</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Date</w:t>
            </w:r>
          </w:p>
        </w:tc>
        <w:tc>
          <w:tcPr>
            <w:tcW w:type="dxa" w:w="1200"/>
            <w:tcBorders>
              <w:top w:val="single" w:color="000000" w:sz="6"/>
              <w:left w:val="single" w:color="000000" w:sz="6"/>
              <w:bottom w:val="single" w:color="000000" w:sz="6"/>
              <w:right w:val="single" w:color="000000" w:sz="6"/>
            </w:tcBorders>
          </w:tcPr>
          <w:p>
            <w:pPr>
              <w:jc w:val="center"/>
            </w:pPr>
            <w:r>
              <w:rPr>
                <w:b/>
                <w:bCs/>
                <w:sz w:val="18"/>
                <w:szCs w:val="18"/>
              </w:rPr>
              <w:t xml:space="preserve">Licence</w:t>
            </w:r>
          </w:p>
        </w:tc>
        <w:tc>
          <w:tcPr>
            <w:tcW w:type="dxa" w:w="1400"/>
            <w:tcBorders>
              <w:top w:val="single" w:color="000000" w:sz="6"/>
              <w:left w:val="single" w:color="000000" w:sz="6"/>
              <w:bottom w:val="single" w:color="000000" w:sz="6"/>
              <w:right w:val="single" w:color="000000" w:sz="6"/>
            </w:tcBorders>
          </w:tcPr>
          <w:p>
            <w:pPr>
              <w:jc w:val="center"/>
            </w:pPr>
            <w:r>
              <w:rPr>
                <w:b/>
                <w:bCs/>
                <w:sz w:val="18"/>
                <w:szCs w:val="18"/>
              </w:rPr>
              <w:t xml:space="preserve">Role</w:t>
            </w:r>
          </w:p>
        </w:tc>
        <w:tc>
          <w:tcPr>
            <w:tcW w:type="dxa" w:w="1400"/>
            <w:tcBorders>
              <w:top w:val="single" w:color="000000" w:sz="6"/>
              <w:left w:val="single" w:color="000000" w:sz="6"/>
              <w:bottom w:val="single" w:color="000000" w:sz="6"/>
              <w:right w:val="single" w:color="000000" w:sz="6"/>
            </w:tcBorders>
          </w:tcPr>
          <w:p>
            <w:pPr>
              <w:jc w:val="center"/>
            </w:pPr>
            <w:r>
              <w:rPr>
                <w:b/>
                <w:bCs/>
                <w:sz w:val="18"/>
                <w:szCs w:val="18"/>
              </w:rPr>
              <w:t xml:space="preserve">Source</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 Cybersecurity Survey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FIELD</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2,088 unique (4,121 raw; 2,033 duplicates removed)</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Apr-Jun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Restricted (HuSSREC [INSERT REF])</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Training + evaluation (KNUST pipeline)</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KNUST, Kumasi, Ghana</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Alzubaidi (2021)</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PUBLIC</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1,231 x d=28 modelled</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13 Jul 2026</w:t>
            </w:r>
          </w:p>
        </w:tc>
        <w:tc>
          <w:tcPr>
            <w:tcW w:type="dxa" w:w="1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CC BY-NC-ND 4.0</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External stress-test</w:t>
            </w:r>
          </w:p>
        </w:tc>
        <w:tc>
          <w:tcPr>
            <w:tcW w:type="dxa" w:w="1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doi:10.17632/fbs9mgmh4y.3</w:t>
            </w:r>
          </w:p>
        </w:tc>
      </w:tr>
    </w:tbl>
    <w:p>
      <w:pPr>
        <w:spacing w:after="180" w:before="40"/>
      </w:pPr>
      <w:r>
        <w:rPr>
          <w:i/>
          <w:iCs/>
          <w:sz w:val="16"/>
          <w:szCs w:val="16"/>
        </w:rPr>
        <w:t xml:space="preserve">KNUST: HuSSREC approval [INSERT REFERENCE NUMBER]. De-duplication removed 2,033 exact-duplicate response patterns (49.3%) before any model was fitted. Alzubaidi: X.shape=(1231,28); no B14 items in X.</w:t>
      </w:r>
    </w:p>
    <w:p>
      <w:pPr>
        <w:pStyle w:val="Heading2"/>
        <w:spacing w:after="120" w:before="240"/>
      </w:pPr>
      <w:r>
        <w:rPr>
          <w:b/>
          <w:bCs/>
        </w:rPr>
        <w:t xml:space="preserve">M4. Data Collection and Acquisition</w:t>
      </w:r>
    </w:p>
    <w:p>
      <w:pPr>
        <w:spacing w:after="160" w:line="276"/>
      </w:pPr>
      <w:r>
        <w:rPr>
          <w:b/>
          <w:bCs/>
        </w:rPr>
        <w:t xml:space="preserve">KNUST field data -- Sampling frame and response rate: </w:t>
      </w:r>
      <w:r>
        <w:t xml:space="preserve">The sampling frame comprised all registered SCM students at KNUST across Years 2, 3, and 4 (total registered n=approx. 3,200 based on faculty records; precise denominator to be confirmed with Faculty of Business). The 4,121 raw responses represent an approximate response rate of 128% of the registered population -- a rate above 100% is consistent with duplicate submissions, which the de-duplication screening confirmed (2,033 duplicate patterns removed). The retained n=2,088 unique response patterns represents a de-duplicated response rate of approximately 65% of the registered student population. Non-response bias: early-versus-late response comparison was not possible as the file carries only a submission Timestamp with no start time; completion time is not derivable. Submissions arrived at a median inter-arrival of 1.92 s (p25=1.57 s, p75=2.44 s), with 95.6% of rows arriving within 5 seconds of the preceding row -- a pattern consistent with the Google Forms auto-advance and pre-fill behaviour under rapid sequential submission. Google Forms was configured with required-response enforcement for all items. No partial completions were received. The rapid inter-arrival and duplicate rate are acknowledged as data-quality limitations; the de-duplicated analysis is the conservative and reported analysis.</w:t>
      </w:r>
    </w:p>
    <w:p>
      <w:pPr>
        <w:spacing w:after="160" w:line="276"/>
      </w:pPr>
      <w:r>
        <w:rPr>
          <w:b/>
          <w:bCs/>
        </w:rPr>
        <w:t xml:space="preserve">Alzubaidi public data: </w:t>
      </w:r>
      <w:r>
        <w:t xml:space="preserve">Downloaded 13 July 2026 from Mendeley Data, Version 3 (doi:10.17632/fbs9mgmh4y.3). Raw dataset: 1,231 x 64 columns. Modelled feature matrix d=28 after B14 exclusion. No duplicates detected in the Alzubaidi file. Role: external stress-test (structurally distinct instrument, Saudi adult general population), not independent replication.</w:t>
      </w:r>
    </w:p>
    <w:p>
      <w:pPr>
        <w:pStyle w:val="Heading2"/>
        <w:spacing w:after="120" w:before="240"/>
      </w:pPr>
      <w:r>
        <w:rPr>
          <w:b/>
          <w:bCs/>
        </w:rPr>
        <w:t xml:space="preserve">M5. Ethical Clearance</w:t>
      </w:r>
    </w:p>
    <w:p>
      <w:pPr>
        <w:spacing w:after="160" w:line="276"/>
      </w:pPr>
      <w:r>
        <w:t xml:space="preserve">HuSSREC approval [INSERT HuSSREC REFERENCE NUMBER]. Written informed consent obtained. Google Forms suppressed email/IP. Ghana Data Protection Act 2012 (Act 843). Alzubaidi used under CC BY-NC-ND 4.0. Note on common-method-variance: predictor (K, A) and outcome (B) items were collected from the same respondent on the same instrument in the same sitting, creating a common-method-variance risk that inflates predictor-outcome correlations; acknowledged as a design limitation.</w:t>
      </w:r>
    </w:p>
    <w:p>
      <w:pPr>
        <w:pStyle w:val="Heading2"/>
        <w:spacing w:after="120" w:before="240"/>
      </w:pPr>
      <w:r>
        <w:rPr>
          <w:b/>
          <w:bCs/>
        </w:rPr>
        <w:t xml:space="preserve">M6. Data Preprocessing and De-duplication</w:t>
      </w:r>
    </w:p>
    <w:p>
      <w:pPr>
        <w:spacing w:after="160" w:line="276"/>
      </w:pPr>
      <w:r>
        <w:rPr>
          <w:b/>
          <w:bCs/>
        </w:rPr>
        <w:t xml:space="preserve">De-duplication (Q11 fix): </w:t>
      </w:r>
      <w:r>
        <w:t xml:space="preserve">Response-quality screening identified 2,033 rows (49.3% of 4,121) as exact duplicate response patterns. The duplicate key spans all 16 non-empty Likert items (K: Q6-Q10; A: Q13-Q17; B: Q18-Q23) plus all 5 demographic items (Q1-Q5). No other item beyond Q11 and Q12 was affected by structural missingness (confirmed: all items Q6-Q10, Q13-Q17, Q18-Q23 have 100% response on all 4,121 rows). Straight-lining: 0 rows identical across all 16 items; 0 rows flat within each subscale. After removing the 2,033 duplicate rows, the retained dataset contains n=2,088 unique response patterns.</w:t>
      </w:r>
    </w:p>
    <w:p>
      <w:pPr>
        <w:spacing w:after="160" w:line="276"/>
      </w:pPr>
      <w:r>
        <w:rPr>
          <w:b/>
          <w:bCs/>
        </w:rPr>
        <w:t xml:space="preserve">Missing data: </w:t>
      </w:r>
      <w:r>
        <w:t xml:space="preserve">Q11 (Knowledge) and Q12 (Attitude) were 100% empty in the KNUST file (form-construction error, page-break misconfiguration during export). Both were excluded as structural constants. This exclusion was applied identically across all folds. Q11 and Q12 are likely Attitude items; their loss reduces the Attitude subscale to 5 items (Q13-Q17). KNUST Attitude alpha=0.599 (below the 0.70 threshold) plausibly reflects this reduction, and through A_agg this feeds directly into the weighting function. This is a stated limitation on the mechanism.</w:t>
      </w:r>
    </w:p>
    <w:p>
      <w:pPr>
        <w:spacing w:after="160" w:line="276"/>
      </w:pPr>
      <w:r>
        <w:t xml:space="preserve">Target construction: Global median split of B_total, computed on the de-duplicated full dataset (n=2,088) before any train-test split: median=18.0. Distribution at the median: B_total=17 n=298 (7.23%), B_total=18 n=280 (6.79%) -- all 280 assigned to Low by the "&gt;" rule, B_total=19 n=270 (6.55%); 280 respondents (6.8%) sit exactly on the median -- a 1-point measurement error flips every one of them. Label: 1[B_total &gt; 18] gives Low=1,167 (55.9%), High=921 (44.1%). Behaviour items Q18-Q23 excluded from X. An assertion was programmatically verified on every model run confirming no Behaviour items appear in X.</w:t>
      </w:r>
    </w:p>
    <w:p>
      <w:pPr>
        <w:spacing w:after="160" w:line="276"/>
      </w:pPr>
      <w:r>
        <w:rPr>
          <w:b/>
          <w:bCs/>
        </w:rPr>
        <w:t xml:space="preserve">Encoding and scaling: </w:t>
      </w:r>
      <w:r>
        <w:t xml:space="preserve">Demographics integer-encoded (no fitting required). For tree models (XGBoost, Decision Tree, Random Forest): no scaling. For SVM and Logistic Regression: StandardScaler fitted on the training partition only, applied to both training and test partitions inside the CV loop at every fold, for all 5 seeds.</w:t>
      </w:r>
    </w:p>
    <w:p>
      <w:pPr>
        <w:spacing w:after="180" w:before="40"/>
      </w:pPr>
      <w:r>
        <w:rPr>
          <w:i/>
          <w:iCs/>
          <w:sz w:val="16"/>
          <w:szCs w:val="16"/>
        </w:rPr>
        <w:t xml:space="preserve">Duplicate check: no duplicate rows in the de-duplicated dataset (de-duplication is by definition). Duplicate check on Alzubaidi: 0 duplicates detected in the raw file.</w:t>
      </w:r>
    </w:p>
    <w:p>
      <w:pPr>
        <w:pStyle w:val="Heading2"/>
        <w:spacing w:after="120" w:before="240"/>
      </w:pPr>
      <w:r>
        <w:rPr>
          <w:b/>
          <w:bCs/>
        </w:rPr>
        <w:t xml:space="preserve">M7. Feature Engineering</w:t>
      </w:r>
    </w:p>
    <w:p>
      <w:pPr>
        <w:spacing w:after="160" w:line="276"/>
      </w:pPr>
      <w:r>
        <w:t xml:space="preserve">KNUST: d=17 features -- K items Q6-Q10 (5), A items Q13-Q17 (5), demographic Q1-Q5 (5 after encoding), K_agg=mean(Q6-Q10), A_agg=mean(Q13-Q17). Note: the feature count is 5+5+5+2=17, not 5+10+2=17 -- correcting the earlier description. Alzubaidi: d=28. Cronbach alphas (reported here in Methods, not repeated in Results): KNUST Knowledge alpha=0.701, Attitude alpha=0.599, Behaviour alpha=0.709; Alzubaidi Knowledge alpha=0.826, Attitude alpha=0.691, Behaviour alpha=0.674. KNUST Attitude alpha=0.599 is below the 0.70 threshold; through A_agg this propagates into the weighting function Equation 2.</w:t>
      </w:r>
    </w:p>
    <w:p>
      <w:pPr>
        <w:pStyle w:val="Heading2"/>
        <w:spacing w:after="120" w:before="240"/>
      </w:pPr>
      <w:r>
        <w:rPr>
          <w:b/>
          <w:bCs/>
        </w:rPr>
        <w:t xml:space="preserve">M8. Class Imbalance</w:t>
      </w:r>
    </w:p>
    <w:p>
      <w:pPr>
        <w:spacing w:after="160" w:line="276"/>
      </w:pPr>
      <w:r>
        <w:t xml:space="preserve">De-duplicated KNUST: Low=1,167 (55.9%), High=921 (44.1%). Near-balanced -- no synthetic oversampling applied. The near-balance is the primary boundary condition for the proposed weighting mechanism. The Q20 skew analysis confirms that the stock scale_pos_weight arm outperforms KAB-WCE under genuine class imbalance (25% minority: +0.052 vs +0.007); at the de-duplicated near-balanced distribution, neither weighting scheme adds significant performance.</w:t>
      </w:r>
    </w:p>
    <w:p>
      <w:pPr>
        <w:pStyle w:val="Heading2"/>
        <w:spacing w:after="120" w:before="240"/>
      </w:pPr>
      <w:r>
        <w:rPr>
          <w:b/>
          <w:bCs/>
        </w:rPr>
        <w:t xml:space="preserve">M9. Data Partitioning</w:t>
      </w:r>
    </w:p>
    <w:p>
      <w:pPr>
        <w:spacing w:after="160" w:line="276"/>
      </w:pPr>
      <w:r>
        <w:t xml:space="preserve">De-duplication applied on the full dataset before any partition. Stratified 80/20 hold-out split (seed=42) for tuning and held-out evaluation. Threshold sensitivity (baseline XGBoost, de-duplicated 5x10-fold): "&gt;median" F1=0.6353; "&gt;=median" F1=0.6509; bottom-quartile (B_total&lt;=14) F1=0.6486; top-tertile (B_total&gt;=20) F1=0.5995. The "&gt;median" split is retained as the primary label throughout; the alternatives confirm that no threshold choice changes the substantive null result. Final performance: 5x10-fold repeated stratified CV (k=10, 5 repetitions, seeds 42/1042/2042/3042/4042; 50 paired fold-level estimates per model). All transformations fitted exclusively on the training partition at every fold.</w:t>
      </w:r>
    </w:p>
    <w:p>
      <w:pPr>
        <w:pStyle w:val="Heading2"/>
        <w:spacing w:after="120" w:before="240"/>
      </w:pPr>
      <w:r>
        <w:rPr>
          <w:b/>
          <w:bCs/>
        </w:rPr>
        <w:t xml:space="preserve">M10. Dataset Combining Strategy</w:t>
      </w:r>
    </w:p>
    <w:p>
      <w:pPr>
        <w:spacing w:after="160" w:line="276"/>
      </w:pPr>
      <w:r>
        <w:t xml:space="preserve">Declared strategy: CROSS-DATASET (unidirectional, external stress-test). The KNUST de-duplicated field data constitute the primary evaluation context. The Alzubaidi (2021) public dataset constitutes an external stress-test on a structurally distinct instrument (different population, different item blocks, no native KAB structure). The two pipelines share no data. Note: "independent replication" is not an accurate description of the Alzubaidi leg -- the leg does not share the instrument, the population, or the construct mapping; it is therefore an application on a structurally distinct dataset, not an independent replication of the KNUST finding. The phrase "independent replication design" has been removed from the Problem Statement, M10 and the Figure 2 caption throughout this revision.</w:t>
      </w:r>
    </w:p>
    <w:p>
      <w:pPr>
        <w:pStyle w:val="Heading2"/>
        <w:spacing w:after="120" w:before="240"/>
      </w:pPr>
      <w:r>
        <w:rPr>
          <w:b/>
          <w:bCs/>
        </w:rPr>
        <w:t xml:space="preserve">M11. Baseline Selection</w:t>
      </w:r>
    </w:p>
    <w:p>
      <w:pPr>
        <w:spacing w:after="160" w:line="276"/>
      </w:pPr>
      <w:r>
        <w:t xml:space="preserve">Eight models compared: Baseline XGBoost (independently tuned), Decision Tree, Naive Bayes, Logistic Regression (scaled), SVM RBF (scaled), Random Forest, KAB-XGBoost-WCE, and Stock scale_pos_weight XGBoost (Q20 addition). The stock scale_pos_weight arm was added as the required comparator -- it resembles the proposed model's class-weighting intent but uses a global ratio rather than per-instance asymmetry. All models with tunable hyperparameters received independent GridSearchCV on the training partition.</w:t>
      </w:r>
    </w:p>
    <w:p>
      <w:pPr>
        <w:pStyle w:val="Heading2"/>
        <w:spacing w:after="120" w:before="240"/>
      </w:pPr>
      <w:r>
        <w:rPr>
          <w:b/>
          <w:bCs/>
        </w:rPr>
        <w:t xml:space="preserve">M12. Proposed Model Specification</w:t>
      </w:r>
    </w:p>
    <w:p>
      <w:pPr>
        <w:spacing w:after="160" w:line="276"/>
      </w:pPr>
      <w:r>
        <w:t xml:space="preserve">Model status: </w:t>
      </w:r>
      <w:r>
        <w:rPr>
          <w:b/>
          <w:bCs/>
        </w:rPr>
        <w:t xml:space="preserve">ENGINEERED. Operation: Modify.</w:t>
      </w:r>
      <w:r>
        <w:t xml:space="preserve"> Corrected weight function (Equation 2):</w:t>
      </w:r>
    </w:p>
    <w:p>
      <w:pPr>
        <w:spacing w:after="100" w:before="100"/>
        <w:jc w:val="center"/>
      </w:pPr>
      <w:r>
        <w:rPr>
          <w:i/>
          <w:iCs/>
        </w:rPr>
        <w:t xml:space="preserve">w_i = 1,   if y_i = 1</w:t>
      </w:r>
    </w:p>
    <w:p>
      <w:pPr>
        <w:spacing w:after="100" w:before="100"/>
        <w:jc w:val="center"/>
      </w:pPr>
      <w:r>
        <w:rPr>
          <w:i/>
          <w:iCs/>
        </w:rPr>
        <w:t xml:space="preserve">w_i = 1 + (|K_i - A_i| / (K_i + A_i)) * (lambda - 1),   if y_i = 0</w:t>
      </w:r>
    </w:p>
    <w:p>
      <w:pPr>
        <w:spacing w:after="160" w:line="276"/>
      </w:pPr>
      <w:r>
        <w:t xml:space="preserve">Verified non-constant: 123 unique values on Low-readiness instances of de-duplicated KNUST training partition at lambda=1.5 (range [1.0000, 1.2600], mean=1.0638). Prior-implementation disclosure: the original implementation used combined = ((1-K/total)+(1-A/total))/2 = 0.5 algebraically -- a constant. This was identified and corrected; disclosed here rather than quietly replaced. Proportion of Low-readiness respondents with weight &gt; 1.10 (de-duplicated training): ~22% of the 935 Low-readiness instances have asymmetry &gt; 0.067, placing them above w=1.10. This small reach explains why the weight-only arm contributes only +0.0007 on near-balanced data.</w:t>
      </w:r>
    </w:p>
    <w:p>
      <w:pPr>
        <w:pStyle w:val="Heading2"/>
        <w:spacing w:after="120" w:before="240"/>
      </w:pPr>
      <w:r>
        <w:rPr>
          <w:b/>
          <w:bCs/>
        </w:rPr>
        <w:t xml:space="preserve">M13. Hyperparameter Optimisation</w:t>
      </w:r>
    </w:p>
    <w:p>
      <w:pPr>
        <w:spacing w:after="160" w:line="276"/>
      </w:pPr>
      <w:r>
        <w:t xml:space="preserve">All models tuned via GridSearchCV (scikit-learn v1.4, 5-fold stratified inner CV, restricted to training partition, selection criterion: mean Macro F1). Baseline XGBoost tuned with its own independent GridSearchCV call -- separate from the WCE call, same depth grid. Table 2 reports search spaces and selected values on the de-duplicated KNUST dataset. The Alzubaidi values are unchanged from R04.</w:t>
      </w:r>
    </w:p>
    <w:p>
      <w:pPr>
        <w:spacing w:after="60" w:before="80"/>
      </w:pPr>
      <w:r>
        <w:rPr>
          <w:i/>
          <w:iCs/>
          <w:sz w:val="18"/>
          <w:szCs w:val="18"/>
        </w:rPr>
        <w:t xml:space="preserve">Table 2. Hyperparameter search space and best values. * De-duplicated KNUST n=2,088. Baseline XGBoost has its own independent row (independently tuned, not sharing WCE configuration).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2000"/>
        <w:gridCol w:w="1800"/>
        <w:gridCol w:w="1600"/>
      </w:tblGrid>
      <w:tr>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Model</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Hyperparameter</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Search range</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Best (KNUST*)</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Best (Alzubaidi)</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lambda</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[1.0,1.1,1.2,1.5,2.0]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1.5</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KAB-XGBoost-WCE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[2,3,5,7]</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w:t>
            </w:r>
          </w:p>
        </w:tc>
      </w:tr>
      <w:tr>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Baseline XGBoost (independent)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[2,3,5,7]</w:t>
            </w:r>
          </w:p>
        </w:tc>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3</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2</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Decision Tree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max_depth / min_samples_leaf</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[3,5,7,10,None]/[1,5,10]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3/1</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3/1</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Logistic Regression (scaled)</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[0.01,0.1,1,10]</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0.01</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SVM RBF (scaled)</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C/gamma</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[0.1,1,10]/[scale,auto]</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1/scale</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0.1/auto</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Random Forest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n_estimators/max_depth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[100,300]/[5,10,None]</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300/5</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100/5</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Naive Bayes</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(none)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default</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default</w:t>
            </w:r>
          </w:p>
        </w:tc>
      </w:tr>
      <w:tr>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Stock scale_pos_weight</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scale_pos_weight (auto)</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Low_n/High_n per fold</w:t>
            </w:r>
          </w:p>
        </w:tc>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auto</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N/A</w:t>
            </w:r>
          </w:p>
        </w:tc>
      </w:tr>
    </w:tbl>
    <w:p>
      <w:pPr>
        <w:spacing w:after="180" w:before="40"/>
      </w:pPr>
      <w:r>
        <w:rPr>
          <w:i/>
          <w:iCs/>
          <w:sz w:val="16"/>
          <w:szCs w:val="16"/>
        </w:rPr>
        <w:t xml:space="preserve">Stock scale_pos_weight is computed automatically from the training-fold class ratio at each fold (Low_n/High_n); it is not a grid-searched hyperparameter. SVM and Logistic Regression tuned and evaluated on StandardScaler-scaled features.</w:t>
      </w:r>
    </w:p>
    <w:p>
      <w:pPr>
        <w:pStyle w:val="Heading2"/>
        <w:spacing w:after="120" w:before="240"/>
      </w:pPr>
      <w:r>
        <w:rPr>
          <w:b/>
          <w:bCs/>
        </w:rPr>
        <w:t xml:space="preserve">M14. Training Protocol</w:t>
      </w:r>
    </w:p>
    <w:p>
      <w:pPr>
        <w:spacing w:after="160" w:line="276"/>
      </w:pPr>
      <w:r>
        <w:t xml:space="preserve">Base random seed: 42. Repeated CV: 5 runs x 10-fold stratified (seeds 42/1042/2042/3042/4042; 50 paired fold-level estimates). Every reported figure aggregates across all 50 estimates. Early stopping not applied; boosting rounds fixed at 200. Determinism: XGBoost tree_method="exact", n_jobs=1; Logistic Regression max_iter=2000, random_state=42; SVM random_state=42; Random Forest random_state=42; GridSearchCV inner-fold splitter: StratifiedKFold(n_splits=5, shuffle=True, random_state=42) for all models. Pipeline available at https://github.com/pofori80/kab-xgboost-wce-cybersecurity (commit hash to be recorded at acceptance).</w:t>
      </w:r>
    </w:p>
    <w:p>
      <w:pPr>
        <w:pStyle w:val="Heading2"/>
        <w:spacing w:after="120" w:before="240"/>
      </w:pPr>
      <w:r>
        <w:rPr>
          <w:b/>
          <w:bCs/>
        </w:rPr>
        <w:t xml:space="preserve">M15. Evaluation Metrics</w:t>
      </w:r>
    </w:p>
    <w:p>
      <w:pPr>
        <w:spacing w:after="160" w:line="276"/>
      </w:pPr>
      <w:r>
        <w:rPr>
          <w:b/>
          <w:bCs/>
        </w:rPr>
        <w:t xml:space="preserve">Primary metric: Macro F1-score. </w:t>
      </w:r>
      <w:r>
        <w:t xml:space="preserve">Weights both classes equally under a symmetric cost structure (see Table A). Appropriate for near-balanced binary classification where both classes are substantively important. AUC-ROC reported as threshold-independent complement. Per-class P/R/F1 in Table 5. Macro F1 baseline against majority-class baseline on de-duplicated data: majority-class baseline F1 = 55.9% class = approximately 0.36 Macro F1 (a model predicting Low for all). All reported models substantially exceed this floor.</w:t>
      </w:r>
    </w:p>
    <w:p>
      <w:pPr>
        <w:spacing w:after="160" w:line="276"/>
      </w:pPr>
      <w:r>
        <w:rPr>
          <w:b/>
          <w:bCs/>
        </w:rPr>
        <w:t xml:space="preserve">Supporting metrics: </w:t>
      </w:r>
      <w:r>
        <w:t xml:space="preserve">AUC-ROC (held-out): Baseline=0.7017, WCE=0.7036. McNemar test (held-out): b=6, c=5, chi2=0.000, p=1.000. Default 0.5 decision threshold throughout.</w:t>
      </w:r>
    </w:p>
    <w:p>
      <w:pPr>
        <w:pStyle w:val="Heading2"/>
        <w:spacing w:after="120" w:before="240"/>
      </w:pPr>
      <w:r>
        <w:rPr>
          <w:b/>
          <w:bCs/>
        </w:rPr>
        <w:t xml:space="preserve">M16. Ablation and Statistical Protocol</w:t>
      </w:r>
    </w:p>
    <w:p>
      <w:pPr>
        <w:spacing w:after="160" w:line="276"/>
      </w:pPr>
      <w:r>
        <w:rPr>
          <w:b/>
          <w:bCs/>
        </w:rPr>
        <w:t xml:space="preserve">Ablation -- four arms: </w:t>
      </w:r>
      <w:r>
        <w:t xml:space="preserve">(A) Vanilla depth=5 uniform weights; (B) Depth-only, tuned depth=3, uniform weights; (C) Weight-only depth=5, lambda=1.5; (D) Full KAB-WCE, tuned depth=3, lambda=1.5. These are four distinct configurations with distinct scores (Table 4). Exactly one component changes between adjacent arms.</w:t>
      </w:r>
    </w:p>
    <w:p>
      <w:pPr>
        <w:spacing w:after="160" w:line="276"/>
      </w:pPr>
      <w:r>
        <w:rPr>
          <w:b/>
          <w:bCs/>
        </w:rPr>
        <w:t xml:space="preserve">Statistical test: </w:t>
      </w:r>
      <w:r>
        <w:t xml:space="preserve">Wilcoxon signed-rank (scipy.stats.wilcoxon, zero_method="wilcox", no continuity correction -- this is the exact form; the prior "exact p with continuity correction" was contradictory and is corrected). W+ and W- both reported in R4. Ties dropped per arm: reported in R4. Alpha=0.05. Effect size: Cohen's d on 50 paired differences. CI: 2.5th and 97.5th percentiles. Fold-win proportion reported for all primary comparisons.</w:t>
      </w:r>
    </w:p>
    <w:p>
      <w:pPr>
        <w:pStyle w:val="Heading2"/>
        <w:spacing w:after="120" w:before="240"/>
      </w:pPr>
      <w:r>
        <w:rPr>
          <w:b/>
          <w:bCs/>
        </w:rPr>
        <w:t xml:space="preserve">M17. Interpretability</w:t>
      </w:r>
    </w:p>
    <w:p>
      <w:pPr>
        <w:spacing w:after="160" w:line="276"/>
      </w:pPr>
      <w:r>
        <w:t xml:space="preserve">SHAP (Lundberg and Lee, 2017; v0.44) TreeExplainer applied to the fitted model on each dataset's de-duplicated held-out partition separately. Mean |SHAP| for global importance ranking. Explanations are associational: a high mean |SHAP| value indicates the feature moved predictions, not that intervening on it would change behaviour. All feature-importance interpretations are explicitly labelled associational. The binary readiness label is defensible for flagging at-risk students for targeted intervention, though the continuous B_total score should be retained for triage.</w:t>
      </w:r>
    </w:p>
    <w:p>
      <w:pPr>
        <w:pStyle w:val="Heading2"/>
        <w:spacing w:after="120" w:before="240"/>
      </w:pPr>
      <w:r>
        <w:rPr>
          <w:b/>
          <w:bCs/>
        </w:rPr>
        <w:t xml:space="preserve">M18. Generalisation and Transfer</w:t>
      </w:r>
    </w:p>
    <w:p>
      <w:pPr>
        <w:spacing w:after="160" w:line="276"/>
      </w:pPr>
      <w:r>
        <w:t xml:space="preserve">This study targets </w:t>
      </w:r>
      <w:r>
        <w:rPr>
          <w:b/>
          <w:bCs/>
        </w:rPr>
        <w:t xml:space="preserve">Tier 1 bounded</w:t>
      </w:r>
      <w:r>
        <w:t xml:space="preserve"> (single-context field study with external stress-test on a structurally distinct public dataset). The KNUST field data (de-duplicated, n=2,088) constitute the primary evaluation context. The Alzubaidi (2021) public dataset constitutes an external application -- not an independent replication. Divergence between the two legs is reported as a substantive finding rather than attributed to population without ruling out instrument as an alternative explanation (three candidates: operationalisation failure, data pipeline issue, genuine population difference; only the third is cross-population evidence). Cross-population transfer (Tier 3) has not been evaluated and is identified as future work. Substitute rigour: (a) 5x10-fold repeated CV; (b) Wilcoxon with W+/W-/p/d/CI; (c) Gaussian noise perturbation; (d) ordinal ±1 shift; (e) 1,000-iteration bootstrap. Items (a)-(e) are within-dataset stability evidence, not cross-population transfer evidence.</w:t>
      </w:r>
    </w:p>
    <w:p>
      <w:pPr>
        <w:pStyle w:val="Heading2"/>
        <w:spacing w:after="120" w:before="240"/>
      </w:pPr>
      <w:r>
        <w:rPr>
          <w:b/>
          <w:bCs/>
        </w:rPr>
        <w:t xml:space="preserve">M19. Computational Environment</w:t>
      </w:r>
    </w:p>
    <w:p>
      <w:pPr>
        <w:spacing w:after="160" w:line="276"/>
      </w:pPr>
      <w:r>
        <w:t xml:space="preserve">Hardware: Google Colaboratory CPU runtime (~12 GB RAM). Python 3.10; XGBoost 2.0; scikit-learn 1.4; SHAP 0.44; pandas 2.0; numpy 1.24; scipy 1.11. Per-fold training time on de-duplicated KNUST (n_train ~1,670): Baseline XGBoost=38.8ms, KAB-XGBoost-WCE=39.6ms (both models at max_depth=3; WCE overhead=2.1% attributable to weight computation only, no depth asymmetry). Reproducibility limitation: the repository is currently private; full reproducibility is contingent on access. This is stated as a limitation in M21.</w:t>
      </w:r>
    </w:p>
    <w:p>
      <w:pPr>
        <w:pStyle w:val="Heading2"/>
        <w:spacing w:after="120" w:before="240"/>
      </w:pPr>
      <w:r>
        <w:rPr>
          <w:b/>
          <w:bCs/>
        </w:rPr>
        <w:t xml:space="preserve">M20. Methodological Defence Paragraphs</w:t>
      </w:r>
    </w:p>
    <w:p>
      <w:pPr>
        <w:spacing w:after="160" w:line="276"/>
      </w:pPr>
      <w:r>
        <w:rPr>
          <w:b/>
          <w:bCs/>
        </w:rPr>
        <w:t xml:space="preserve">Parsimony defence: </w:t>
      </w:r>
      <w:r>
        <w:t xml:space="preserve">XGBoost over simpler alternatives because non-linear interactions between K and A subscale scores require a model capable of capturing them. Decision Tree at unlimited depth is outperformed by XGBoost on de-duplicated data (0.5674 vs 0.6353), confirming that the tree advantage seen in prior submissions was a leakage artefact. The binary readiness label is defensible as a flagging tool; the continuous score should be retained for triage.</w:t>
      </w:r>
    </w:p>
    <w:p>
      <w:pPr>
        <w:spacing w:after="160" w:line="276"/>
      </w:pPr>
      <w:r>
        <w:rPr>
          <w:b/>
          <w:bCs/>
        </w:rPr>
        <w:t xml:space="preserve">Metric defence: </w:t>
      </w:r>
      <w:r>
        <w:t xml:space="preserve">Macro F1 selected under a symmetric cost structure (see Table A) where both false negatives and false positives carry substantive educational cost. The cost story is symmetric and consistent between M15 and M20.</w:t>
      </w:r>
    </w:p>
    <w:p>
      <w:pPr>
        <w:spacing w:after="160" w:line="276"/>
      </w:pPr>
      <w:r>
        <w:rPr>
          <w:b/>
          <w:bCs/>
        </w:rPr>
        <w:t xml:space="preserve">Baseline currency defence: </w:t>
      </w:r>
      <w:r>
        <w:t xml:space="preserve">Eight comparators representing the major classifier families plus the stock scale_pos_weight arm, which is the mandatory additional comparator for an engineered weighting scheme. All received independent GridSearchCV. The stock scale_pos_weight arm is included as required by Q20 -- it is the benchmark the proposed mechanism must be shown to equal or exceed. On de-duplicated near-balanced data, neither arm significantly outperforms baseline (scale_pos_weight: p=.399; KAB-WCE: p=.789).</w:t>
      </w:r>
    </w:p>
    <w:p>
      <w:pPr>
        <w:pStyle w:val="Heading2"/>
        <w:spacing w:after="120" w:before="240"/>
      </w:pPr>
      <w:r>
        <w:rPr>
          <w:b/>
          <w:bCs/>
        </w:rPr>
        <w:t xml:space="preserve">M21. Objective → Method → Result Traceability (Q16)</w:t>
      </w:r>
    </w:p>
    <w:p>
      <w:pPr>
        <w:spacing w:after="160" w:line="276"/>
      </w:pPr>
      <w:r>
        <w:t xml:space="preserve">Table B maps each objective to the method step that operationalises it, the result section that answers it, and whether the question is answered.</w:t>
      </w:r>
    </w:p>
    <w:p>
      <w:pPr>
        <w:spacing w:after="60" w:before="80"/>
      </w:pPr>
      <w:r>
        <w:rPr>
          <w:i/>
          <w:iCs/>
          <w:sz w:val="18"/>
          <w:szCs w:val="18"/>
        </w:rPr>
        <w:t xml:space="preserve">Table B. Objective → method step → result → answer traceability matrix. Empty cells indicate gaps to be completed at manuscript stage.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400"/>
        <w:gridCol w:w="1600"/>
      </w:tblGrid>
      <w:tr>
        <w:tc>
          <w:tcPr>
            <w:tcW w:type="dxa" w:w="1800"/>
            <w:tcBorders>
              <w:top w:val="single" w:color="000000" w:sz="6"/>
              <w:left w:val="single" w:color="000000" w:sz="6"/>
              <w:bottom w:val="single" w:color="000000" w:sz="6"/>
              <w:right w:val="single" w:color="000000" w:sz="6"/>
            </w:tcBorders>
          </w:tcPr>
          <w:p>
            <w:pPr>
              <w:jc w:val="center"/>
            </w:pPr>
            <w:r>
              <w:rPr>
                <w:b/>
                <w:bCs/>
                <w:sz w:val="18"/>
                <w:szCs w:val="18"/>
              </w:rPr>
              <w:t xml:space="preserve">Objective</w:t>
            </w:r>
          </w:p>
        </w:tc>
        <w:tc>
          <w:tcPr>
            <w:tcW w:type="dxa" w:w="2800"/>
            <w:tcBorders>
              <w:top w:val="single" w:color="000000" w:sz="6"/>
              <w:left w:val="single" w:color="000000" w:sz="6"/>
              <w:bottom w:val="single" w:color="000000" w:sz="6"/>
              <w:right w:val="single" w:color="000000" w:sz="6"/>
            </w:tcBorders>
          </w:tcPr>
          <w:p>
            <w:pPr>
              <w:jc w:val="center"/>
            </w:pPr>
            <w:r>
              <w:rPr>
                <w:b/>
                <w:bCs/>
                <w:sz w:val="18"/>
                <w:szCs w:val="18"/>
              </w:rPr>
              <w:t xml:space="preserve">Method step(s)</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Result section</w:t>
            </w:r>
          </w:p>
        </w:tc>
        <w:tc>
          <w:tcPr>
            <w:tcW w:type="dxa" w:w="1600"/>
            <w:tcBorders>
              <w:top w:val="single" w:color="000000" w:sz="6"/>
              <w:left w:val="single" w:color="000000" w:sz="6"/>
              <w:bottom w:val="single" w:color="000000" w:sz="6"/>
              <w:right w:val="single" w:color="000000" w:sz="6"/>
            </w:tcBorders>
          </w:tcPr>
          <w:p>
            <w:pPr>
              <w:jc w:val="center"/>
            </w:pPr>
            <w:r>
              <w:rPr>
                <w:b/>
                <w:bCs/>
                <w:sz w:val="18"/>
                <w:szCs w:val="18"/>
              </w:rPr>
              <w:t xml:space="preserve">Answered?</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O1: Propose KAB-XGBoost-WCE</w:t>
            </w:r>
          </w:p>
        </w:tc>
        <w:tc>
          <w:tcPr>
            <w:tcW w:type="dxa" w:w="2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M12 (weight function Eq.2), M16 (ablation), M20 (parsimony defence)</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R2 (Table 3), R5 (Table 4), R10 (boundary condition)</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 -- mechanism implemented and tested; null vs baseline on near-balanced data is the honest answer</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O2: Benchmark against 6+1 classifiers (independently tuned, 5x10-fold)</w:t>
            </w:r>
          </w:p>
        </w:tc>
        <w:tc>
          <w:tcPr>
            <w:tcW w:type="dxa" w:w="2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M11 (baseline selection), M13 (Table 2 -- baseline own GridSearchCV row), M14 (seeds)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R2 (Table 3), R4 (Wilcoxon, Cohen d, CI)</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 -- de-duplicated comparison complete; independent tuning confirmed in Table 2</w:t>
            </w:r>
          </w:p>
        </w:tc>
      </w:tr>
      <w:tr>
        <w:tc>
          <w:tcPr>
            <w:tcW w:type="dxa" w:w="1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O3: Characterise feature importance profile</w:t>
            </w:r>
          </w:p>
        </w:tc>
        <w:tc>
          <w:tcPr>
            <w:tcW w:type="dxa" w:w="28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M17 (SHAP on held-out, per dataset, associational)</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R6 (SHAP ranking, K_agg first), R10 (K_agg 9th on Alzubaidi)</w:t>
            </w:r>
          </w:p>
        </w:tc>
        <w:tc>
          <w:tcPr>
            <w:tcW w:type="dxa" w:w="16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YES -- profile characterised; no causal inference claimed</w:t>
            </w:r>
          </w:p>
        </w:tc>
      </w:tr>
    </w:tbl>
    <w:p>
      <w:pPr>
        <w:pStyle w:val="Heading2"/>
        <w:spacing w:after="120" w:before="240"/>
      </w:pPr>
      <w:r>
        <w:rPr>
          <w:b/>
          <w:bCs/>
        </w:rPr>
        <w:t xml:space="preserve">M22. Metric → Construct → Behavioural Meaning → Stakeholder Consequence (Q12)</w:t>
      </w:r>
    </w:p>
    <w:p>
      <w:pPr>
        <w:spacing w:after="160" w:line="276"/>
      </w:pPr>
      <w:r>
        <w:t xml:space="preserve">Table C maps each evaluation metric to the behavioural construct it measures and its stakeholder consequence.</w:t>
      </w:r>
    </w:p>
    <w:p>
      <w:pPr>
        <w:spacing w:after="60" w:before="80"/>
      </w:pPr>
      <w:r>
        <w:rPr>
          <w:i/>
          <w:iCs/>
          <w:sz w:val="18"/>
          <w:szCs w:val="18"/>
        </w:rPr>
        <w:t xml:space="preserve">Table C. Metric → construct → behavioural meaning → stakeholder consequence.</w:t>
      </w:r>
    </w:p>
    <w:tbl>
      <w:tblPr>
        <w:tblW w:type="dxa" w:w="860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400"/>
        <w:gridCol w:w="2200"/>
      </w:tblGrid>
      <w:tr>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Metric</w:t>
            </w:r>
          </w:p>
        </w:tc>
        <w:tc>
          <w:tcPr>
            <w:tcW w:type="dxa" w:w="2000"/>
            <w:tcBorders>
              <w:top w:val="single" w:color="000000" w:sz="6"/>
              <w:left w:val="single" w:color="000000" w:sz="6"/>
              <w:bottom w:val="single" w:color="000000" w:sz="6"/>
              <w:right w:val="single" w:color="000000" w:sz="6"/>
            </w:tcBorders>
          </w:tcPr>
          <w:p>
            <w:pPr>
              <w:jc w:val="center"/>
            </w:pPr>
            <w:r>
              <w:rPr>
                <w:b/>
                <w:bCs/>
                <w:sz w:val="18"/>
                <w:szCs w:val="18"/>
              </w:rPr>
              <w:t xml:space="preserve">Construct</w:t>
            </w:r>
          </w:p>
        </w:tc>
        <w:tc>
          <w:tcPr>
            <w:tcW w:type="dxa" w:w="2400"/>
            <w:tcBorders>
              <w:top w:val="single" w:color="000000" w:sz="6"/>
              <w:left w:val="single" w:color="000000" w:sz="6"/>
              <w:bottom w:val="single" w:color="000000" w:sz="6"/>
              <w:right w:val="single" w:color="000000" w:sz="6"/>
            </w:tcBorders>
          </w:tcPr>
          <w:p>
            <w:pPr>
              <w:jc w:val="center"/>
            </w:pPr>
            <w:r>
              <w:rPr>
                <w:b/>
                <w:bCs/>
                <w:sz w:val="18"/>
                <w:szCs w:val="18"/>
              </w:rPr>
              <w:t xml:space="preserve">Behavioural meaning</w:t>
            </w:r>
          </w:p>
        </w:tc>
        <w:tc>
          <w:tcPr>
            <w:tcW w:type="dxa" w:w="2200"/>
            <w:tcBorders>
              <w:top w:val="single" w:color="000000" w:sz="6"/>
              <w:left w:val="single" w:color="000000" w:sz="6"/>
              <w:bottom w:val="single" w:color="000000" w:sz="6"/>
              <w:right w:val="single" w:color="000000" w:sz="6"/>
            </w:tcBorders>
          </w:tcPr>
          <w:p>
            <w:pPr>
              <w:jc w:val="center"/>
            </w:pPr>
            <w:r>
              <w:rPr>
                <w:b/>
                <w:bCs/>
                <w:sz w:val="18"/>
                <w:szCs w:val="18"/>
              </w:rPr>
              <w:t xml:space="preserve">Stakeholder consequence</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F1-score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Balanced prediction quality</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Equal penalty for missing Low-readiness students and falsely flagging High-readiness students</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Department receives a flag list that does not systematically ignore one group</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Low-readiness Recall</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Coverage of at-risk students</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Proportion of below-median-behaviour students the model correctly identifies (self-reported, not enacted)</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On de-duplicated held-out (n=418): WCE flags 165/234=70.5% of Low students; 69 are missed</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Low-readiness FP (Low predicted as High)</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Unnecessary intervention cost</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High-readiness students incorrectly flagged for intervention</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On held-out: WCE 69 false alarms vs baseline 70 -- less than 1 student difference per cohort of 418</w:t>
            </w:r>
          </w:p>
        </w:tc>
      </w:tr>
      <w:tr>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Macro F1 gain vs baseline</w:t>
            </w:r>
          </w:p>
        </w:tc>
        <w:tc>
          <w:tcPr>
            <w:tcW w:type="dxa" w:w="20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Mechanism value</w:t>
            </w:r>
          </w:p>
        </w:tc>
        <w:tc>
          <w:tcPr>
            <w:tcW w:type="dxa" w:w="24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Additional students correctly classified per cohort attributable to the KAB weighting</w:t>
            </w:r>
          </w:p>
        </w:tc>
        <w:tc>
          <w:tcPr>
            <w:tcW w:type="dxa" w:w="2200"/>
            <w:tcBorders>
              <w:top w:val="single" w:color="000000" w:sz="6"/>
              <w:left w:val="single" w:color="000000" w:sz="6"/>
              <w:bottom w:val="single" w:color="000000" w:sz="6"/>
              <w:right w:val="single" w:color="000000" w:sz="6"/>
            </w:tcBorders>
          </w:tcPr>
          <w:p>
            <w:pPr>
              <w:jc w:val="center"/>
            </w:pPr>
            <w:r>
              <w:rPr>
                <w:b w:val="false"/>
                <w:bCs w:val="false"/>
                <w:sz w:val="18"/>
                <w:szCs w:val="18"/>
              </w:rPr>
              <w:t xml:space="preserve">WCE gain = +0.0004 on de-duplicated data = less than 1 student in 418. The mechanism does not add clinical significance at near-balanced class ratios</w:t>
            </w:r>
          </w:p>
        </w:tc>
      </w:tr>
    </w:tbl>
    <w:p>
      <w:pPr>
        <w:pStyle w:val="Heading2"/>
        <w:spacing w:after="120" w:before="240"/>
      </w:pPr>
      <w:r>
        <w:rPr>
          <w:b/>
          <w:bCs/>
        </w:rPr>
        <w:t xml:space="preserve">M23. Data and Code Availability</w:t>
      </w:r>
    </w:p>
    <w:p>
      <w:pPr>
        <w:spacing w:after="160" w:line="276"/>
      </w:pPr>
      <w:r>
        <w:t xml:space="preserve">Source code (kab_xgboost_wce.py -- corrected weight function, Equation 2) and evaluation pipeline (KAB_Option2_FourLegs.py) archived at https://github.com/pofori80/kab-xgboost-wce-cybersecurity (currently private; commit hash to be recorded at acceptance). Reproducibility limitation: until the repository is made public and a commit hash is recorded, full computational reproducibility cannot be independently verified; this is acknowledged as a stated limitation. The de-duplicated KNUST dataset (n=2,088) cannot be shared publicly prior to HuSSREC clearance. The Alzubaidi (2021) dataset is available at doi:10.17632/fbs9mgmh4y.3 under CC BY-NC-ND 4.0.</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2026-09-07T22:56:16.138Z</dcterms:created>
  <dcterms:modified xsi:type="dcterms:W3CDTF">2026-09-07T22:56:16.147Z</dcterms:modified>
</cp:coreProperties>
</file>

<file path=docProps/custom.xml><?xml version="1.0" encoding="utf-8"?>
<Properties xmlns="http://schemas.openxmlformats.org/officeDocument/2006/custom-properties" xmlns:vt="http://schemas.openxmlformats.org/officeDocument/2006/docPropsVTypes"/>
</file>