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1.1 - TESTBED SUBMISSION</w:t>
      </w:r>
    </w:p>
    <w:p>
      <w:pPr>
        <w:spacing w:after="200" w:line="360" w:lineRule="auto"/>
        <w:jc w:val="center"/>
      </w:pPr>
      <w:r>
        <w:rPr>
          <w:rFonts w:ascii="Times New Roman" w:hAnsi="Times New Roman"/>
          <w:b/>
          <w:i w:val="0"/>
          <w:color w:val="000000"/>
          <w:sz w:val="20"/>
        </w:rPr>
        <w:t>ML METHODS SECTION - R09 (TWO-DATASET SINGLE-RUN REBUILD)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Student ID</w:t>
            </w:r>
          </w:p>
        </w:tc>
        <w:tc>
          <w:tcPr>
            <w:tcW w:type="dxa" w:w="2160"/>
          </w:tcPr>
          <w:p>
            <w:r/>
            <w:r>
              <w:rPr>
                <w:rFonts w:ascii="Times New Roman" w:hAnsi="Times New Roman"/>
                <w:color w:val="000000"/>
                <w:sz w:val="18"/>
              </w:rPr>
              <w:t>21990878</w:t>
            </w:r>
          </w:p>
        </w:tc>
      </w:tr>
      <w:tr>
        <w:tc>
          <w:tcPr>
            <w:tcW w:type="dxa" w:w="2160"/>
          </w:tcPr>
          <w:p>
            <w:r/>
            <w:r>
              <w:rPr>
                <w:rFonts w:ascii="Times New Roman" w:hAnsi="Times New Roman"/>
                <w:color w:val="000000"/>
                <w:sz w:val="18"/>
              </w:rPr>
              <w:t>Supervisor</w:t>
            </w:r>
          </w:p>
        </w:tc>
        <w:tc>
          <w:tcPr>
            <w:tcW w:type="dxa" w:w="2160"/>
          </w:tcPr>
          <w:p>
            <w:r/>
            <w:r>
              <w:rPr>
                <w:rFonts w:ascii="Times New Roman" w:hAnsi="Times New Roman"/>
                <w:color w:val="000000"/>
                <w:sz w:val="18"/>
              </w:rPr>
              <w:t>Dr. Eric Opoku Osei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R09</w:t>
            </w:r>
          </w:p>
        </w:tc>
      </w:tr>
      <w:tr>
        <w:tc>
          <w:tcPr>
            <w:tcW w:type="dxa" w:w="2160"/>
          </w:tcPr>
          <w:p>
            <w:r/>
            <w:r>
              <w:rPr>
                <w:rFonts w:ascii="Times New Roman" w:hAnsi="Times New Roman"/>
                <w:color w:val="000000"/>
                <w:sz w:val="18"/>
              </w:rPr>
              <w:t>Model status</w:t>
            </w:r>
          </w:p>
        </w:tc>
        <w:tc>
          <w:tcPr>
            <w:tcW w:type="dxa" w:w="2160"/>
          </w:tcPr>
          <w:p>
            <w:r/>
            <w:r>
              <w:rPr>
                <w:rFonts w:ascii="Times New Roman" w:hAnsi="Times New Roman"/>
                <w:color w:val="000000"/>
                <w:sz w:val="18"/>
              </w:rPr>
              <w:t>ENGINEERED</w:t>
            </w:r>
          </w:p>
        </w:tc>
        <w:tc>
          <w:tcPr>
            <w:tcW w:type="dxa" w:w="2160"/>
          </w:tcPr>
          <w:p>
            <w:r/>
            <w:r>
              <w:rPr>
                <w:rFonts w:ascii="Times New Roman" w:hAnsi="Times New Roman"/>
                <w:color w:val="000000"/>
                <w:sz w:val="18"/>
              </w:rPr>
              <w:t>Claim tier</w:t>
            </w:r>
          </w:p>
        </w:tc>
        <w:tc>
          <w:tcPr>
            <w:tcW w:type="dxa" w:w="2160"/>
          </w:tcPr>
          <w:p>
            <w:r/>
            <w:r>
              <w:rPr>
                <w:rFonts w:ascii="Times New Roman" w:hAnsi="Times New Roman"/>
                <w:color w:val="000000"/>
                <w:sz w:val="18"/>
              </w:rPr>
              <w:t>Tier 1 bounded</w:t>
            </w:r>
          </w:p>
        </w:tc>
      </w:tr>
      <w:tr>
        <w:tc>
          <w:tcPr>
            <w:tcW w:type="dxa" w:w="2160"/>
          </w:tcPr>
          <w:p>
            <w:r/>
            <w:r>
              <w:rPr>
                <w:rFonts w:ascii="Times New Roman" w:hAnsi="Times New Roman"/>
                <w:color w:val="000000"/>
                <w:sz w:val="18"/>
              </w:rPr>
              <w:t>KNUST n</w:t>
            </w:r>
          </w:p>
        </w:tc>
        <w:tc>
          <w:tcPr>
            <w:tcW w:type="dxa" w:w="2160"/>
          </w:tcPr>
          <w:p>
            <w:r/>
            <w:r>
              <w:rPr>
                <w:rFonts w:ascii="Times New Roman" w:hAnsi="Times New Roman"/>
                <w:color w:val="000000"/>
                <w:sz w:val="18"/>
              </w:rPr>
              <w:t>2088 unique (from 4121)</w:t>
            </w:r>
          </w:p>
        </w:tc>
        <w:tc>
          <w:tcPr>
            <w:tcW w:type="dxa" w:w="2160"/>
          </w:tcPr>
          <w:p>
            <w:r/>
            <w:r>
              <w:rPr>
                <w:rFonts w:ascii="Times New Roman" w:hAnsi="Times New Roman"/>
                <w:color w:val="000000"/>
                <w:sz w:val="18"/>
              </w:rPr>
              <w:t>Alzubaidi n</w:t>
            </w:r>
          </w:p>
        </w:tc>
        <w:tc>
          <w:tcPr>
            <w:tcW w:type="dxa" w:w="2160"/>
          </w:tcPr>
          <w:p>
            <w:r/>
            <w:r>
              <w:rPr>
                <w:rFonts w:ascii="Times New Roman" w:hAnsi="Times New Roman"/>
                <w:color w:val="000000"/>
                <w:sz w:val="18"/>
              </w:rPr>
              <w:t>1231</w:t>
            </w:r>
          </w:p>
        </w:tc>
      </w:tr>
      <w:tr>
        <w:tc>
          <w:tcPr>
            <w:tcW w:type="dxa" w:w="2160"/>
          </w:tcPr>
          <w:p>
            <w:r/>
            <w:r>
              <w:rPr>
                <w:rFonts w:ascii="Times New Roman" w:hAnsi="Times New Roman"/>
                <w:color w:val="000000"/>
                <w:sz w:val="18"/>
              </w:rPr>
              <w:t>HuSSREC ref</w:t>
            </w:r>
          </w:p>
        </w:tc>
        <w:tc>
          <w:tcPr>
            <w:tcW w:type="dxa" w:w="2160"/>
          </w:tcPr>
          <w:p>
            <w:r/>
            <w:r>
              <w:rPr>
                <w:rFonts w:ascii="Times New Roman" w:hAnsi="Times New Roman"/>
                <w:color w:val="000000"/>
                <w:sz w:val="18"/>
              </w:rPr>
              <w:t>[INSERT HuSSREC REFERENCE NUMBER]</w:t>
            </w:r>
          </w:p>
        </w:tc>
        <w:tc>
          <w:tcPr>
            <w:tcW w:type="dxa" w:w="2160"/>
          </w:tcPr>
          <w:p>
            <w:r/>
            <w:r>
              <w:rPr>
                <w:rFonts w:ascii="Times New Roman" w:hAnsi="Times New Roman"/>
                <w:color w:val="000000"/>
                <w:sz w:val="18"/>
              </w:rPr>
              <w:t>Date</w:t>
            </w:r>
          </w:p>
        </w:tc>
        <w:tc>
          <w:tcPr>
            <w:tcW w:type="dxa" w:w="2160"/>
          </w:tcPr>
          <w:p>
            <w:r/>
            <w:r>
              <w:rPr>
                <w:rFonts w:ascii="Times New Roman" w:hAnsi="Times New Roman"/>
                <w:color w:val="000000"/>
                <w:sz w:val="18"/>
              </w:rPr>
              <w:t>[INSERT DATE]</w:t>
            </w:r>
          </w:p>
        </w:tc>
      </w:tr>
      <w:tr>
        <w:tc>
          <w:tcPr>
            <w:tcW w:type="dxa" w:w="2160"/>
          </w:tcPr>
          <w:p>
            <w:r/>
            <w:r>
              <w:rPr>
                <w:rFonts w:ascii="Times New Roman" w:hAnsi="Times New Roman"/>
                <w:color w:val="000000"/>
                <w:sz w:val="18"/>
              </w:rPr>
              <w:t>Code</w:t>
            </w:r>
          </w:p>
        </w:tc>
        <w:tc>
          <w:tcPr>
            <w:tcW w:type="dxa" w:w="2160"/>
          </w:tcPr>
          <w:p>
            <w:r/>
            <w:r>
              <w:rPr>
                <w:rFonts w:ascii="Times New Roman" w:hAnsi="Times New Roman"/>
                <w:color w:val="000000"/>
                <w:sz w:val="18"/>
              </w:rPr>
              <w:t>kab_pipeline.py</w:t>
            </w:r>
          </w:p>
        </w:tc>
        <w:tc>
          <w:tcPr>
            <w:tcW w:type="dxa" w:w="2160"/>
          </w:tcPr>
          <w:p>
            <w:r/>
            <w:r>
              <w:rPr>
                <w:rFonts w:ascii="Times New Roman" w:hAnsi="Times New Roman"/>
                <w:color w:val="000000"/>
                <w:sz w:val="18"/>
              </w:rPr>
              <w:t>Commit</w:t>
            </w:r>
          </w:p>
        </w:tc>
        <w:tc>
          <w:tcPr>
            <w:tcW w:type="dxa" w:w="2160"/>
          </w:tcPr>
          <w:p>
            <w:r>
              <w:t>ccc62ad</w:t>
            </w:r>
            <w:r>
              <w:rPr>
                <w:rFonts w:ascii="Times New Roman" w:hAnsi="Times New Roman"/>
                <w:color w:val="000000"/>
                <w:sz w:val="18"/>
              </w:rPr>
            </w:r>
          </w:p>
        </w:tc>
      </w:tr>
    </w:tbl>
    <w:p/>
    <w:p>
      <w:pPr>
        <w:spacing w:after="120" w:line="360" w:lineRule="auto"/>
        <w:jc w:val="left"/>
      </w:pPr>
      <w:r>
        <w:rPr>
          <w:rFonts w:ascii="Times New Roman" w:hAnsi="Times New Roman"/>
          <w:b/>
          <w:i w:val="0"/>
          <w:color w:val="000000"/>
          <w:sz w:val="26"/>
        </w:rPr>
        <w:t>M1. Research Design Overview</w:t>
      </w:r>
    </w:p>
    <w:p>
      <w:pPr>
        <w:spacing w:after="160" w:line="360" w:lineRule="auto"/>
        <w:jc w:val="both"/>
      </w:pPr>
      <w:r>
        <w:rPr>
          <w:rFonts w:ascii="Times New Roman" w:hAnsi="Times New Roman"/>
          <w:b w:val="0"/>
          <w:i w:val="0"/>
          <w:color w:val="000000"/>
          <w:sz w:val="24"/>
        </w:rPr>
        <w:t>Supervised binary classification predicts cybersecurity behavioural readiness from Knowledge items, Attitude items, and demographic predictors. Two datasets are used and never pooled: the KNUST field survey (primary) and the Alzubaidi (2021) public dataset (external stress-test). Both are processed by the same pipeline (kab_pipeline.py) in separate loops. Subsections cover data sources (M3-M4), ethics (M5), preprocessing and de-duplication (M6), features and reliability (M7), class imbalance (M8), partitioning and tuning-leakage control (M9), combining strategy (M10), baselines (M11), the proposed model (M12), tuning (M13), training (M14), metrics (M15), ablation and statistics (M16), interpretability (M17), generalisation and construct equivalence (M18), environment (M19), defences (M20), traceability (M21), cost story (M22), and availability (M23).</w:t>
      </w:r>
    </w:p>
    <w:p>
      <w:pPr>
        <w:spacing w:after="120" w:line="360" w:lineRule="auto"/>
        <w:jc w:val="left"/>
      </w:pPr>
      <w:r>
        <w:rPr>
          <w:rFonts w:ascii="Times New Roman" w:hAnsi="Times New Roman"/>
          <w:b/>
          <w:i w:val="0"/>
          <w:color w:val="000000"/>
          <w:sz w:val="26"/>
        </w:rPr>
        <w:t>M2. Problem Formalisation and Notation</w:t>
      </w:r>
    </w:p>
    <w:p>
      <w:pPr>
        <w:spacing w:after="160" w:line="360" w:lineRule="auto"/>
        <w:jc w:val="both"/>
      </w:pPr>
      <w:r>
        <w:rPr>
          <w:rFonts w:ascii="Times New Roman" w:hAnsi="Times New Roman"/>
          <w:b w:val="0"/>
          <w:i w:val="0"/>
          <w:color w:val="000000"/>
          <w:sz w:val="24"/>
        </w:rPr>
        <w:t>KNUST: X.shape = (2088, 17); feature order (X.columns) = Q6, Q7, Q8, Q9, Q10, Q13, Q14, Q15, Q16, Q17, Q1, Q2, Q3, Q4, Q5, K_agg, A_agg. Alzubaidi: X.shape = (1231, 28); feature order = B19_0, B19_1, B19_2, B19_3, B19_4, B19_5, B20_0, B20_1, B20_2, B20_3, B20_4, B20_5, B18_0, B18_1, B18_2, B18_3, B18_4, B18_5, B18_6, B22_0, B22_1, B22_2, B22_3, B22_4, B13, B21, K_agg, A_agg. No Behaviour item enters either X. The label y is a global median split of the Behaviour total; for KNUST the median is 18.0.</w:t>
      </w:r>
    </w:p>
    <w:p>
      <w:pPr>
        <w:spacing w:after="120" w:line="360" w:lineRule="auto"/>
        <w:jc w:val="left"/>
      </w:pPr>
      <w:r>
        <w:rPr>
          <w:rFonts w:ascii="Times New Roman" w:hAnsi="Times New Roman"/>
          <w:b/>
          <w:i w:val="0"/>
          <w:color w:val="000000"/>
          <w:sz w:val="26"/>
        </w:rPr>
        <w:t>M3. Data Sources and Provenance</w:t>
      </w:r>
    </w:p>
    <w:p>
      <w:pPr>
        <w:spacing w:after="160" w:line="360" w:lineRule="auto"/>
        <w:jc w:val="both"/>
      </w:pPr>
      <w:r>
        <w:rPr>
          <w:rFonts w:ascii="Times New Roman" w:hAnsi="Times New Roman"/>
          <w:b w:val="0"/>
          <w:i w:val="0"/>
          <w:color w:val="000000"/>
          <w:sz w:val="24"/>
        </w:rPr>
        <w:t>KNUST field survey: primary evaluation corpus, restricted under HuSSREC terms (reference [INSERT HuSSREC REFERENCE NUMBER]). Alzubaidi (2021): public dataset, doi:10.17632/fbs9mgmh4y.3, CC BY-NC-ND 4.0, retained as an external stress-test. The two datasets are processed in separate loops with no shared state, no feature-level concatenation, and no corpus-level pooling; they are never pooled.</w:t>
      </w:r>
    </w:p>
    <w:p>
      <w:pPr>
        <w:spacing w:after="120" w:line="360" w:lineRule="auto"/>
        <w:jc w:val="left"/>
      </w:pPr>
      <w:r>
        <w:rPr>
          <w:rFonts w:ascii="Times New Roman" w:hAnsi="Times New Roman"/>
          <w:b/>
          <w:i w:val="0"/>
          <w:color w:val="000000"/>
          <w:sz w:val="26"/>
        </w:rPr>
        <w:t>M4. Data Collection, Acquisition and Duplicate Removal</w:t>
      </w:r>
    </w:p>
    <w:p>
      <w:pPr>
        <w:spacing w:after="160" w:line="360" w:lineRule="auto"/>
        <w:jc w:val="both"/>
      </w:pPr>
      <w:r>
        <w:rPr>
          <w:rFonts w:ascii="Times New Roman" w:hAnsi="Times New Roman"/>
          <w:b w:val="0"/>
          <w:i w:val="0"/>
          <w:color w:val="000000"/>
          <w:sz w:val="24"/>
        </w:rPr>
        <w:t>KNUST sampling frame: registered Supply Chain Management students at KNUST across Years 2 to 4, estimated at 3200 students (Faculty of Business records; exact denominator to be confirmed). Data were collected on printed paper questionnaires, then transferred into a Google Sheet programmatically using a Google Apps Script. The script appended the paper responses in batches; a fault in the batch loop re-appended several contiguous blocks of already-entered rows, which is the mechanism that produced the duplicate structure observed in the raw export (long contiguous runs of identical rows rather than scattered repeats). The raw sheet contained 4121 rows; 2033 of these (49.3%) were exact-duplicate response patterns. Duplicates were removed before any modelling using an exact-match key over all 21 answered fields (Q1-Q10, Q13-Q23); where two or more rows shared a key, the first occurrence was retained and the rest discarded, leaving n = 2088 unique responses. Response rate: the raw count corresponds to 128.8% of the estimated frame (above 100% precisely because of the duplication), and the de-duplicated count to 65.2%. A non-response comparison of early versus late respondents was not possible because the export carries only a submission timestamp with no start time. Table M4a summarises the frame and removal.</w:t>
      </w:r>
    </w:p>
    <w:p>
      <w:pPr>
        <w:spacing w:after="80" w:line="360" w:lineRule="auto"/>
        <w:jc w:val="both"/>
      </w:pPr>
      <w:r>
        <w:rPr>
          <w:rFonts w:ascii="Times New Roman" w:hAnsi="Times New Roman"/>
          <w:b w:val="0"/>
          <w:i/>
          <w:color w:val="000000"/>
          <w:sz w:val="20"/>
        </w:rPr>
        <w:t>Table M4a. Sampling frame and duplicate removal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4320"/>
          </w:tcPr>
          <w:p>
            <w:r/>
            <w:r>
              <w:rPr>
                <w:rFonts w:ascii="Times New Roman" w:hAnsi="Times New Roman"/>
                <w:b/>
                <w:color w:val="000000"/>
                <w:sz w:val="18"/>
              </w:rPr>
              <w:t>Quantity</w:t>
            </w:r>
          </w:p>
        </w:tc>
        <w:tc>
          <w:tcPr>
            <w:tcW w:type="dxa" w:w="4320"/>
          </w:tcPr>
          <w:p>
            <w:r/>
            <w:r>
              <w:rPr>
                <w:rFonts w:ascii="Times New Roman" w:hAnsi="Times New Roman"/>
                <w:b/>
                <w:color w:val="000000"/>
                <w:sz w:val="18"/>
              </w:rPr>
              <w:t>Value</w:t>
            </w:r>
          </w:p>
        </w:tc>
      </w:tr>
      <w:tr>
        <w:tc>
          <w:tcPr>
            <w:tcW w:type="dxa" w:w="4320"/>
          </w:tcPr>
          <w:p>
            <w:r/>
            <w:r>
              <w:rPr>
                <w:rFonts w:ascii="Times New Roman" w:hAnsi="Times New Roman"/>
                <w:color w:val="000000"/>
                <w:sz w:val="18"/>
              </w:rPr>
              <w:t>Estimated registered SCM students (Years 2-4)</w:t>
            </w:r>
          </w:p>
        </w:tc>
        <w:tc>
          <w:tcPr>
            <w:tcW w:type="dxa" w:w="4320"/>
          </w:tcPr>
          <w:p>
            <w:r/>
            <w:r>
              <w:rPr>
                <w:rFonts w:ascii="Times New Roman" w:hAnsi="Times New Roman"/>
                <w:color w:val="000000"/>
                <w:sz w:val="18"/>
              </w:rPr>
              <w:t>3200</w:t>
            </w:r>
          </w:p>
        </w:tc>
      </w:tr>
      <w:tr>
        <w:tc>
          <w:tcPr>
            <w:tcW w:type="dxa" w:w="4320"/>
          </w:tcPr>
          <w:p>
            <w:r/>
            <w:r>
              <w:rPr>
                <w:rFonts w:ascii="Times New Roman" w:hAnsi="Times New Roman"/>
                <w:color w:val="000000"/>
                <w:sz w:val="18"/>
              </w:rPr>
              <w:t>Raw rows in export</w:t>
            </w:r>
          </w:p>
        </w:tc>
        <w:tc>
          <w:tcPr>
            <w:tcW w:type="dxa" w:w="4320"/>
          </w:tcPr>
          <w:p>
            <w:r/>
            <w:r>
              <w:rPr>
                <w:rFonts w:ascii="Times New Roman" w:hAnsi="Times New Roman"/>
                <w:color w:val="000000"/>
                <w:sz w:val="18"/>
              </w:rPr>
              <w:t>4121</w:t>
            </w:r>
          </w:p>
        </w:tc>
      </w:tr>
      <w:tr>
        <w:tc>
          <w:tcPr>
            <w:tcW w:type="dxa" w:w="4320"/>
          </w:tcPr>
          <w:p>
            <w:r/>
            <w:r>
              <w:rPr>
                <w:rFonts w:ascii="Times New Roman" w:hAnsi="Times New Roman"/>
                <w:color w:val="000000"/>
                <w:sz w:val="18"/>
              </w:rPr>
              <w:t>Exact-duplicate rows removed</w:t>
            </w:r>
          </w:p>
        </w:tc>
        <w:tc>
          <w:tcPr>
            <w:tcW w:type="dxa" w:w="4320"/>
          </w:tcPr>
          <w:p>
            <w:r/>
            <w:r>
              <w:rPr>
                <w:rFonts w:ascii="Times New Roman" w:hAnsi="Times New Roman"/>
                <w:color w:val="000000"/>
                <w:sz w:val="18"/>
              </w:rPr>
              <w:t>2033 (49.3%)</w:t>
            </w:r>
          </w:p>
        </w:tc>
      </w:tr>
      <w:tr>
        <w:tc>
          <w:tcPr>
            <w:tcW w:type="dxa" w:w="4320"/>
          </w:tcPr>
          <w:p>
            <w:r/>
            <w:r>
              <w:rPr>
                <w:rFonts w:ascii="Times New Roman" w:hAnsi="Times New Roman"/>
                <w:color w:val="000000"/>
                <w:sz w:val="18"/>
              </w:rPr>
              <w:t>Unique responses retained</w:t>
            </w:r>
          </w:p>
        </w:tc>
        <w:tc>
          <w:tcPr>
            <w:tcW w:type="dxa" w:w="4320"/>
          </w:tcPr>
          <w:p>
            <w:r/>
            <w:r>
              <w:rPr>
                <w:rFonts w:ascii="Times New Roman" w:hAnsi="Times New Roman"/>
                <w:color w:val="000000"/>
                <w:sz w:val="18"/>
              </w:rPr>
              <w:t>2088</w:t>
            </w:r>
          </w:p>
        </w:tc>
      </w:tr>
      <w:tr>
        <w:tc>
          <w:tcPr>
            <w:tcW w:type="dxa" w:w="4320"/>
          </w:tcPr>
          <w:p>
            <w:r/>
            <w:r>
              <w:rPr>
                <w:rFonts w:ascii="Times New Roman" w:hAnsi="Times New Roman"/>
                <w:color w:val="000000"/>
                <w:sz w:val="18"/>
              </w:rPr>
              <w:t>Raw response rate</w:t>
            </w:r>
          </w:p>
        </w:tc>
        <w:tc>
          <w:tcPr>
            <w:tcW w:type="dxa" w:w="4320"/>
          </w:tcPr>
          <w:p>
            <w:r/>
            <w:r>
              <w:rPr>
                <w:rFonts w:ascii="Times New Roman" w:hAnsi="Times New Roman"/>
                <w:color w:val="000000"/>
                <w:sz w:val="18"/>
              </w:rPr>
              <w:t>128.8%</w:t>
            </w:r>
          </w:p>
        </w:tc>
      </w:tr>
      <w:tr>
        <w:tc>
          <w:tcPr>
            <w:tcW w:type="dxa" w:w="4320"/>
          </w:tcPr>
          <w:p>
            <w:r/>
            <w:r>
              <w:rPr>
                <w:rFonts w:ascii="Times New Roman" w:hAnsi="Times New Roman"/>
                <w:color w:val="000000"/>
                <w:sz w:val="18"/>
              </w:rPr>
              <w:t>De-duplicated response rate</w:t>
            </w:r>
          </w:p>
        </w:tc>
        <w:tc>
          <w:tcPr>
            <w:tcW w:type="dxa" w:w="4320"/>
          </w:tcPr>
          <w:p>
            <w:r/>
            <w:r>
              <w:rPr>
                <w:rFonts w:ascii="Times New Roman" w:hAnsi="Times New Roman"/>
                <w:color w:val="000000"/>
                <w:sz w:val="18"/>
              </w:rPr>
              <w:t>65.2%</w:t>
            </w:r>
          </w:p>
        </w:tc>
      </w:tr>
    </w:tbl>
    <w:p/>
    <w:p>
      <w:pPr>
        <w:spacing w:after="160" w:line="360" w:lineRule="auto"/>
        <w:jc w:val="both"/>
      </w:pPr>
      <w:r>
        <w:rPr>
          <w:rFonts w:ascii="Times New Roman" w:hAnsi="Times New Roman"/>
          <w:b w:val="0"/>
          <w:i w:val="0"/>
          <w:color w:val="000000"/>
          <w:sz w:val="24"/>
        </w:rPr>
        <w:t>Alzubaidi: downloaded from Mendeley Data (doi:10.17632/fbs9mgmh4y.3); 1231 responses, no duplicate structure; modelled feature matrix d = 28 after block mapping (M18).</w:t>
      </w:r>
    </w:p>
    <w:p>
      <w:pPr>
        <w:spacing w:after="120" w:line="360" w:lineRule="auto"/>
        <w:jc w:val="left"/>
      </w:pPr>
      <w:r>
        <w:rPr>
          <w:rFonts w:ascii="Times New Roman" w:hAnsi="Times New Roman"/>
          <w:b/>
          <w:i w:val="0"/>
          <w:color w:val="000000"/>
          <w:sz w:val="26"/>
        </w:rPr>
        <w:t>M5. Ethical Clearance</w:t>
      </w:r>
    </w:p>
    <w:p>
      <w:pPr>
        <w:spacing w:after="160" w:line="360" w:lineRule="auto"/>
        <w:jc w:val="both"/>
      </w:pPr>
      <w:r>
        <w:rPr>
          <w:rFonts w:ascii="Times New Roman" w:hAnsi="Times New Roman"/>
          <w:b w:val="0"/>
          <w:i w:val="0"/>
          <w:color w:val="000000"/>
          <w:sz w:val="24"/>
        </w:rPr>
        <w:t>Approved by the KNUST Humanities and Social Sciences Ethics Committee (HuSSREC), reference [INSERT HuSSREC REFERENCE NUMBER]. Participation was voluntary with informed consent. Predictor and outcome items were collected from the same respondent on one instrument, so common-method variance is acknowledged as a limitation.</w:t>
      </w:r>
    </w:p>
    <w:p>
      <w:pPr>
        <w:spacing w:after="120" w:line="360" w:lineRule="auto"/>
        <w:jc w:val="left"/>
      </w:pPr>
      <w:r>
        <w:rPr>
          <w:rFonts w:ascii="Times New Roman" w:hAnsi="Times New Roman"/>
          <w:b/>
          <w:i w:val="0"/>
          <w:color w:val="000000"/>
          <w:sz w:val="26"/>
        </w:rPr>
        <w:t>M6. Preprocessing and De-duplication</w:t>
      </w:r>
    </w:p>
    <w:p>
      <w:pPr>
        <w:spacing w:after="160" w:line="360" w:lineRule="auto"/>
        <w:jc w:val="both"/>
      </w:pPr>
      <w:r>
        <w:rPr>
          <w:rFonts w:ascii="Times New Roman" w:hAnsi="Times New Roman"/>
          <w:b w:val="0"/>
          <w:i w:val="0"/>
          <w:color w:val="000000"/>
          <w:sz w:val="24"/>
        </w:rPr>
        <w:t>De-duplication removed 2033 exact-duplicate rows as described in M4, before any partition and before the label median was computed. Missing items: Q11 and Q12 were empty for all 4121 rows. Q11 ("I know what steps to take if I suspect a cybersecurity incident") is a Knowledge item, so the Knowledge subscale is the five fielded items Q6-Q10. Q12 ("Cybersecurity is a personal responsibility") is an Attitude item, so the Attitude subscale is the five fielded items Q13-Q17. Exactly one Attitude item was lost. No item beyond Q11 and Q12 was affected. Straight-lining screening confirmed the retained rows are not uniform-response rows. Completion-time screening was not possible (submission timestamp only, no start time).</w:t>
      </w:r>
    </w:p>
    <w:p>
      <w:pPr>
        <w:spacing w:after="120" w:line="360" w:lineRule="auto"/>
        <w:jc w:val="left"/>
      </w:pPr>
      <w:r>
        <w:rPr>
          <w:rFonts w:ascii="Times New Roman" w:hAnsi="Times New Roman"/>
          <w:b/>
          <w:i w:val="0"/>
          <w:color w:val="000000"/>
          <w:sz w:val="26"/>
        </w:rPr>
        <w:t>M7. Feature Construction and Reliability</w:t>
      </w:r>
    </w:p>
    <w:p>
      <w:pPr>
        <w:spacing w:after="160" w:line="360" w:lineRule="auto"/>
        <w:jc w:val="both"/>
      </w:pPr>
      <w:r>
        <w:rPr>
          <w:rFonts w:ascii="Times New Roman" w:hAnsi="Times New Roman"/>
          <w:b w:val="0"/>
          <w:i w:val="0"/>
          <w:color w:val="000000"/>
          <w:sz w:val="24"/>
        </w:rPr>
        <w:t>KNUST Knowledge items: Q6 recognise phishing, Q7 understand a data breach, Q8 strong versus weak password, Q9 public Wi-Fi and VPN risk, Q10 explain social engineering. Attitude items: Q13-Q17. K_agg and A_agg are the subscale means; demographics Q1-Q5 are ordinal-encoded. Cronbach alpha (KNUST, de-duplicated): Knowledge 0.703, Attitude 0.603, Behaviour 0.709. The Attitude alpha is below 0.70, consistent with the loss of one Attitude item (Q12); this is stated as a limitation. Alpha values are reported here in Methods only and are not repeated in Results.</w:t>
      </w:r>
    </w:p>
    <w:p>
      <w:pPr>
        <w:spacing w:after="120" w:line="360" w:lineRule="auto"/>
        <w:jc w:val="left"/>
      </w:pPr>
      <w:r>
        <w:rPr>
          <w:rFonts w:ascii="Times New Roman" w:hAnsi="Times New Roman"/>
          <w:b/>
          <w:i w:val="0"/>
          <w:color w:val="000000"/>
          <w:sz w:val="26"/>
        </w:rPr>
        <w:t>M8. Class Imbalance</w:t>
      </w:r>
    </w:p>
    <w:p>
      <w:pPr>
        <w:spacing w:after="160" w:line="360" w:lineRule="auto"/>
        <w:jc w:val="both"/>
      </w:pPr>
      <w:r>
        <w:rPr>
          <w:rFonts w:ascii="Times New Roman" w:hAnsi="Times New Roman"/>
          <w:b w:val="0"/>
          <w:i w:val="0"/>
          <w:color w:val="000000"/>
          <w:sz w:val="24"/>
        </w:rPr>
        <w:t>KNUST is near-balanced after de-duplication: Low 1167 (55.9%), High 921 (44.1%). Alzubaidi: Low 539, High 692. No resampling is applied to the primary analysis. An artificial-skew test (M16, R10) deliberately imbalances the data to test whether the weighting helps more under skew.</w:t>
      </w:r>
    </w:p>
    <w:p>
      <w:pPr>
        <w:spacing w:after="120" w:line="360" w:lineRule="auto"/>
        <w:jc w:val="left"/>
      </w:pPr>
      <w:r>
        <w:rPr>
          <w:rFonts w:ascii="Times New Roman" w:hAnsi="Times New Roman"/>
          <w:b/>
          <w:i w:val="0"/>
          <w:color w:val="000000"/>
          <w:sz w:val="26"/>
        </w:rPr>
        <w:t>M9. Partitioning and Tuning-Leakage Control</w:t>
      </w:r>
    </w:p>
    <w:p>
      <w:pPr>
        <w:spacing w:after="160" w:line="360" w:lineRule="auto"/>
        <w:jc w:val="both"/>
      </w:pPr>
      <w:r>
        <w:rPr>
          <w:rFonts w:ascii="Times New Roman" w:hAnsi="Times New Roman"/>
          <w:b w:val="0"/>
          <w:i w:val="0"/>
          <w:color w:val="000000"/>
          <w:sz w:val="24"/>
        </w:rPr>
        <w:t>Performance is estimated by 5 x 10-fold stratified cross-validation (50 fold-level observations). Hyperparameter tuning is nested inside each outer training fold, so no test-fold row informs tuning. A separate 80/20 hold-out is used only for the confusion matrices, McNemar test, AUC, SHAP and robustness in R6/R7/R11. Tuned depths: KNUST baseline 2 / WCE 3; Alzubaidi baseline 2 / WCE 3; lambda 1.25 on both.</w:t>
      </w:r>
    </w:p>
    <w:p>
      <w:pPr>
        <w:spacing w:after="120" w:line="360" w:lineRule="auto"/>
        <w:jc w:val="left"/>
      </w:pPr>
      <w:r>
        <w:rPr>
          <w:rFonts w:ascii="Times New Roman" w:hAnsi="Times New Roman"/>
          <w:b/>
          <w:i w:val="0"/>
          <w:color w:val="000000"/>
          <w:sz w:val="26"/>
        </w:rPr>
        <w:t>M10. Dataset Combining Strategy</w:t>
      </w:r>
    </w:p>
    <w:p>
      <w:pPr>
        <w:spacing w:after="160" w:line="360" w:lineRule="auto"/>
        <w:jc w:val="both"/>
      </w:pPr>
      <w:r>
        <w:rPr>
          <w:rFonts w:ascii="Times New Roman" w:hAnsi="Times New Roman"/>
          <w:b w:val="0"/>
          <w:i w:val="0"/>
          <w:color w:val="000000"/>
          <w:sz w:val="24"/>
        </w:rPr>
        <w:t>Cross-dataset, unidirectional, external stress-test. The two datasets share no data, no features and no fitted state; they are never pooled and are reported separately per leg. The Alzubaidi leg is an external application, not an independent replication.</w:t>
      </w:r>
    </w:p>
    <w:p>
      <w:pPr>
        <w:spacing w:after="120" w:line="360" w:lineRule="auto"/>
        <w:jc w:val="left"/>
      </w:pPr>
      <w:r>
        <w:rPr>
          <w:rFonts w:ascii="Times New Roman" w:hAnsi="Times New Roman"/>
          <w:b/>
          <w:i w:val="0"/>
          <w:color w:val="000000"/>
          <w:sz w:val="26"/>
        </w:rPr>
        <w:t>M11. Baseline Selection</w:t>
      </w:r>
    </w:p>
    <w:p>
      <w:pPr>
        <w:spacing w:after="160" w:line="360" w:lineRule="auto"/>
        <w:jc w:val="both"/>
      </w:pPr>
      <w:r>
        <w:rPr>
          <w:rFonts w:ascii="Times New Roman" w:hAnsi="Times New Roman"/>
          <w:b w:val="0"/>
          <w:i w:val="0"/>
          <w:color w:val="000000"/>
          <w:sz w:val="24"/>
        </w:rPr>
        <w:t>Eight comparators on each dataset: Baseline XGBoost (independently tuned), stock scale_pos_weight XGBoost, Decision Tree, Naive Bayes, Logistic Regression (scaled), SVM (scaled), Random Forest, and the proposed KAB-XGBoost-WCE. Each tunable model receives its own GridSearchCV on the training folds, on both datasets.</w:t>
      </w:r>
    </w:p>
    <w:p>
      <w:pPr>
        <w:spacing w:after="120" w:line="360" w:lineRule="auto"/>
        <w:jc w:val="left"/>
      </w:pPr>
      <w:r>
        <w:rPr>
          <w:rFonts w:ascii="Times New Roman" w:hAnsi="Times New Roman"/>
          <w:b/>
          <w:i w:val="0"/>
          <w:color w:val="000000"/>
          <w:sz w:val="26"/>
        </w:rPr>
        <w:t>M12. Proposed Model Specification</w:t>
      </w:r>
    </w:p>
    <w:p>
      <w:pPr>
        <w:spacing w:after="160" w:line="360" w:lineRule="auto"/>
        <w:jc w:val="both"/>
      </w:pPr>
      <w:r>
        <w:rPr>
          <w:rFonts w:ascii="Times New Roman" w:hAnsi="Times New Roman"/>
          <w:b w:val="0"/>
          <w:i w:val="0"/>
          <w:color w:val="000000"/>
          <w:sz w:val="24"/>
        </w:rPr>
        <w:t>Status ENGINEERED, operation Modify. For Low-readiness rows the per-instance weight is w_i = 1 + (|K_i - A_i| / (K_i + A_i)) * (lambda - 1); High-readiness rows keep w_i = 1. The weight is a non-constant function of the Knowledge-Attitude asymmetry. The full definition and its use are in kab_pipeline.py.</w:t>
      </w:r>
    </w:p>
    <w:p>
      <w:pPr>
        <w:spacing w:after="120" w:line="360" w:lineRule="auto"/>
        <w:jc w:val="left"/>
      </w:pPr>
      <w:r>
        <w:rPr>
          <w:rFonts w:ascii="Times New Roman" w:hAnsi="Times New Roman"/>
          <w:b/>
          <w:i w:val="0"/>
          <w:color w:val="000000"/>
          <w:sz w:val="26"/>
        </w:rPr>
        <w:t>M13. Hyperparameter Optimisation</w:t>
      </w:r>
    </w:p>
    <w:p>
      <w:pPr>
        <w:spacing w:after="160" w:line="360" w:lineRule="auto"/>
        <w:jc w:val="both"/>
      </w:pPr>
      <w:r>
        <w:rPr>
          <w:rFonts w:ascii="Times New Roman" w:hAnsi="Times New Roman"/>
          <w:b w:val="0"/>
          <w:i w:val="0"/>
          <w:color w:val="000000"/>
          <w:sz w:val="24"/>
        </w:rPr>
        <w:t>Table 2 gives search spaces and selected values on both datasets. Baseline XGBoost tunes max_depth over {2,3,5,7} with its own GridSearchCV, independent of the WCE tuning, on each dataset. SVM and Logistic Regression are evaluated on standardised features.</w:t>
      </w:r>
    </w:p>
    <w:p>
      <w:pPr>
        <w:spacing w:after="80" w:line="360" w:lineRule="auto"/>
        <w:jc w:val="both"/>
      </w:pPr>
      <w:r>
        <w:rPr>
          <w:rFonts w:ascii="Times New Roman" w:hAnsi="Times New Roman"/>
          <w:b w:val="0"/>
          <w:i/>
          <w:color w:val="000000"/>
          <w:sz w:val="20"/>
        </w:rPr>
        <w:t>Table 2. Tuning search spaces and selected values (both datasets, single run).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Search space</w:t>
            </w:r>
          </w:p>
        </w:tc>
        <w:tc>
          <w:tcPr>
            <w:tcW w:type="dxa" w:w="2160"/>
          </w:tcPr>
          <w:p>
            <w:r/>
            <w:r>
              <w:rPr>
                <w:rFonts w:ascii="Times New Roman" w:hAnsi="Times New Roman"/>
                <w:b/>
                <w:color w:val="000000"/>
                <w:sz w:val="18"/>
              </w:rPr>
              <w:t>KNUST</w:t>
            </w:r>
          </w:p>
        </w:tc>
        <w:tc>
          <w:tcPr>
            <w:tcW w:type="dxa" w:w="2160"/>
          </w:tcPr>
          <w:p>
            <w:r/>
            <w:r>
              <w:rPr>
                <w:rFonts w:ascii="Times New Roman" w:hAnsi="Times New Roman"/>
                <w:b/>
                <w:color w:val="000000"/>
                <w:sz w:val="18"/>
              </w:rPr>
              <w:t>Alzubaidi</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max_depth {2,3,5,7}</w:t>
            </w:r>
          </w:p>
        </w:tc>
        <w:tc>
          <w:tcPr>
            <w:tcW w:type="dxa" w:w="2160"/>
          </w:tcPr>
          <w:p>
            <w:r/>
            <w:r>
              <w:rPr>
                <w:rFonts w:ascii="Times New Roman" w:hAnsi="Times New Roman"/>
                <w:color w:val="000000"/>
                <w:sz w:val="18"/>
              </w:rPr>
              <w:t>depth 2</w:t>
            </w:r>
          </w:p>
        </w:tc>
        <w:tc>
          <w:tcPr>
            <w:tcW w:type="dxa" w:w="2160"/>
          </w:tcPr>
          <w:p>
            <w:r/>
            <w:r>
              <w:rPr>
                <w:rFonts w:ascii="Times New Roman" w:hAnsi="Times New Roman"/>
                <w:color w:val="000000"/>
                <w:sz w:val="18"/>
              </w:rPr>
              <w:t>depth 2</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depth {3,5} x lambda {1.25,1.5}</w:t>
            </w:r>
          </w:p>
        </w:tc>
        <w:tc>
          <w:tcPr>
            <w:tcW w:type="dxa" w:w="2160"/>
          </w:tcPr>
          <w:p>
            <w:r/>
            <w:r>
              <w:rPr>
                <w:rFonts w:ascii="Times New Roman" w:hAnsi="Times New Roman"/>
                <w:color w:val="000000"/>
                <w:sz w:val="18"/>
              </w:rPr>
              <w:t>depth 3, lam 1.25</w:t>
            </w:r>
          </w:p>
        </w:tc>
        <w:tc>
          <w:tcPr>
            <w:tcW w:type="dxa" w:w="2160"/>
          </w:tcPr>
          <w:p>
            <w:r/>
            <w:r>
              <w:rPr>
                <w:rFonts w:ascii="Times New Roman" w:hAnsi="Times New Roman"/>
                <w:color w:val="000000"/>
                <w:sz w:val="18"/>
              </w:rPr>
              <w:t>depth 3, lam 1.25</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max_depth {3,5,7}</w:t>
            </w:r>
          </w:p>
        </w:tc>
        <w:tc>
          <w:tcPr>
            <w:tcW w:type="dxa" w:w="2160"/>
          </w:tcPr>
          <w:p>
            <w:r/>
            <w:r>
              <w:rPr>
                <w:rFonts w:ascii="Times New Roman" w:hAnsi="Times New Roman"/>
                <w:color w:val="000000"/>
                <w:sz w:val="18"/>
              </w:rPr>
              <w:t>per fold</w:t>
            </w:r>
          </w:p>
        </w:tc>
        <w:tc>
          <w:tcPr>
            <w:tcW w:type="dxa" w:w="2160"/>
          </w:tcPr>
          <w:p>
            <w:r/>
            <w:r>
              <w:rPr>
                <w:rFonts w:ascii="Times New Roman" w:hAnsi="Times New Roman"/>
                <w:color w:val="000000"/>
                <w:sz w:val="18"/>
              </w:rPr>
              <w:t>per fold</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n_estimators 300</w:t>
            </w:r>
          </w:p>
        </w:tc>
        <w:tc>
          <w:tcPr>
            <w:tcW w:type="dxa" w:w="2160"/>
          </w:tcPr>
          <w:p>
            <w:r/>
            <w:r>
              <w:rPr>
                <w:rFonts w:ascii="Times New Roman" w:hAnsi="Times New Roman"/>
                <w:color w:val="000000"/>
                <w:sz w:val="18"/>
              </w:rPr>
              <w:t>fixed</w:t>
            </w:r>
          </w:p>
        </w:tc>
        <w:tc>
          <w:tcPr>
            <w:tcW w:type="dxa" w:w="2160"/>
          </w:tcPr>
          <w:p>
            <w:r/>
            <w:r>
              <w:rPr>
                <w:rFonts w:ascii="Times New Roman" w:hAnsi="Times New Roman"/>
                <w:color w:val="000000"/>
                <w:sz w:val="18"/>
              </w:rPr>
              <w:t>fixed</w:t>
            </w:r>
          </w:p>
        </w:tc>
      </w:tr>
      <w:tr>
        <w:tc>
          <w:tcPr>
            <w:tcW w:type="dxa" w:w="2160"/>
          </w:tcPr>
          <w:p>
            <w:r/>
            <w:r>
              <w:rPr>
                <w:rFonts w:ascii="Times New Roman" w:hAnsi="Times New Roman"/>
                <w:color w:val="000000"/>
                <w:sz w:val="18"/>
              </w:rPr>
              <w:t>SVM / LogReg</w:t>
            </w:r>
          </w:p>
        </w:tc>
        <w:tc>
          <w:tcPr>
            <w:tcW w:type="dxa" w:w="2160"/>
          </w:tcPr>
          <w:p>
            <w:r/>
            <w:r>
              <w:rPr>
                <w:rFonts w:ascii="Times New Roman" w:hAnsi="Times New Roman"/>
                <w:color w:val="000000"/>
                <w:sz w:val="18"/>
              </w:rPr>
              <w:t>scaled features</w:t>
            </w:r>
          </w:p>
        </w:tc>
        <w:tc>
          <w:tcPr>
            <w:tcW w:type="dxa" w:w="2160"/>
          </w:tcPr>
          <w:p>
            <w:r/>
            <w:r>
              <w:rPr>
                <w:rFonts w:ascii="Times New Roman" w:hAnsi="Times New Roman"/>
                <w:color w:val="000000"/>
                <w:sz w:val="18"/>
              </w:rPr>
              <w:t>scaled</w:t>
            </w:r>
          </w:p>
        </w:tc>
        <w:tc>
          <w:tcPr>
            <w:tcW w:type="dxa" w:w="2160"/>
          </w:tcPr>
          <w:p>
            <w:r/>
            <w:r>
              <w:rPr>
                <w:rFonts w:ascii="Times New Roman" w:hAnsi="Times New Roman"/>
                <w:color w:val="000000"/>
                <w:sz w:val="18"/>
              </w:rPr>
              <w:t>scaled</w:t>
            </w:r>
          </w:p>
        </w:tc>
      </w:tr>
    </w:tbl>
    <w:p/>
    <w:p>
      <w:pPr>
        <w:spacing w:after="120" w:line="360" w:lineRule="auto"/>
        <w:jc w:val="left"/>
      </w:pPr>
      <w:r>
        <w:rPr>
          <w:rFonts w:ascii="Times New Roman" w:hAnsi="Times New Roman"/>
          <w:b/>
          <w:i w:val="0"/>
          <w:color w:val="000000"/>
          <w:sz w:val="26"/>
        </w:rPr>
        <w:t>M14. Training Protocol and Reproducibility</w:t>
      </w:r>
    </w:p>
    <w:p>
      <w:pPr>
        <w:spacing w:after="160" w:line="360" w:lineRule="auto"/>
        <w:jc w:val="both"/>
      </w:pPr>
      <w:r>
        <w:rPr>
          <w:rFonts w:ascii="Times New Roman" w:hAnsi="Times New Roman"/>
          <w:b w:val="0"/>
          <w:i w:val="0"/>
          <w:color w:val="000000"/>
          <w:sz w:val="24"/>
        </w:rPr>
        <w:t>Seeds: repeats use random_state 42 to 46; model instances fix random_state 42. The complete pipeline (loading and de-duplication for KNUST, block mapping for Alzubaidi, feature and label construction, nested GridSearchCV, all eight models, the four-arm ablation, the depth curve, held-out analysis, SHAP, ordinal and bootstrap robustness, subgroup analysis, and the artificial-skew test) is in kab_pipeline.py. The 50 fold-level scores per dataset are exported to fold_level_results_knust.csv and fold_level_results_alzubaidi.csv so every figure in Results is independently recomputable. Reproducibility depends on repository access, which is a stated limitation in M23.</w:t>
      </w:r>
    </w:p>
    <w:p>
      <w:pPr>
        <w:spacing w:after="120" w:line="360" w:lineRule="auto"/>
        <w:jc w:val="left"/>
      </w:pPr>
      <w:r>
        <w:rPr>
          <w:rFonts w:ascii="Times New Roman" w:hAnsi="Times New Roman"/>
          <w:b/>
          <w:i w:val="0"/>
          <w:color w:val="000000"/>
          <w:sz w:val="26"/>
        </w:rPr>
        <w:t>M15. Evaluation Metrics</w:t>
      </w:r>
    </w:p>
    <w:p>
      <w:pPr>
        <w:spacing w:after="160" w:line="360" w:lineRule="auto"/>
        <w:jc w:val="both"/>
      </w:pPr>
      <w:r>
        <w:rPr>
          <w:rFonts w:ascii="Times New Roman" w:hAnsi="Times New Roman"/>
          <w:b w:val="0"/>
          <w:i w:val="0"/>
          <w:color w:val="000000"/>
          <w:sz w:val="24"/>
        </w:rPr>
        <w:t>Primary metric: macro F1 (symmetric cost story, Table A). Supporting: per-class precision, recall and F1; AUC-ROC; McNemar on the held-out split; SHAP for feature importance.</w:t>
      </w:r>
    </w:p>
    <w:p>
      <w:pPr>
        <w:spacing w:after="120" w:line="360" w:lineRule="auto"/>
        <w:jc w:val="left"/>
      </w:pPr>
      <w:r>
        <w:rPr>
          <w:rFonts w:ascii="Times New Roman" w:hAnsi="Times New Roman"/>
          <w:b/>
          <w:i w:val="0"/>
          <w:color w:val="000000"/>
          <w:sz w:val="26"/>
        </w:rPr>
        <w:t>M16. Ablation and Statistical Protocol</w:t>
      </w:r>
    </w:p>
    <w:p>
      <w:pPr>
        <w:spacing w:after="160" w:line="360" w:lineRule="auto"/>
        <w:jc w:val="both"/>
      </w:pPr>
      <w:r>
        <w:rPr>
          <w:rFonts w:ascii="Times New Roman" w:hAnsi="Times New Roman"/>
          <w:b w:val="0"/>
          <w:i w:val="0"/>
          <w:color w:val="000000"/>
          <w:sz w:val="24"/>
        </w:rPr>
        <w:t>Four-arm ablation (A vanilla depth 5, B depth 3, C depth 5 with weights, D depth 3 with weights), all from the same 5 x 10-fold protocol. Primary test: Wilcoxon signed-rank on 50 paired folds with W+, W-, p, fold-win and ties reported. Artificial-skew test: the High class is downsampled to a 25% minority to test whether the weighting helps more under genuine imbalance, comparing KAB-WCE against stock scale_pos_weight.</w:t>
      </w:r>
    </w:p>
    <w:p>
      <w:pPr>
        <w:spacing w:after="120" w:line="360" w:lineRule="auto"/>
        <w:jc w:val="left"/>
      </w:pPr>
      <w:r>
        <w:rPr>
          <w:rFonts w:ascii="Times New Roman" w:hAnsi="Times New Roman"/>
          <w:b/>
          <w:i w:val="0"/>
          <w:color w:val="000000"/>
          <w:sz w:val="26"/>
        </w:rPr>
        <w:t>M17. Interpretability</w:t>
      </w:r>
    </w:p>
    <w:p>
      <w:pPr>
        <w:spacing w:after="160" w:line="360" w:lineRule="auto"/>
        <w:jc w:val="both"/>
      </w:pPr>
      <w:r>
        <w:rPr>
          <w:rFonts w:ascii="Times New Roman" w:hAnsi="Times New Roman"/>
          <w:b w:val="0"/>
          <w:i w:val="0"/>
          <w:color w:val="000000"/>
          <w:sz w:val="24"/>
        </w:rPr>
        <w:t>SHAP TreeExplainer is applied to the fitted KAB-XGBoost-WCE model on each dataset's held-out partition, and mean absolute SHAP values give the global feature ranking reported in R6. Importance is associational only; no causal or curriculum-intervention claim is made.</w:t>
      </w:r>
    </w:p>
    <w:p>
      <w:pPr>
        <w:spacing w:after="120" w:line="360" w:lineRule="auto"/>
        <w:jc w:val="left"/>
      </w:pPr>
      <w:r>
        <w:rPr>
          <w:rFonts w:ascii="Times New Roman" w:hAnsi="Times New Roman"/>
          <w:b/>
          <w:i w:val="0"/>
          <w:color w:val="000000"/>
          <w:sz w:val="26"/>
        </w:rPr>
        <w:t>M18. Generalisation and Construct Equivalence</w:t>
      </w:r>
    </w:p>
    <w:p>
      <w:pPr>
        <w:spacing w:after="160" w:line="360" w:lineRule="auto"/>
        <w:jc w:val="both"/>
      </w:pPr>
      <w:r>
        <w:rPr>
          <w:rFonts w:ascii="Times New Roman" w:hAnsi="Times New Roman"/>
          <w:b w:val="0"/>
          <w:i w:val="0"/>
          <w:color w:val="000000"/>
          <w:sz w:val="24"/>
        </w:rPr>
        <w:t>Tier 1 bounded, single-context field study with an external stress-test. The KNUST Knowledge items are as listed in M7. On the Alzubaidi instrument the nearest blocks are B19 (cybercrime victimisation frequency) and B20 (concern), which measure experience and concern rather than knowledge; the Knowledge mapping to Alzubaidi is therefore imposed and weak, and is labelled as such. No measurement invariance is claimed. Table M18a gives the item-level mapping.</w:t>
      </w:r>
    </w:p>
    <w:p>
      <w:pPr>
        <w:spacing w:after="80" w:line="360" w:lineRule="auto"/>
        <w:jc w:val="both"/>
      </w:pPr>
      <w:r>
        <w:rPr>
          <w:rFonts w:ascii="Times New Roman" w:hAnsi="Times New Roman"/>
          <w:b w:val="0"/>
          <w:i/>
          <w:color w:val="000000"/>
          <w:sz w:val="20"/>
        </w:rPr>
        <w:t>Table M18a. Item-level construct-equivalence mapping and its limitations.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KNUST items</w:t>
            </w:r>
          </w:p>
        </w:tc>
        <w:tc>
          <w:tcPr>
            <w:tcW w:type="dxa" w:w="2160"/>
          </w:tcPr>
          <w:p>
            <w:r/>
            <w:r>
              <w:rPr>
                <w:rFonts w:ascii="Times New Roman" w:hAnsi="Times New Roman"/>
                <w:b/>
                <w:color w:val="000000"/>
                <w:sz w:val="18"/>
              </w:rPr>
              <w:t>Alzubaidi blocks</w:t>
            </w:r>
          </w:p>
        </w:tc>
        <w:tc>
          <w:tcPr>
            <w:tcW w:type="dxa" w:w="2160"/>
          </w:tcPr>
          <w:p>
            <w:r/>
            <w:r>
              <w:rPr>
                <w:rFonts w:ascii="Times New Roman" w:hAnsi="Times New Roman"/>
                <w:b/>
                <w:color w:val="000000"/>
                <w:sz w:val="18"/>
              </w:rPr>
              <w:t>Equivalence basis</w:t>
            </w:r>
          </w:p>
        </w:tc>
      </w:tr>
      <w:tr>
        <w:tc>
          <w:tcPr>
            <w:tcW w:type="dxa" w:w="2160"/>
          </w:tcPr>
          <w:p>
            <w:r/>
            <w:r>
              <w:rPr>
                <w:rFonts w:ascii="Times New Roman" w:hAnsi="Times New Roman"/>
                <w:color w:val="000000"/>
                <w:sz w:val="18"/>
              </w:rPr>
              <w:t>Knowledge</w:t>
            </w:r>
          </w:p>
        </w:tc>
        <w:tc>
          <w:tcPr>
            <w:tcW w:type="dxa" w:w="2160"/>
          </w:tcPr>
          <w:p>
            <w:r/>
            <w:r>
              <w:rPr>
                <w:rFonts w:ascii="Times New Roman" w:hAnsi="Times New Roman"/>
                <w:color w:val="000000"/>
                <w:sz w:val="18"/>
              </w:rPr>
              <w:t>Q6-Q10</w:t>
            </w:r>
          </w:p>
        </w:tc>
        <w:tc>
          <w:tcPr>
            <w:tcW w:type="dxa" w:w="2160"/>
          </w:tcPr>
          <w:p>
            <w:r/>
            <w:r>
              <w:rPr>
                <w:rFonts w:ascii="Times New Roman" w:hAnsi="Times New Roman"/>
                <w:color w:val="000000"/>
                <w:sz w:val="18"/>
              </w:rPr>
              <w:t>B19 + B20 (victimisation, concern)</w:t>
            </w:r>
          </w:p>
        </w:tc>
        <w:tc>
          <w:tcPr>
            <w:tcW w:type="dxa" w:w="2160"/>
          </w:tcPr>
          <w:p>
            <w:r/>
            <w:r>
              <w:rPr>
                <w:rFonts w:ascii="Times New Roman" w:hAnsi="Times New Roman"/>
                <w:color w:val="000000"/>
                <w:sz w:val="18"/>
              </w:rPr>
              <w:t>Weak/imposed: Alzubaidi blocks measure experience and concern, not knowledge</w:t>
            </w:r>
          </w:p>
        </w:tc>
      </w:tr>
      <w:tr>
        <w:tc>
          <w:tcPr>
            <w:tcW w:type="dxa" w:w="2160"/>
          </w:tcPr>
          <w:p>
            <w:r/>
            <w:r>
              <w:rPr>
                <w:rFonts w:ascii="Times New Roman" w:hAnsi="Times New Roman"/>
                <w:color w:val="000000"/>
                <w:sz w:val="18"/>
              </w:rPr>
              <w:t>Attitude</w:t>
            </w:r>
          </w:p>
        </w:tc>
        <w:tc>
          <w:tcPr>
            <w:tcW w:type="dxa" w:w="2160"/>
          </w:tcPr>
          <w:p>
            <w:r/>
            <w:r>
              <w:rPr>
                <w:rFonts w:ascii="Times New Roman" w:hAnsi="Times New Roman"/>
                <w:color w:val="000000"/>
                <w:sz w:val="18"/>
              </w:rPr>
              <w:t>Q13-Q17</w:t>
            </w:r>
          </w:p>
        </w:tc>
        <w:tc>
          <w:tcPr>
            <w:tcW w:type="dxa" w:w="2160"/>
          </w:tcPr>
          <w:p>
            <w:r/>
            <w:r>
              <w:rPr>
                <w:rFonts w:ascii="Times New Roman" w:hAnsi="Times New Roman"/>
                <w:color w:val="000000"/>
                <w:sz w:val="18"/>
              </w:rPr>
              <w:t>B18 + B22 + B13 + B21</w:t>
            </w:r>
          </w:p>
        </w:tc>
        <w:tc>
          <w:tcPr>
            <w:tcW w:type="dxa" w:w="2160"/>
          </w:tcPr>
          <w:p>
            <w:r/>
            <w:r>
              <w:rPr>
                <w:rFonts w:ascii="Times New Roman" w:hAnsi="Times New Roman"/>
                <w:color w:val="000000"/>
                <w:sz w:val="18"/>
              </w:rPr>
              <w:t>Imposed; evaluative stance is the shared basis</w:t>
            </w:r>
          </w:p>
        </w:tc>
      </w:tr>
      <w:tr>
        <w:tc>
          <w:tcPr>
            <w:tcW w:type="dxa" w:w="2160"/>
          </w:tcPr>
          <w:p>
            <w:r/>
            <w:r>
              <w:rPr>
                <w:rFonts w:ascii="Times New Roman" w:hAnsi="Times New Roman"/>
                <w:color w:val="000000"/>
                <w:sz w:val="18"/>
              </w:rPr>
              <w:t>Behaviour (label)</w:t>
            </w:r>
          </w:p>
        </w:tc>
        <w:tc>
          <w:tcPr>
            <w:tcW w:type="dxa" w:w="2160"/>
          </w:tcPr>
          <w:p>
            <w:r/>
            <w:r>
              <w:rPr>
                <w:rFonts w:ascii="Times New Roman" w:hAnsi="Times New Roman"/>
                <w:color w:val="000000"/>
                <w:sz w:val="18"/>
              </w:rPr>
              <w:t>Q18-Q23</w:t>
            </w:r>
          </w:p>
        </w:tc>
        <w:tc>
          <w:tcPr>
            <w:tcW w:type="dxa" w:w="2160"/>
          </w:tcPr>
          <w:p>
            <w:r/>
            <w:r>
              <w:rPr>
                <w:rFonts w:ascii="Times New Roman" w:hAnsi="Times New Roman"/>
                <w:color w:val="000000"/>
                <w:sz w:val="18"/>
              </w:rPr>
              <w:t>B14 block</w:t>
            </w:r>
          </w:p>
        </w:tc>
        <w:tc>
          <w:tcPr>
            <w:tcW w:type="dxa" w:w="2160"/>
          </w:tcPr>
          <w:p>
            <w:r/>
            <w:r>
              <w:rPr>
                <w:rFonts w:ascii="Times New Roman" w:hAnsi="Times New Roman"/>
                <w:color w:val="000000"/>
                <w:sz w:val="18"/>
              </w:rPr>
              <w:t>Self-reported practice; excluded from X</w:t>
            </w:r>
          </w:p>
        </w:tc>
      </w:tr>
      <w:tr>
        <w:tc>
          <w:tcPr>
            <w:tcW w:type="dxa" w:w="2160"/>
          </w:tcPr>
          <w:p>
            <w:r/>
            <w:r>
              <w:rPr>
                <w:rFonts w:ascii="Times New Roman" w:hAnsi="Times New Roman"/>
                <w:color w:val="000000"/>
                <w:sz w:val="18"/>
              </w:rPr>
              <w:t>Aggregates</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Mean of the mapped items on each instrument</w:t>
            </w:r>
          </w:p>
        </w:tc>
      </w:tr>
    </w:tbl>
    <w:p/>
    <w:p>
      <w:pPr>
        <w:spacing w:after="120" w:line="360" w:lineRule="auto"/>
        <w:jc w:val="left"/>
      </w:pPr>
      <w:r>
        <w:rPr>
          <w:rFonts w:ascii="Times New Roman" w:hAnsi="Times New Roman"/>
          <w:b/>
          <w:i w:val="0"/>
          <w:color w:val="000000"/>
          <w:sz w:val="26"/>
        </w:rPr>
        <w:t>M19. Computational Environment</w:t>
      </w:r>
    </w:p>
    <w:p>
      <w:pPr>
        <w:spacing w:after="160" w:line="360" w:lineRule="auto"/>
        <w:jc w:val="both"/>
      </w:pPr>
      <w:r>
        <w:rPr>
          <w:rFonts w:ascii="Times New Roman" w:hAnsi="Times New Roman"/>
          <w:b w:val="0"/>
          <w:i w:val="0"/>
          <w:color w:val="000000"/>
          <w:sz w:val="24"/>
        </w:rPr>
        <w:t>Python with scikit-learn, XGBoost and SHAP. Mean per-fold training time (KNUST): baseline 22.4 ms, WCE 26.1 ms; the difference is run-to-run scheduling noise, not a property of the weighting.</w:t>
      </w:r>
    </w:p>
    <w:p>
      <w:pPr>
        <w:spacing w:after="120" w:line="360" w:lineRule="auto"/>
        <w:jc w:val="left"/>
      </w:pPr>
      <w:r>
        <w:rPr>
          <w:rFonts w:ascii="Times New Roman" w:hAnsi="Times New Roman"/>
          <w:b/>
          <w:i w:val="0"/>
          <w:color w:val="000000"/>
          <w:sz w:val="26"/>
        </w:rPr>
        <w:t>M20. Methodological Defence</w:t>
      </w:r>
    </w:p>
    <w:p>
      <w:pPr>
        <w:spacing w:after="160" w:line="360" w:lineRule="auto"/>
        <w:jc w:val="both"/>
      </w:pPr>
      <w:r>
        <w:rPr>
          <w:rFonts w:ascii="Times New Roman" w:hAnsi="Times New Roman"/>
          <w:b w:val="0"/>
          <w:i w:val="0"/>
          <w:color w:val="000000"/>
          <w:sz w:val="24"/>
        </w:rPr>
        <w:t>Parsimony: on KNUST the four-arm ablation shows depth tuning contributes +0.0182 macro F1 while the weighting contributes +0.0010, within noise of zero; the manuscript reports this null rather than defending the mechanism. The cost story in Table A is symmetric and applied consistently in M15 and here.</w:t>
      </w:r>
    </w:p>
    <w:p>
      <w:pPr>
        <w:spacing w:after="120" w:line="360" w:lineRule="auto"/>
        <w:jc w:val="left"/>
      </w:pPr>
      <w:r>
        <w:rPr>
          <w:rFonts w:ascii="Times New Roman" w:hAnsi="Times New Roman"/>
          <w:b/>
          <w:i w:val="0"/>
          <w:color w:val="000000"/>
          <w:sz w:val="26"/>
        </w:rPr>
        <w:t>M21. Objective to Method to Result Traceability</w:t>
      </w:r>
    </w:p>
    <w:p>
      <w:pPr>
        <w:spacing w:after="80" w:line="360" w:lineRule="auto"/>
        <w:jc w:val="both"/>
      </w:pPr>
      <w:r>
        <w:rPr>
          <w:rFonts w:ascii="Times New Roman" w:hAnsi="Times New Roman"/>
          <w:b w:val="0"/>
          <w:i/>
          <w:color w:val="000000"/>
          <w:sz w:val="20"/>
        </w:rPr>
        <w:t>Table B maps each objective to its method step and result location. Every routed result section exists in the Results document.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Objective</w:t>
            </w:r>
          </w:p>
        </w:tc>
        <w:tc>
          <w:tcPr>
            <w:tcW w:type="dxa" w:w="2880"/>
          </w:tcPr>
          <w:p>
            <w:r/>
            <w:r>
              <w:rPr>
                <w:rFonts w:ascii="Times New Roman" w:hAnsi="Times New Roman"/>
                <w:b/>
                <w:color w:val="000000"/>
                <w:sz w:val="18"/>
              </w:rPr>
              <w:t>Method</w:t>
            </w:r>
          </w:p>
        </w:tc>
        <w:tc>
          <w:tcPr>
            <w:tcW w:type="dxa" w:w="2880"/>
          </w:tcPr>
          <w:p>
            <w:r/>
            <w:r>
              <w:rPr>
                <w:rFonts w:ascii="Times New Roman" w:hAnsi="Times New Roman"/>
                <w:b/>
                <w:color w:val="000000"/>
                <w:sz w:val="18"/>
              </w:rPr>
              <w:t>Result</w:t>
            </w:r>
          </w:p>
        </w:tc>
      </w:tr>
      <w:tr>
        <w:tc>
          <w:tcPr>
            <w:tcW w:type="dxa" w:w="2880"/>
          </w:tcPr>
          <w:p>
            <w:r/>
            <w:r>
              <w:rPr>
                <w:rFonts w:ascii="Times New Roman" w:hAnsi="Times New Roman"/>
                <w:color w:val="000000"/>
                <w:sz w:val="18"/>
              </w:rPr>
              <w:t>O1 Propose KAB-XGBoost-WCE</w:t>
            </w:r>
          </w:p>
        </w:tc>
        <w:tc>
          <w:tcPr>
            <w:tcW w:type="dxa" w:w="2880"/>
          </w:tcPr>
          <w:p>
            <w:r/>
            <w:r>
              <w:rPr>
                <w:rFonts w:ascii="Times New Roman" w:hAnsi="Times New Roman"/>
                <w:color w:val="000000"/>
                <w:sz w:val="18"/>
              </w:rPr>
              <w:t>M12, M16</w:t>
            </w:r>
          </w:p>
        </w:tc>
        <w:tc>
          <w:tcPr>
            <w:tcW w:type="dxa" w:w="2880"/>
          </w:tcPr>
          <w:p>
            <w:r/>
            <w:r>
              <w:rPr>
                <w:rFonts w:ascii="Times New Roman" w:hAnsi="Times New Roman"/>
                <w:color w:val="000000"/>
                <w:sz w:val="18"/>
              </w:rPr>
              <w:t>R2, R5, R10</w:t>
            </w:r>
          </w:p>
        </w:tc>
      </w:tr>
      <w:tr>
        <w:tc>
          <w:tcPr>
            <w:tcW w:type="dxa" w:w="2880"/>
          </w:tcPr>
          <w:p>
            <w:r/>
            <w:r>
              <w:rPr>
                <w:rFonts w:ascii="Times New Roman" w:hAnsi="Times New Roman"/>
                <w:color w:val="000000"/>
                <w:sz w:val="18"/>
              </w:rPr>
              <w:t>O2 Benchmark vs 7 comparators (both datasets)</w:t>
            </w:r>
          </w:p>
        </w:tc>
        <w:tc>
          <w:tcPr>
            <w:tcW w:type="dxa" w:w="2880"/>
          </w:tcPr>
          <w:p>
            <w:r/>
            <w:r>
              <w:rPr>
                <w:rFonts w:ascii="Times New Roman" w:hAnsi="Times New Roman"/>
                <w:color w:val="000000"/>
                <w:sz w:val="18"/>
              </w:rPr>
              <w:t>M11, M13</w:t>
            </w:r>
          </w:p>
        </w:tc>
        <w:tc>
          <w:tcPr>
            <w:tcW w:type="dxa" w:w="2880"/>
          </w:tcPr>
          <w:p>
            <w:r/>
            <w:r>
              <w:rPr>
                <w:rFonts w:ascii="Times New Roman" w:hAnsi="Times New Roman"/>
                <w:color w:val="000000"/>
                <w:sz w:val="18"/>
              </w:rPr>
              <w:t>R2 (Table 3), R3, R4</w:t>
            </w:r>
          </w:p>
        </w:tc>
      </w:tr>
      <w:tr>
        <w:tc>
          <w:tcPr>
            <w:tcW w:type="dxa" w:w="2880"/>
          </w:tcPr>
          <w:p>
            <w:r/>
            <w:r>
              <w:rPr>
                <w:rFonts w:ascii="Times New Roman" w:hAnsi="Times New Roman"/>
                <w:color w:val="000000"/>
                <w:sz w:val="18"/>
              </w:rPr>
              <w:t>O3 Characterise feature importance</w:t>
            </w:r>
          </w:p>
        </w:tc>
        <w:tc>
          <w:tcPr>
            <w:tcW w:type="dxa" w:w="2880"/>
          </w:tcPr>
          <w:p>
            <w:r/>
            <w:r>
              <w:rPr>
                <w:rFonts w:ascii="Times New Roman" w:hAnsi="Times New Roman"/>
                <w:color w:val="000000"/>
                <w:sz w:val="18"/>
              </w:rPr>
              <w:t>M17</w:t>
            </w:r>
          </w:p>
        </w:tc>
        <w:tc>
          <w:tcPr>
            <w:tcW w:type="dxa" w:w="2880"/>
          </w:tcPr>
          <w:p>
            <w:r/>
            <w:r>
              <w:rPr>
                <w:rFonts w:ascii="Times New Roman" w:hAnsi="Times New Roman"/>
                <w:color w:val="000000"/>
                <w:sz w:val="18"/>
              </w:rPr>
              <w:t>R6 (SHAP)</w:t>
            </w:r>
          </w:p>
        </w:tc>
      </w:tr>
    </w:tbl>
    <w:p/>
    <w:p>
      <w:pPr>
        <w:spacing w:after="120" w:line="360" w:lineRule="auto"/>
        <w:jc w:val="left"/>
      </w:pPr>
      <w:r>
        <w:rPr>
          <w:rFonts w:ascii="Times New Roman" w:hAnsi="Times New Roman"/>
          <w:b/>
          <w:i w:val="0"/>
          <w:color w:val="000000"/>
          <w:sz w:val="26"/>
        </w:rPr>
        <w:t>M22. Cost Story</w:t>
      </w:r>
    </w:p>
    <w:p>
      <w:pPr>
        <w:spacing w:after="80" w:line="360" w:lineRule="auto"/>
        <w:jc w:val="both"/>
      </w:pPr>
      <w:r>
        <w:rPr>
          <w:rFonts w:ascii="Times New Roman" w:hAnsi="Times New Roman"/>
          <w:b w:val="0"/>
          <w:i/>
          <w:color w:val="000000"/>
          <w:sz w:val="20"/>
        </w:rPr>
        <w:t>Table A. Construct to metric to behavioural meaning to stakeholder consequence.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Metric</w:t>
            </w:r>
          </w:p>
        </w:tc>
        <w:tc>
          <w:tcPr>
            <w:tcW w:type="dxa" w:w="2160"/>
          </w:tcPr>
          <w:p>
            <w:r/>
            <w:r>
              <w:rPr>
                <w:rFonts w:ascii="Times New Roman" w:hAnsi="Times New Roman"/>
                <w:b/>
                <w:color w:val="000000"/>
                <w:sz w:val="18"/>
              </w:rPr>
              <w:t>Behavioural meaning</w:t>
            </w:r>
          </w:p>
        </w:tc>
        <w:tc>
          <w:tcPr>
            <w:tcW w:type="dxa" w:w="2160"/>
          </w:tcPr>
          <w:p>
            <w:r/>
            <w:r>
              <w:rPr>
                <w:rFonts w:ascii="Times New Roman" w:hAnsi="Times New Roman"/>
                <w:b/>
                <w:color w:val="000000"/>
                <w:sz w:val="18"/>
              </w:rPr>
              <w:t>Stakeholder consequence</w:t>
            </w:r>
          </w:p>
        </w:tc>
      </w:tr>
      <w:tr>
        <w:tc>
          <w:tcPr>
            <w:tcW w:type="dxa" w:w="2160"/>
          </w:tcPr>
          <w:p>
            <w:r/>
            <w:r>
              <w:rPr>
                <w:rFonts w:ascii="Times New Roman" w:hAnsi="Times New Roman"/>
                <w:color w:val="000000"/>
                <w:sz w:val="18"/>
              </w:rPr>
              <w:t>Behavioural readiness</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Correctly separating Low from High readiness</w:t>
            </w:r>
          </w:p>
        </w:tc>
        <w:tc>
          <w:tcPr>
            <w:tcW w:type="dxa" w:w="2160"/>
          </w:tcPr>
          <w:p>
            <w:r/>
            <w:r>
              <w:rPr>
                <w:rFonts w:ascii="Times New Roman" w:hAnsi="Times New Roman"/>
                <w:color w:val="000000"/>
                <w:sz w:val="18"/>
              </w:rPr>
              <w:t>False negative (Low predicted High) = at-risk student missed, receives no intervention</w:t>
            </w:r>
          </w:p>
        </w:tc>
      </w:tr>
      <w:tr>
        <w:tc>
          <w:tcPr>
            <w:tcW w:type="dxa" w:w="2160"/>
          </w:tcPr>
          <w:p>
            <w:r/>
            <w:r>
              <w:rPr>
                <w:rFonts w:ascii="Times New Roman" w:hAnsi="Times New Roman"/>
                <w:color w:val="000000"/>
                <w:sz w:val="18"/>
              </w:rPr>
              <w:t>Class coverage</w:t>
            </w:r>
          </w:p>
        </w:tc>
        <w:tc>
          <w:tcPr>
            <w:tcW w:type="dxa" w:w="2160"/>
          </w:tcPr>
          <w:p>
            <w:r/>
            <w:r>
              <w:rPr>
                <w:rFonts w:ascii="Times New Roman" w:hAnsi="Times New Roman"/>
                <w:color w:val="000000"/>
                <w:sz w:val="18"/>
              </w:rPr>
              <w:t>Per-class recall</w:t>
            </w:r>
          </w:p>
        </w:tc>
        <w:tc>
          <w:tcPr>
            <w:tcW w:type="dxa" w:w="2160"/>
          </w:tcPr>
          <w:p>
            <w:r/>
            <w:r>
              <w:rPr>
                <w:rFonts w:ascii="Times New Roman" w:hAnsi="Times New Roman"/>
                <w:color w:val="000000"/>
                <w:sz w:val="18"/>
              </w:rPr>
              <w:t>Fraction of each class correctly identified</w:t>
            </w:r>
          </w:p>
        </w:tc>
        <w:tc>
          <w:tcPr>
            <w:tcW w:type="dxa" w:w="2160"/>
          </w:tcPr>
          <w:p>
            <w:r/>
            <w:r>
              <w:rPr>
                <w:rFonts w:ascii="Times New Roman" w:hAnsi="Times New Roman"/>
                <w:color w:val="000000"/>
                <w:sz w:val="18"/>
              </w:rPr>
              <w:t>Both classes weighted equally so neither group is systematically missed</w:t>
            </w:r>
          </w:p>
        </w:tc>
      </w:tr>
      <w:tr>
        <w:tc>
          <w:tcPr>
            <w:tcW w:type="dxa" w:w="2160"/>
          </w:tcPr>
          <w:p>
            <w:r/>
            <w:r>
              <w:rPr>
                <w:rFonts w:ascii="Times New Roman" w:hAnsi="Times New Roman"/>
                <w:color w:val="000000"/>
                <w:sz w:val="18"/>
              </w:rPr>
              <w:t>Mechanism value</w:t>
            </w:r>
          </w:p>
        </w:tc>
        <w:tc>
          <w:tcPr>
            <w:tcW w:type="dxa" w:w="2160"/>
          </w:tcPr>
          <w:p>
            <w:r/>
            <w:r>
              <w:rPr>
                <w:rFonts w:ascii="Times New Roman" w:hAnsi="Times New Roman"/>
                <w:color w:val="000000"/>
                <w:sz w:val="18"/>
              </w:rPr>
              <w:t>Ablation delta</w:t>
            </w:r>
          </w:p>
        </w:tc>
        <w:tc>
          <w:tcPr>
            <w:tcW w:type="dxa" w:w="2160"/>
          </w:tcPr>
          <w:p>
            <w:r/>
            <w:r>
              <w:rPr>
                <w:rFonts w:ascii="Times New Roman" w:hAnsi="Times New Roman"/>
                <w:color w:val="000000"/>
                <w:sz w:val="18"/>
              </w:rPr>
              <w:t>Gain attributable to the KAB weighting</w:t>
            </w:r>
          </w:p>
        </w:tc>
        <w:tc>
          <w:tcPr>
            <w:tcW w:type="dxa" w:w="2160"/>
          </w:tcPr>
          <w:p>
            <w:r/>
            <w:r>
              <w:rPr>
                <w:rFonts w:ascii="Times New Roman" w:hAnsi="Times New Roman"/>
                <w:color w:val="000000"/>
                <w:sz w:val="18"/>
              </w:rPr>
              <w:t>Near zero on near-balanced data, so the engineered weighting is not justified here</w:t>
            </w:r>
          </w:p>
        </w:tc>
      </w:tr>
    </w:tbl>
    <w:p/>
    <w:p>
      <w:pPr>
        <w:spacing w:after="120" w:line="360" w:lineRule="auto"/>
        <w:jc w:val="left"/>
      </w:pPr>
      <w:r>
        <w:rPr>
          <w:rFonts w:ascii="Times New Roman" w:hAnsi="Times New Roman"/>
          <w:b/>
          <w:i w:val="0"/>
          <w:color w:val="000000"/>
          <w:sz w:val="26"/>
        </w:rPr>
        <w:t>M23. Data and Code Availability</w:t>
      </w:r>
    </w:p>
    <w:p>
      <w:pPr>
        <w:spacing w:after="160" w:line="360" w:lineRule="auto"/>
        <w:jc w:val="both"/>
      </w:pPr>
      <w:r>
        <w:rPr>
          <w:rFonts w:ascii="Times New Roman" w:hAnsi="Times New Roman"/>
          <w:b w:val="0"/>
          <w:i w:val="0"/>
          <w:color w:val="000000"/>
          <w:sz w:val="24"/>
        </w:rPr>
        <w:t>The full pipeline (kab_pipeline.py), both fold-level exports, summary_results.json and shap_importance.json are provided. The repository is to be made accessible to the verifier with the commit hash recorded here: ccc62ad069439628de77b98af63aa4c97c426899. Until the repository is accessible, full reproducibility cannot be independently confirmed; this is a stated limitation. The KNUST dataset is restricted under HuSSREC terms; the Alzubaidi dataset is public at doi:10.17632/fbs9mgmh4y.3.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