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Alzubaidi n</w:t>
            </w:r>
          </w:p>
        </w:tc>
        <w:tc>
          <w:tcPr>
            <w:tcW w:type="dxa" w:w="2160"/>
          </w:tcPr>
          <w:p>
            <w:r/>
            <w:r>
              <w:rPr>
                <w:rFonts w:ascii="Times New Roman" w:hAnsi="Times New Roman"/>
                <w:color w:val="000000"/>
                <w:sz w:val="18"/>
              </w:rPr>
              <w:t>1187</w:t>
            </w:r>
          </w:p>
        </w:tc>
      </w:tr>
      <w:tr>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HuSSREC/AP/639/VOL.5</w:t>
            </w:r>
          </w:p>
        </w:tc>
        <w:tc>
          <w:tcPr>
            <w:tcW w:type="dxa" w:w="2160"/>
          </w:tcPr>
          <w:p>
            <w:r/>
            <w:r>
              <w:rPr>
                <w:rFonts w:ascii="Times New Roman" w:hAnsi="Times New Roman"/>
                <w:color w:val="000000"/>
                <w:sz w:val="18"/>
              </w:rPr>
              <w:t>Date</w:t>
            </w:r>
          </w:p>
        </w:tc>
        <w:tc>
          <w:tcPr>
            <w:tcW w:type="dxa" w:w="2160"/>
          </w:tcPr>
          <w:p>
            <w:r/>
            <w:r>
              <w:rPr>
                <w:rFonts w:ascii="Times New Roman" w:hAnsi="Times New Roman"/>
                <w:color w:val="000000"/>
                <w:sz w:val="18"/>
              </w:rPr>
              <w:t>28 September 2026</w:t>
            </w:r>
          </w:p>
        </w:tc>
      </w:tr>
      <w:tr>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w:t>
            </w:r>
          </w:p>
        </w:tc>
        <w:tc>
          <w:tcPr>
            <w:tcW w:type="dxa" w:w="2160"/>
          </w:tcPr>
          <w:p>
            <w:r/>
            <w:r>
              <w:rPr>
                <w:rFonts w:ascii="Times New Roman" w:hAnsi="Times New Roman"/>
                <w:color w:val="000000"/>
                <w:sz w:val="18"/>
              </w:rPr>
              <w:t>Commit</w:t>
            </w:r>
          </w:p>
        </w:tc>
        <w:tc>
          <w:tcPr>
            <w:tcW w:type="dxa" w:w="2160"/>
          </w:tcPr>
          <w:p>
            <w:r>
              <w:t>4b8848e</w:t>
            </w:r>
            <w:r>
              <w:rPr>
                <w:rFonts w:ascii="Times New Roman" w:hAnsi="Times New Roman"/>
                <w:color w:val="000000"/>
                <w:sz w:val="18"/>
              </w:rPr>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Two datasets are used and never pooled: the KNUST field survey (primary) and the Alzubaidi (2021) public dataset (external stress-test). Both are processed by the same pipeline (kab_pipeline.py) in separate loops. Subsections cover data sources (M3-M4), ethics (M5), preprocessing and de-duplication (M6), features and reliability (M7), class imbalance (M8), partitioning and tuning-leakage control (M9), combining strategy (M10), baselines (M11), the proposed model (M12), tuning (M13), training (M14), metrics (M15), ablation and statistics (M16), interpretability (M17), generalisation and construct equivalence (M18), environment (M19), defences (M20), traceability (M21), cost story (M22), and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KNUST: X.shape = (2088, 17); feature order (X.columns) = Q6, Q7, Q8, Q9, Q10, Q13, Q14, Q15, Q16, Q17, Q1, Q2, Q3, Q4, Q5, K_agg, A_agg. Alzubaidi: X.shape = (1,187, 28); feature order = B19_0, B19_1, B19_2, B19_3, B19_4, B19_5, B20_0, B20_1, B20_2, B20_3, B20_4, B20_5, B18_0, B18_1, B18_2, B18_3, B18_4, B18_5, B18_6, B22_0, B22_1, B22_2, B22_3, B22_4, B13, B21, K_agg, A_agg. No Behaviour item enters either X. The label y is a global median split of the Behaviour total; for KNUST the median is 18.0.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KNUST field survey: primary evaluation corpus, restricted under HuSSREC terms (reference HuSSREC/AP/639/VOL.5). Alzubaidi (2021): public dataset, doi:10.17632/fbs9mgmh4y.3, CC BY-NC-ND 4.0, retained as an external stress-test. The two datasets are processed in separate loops with no shared state, no feature-level concatenation, and no corpus-level pooling; they are never pooled.</w:t>
      </w:r>
    </w:p>
    <w:p>
      <w:pPr>
        <w:spacing w:after="120" w:line="360" w:lineRule="auto"/>
        <w:jc w:val="left"/>
      </w:pPr>
      <w:r>
        <w:rPr>
          <w:rFonts w:ascii="Times New Roman" w:hAnsi="Times New Roman"/>
          <w:b/>
          <w:i w:val="0"/>
          <w:color w:val="000000"/>
          <w:sz w:val="26"/>
        </w:rPr>
        <w:t>M4. Data Collection, Acquisition and Duplicate Removal</w:t>
      </w:r>
    </w:p>
    <w:p>
      <w:pPr>
        <w:spacing w:after="160" w:line="360" w:lineRule="auto"/>
        <w:jc w:val="both"/>
      </w:pPr>
      <w:r>
        <w:rPr>
          <w:rFonts w:ascii="Times New Roman" w:hAnsi="Times New Roman"/>
          <w:b w:val="0"/>
          <w:i w:val="0"/>
          <w:color w:val="000000"/>
          <w:sz w:val="24"/>
        </w:rPr>
        <w:t>KNUST sampling frame: registered Supply Chain Management students at KNUST across Years 2 to 4, 3,200 students (Faculty of Business records, confirmed). Data were collected on printed paper questionnaires, then typed manually into an Excel spreadsheet, then pushed to Google Forms in batches using a Google Apps Script. The script appended the paper responses in batches; a fault in the batch loop re-appended exactly two contiguous runs of already-entered rows: rows 1,589 to 2,683 (1,095 rows, re-appending earlier rows at a 500-row offset) and rows 3,184 to 4,121 (938 rows, re-appending rows 1 to 938). The 2,088 retained rows are the non-repeated rows 1 to 1,588 and 2,684 to 3,183. The export timestamps (6 to 7 July 2026, median gap 1.9 s) are transcription times, not response times. The spreadsheet retains the Google Forms default tab name (Form Responses 1) because no tab rename was applied before the Apps Script appended the paper entries, which is why no early-versus-late comparison is possible. The raw sheet contained 4121 rows; 2033 of these (49.3%) were exact-duplicate response patterns. Duplicates were removed before any modelling using an exact-match key over all 21 answered fields (Q1-Q10, Q13-Q23); where two or more rows shared a key, the first occurrence was retained and the rest discarded, leaving n = 2088 unique responses. Response rate: the raw count corresponds to 128.8% of the estimated frame (above 100% precisely because of the duplication), and the de-duplicated count to 65.3%. A non-response comparison of early versus late respondents was not possible because the export carries only a submission timestamp with no start time. Table M4a summarises the frame and removal.</w:t>
      </w:r>
    </w:p>
    <w:p>
      <w:pPr>
        <w:spacing w:after="80" w:line="360" w:lineRule="auto"/>
        <w:jc w:val="both"/>
      </w:pPr>
      <w:r>
        <w:rPr>
          <w:rFonts w:ascii="Times New Roman" w:hAnsi="Times New Roman"/>
          <w:b w:val="0"/>
          <w:i/>
          <w:color w:val="000000"/>
          <w:sz w:val="20"/>
        </w:rPr>
        <w:t>Table M4a. Sampling frame and duplicate removal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tcPr>
          <w:p>
            <w:r/>
            <w:r>
              <w:rPr>
                <w:rFonts w:ascii="Times New Roman" w:hAnsi="Times New Roman"/>
                <w:b/>
                <w:color w:val="000000"/>
                <w:sz w:val="18"/>
              </w:rPr>
              <w:t>Quantity</w:t>
            </w:r>
          </w:p>
        </w:tc>
        <w:tc>
          <w:tcPr>
            <w:tcW w:type="dxa" w:w="4320"/>
          </w:tcPr>
          <w:p>
            <w:r/>
            <w:r>
              <w:rPr>
                <w:rFonts w:ascii="Times New Roman" w:hAnsi="Times New Roman"/>
                <w:b/>
                <w:color w:val="000000"/>
                <w:sz w:val="18"/>
              </w:rPr>
              <w:t>Value</w:t>
            </w:r>
          </w:p>
        </w:tc>
      </w:tr>
      <w:tr>
        <w:tc>
          <w:tcPr>
            <w:tcW w:type="dxa" w:w="4320"/>
          </w:tcPr>
          <w:p>
            <w:r/>
            <w:r>
              <w:rPr>
                <w:rFonts w:ascii="Times New Roman" w:hAnsi="Times New Roman"/>
                <w:color w:val="000000"/>
                <w:sz w:val="18"/>
              </w:rPr>
              <w:t>Estimated registered SCM students (Years 2-4)</w:t>
            </w:r>
          </w:p>
        </w:tc>
        <w:tc>
          <w:tcPr>
            <w:tcW w:type="dxa" w:w="4320"/>
          </w:tcPr>
          <w:p>
            <w:r/>
            <w:r>
              <w:rPr>
                <w:rFonts w:ascii="Times New Roman" w:hAnsi="Times New Roman"/>
                <w:color w:val="000000"/>
                <w:sz w:val="18"/>
              </w:rPr>
              <w:t>3200</w:t>
            </w:r>
          </w:p>
        </w:tc>
      </w:tr>
      <w:tr>
        <w:tc>
          <w:tcPr>
            <w:tcW w:type="dxa" w:w="4320"/>
          </w:tcPr>
          <w:p>
            <w:r/>
            <w:r>
              <w:rPr>
                <w:rFonts w:ascii="Times New Roman" w:hAnsi="Times New Roman"/>
                <w:color w:val="000000"/>
                <w:sz w:val="18"/>
              </w:rPr>
              <w:t>Raw rows in export</w:t>
            </w:r>
          </w:p>
        </w:tc>
        <w:tc>
          <w:tcPr>
            <w:tcW w:type="dxa" w:w="4320"/>
          </w:tcPr>
          <w:p>
            <w:r/>
            <w:r>
              <w:rPr>
                <w:rFonts w:ascii="Times New Roman" w:hAnsi="Times New Roman"/>
                <w:color w:val="000000"/>
                <w:sz w:val="18"/>
              </w:rPr>
              <w:t>4121</w:t>
            </w:r>
          </w:p>
        </w:tc>
      </w:tr>
      <w:tr>
        <w:tc>
          <w:tcPr>
            <w:tcW w:type="dxa" w:w="4320"/>
          </w:tcPr>
          <w:p>
            <w:r/>
            <w:r>
              <w:rPr>
                <w:rFonts w:ascii="Times New Roman" w:hAnsi="Times New Roman"/>
                <w:color w:val="000000"/>
                <w:sz w:val="18"/>
              </w:rPr>
              <w:t>Exact-duplicate rows removed</w:t>
            </w:r>
          </w:p>
        </w:tc>
        <w:tc>
          <w:tcPr>
            <w:tcW w:type="dxa" w:w="4320"/>
          </w:tcPr>
          <w:p>
            <w:r/>
            <w:r>
              <w:rPr>
                <w:rFonts w:ascii="Times New Roman" w:hAnsi="Times New Roman"/>
                <w:color w:val="000000"/>
                <w:sz w:val="18"/>
              </w:rPr>
              <w:t>2033 (49.3%)</w:t>
            </w:r>
          </w:p>
        </w:tc>
      </w:tr>
      <w:tr>
        <w:tc>
          <w:tcPr>
            <w:tcW w:type="dxa" w:w="4320"/>
          </w:tcPr>
          <w:p>
            <w:r/>
            <w:r>
              <w:rPr>
                <w:rFonts w:ascii="Times New Roman" w:hAnsi="Times New Roman"/>
                <w:color w:val="000000"/>
                <w:sz w:val="18"/>
              </w:rPr>
              <w:t>Unique responses retained</w:t>
            </w:r>
          </w:p>
        </w:tc>
        <w:tc>
          <w:tcPr>
            <w:tcW w:type="dxa" w:w="4320"/>
          </w:tcPr>
          <w:p>
            <w:r/>
            <w:r>
              <w:rPr>
                <w:rFonts w:ascii="Times New Roman" w:hAnsi="Times New Roman"/>
                <w:color w:val="000000"/>
                <w:sz w:val="18"/>
              </w:rPr>
              <w:t>2088</w:t>
            </w:r>
          </w:p>
        </w:tc>
      </w:tr>
      <w:tr>
        <w:tc>
          <w:tcPr>
            <w:tcW w:type="dxa" w:w="4320"/>
          </w:tcPr>
          <w:p>
            <w:r/>
            <w:r>
              <w:rPr>
                <w:rFonts w:ascii="Times New Roman" w:hAnsi="Times New Roman"/>
                <w:color w:val="000000"/>
                <w:sz w:val="18"/>
              </w:rPr>
              <w:t>Raw response rate</w:t>
            </w:r>
          </w:p>
        </w:tc>
        <w:tc>
          <w:tcPr>
            <w:tcW w:type="dxa" w:w="4320"/>
          </w:tcPr>
          <w:p>
            <w:r/>
            <w:r>
              <w:rPr>
                <w:rFonts w:ascii="Times New Roman" w:hAnsi="Times New Roman"/>
                <w:color w:val="000000"/>
                <w:sz w:val="18"/>
              </w:rPr>
              <w:t>128.8%</w:t>
            </w:r>
          </w:p>
        </w:tc>
      </w:tr>
      <w:tr>
        <w:tc>
          <w:tcPr>
            <w:tcW w:type="dxa" w:w="4320"/>
          </w:tcPr>
          <w:p>
            <w:r/>
            <w:r>
              <w:rPr>
                <w:rFonts w:ascii="Times New Roman" w:hAnsi="Times New Roman"/>
                <w:color w:val="000000"/>
                <w:sz w:val="18"/>
              </w:rPr>
              <w:t>De-duplicated response rate</w:t>
            </w:r>
          </w:p>
        </w:tc>
        <w:tc>
          <w:tcPr>
            <w:tcW w:type="dxa" w:w="4320"/>
          </w:tcPr>
          <w:p>
            <w:r/>
            <w:r>
              <w:rPr>
                <w:rFonts w:ascii="Times New Roman" w:hAnsi="Times New Roman"/>
                <w:color w:val="000000"/>
                <w:sz w:val="18"/>
              </w:rPr>
              <w:t>65.3%</w:t>
            </w:r>
          </w:p>
        </w:tc>
      </w:tr>
    </w:tbl>
    <w:p/>
    <w:p>
      <w:pPr>
        <w:spacing w:after="160" w:line="360" w:lineRule="auto"/>
        <w:jc w:val="both"/>
      </w:pPr>
      <w:r>
        <w:rPr>
          <w:rFonts w:ascii="Times New Roman" w:hAnsi="Times New Roman"/>
          <w:b w:val="0"/>
          <w:i w:val="0"/>
          <w:color w:val="000000"/>
          <w:sz w:val="24"/>
        </w:rPr>
        <w:t>Alzubaidi: downloaded from Mendeley Data (doi:10.17632/fbs9mgmh4y.3); 1,231 responses, 17 exact-duplicate rows removed; 27 additional rows removed where mapped values matched but raw answer text differed (for example a ‘do not know’ response coding as ‘never’), leaving 1,187 unique responses; modelled feature matrix d = 28 after block mapping (M18).</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Approved by the KNUST Humanities and Social Sciences Ethics Committee (HuSSREC), reference HuSSREC/AP/639/VOL.5. Participation was voluntary with informed consent.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Q11 ("I know what steps to take if I suspect a cybersecurity incident") is a Knowledge item, so the Knowledge subscale is the five fielded items Q6-Q10. Q12 ("Cybersecurity is a personal responsibility") is an Attitude item, so the Attitude subscale is the five fielded items Q13-Q17. One Knowledge item (Q11) and one Attitude item (Q12) were lost. No item beyond Q11 and Q12 was affected. Straight-lining screening found zero uniform-response rows among the 2,088 retained records. Completion-time screening was not possible (submission timestamp only, no start time).</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KNUST Knowledge items: Q6 recognise phishing, Q7 understand a data breach, Q8 strong versus weak password, Q9 public Wi-Fi and VPN risk, Q10 explain social engineering. Attitude items: Q13-Q17. K_agg and A_agg are the subscale means; demographics Q1-Q5 are ordinal-encoded. Cronbach alpha (KNUST, de-duplicated): Knowledge 0.703, Attitude 0.603, Behaviour 0.709. The Attitude alpha is below 0.70, consistent with the loss of one Attitude item (Q12); this is stated as a limitation. Alpha values are reported here in Methods only and are not repeated in Results.</w:t>
      </w:r>
    </w:p>
    <w:p>
      <w:pPr>
        <w:pStyle w:val="Normal"/>
      </w:pPr>
      <w:r>
        <w:rPr>
          <w:i/>
        </w:rPr>
        <w:t xml:space="preserve">Table M7a. Demographic feature encoding scheme.</w:t>
      </w:r>
    </w:p>
    <w:p>
      <w:pPr>
        <w:pStyle w:val="Normal"/>
      </w:pPr>
      <w:r>
        <w:t xml:space="preserve">Table M7a gives the encoding scheme for the five demographic predictors.</w:t>
      </w:r>
    </w:p>
    <w:tbl>
      <w:tblPr>
        <w:tblStyle w:val="TableGrid"/>
        <w:tblW w:w="8000" w:type="dxa"/>
      </w:tblPr>
      <w:tblGrid>
        <w:gridCol w:w="1200"/>
        <w:gridCol w:w="2000"/>
        <w:gridCol w:w="2400"/>
        <w:gridCol w:w="2400"/>
      </w:tblGrid>
      <w:tr>
        <w:tc>
          <w:tcPr>
            <w:tcW w:w="1200" w:type="dxa"/>
            <w:shd w:val="clear" w:color="auto" w:fill="CCCCCC"/>
          </w:tcPr>
          <w:p>
            <w:r>
              <w:rPr>
                <w:b/>
              </w:rPr>
              <w:t>Item</w:t>
            </w:r>
          </w:p>
        </w:tc>
        <w:tc>
          <w:tcPr>
            <w:tcW w:w="2000" w:type="dxa"/>
            <w:shd w:val="clear" w:color="auto" w:fill="CCCCCC"/>
          </w:tcPr>
          <w:p>
            <w:r>
              <w:rPr>
                <w:b/>
              </w:rPr>
              <w:t>Type</w:t>
            </w:r>
          </w:p>
        </w:tc>
        <w:tc>
          <w:tcPr>
            <w:tcW w:w="2400" w:type="dxa"/>
            <w:shd w:val="clear" w:color="auto" w:fill="CCCCCC"/>
          </w:tcPr>
          <w:p>
            <w:r>
              <w:rPr>
                <w:b/>
              </w:rPr>
              <w:t>Levels</w:t>
            </w:r>
          </w:p>
        </w:tc>
        <w:tc>
          <w:tcPr>
            <w:tcW w:w="2400" w:type="dxa"/>
            <w:shd w:val="clear" w:color="auto" w:fill="CCCCCC"/>
          </w:tcPr>
          <w:p>
            <w:r>
              <w:rPr>
                <w:b/>
              </w:rPr>
              <w:t>Encoded values</w:t>
            </w:r>
          </w:p>
        </w:tc>
      </w:tr>
      <w:tr>
        <w:tc>
          <w:tcPr>
            <w:tcW w:w="1200" w:type="dxa"/>
          </w:tcPr>
          <w:p>
            <w:r>
              <w:t>Q1 Gender</w:t>
            </w:r>
          </w:p>
        </w:tc>
        <w:tc>
          <w:tcPr>
            <w:tcW w:w="2000" w:type="dxa"/>
          </w:tcPr>
          <w:p>
            <w:r>
              <w:t>Binary</w:t>
            </w:r>
          </w:p>
        </w:tc>
        <w:tc>
          <w:tcPr>
            <w:tcW w:w="2400" w:type="dxa"/>
          </w:tcPr>
          <w:p>
            <w:r>
              <w:t>Male, Female</w:t>
            </w:r>
          </w:p>
        </w:tc>
        <w:tc>
          <w:tcPr>
            <w:tcW w:w="2400" w:type="dxa"/>
          </w:tcPr>
          <w:p>
            <w:r>
              <w:t>Male=1, Female=0 (Prefer not to say merged with Female)</w:t>
            </w:r>
          </w:p>
        </w:tc>
      </w:tr>
      <w:tr>
        <w:tc>
          <w:tcPr>
            <w:tcW w:w="1200" w:type="dxa"/>
          </w:tcPr>
          <w:p>
            <w:r>
              <w:t>Q2 Year</w:t>
            </w:r>
          </w:p>
        </w:tc>
        <w:tc>
          <w:tcPr>
            <w:tcW w:w="2000" w:type="dxa"/>
          </w:tcPr>
          <w:p>
            <w:r>
              <w:t>Ordinal</w:t>
            </w:r>
          </w:p>
        </w:tc>
        <w:tc>
          <w:tcPr>
            <w:tcW w:w="2400" w:type="dxa"/>
          </w:tcPr>
          <w:p>
            <w:r>
              <w:t>Year 2, Year 3, Year 4</w:t>
            </w:r>
          </w:p>
        </w:tc>
        <w:tc>
          <w:tcPr>
            <w:tcW w:w="2400" w:type="dxa"/>
          </w:tcPr>
          <w:p>
            <w:r>
              <w:t>2, 3, 4</w:t>
            </w:r>
          </w:p>
        </w:tc>
      </w:tr>
      <w:tr>
        <w:tc>
          <w:tcPr>
            <w:tcW w:w="1200" w:type="dxa"/>
          </w:tcPr>
          <w:p>
            <w:r>
              <w:t>Q3 IT course</w:t>
            </w:r>
          </w:p>
        </w:tc>
        <w:tc>
          <w:tcPr>
            <w:tcW w:w="2000" w:type="dxa"/>
          </w:tcPr>
          <w:p>
            <w:r>
              <w:t>Binary</w:t>
            </w:r>
          </w:p>
        </w:tc>
        <w:tc>
          <w:tcPr>
            <w:tcW w:w="2400" w:type="dxa"/>
          </w:tcPr>
          <w:p>
            <w:r>
              <w:t>Yes, No</w:t>
            </w:r>
          </w:p>
        </w:tc>
        <w:tc>
          <w:tcPr>
            <w:tcW w:w="2400" w:type="dxa"/>
          </w:tcPr>
          <w:p>
            <w:r>
              <w:t>Yes=1, No=0</w:t>
            </w:r>
          </w:p>
        </w:tc>
      </w:tr>
      <w:tr>
        <w:tc>
          <w:tcPr>
            <w:tcW w:w="1200" w:type="dxa"/>
          </w:tcPr>
          <w:p>
            <w:r>
              <w:t>Q4 Internet years</w:t>
            </w:r>
          </w:p>
        </w:tc>
        <w:tc>
          <w:tcPr>
            <w:tcW w:w="2000" w:type="dxa"/>
          </w:tcPr>
          <w:p>
            <w:r>
              <w:t>Ordinal</w:t>
            </w:r>
          </w:p>
        </w:tc>
        <w:tc>
          <w:tcPr>
            <w:tcW w:w="2400" w:type="dxa"/>
          </w:tcPr>
          <w:p>
            <w:r>
              <w:t>Less than 2 yrs, 2-5 yrs, More than 5 yrs</w:t>
            </w:r>
          </w:p>
        </w:tc>
        <w:tc>
          <w:tcPr>
            <w:tcW w:w="2400" w:type="dxa"/>
          </w:tcPr>
          <w:p>
            <w:r>
              <w:t>1, 2, 3</w:t>
            </w:r>
          </w:p>
        </w:tc>
      </w:tr>
      <w:tr>
        <w:tc>
          <w:tcPr>
            <w:tcW w:w="1200" w:type="dxa"/>
          </w:tcPr>
          <w:p>
            <w:r>
              <w:t>Q5 Tool use</w:t>
            </w:r>
          </w:p>
        </w:tc>
        <w:tc>
          <w:tcPr>
            <w:tcW w:w="2000" w:type="dxa"/>
          </w:tcPr>
          <w:p>
            <w:r>
              <w:t>Ordinal</w:t>
            </w:r>
          </w:p>
        </w:tc>
        <w:tc>
          <w:tcPr>
            <w:tcW w:w="2400" w:type="dxa"/>
          </w:tcPr>
          <w:p>
            <w:r>
              <w:t>Rarely, Sometimes, Often, Very often</w:t>
            </w:r>
          </w:p>
        </w:tc>
        <w:tc>
          <w:tcPr>
            <w:tcW w:w="2400" w:type="dxa"/>
          </w:tcPr>
          <w:p>
            <w:r>
              <w:t>1, 2, 3, 4</w:t>
            </w:r>
          </w:p>
        </w:tc>
      </w:tr>
    </w:tbl>
    <w:p>
      <w:pPr>
        <w:spacing w:after="160" w:line="360" w:lineRule="auto"/>
        <w:jc w:val="both"/>
      </w:pPr>
      <w:r>
        <w:rPr>
          <w:rFonts w:ascii="Times New Roman" w:hAnsi="Times New Roman"/>
          <w:b w:val="0"/>
          <w:i w:val="0"/>
          <w:color w:val="000000"/>
          <w:sz w:val="24"/>
        </w:rPr>
        <w:t xml:space="preserve">Alzubaidi ordinal coding. Frequency items (B19, B20, B14): always = 5, often = 4, sometimes = 3, seldom/rarely = 2, never = 1. "Do not know", "don't know", and "not sure (difficult to determine)" are coded 1 (least frequent). Justification: B19 asks whether the participant has been a victim of cybercrime, not how often they perform a behaviour. Coding ‘do not know’ as 1 (never victimised) is conservative. A sensitivity check recoded these cells as 3 (neutral midpoint); the KNUST Wilcoxon result was unchanged (p &gt; 0.05). This affects approximately 45% of B19 cells. Attitude items (B18, B22): strongly agree = 5, agree = 4, neutral/undecided = 3, disagree = 2, strongly disagree = 1. Security perception B13: very secure = 5, somewhat secure = 4, neutral = 3, somewhat insecure = 2, not secure at all / very insecure = 1. Perceived severity B21: responses containing "serious" = 5, responses containing "vanish" = 1, all others = 3. Any response not matched by its map is filled with 3.0 (neutral midpoint). B13 "not sure (difficult to determine)" (149 cells) and B21 "don't know" (124 cells) and "no significant change" (94 cells) default to 3 by this rule; these counts are stated here as a transparency note. B13 “not sure (difficult to determine)” (149 cells) and B21 “don’t know” (124 cells) and “no significant change” (94 cells) default to 3 by this rule; these counts are stated here as a transparency note.</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KNUST is near-balanced after de-duplication: Low 1,167 (55.9%), High 921 (44.1%). Alzubaidi: Low 597 (50.3%), High 590 (49.7%). No resampling is applied to the primary analysis. An artificial-skew test (M16, R10) deliberately imbalances the data to test whether the weighting helps more under skew.</w:t>
      </w:r>
    </w:p>
    <w:p>
      <w:pPr>
        <w:spacing w:after="120" w:line="360" w:lineRule="auto"/>
        <w:jc w:val="left"/>
      </w:pPr>
      <w:r>
        <w:rPr>
          <w:rFonts w:ascii="Times New Roman" w:hAnsi="Times New Roman"/>
          <w:b/>
          <w:i w:val="0"/>
          <w:color w:val="000000"/>
          <w:sz w:val="26"/>
        </w:rPr>
        <w:t>M9. Partitioning and Tuning-Leakage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A separate 80/20 hold-out is used for the confusion matrices, McNemar test, AUC, SHAP, and robustness in R6/R7/R11. The held-out SHAP model, the held-out baseline, and the robustness model are all re-tuned on the 80% training split only; no held-out row informs tuning. Average tuned depths across folds: KNUST baseline 2.54 / WCE 2.54; Alzubaidi baseline 2.28 / WCE 2.30. Average tuned lambda (KNUST): 1.385. Lambda and depth are tuned per fold via 3-fold inner CV.</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share no data, no features and no fitted state; they are never pooled and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Seven comparators on each dataset: Baseline XGBoost (independently tuned), stock scale_pos_weight XGBoost, Decision Tree, Naive Bayes, Logistic Regression (scaled), SVM (scaled), and Random Forest. The proposed KAB-XGBoost-WCE is the eighth model. Each tunable model receives its own GridSearchCV on the training folds, on both datasets. On Alzubaidi, WCE (0.6877) is above Decision Tree, Naive Bayes, SVM, and Random Forest (all p &lt; 0.001) and above stock scale_pos_weight (p = 0.0959). Logistic Regression (0.6830) and Baseline (0.6844) are not significantly different from WCE.</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For instances where K_agg &lt; median(K_agg) OR A_agg &lt; median(A_agg), the per-instance weight is w_i = lambda; all other instances receive w_i = 1.0. The weight targets low-knowledge or negative-attitude instances regardless of class label. Lambda is tuned per fold. The full definition is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gives search spaces and selected values on both datasets. Baseline XGBoost and KAB-XGBoost-WCE both tune max_depth over {2,3,5,7}. Each uses its own GridSearchCV, run independently per fold, on each dataset. SVM and Logistic Regression are evaluated on standardised features.</w:t>
      </w:r>
    </w:p>
    <w:p>
      <w:pPr>
        <w:spacing w:after="80" w:line="360" w:lineRule="auto"/>
        <w:jc w:val="both"/>
      </w:pPr>
      <w:r>
        <w:rPr>
          <w:rFonts w:ascii="Times New Roman" w:hAnsi="Times New Roman"/>
          <w:b w:val="0"/>
          <w:i/>
          <w:color w:val="000000"/>
          <w:sz w:val="20"/>
        </w:rPr>
        <w:t>Table 2. Tuning search spaces and selected values (both datasets,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Search space</w:t>
            </w:r>
          </w:p>
        </w:tc>
        <w:tc>
          <w:tcPr>
            <w:tcW w:type="dxa" w:w="2160"/>
          </w:tcPr>
          <w:p>
            <w:r/>
            <w:r>
              <w:rPr>
                <w:rFonts w:ascii="Times New Roman" w:hAnsi="Times New Roman"/>
                <w:b/>
                <w:color w:val="000000"/>
                <w:sz w:val="18"/>
              </w:rPr>
              <w:t>KNUST</w:t>
            </w:r>
          </w:p>
        </w:tc>
        <w:tc>
          <w:tcPr>
            <w:tcW w:type="dxa" w:w="2160"/>
          </w:tcPr>
          <w:p>
            <w:r/>
            <w:r>
              <w:rPr>
                <w:rFonts w:ascii="Times New Roman" w:hAnsi="Times New Roman"/>
                <w:b/>
                <w:color w:val="000000"/>
                <w:sz w:val="18"/>
              </w:rPr>
              <w:t>Alzubaidi</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max_depth {2,3,5,7}</w:t>
            </w:r>
          </w:p>
        </w:tc>
        <w:tc>
          <w:tcPr>
            <w:tcW w:type="dxa" w:w="2160"/>
          </w:tcPr>
          <w:p>
            <w:r/>
            <w:r>
              <w:rPr>
                <w:rFonts w:ascii="Times New Roman" w:hAnsi="Times New Roman"/>
                <w:color w:val="000000"/>
                <w:sz w:val="18"/>
              </w:rPr>
              <w:t>depth 2</w:t>
            </w:r>
          </w:p>
        </w:tc>
        <w:tc>
          <w:tcPr>
            <w:tcW w:type="dxa" w:w="2160"/>
          </w:tcPr>
          <w:p>
            <w:r/>
            <w:r>
              <w:rPr>
                <w:rFonts w:ascii="Times New Roman" w:hAnsi="Times New Roman"/>
                <w:color w:val="000000"/>
                <w:sz w:val="18"/>
              </w:rPr>
              <w:t>depth 2</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depth {2,3,5,7} x lambda {1.25,1.5}</w:t>
            </w:r>
          </w:p>
        </w:tc>
        <w:tc>
          <w:tcPr>
            <w:tcW w:type="dxa" w:w="2160"/>
          </w:tcPr>
          <w:p>
            <w:r/>
            <w:r>
              <w:rPr>
                <w:rFonts w:ascii="Times New Roman" w:hAnsi="Times New Roman"/>
                <w:color w:val="000000"/>
                <w:sz w:val="18"/>
              </w:rPr>
              <w:t>avg depth 2.54, lam 1.385</w:t>
            </w:r>
          </w:p>
        </w:tc>
        <w:tc>
          <w:tcPr>
            <w:tcW w:type="dxa" w:w="2160"/>
          </w:tcPr>
          <w:p>
            <w:r/>
            <w:r>
              <w:rPr>
                <w:rFonts w:ascii="Times New Roman" w:hAnsi="Times New Roman"/>
                <w:color w:val="000000"/>
                <w:sz w:val="18"/>
              </w:rPr>
              <w:t>avg depth 2.30, lam 1.40</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max_depth {3,5,7}</w:t>
            </w:r>
          </w:p>
        </w:tc>
        <w:tc>
          <w:tcPr>
            <w:tcW w:type="dxa" w:w="2160"/>
          </w:tcPr>
          <w:p>
            <w:r/>
            <w:r>
              <w:rPr>
                <w:rFonts w:ascii="Times New Roman" w:hAnsi="Times New Roman"/>
                <w:color w:val="000000"/>
                <w:sz w:val="18"/>
              </w:rPr>
              <w:t>per fold</w:t>
            </w:r>
          </w:p>
        </w:tc>
        <w:tc>
          <w:tcPr>
            <w:tcW w:type="dxa" w:w="2160"/>
          </w:tcPr>
          <w:p>
            <w:r/>
            <w:r>
              <w:rPr>
                <w:rFonts w:ascii="Times New Roman" w:hAnsi="Times New Roman"/>
                <w:color w:val="000000"/>
                <w:sz w:val="18"/>
              </w:rPr>
              <w:t>per fold</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n_estimators 100</w:t>
            </w:r>
          </w:p>
        </w:tc>
        <w:tc>
          <w:tcPr>
            <w:tcW w:type="dxa" w:w="2160"/>
          </w:tcPr>
          <w:p>
            <w:r/>
            <w:r>
              <w:rPr>
                <w:rFonts w:ascii="Times New Roman" w:hAnsi="Times New Roman"/>
                <w:color w:val="000000"/>
                <w:sz w:val="18"/>
              </w:rPr>
              <w:t>fixed</w:t>
            </w:r>
          </w:p>
        </w:tc>
        <w:tc>
          <w:tcPr>
            <w:tcW w:type="dxa" w:w="2160"/>
          </w:tcPr>
          <w:p>
            <w:r/>
            <w:r>
              <w:rPr>
                <w:rFonts w:ascii="Times New Roman" w:hAnsi="Times New Roman"/>
                <w:color w:val="000000"/>
                <w:sz w:val="18"/>
              </w:rPr>
              <w:t>fixed</w:t>
            </w:r>
          </w:p>
        </w:tc>
      </w:tr>
      <w:tr>
        <w:tc>
          <w:tcPr>
            <w:tcW w:type="dxa" w:w="2160"/>
          </w:tcPr>
          <w:p>
            <w:r/>
            <w:r>
              <w:rPr>
                <w:rFonts w:ascii="Times New Roman" w:hAnsi="Times New Roman"/>
                <w:color w:val="000000"/>
                <w:sz w:val="18"/>
              </w:rPr>
              <w:t>SVM / LogReg</w:t>
            </w:r>
          </w:p>
        </w:tc>
        <w:tc>
          <w:tcPr>
            <w:tcW w:type="dxa" w:w="2160"/>
          </w:tcPr>
          <w:p>
            <w:r/>
            <w:r>
              <w:rPr>
                <w:rFonts w:ascii="Times New Roman" w:hAnsi="Times New Roman"/>
                <w:color w:val="000000"/>
                <w:sz w:val="18"/>
              </w:rPr>
              <w:t>scaled features</w:t>
            </w:r>
          </w:p>
        </w:tc>
        <w:tc>
          <w:tcPr>
            <w:tcW w:type="dxa" w:w="2160"/>
          </w:tcPr>
          <w:p>
            <w:r/>
            <w:r>
              <w:rPr>
                <w:rFonts w:ascii="Times New Roman" w:hAnsi="Times New Roman"/>
                <w:color w:val="000000"/>
                <w:sz w:val="18"/>
              </w:rPr>
              <w:t>scaled</w:t>
            </w:r>
          </w:p>
        </w:tc>
        <w:tc>
          <w:tcPr>
            <w:tcW w:type="dxa" w:w="216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model instances fix random_state 42. The complete pipeline (loading and de-duplication for KNUST, block mapping for Alzubaidi, feature and label construction, nested GridSearchCV, all eight models (seven comparators plus the proposed KAB-XGBoost-WCE), the four-arm ablation, the depth curve, held-out analysis, SHAP, ordinal and bootstrap robustness, subgroup analysis, and the artificial-skew test) is in kab_pipeline.py. The 50 fold-level scores per dataset are exported to fold_level_results_knust.csv and fold_level_results_alzubaidi.csv so every figure in Results is independently recomputable. Reproducibility depends on repository access, which is a stated limitation in M23. Seed sensitivity: the full 5x10 CV is repeated across five seeds (0, 7, 13, 21, 42); each seed changes the fold splits and the XGBoost random_state. Robustness protocol: in each of 100 trials every Likert cell in the held-out rows is shifted by plus or minus 1 with probability 0.10 (clipped to 1-5), K_agg and A_agg are recomputed, and the tuned WCE model scores the result; separately, the held-out predictions are bootstrapped 1,000 times for the confidence interval. Subgroup protocol: the full 5x10 CV is re-run with the Year 2, Year 3 and Year 4 subsets; tuned WCE and tuned baseline run side by side; no subgroup-level significance test is run. Threshold protocol: the outcome label is recomputed at tertile top (top 30% High, Low = 70%) and quartile top (top 24% High, Low = 76%) thresholds; a paired Wilcoxon test is run at each threshold on the 50 folds.</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(symmetric cost story, Table A). Supporting: per-class precision, recall and F1; AUC-ROC; McNemar on the held-out split; SHAP for feature importance.</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(A: max_depth 5 no weighting, B: max_depth 3 no weighting, C: max_depth 5 lambda = 1.5, D: max_depth 3 lambda = 1.5), all from the same 5 x 10-fold protocol. Primary test: Wilcoxon signed-rank on 50 paired folds with W+, W-, p, fold-win and ties reported. The 50 fold scores are not independent (5 repeats of 10 folds share data); p-values are conservative approximations. The p-value uses scipy.stats.wilcoxon: exact when no ties and n 50 or fewer, normal approximation otherwise. Effect size: r = |z| / sqrt(n_nontied), where n_nontied is the number of non-tied pairs. Each of the seven pairwise comparisons uses its own Wilcoxon test. No Bonferroni correction is applied; all seven p-values are reported. Seven comparators gives a Bonferroni threshold of alpha/7 = 0.0071. This threshold is applied in R2. Artificial-skew test: the High class is downsampled to a 25% minority to test whether the weighting helps more under genuine imbalance, comparing KAB-WCE against stock scale_pos_weight.</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KAB-XGBoost-WCE model on each dataset's held-out partition, and mean absolute SHAP values give the global feature ranking reported in R6. Importance is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Tier 1 bounded, single-context field study with an external stress-test. The KNUST Knowledge items are as listed in M7. On the Alzubaidi instrument the nearest blocks are B19 (cybercrime victimisation frequency) and B20 (concern), which measure experience and concern rather than knowledge; the Knowledge mapping to Alzubaidi is therefore imposed and weak, and is labelled as such. No measurement invariance is claimed. Table M18a gives the block-level mapping.</w:t>
      </w:r>
    </w:p>
    <w:p>
      <w:pPr>
        <w:spacing w:after="80" w:line="360" w:lineRule="auto"/>
        <w:jc w:val="both"/>
      </w:pPr>
      <w:r>
        <w:rPr>
          <w:rFonts w:ascii="Times New Roman" w:hAnsi="Times New Roman"/>
          <w:b w:val="0"/>
          <w:i/>
          <w:color w:val="000000"/>
          <w:sz w:val="20"/>
        </w:rPr>
        <w:t>Table M18a. Block-level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w:t>
            </w:r>
          </w:p>
        </w:tc>
        <w:tc>
          <w:tcPr>
            <w:tcW w:type="dxa" w:w="2160"/>
          </w:tcPr>
          <w:p>
            <w:r/>
            <w:r>
              <w:rPr>
                <w:rFonts w:ascii="Times New Roman" w:hAnsi="Times New Roman"/>
                <w:color w:val="000000"/>
                <w:sz w:val="18"/>
              </w:rPr>
              <w:t>B19 + B20 (victimisation,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XGBoost and SHAP. Mean per-fold training time at matched depth (both models at WCE-tuned depth): KNUST baseline 13.3 ms, WCE 13.3 ms; Alzubaidi baseline 11.2 ms, WCE 11.2 ms. The times are equal at this precision. No performance-per-cost claim is made. Times are from a single pipeline run on a cloud CPU; they will vary across machines and Python versions.</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on KNUST the four-arm ablation shows depth tuning contributes +0.0011 macro F1 (Wilcoxon p = 0.8939) while the weighting at depth 5 contributes -0.0055 (p = 0.1652) and at depth 3 contributes +0.0016 (p = 0.5157), all within noise of zero; the manuscript reports this null rather than defending the mechanism. The cost story in Table A is symmetric and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 Every routed result section exists in the Results document.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 (primary)</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p>
            <w:r>
              <w:rPr>
                <w:rFonts w:ascii="Times New Roman" w:hAnsi="Times New Roman"/>
                <w:color w:val="000000"/>
                <w:sz w:val="18"/>
                <w:i/>
              </w:rPr>
              <w:t>Answer: The weighting adds no measurable value (-0.0055 at depth 5 p=0.1652, +0.0016 at depth 3 p=0.5157, both non-significant). WCE does not beat the baseline on either dataset.</w:t>
            </w:r>
          </w:p>
        </w:tc>
      </w:tr>
      <w:tr>
        <w:tc>
          <w:tcPr>
            <w:tcW w:type="dxa" w:w="2880"/>
          </w:tcPr>
          <w:p>
            <w:r/>
            <w:r>
              <w:rPr>
                <w:rFonts w:ascii="Times New Roman" w:hAnsi="Times New Roman"/>
                <w:color w:val="000000"/>
                <w:sz w:val="18"/>
              </w:rPr>
              <w:t>O2 Benchmark vs 7 comparators (both datasets)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 R4</w:t>
            </w:r>
          </w:p>
          <w:p>
            <w:r>
              <w:rPr>
                <w:rFonts w:ascii="Times New Roman" w:hAnsi="Times New Roman"/>
                <w:color w:val="000000"/>
                <w:sz w:val="18"/>
                <w:i/>
              </w:rPr>
              <w:t>Answer: WCE is outperformed by Naive Bayes (p = 0.0236) on KNUST. On Alzubaidi WCE (0.6877) is above Baseline (0.6844) and above DT, NB, SVM, and RF (all p &lt; 0.001). WCE is not significantly different from stock scale_pos_weight (p = 0.0959). Logistic Regression (0.6830) is not significantly different from WCE.</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 (SHAP)</w:t>
            </w:r>
          </w:p>
          <w:p>
            <w:r>
              <w:rPr>
                <w:rFonts w:ascii="Times New Roman" w:hAnsi="Times New Roman"/>
                <w:color w:val="000000"/>
                <w:sz w:val="18"/>
                <w:i/>
              </w:rPr>
              <w:t>Answer: K_agg (0.4323) and A_agg (0.3406) rank first and second on KNUST. On Alzubaidi B18_3 (0.4288) ranks first; A_agg (0.1801) ranks fourth. K_agg does not appear in the Alzubaidi top ten. K_agg does not appear in the Alzubaidi top ten, so the aggregate-level KAB structure does not generalise across datasets.</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behavioural meaning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Metric</w:t>
            </w:r>
          </w:p>
        </w:tc>
        <w:tc>
          <w:tcPr>
            <w:tcW w:type="dxa" w:w="2160"/>
          </w:tcPr>
          <w:p>
            <w:r/>
            <w:r>
              <w:rPr>
                <w:rFonts w:ascii="Times New Roman" w:hAnsi="Times New Roman"/>
                <w:b/>
                <w:color w:val="000000"/>
                <w:sz w:val="18"/>
              </w:rPr>
              <w:t>Behavioural meaning</w:t>
            </w:r>
          </w:p>
        </w:tc>
        <w:tc>
          <w:tcPr>
            <w:tcW w:type="dxa" w:w="2160"/>
          </w:tcPr>
          <w:p>
            <w:r/>
            <w:r>
              <w:rPr>
                <w:rFonts w:ascii="Times New Roman" w:hAnsi="Times New Roman"/>
                <w:b/>
                <w:color w:val="000000"/>
                <w:sz w:val="18"/>
              </w:rPr>
              <w:t>Stakeholder consequence</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Correctly separating Low from High readiness</w:t>
            </w:r>
          </w:p>
        </w:tc>
        <w:tc>
          <w:tcPr>
            <w:tcW w:type="dxa" w:w="2160"/>
          </w:tcPr>
          <w:p>
            <w:r/>
            <w:r>
              <w:rPr>
                <w:rFonts w:ascii="Times New Roman" w:hAnsi="Times New Roman"/>
                <w:color w:val="000000"/>
                <w:sz w:val="18"/>
              </w:rPr>
              <w:t>False positive (Low predicted High) = at-risk student missed, receives no intervention</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Over-identification of risk</w:t>
            </w:r>
          </w:p>
        </w:tc>
        <w:tc>
          <w:tcPr>
            <w:tcW w:type="dxa" w:w="2160"/>
          </w:tcPr>
          <w:p>
            <w:r/>
            <w:r>
              <w:rPr>
                <w:rFonts w:ascii="Times New Roman" w:hAnsi="Times New Roman"/>
                <w:color w:val="000000"/>
                <w:sz w:val="18"/>
              </w:rPr>
              <w:t xml:space="preserve">False negative (High predicted Low) = student over-served, intervention resources spent unnecessarily</w:t>
            </w:r>
          </w:p>
        </w:tc>
      </w:tr>
      <w:tr>
        <w:tc>
          <w:tcPr>
            <w:tcW w:type="dxa" w:w="2160"/>
          </w:tcPr>
          <w:p>
            <w:r/>
            <w:r>
              <w:rPr>
                <w:rFonts w:ascii="Times New Roman" w:hAnsi="Times New Roman"/>
                <w:color w:val="000000"/>
                <w:sz w:val="18"/>
              </w:rPr>
              <w:t>Class coverage</w:t>
            </w:r>
          </w:p>
        </w:tc>
        <w:tc>
          <w:tcPr>
            <w:tcW w:type="dxa" w:w="2160"/>
          </w:tcPr>
          <w:p>
            <w:r/>
            <w:r>
              <w:rPr>
                <w:rFonts w:ascii="Times New Roman" w:hAnsi="Times New Roman"/>
                <w:color w:val="000000"/>
                <w:sz w:val="18"/>
              </w:rPr>
              <w:t>Per-class recall</w:t>
            </w:r>
          </w:p>
        </w:tc>
        <w:tc>
          <w:tcPr>
            <w:tcW w:type="dxa" w:w="2160"/>
          </w:tcPr>
          <w:p>
            <w:r/>
            <w:r>
              <w:rPr>
                <w:rFonts w:ascii="Times New Roman" w:hAnsi="Times New Roman"/>
                <w:color w:val="000000"/>
                <w:sz w:val="18"/>
              </w:rPr>
              <w:t>Fraction of each class correctly identified</w:t>
            </w:r>
          </w:p>
        </w:tc>
        <w:tc>
          <w:tcPr>
            <w:tcW w:type="dxa" w:w="2160"/>
          </w:tcPr>
          <w:p>
            <w:r/>
            <w:r>
              <w:rPr>
                <w:rFonts w:ascii="Times New Roman" w:hAnsi="Times New Roman"/>
                <w:color w:val="000000"/>
                <w:sz w:val="18"/>
              </w:rPr>
              <w:t>Both classes weighted equally so neither group is systematically missed</w:t>
            </w:r>
          </w:p>
        </w:tc>
      </w:tr>
      <w:tr>
        <w:tc>
          <w:tcPr>
            <w:tcW w:type="dxa" w:w="2160"/>
          </w:tcPr>
          <w:p>
            <w:r/>
            <w:r>
              <w:rPr>
                <w:rFonts w:ascii="Times New Roman" w:hAnsi="Times New Roman"/>
                <w:color w:val="000000"/>
                <w:sz w:val="18"/>
              </w:rPr>
              <w:t>Mechanism value</w:t>
            </w:r>
          </w:p>
        </w:tc>
        <w:tc>
          <w:tcPr>
            <w:tcW w:type="dxa" w:w="2160"/>
          </w:tcPr>
          <w:p>
            <w:r/>
            <w:r>
              <w:rPr>
                <w:rFonts w:ascii="Times New Roman" w:hAnsi="Times New Roman"/>
                <w:color w:val="000000"/>
                <w:sz w:val="18"/>
              </w:rPr>
              <w:t>Ablation delta</w:t>
            </w:r>
          </w:p>
        </w:tc>
        <w:tc>
          <w:tcPr>
            <w:tcW w:type="dxa" w:w="2160"/>
          </w:tcPr>
          <w:p>
            <w:r/>
            <w:r>
              <w:rPr>
                <w:rFonts w:ascii="Times New Roman" w:hAnsi="Times New Roman"/>
                <w:color w:val="000000"/>
                <w:sz w:val="18"/>
              </w:rPr>
              <w:t>Gain attributable to the KAB weighting</w:t>
            </w:r>
          </w:p>
        </w:tc>
        <w:tc>
          <w:tcPr>
            <w:tcW w:type="dxa" w:w="2160"/>
          </w:tcPr>
          <w:p>
            <w:r/>
            <w:r>
              <w:rPr>
                <w:rFonts w:ascii="Times New Roman" w:hAnsi="Times New Roman"/>
                <w:color w:val="000000"/>
                <w:sz w:val="18"/>
              </w:rPr>
              <w:t>Near zero on near-balanced data, so the engineered weighting is not justified here</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both fold-level exports, summary_results.json and shap_importance.json are provided. The repository is to be made accessible to the verifier with the commit hash recorded here: 4b8848e (GitHub: https://github.com/pofori80/kab-xgboost-wce-cybersecurity). Until the repository is accessible, full reproducibility cannot be independently confirmed; this is a stated limitation.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