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jc w:val="center"/>
      </w:pPr>
      <w:r>
        <w:rPr>
          <w:rFonts w:ascii="Times New Roman" w:hAnsi="Times New Roman"/>
          <w:b/>
          <w:i w:val="0"/>
          <w:color w:val="000000"/>
          <w:sz w:val="22"/>
        </w:rPr>
        <w:t>CAN-DO RESEARCH LAB | KNUST DEPARTMENT OF COMPUTER SCIENCE</w:t>
      </w:r>
    </w:p>
    <w:p>
      <w:pPr>
        <w:spacing w:after="40" w:line="360" w:lineRule="auto"/>
        <w:jc w:val="center"/>
      </w:pPr>
      <w:r>
        <w:rPr>
          <w:rFonts w:ascii="Times New Roman" w:hAnsi="Times New Roman"/>
          <w:b/>
          <w:i w:val="0"/>
          <w:color w:val="000000"/>
          <w:sz w:val="20"/>
        </w:rPr>
        <w:t>PHASE 1 - STEP 1.1 - TESTBED SUBMISSION</w:t>
      </w:r>
    </w:p>
    <w:p>
      <w:pPr>
        <w:spacing w:after="200" w:line="360" w:lineRule="auto"/>
        <w:jc w:val="center"/>
      </w:pPr>
      <w:r>
        <w:rPr>
          <w:rFonts w:ascii="Times New Roman" w:hAnsi="Times New Roman"/>
          <w:b/>
          <w:i w:val="0"/>
          <w:color w:val="000000"/>
          <w:sz w:val="20"/>
        </w:rPr>
        <w:t>ML METHODS SECTION - R08 (SINGLE-RUN REBUILD)</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r>
      <w:tr>
        <w:tc>
          <w:tcPr>
            <w:tcW w:type="dxa" w:w="2160"/>
          </w:tcPr>
          <w:p>
            <w:r/>
            <w:r>
              <w:rPr>
                <w:rFonts w:ascii="Times New Roman" w:hAnsi="Times New Roman"/>
                <w:color w:val="000000"/>
                <w:sz w:val="18"/>
              </w:rPr>
              <w:t>Student</w:t>
            </w:r>
          </w:p>
        </w:tc>
        <w:tc>
          <w:tcPr>
            <w:tcW w:type="dxa" w:w="2160"/>
          </w:tcPr>
          <w:p>
            <w:r/>
            <w:r>
              <w:rPr>
                <w:rFonts w:ascii="Times New Roman" w:hAnsi="Times New Roman"/>
                <w:color w:val="000000"/>
                <w:sz w:val="18"/>
              </w:rPr>
              <w:t>Prince Ofori</w:t>
            </w:r>
          </w:p>
        </w:tc>
        <w:tc>
          <w:tcPr>
            <w:tcW w:type="dxa" w:w="2160"/>
          </w:tcPr>
          <w:p>
            <w:r/>
            <w:r>
              <w:rPr>
                <w:rFonts w:ascii="Times New Roman" w:hAnsi="Times New Roman"/>
                <w:color w:val="000000"/>
                <w:sz w:val="18"/>
              </w:rPr>
              <w:t>Student ID</w:t>
            </w:r>
          </w:p>
        </w:tc>
        <w:tc>
          <w:tcPr>
            <w:tcW w:type="dxa" w:w="2160"/>
          </w:tcPr>
          <w:p>
            <w:r/>
            <w:r>
              <w:rPr>
                <w:rFonts w:ascii="Times New Roman" w:hAnsi="Times New Roman"/>
                <w:color w:val="000000"/>
                <w:sz w:val="18"/>
              </w:rPr>
              <w:t>21990878</w:t>
            </w:r>
          </w:p>
        </w:tc>
      </w:tr>
      <w:tr>
        <w:tc>
          <w:tcPr>
            <w:tcW w:type="dxa" w:w="2160"/>
          </w:tcPr>
          <w:p>
            <w:r/>
            <w:r>
              <w:rPr>
                <w:rFonts w:ascii="Times New Roman" w:hAnsi="Times New Roman"/>
                <w:color w:val="000000"/>
                <w:sz w:val="18"/>
              </w:rPr>
              <w:t>Supervisor</w:t>
            </w:r>
          </w:p>
        </w:tc>
        <w:tc>
          <w:tcPr>
            <w:tcW w:type="dxa" w:w="2160"/>
          </w:tcPr>
          <w:p>
            <w:r/>
            <w:r>
              <w:rPr>
                <w:rFonts w:ascii="Times New Roman" w:hAnsi="Times New Roman"/>
                <w:color w:val="000000"/>
                <w:sz w:val="18"/>
              </w:rPr>
              <w:t>Dr. Eric Opoku Osei</w:t>
            </w:r>
          </w:p>
        </w:tc>
        <w:tc>
          <w:tcPr>
            <w:tcW w:type="dxa" w:w="2160"/>
          </w:tcPr>
          <w:p>
            <w:r/>
            <w:r>
              <w:rPr>
                <w:rFonts w:ascii="Times New Roman" w:hAnsi="Times New Roman"/>
                <w:color w:val="000000"/>
                <w:sz w:val="18"/>
              </w:rPr>
              <w:t>Round</w:t>
            </w:r>
          </w:p>
        </w:tc>
        <w:tc>
          <w:tcPr>
            <w:tcW w:type="dxa" w:w="2160"/>
          </w:tcPr>
          <w:p>
            <w:r/>
            <w:r>
              <w:rPr>
                <w:rFonts w:ascii="Times New Roman" w:hAnsi="Times New Roman"/>
                <w:color w:val="000000"/>
                <w:sz w:val="18"/>
              </w:rPr>
              <w:t>R08</w:t>
            </w:r>
          </w:p>
        </w:tc>
      </w:tr>
      <w:tr>
        <w:tc>
          <w:tcPr>
            <w:tcW w:type="dxa" w:w="2160"/>
          </w:tcPr>
          <w:p>
            <w:r/>
            <w:r>
              <w:rPr>
                <w:rFonts w:ascii="Times New Roman" w:hAnsi="Times New Roman"/>
                <w:color w:val="000000"/>
                <w:sz w:val="18"/>
              </w:rPr>
              <w:t>Model status</w:t>
            </w:r>
          </w:p>
        </w:tc>
        <w:tc>
          <w:tcPr>
            <w:tcW w:type="dxa" w:w="2160"/>
          </w:tcPr>
          <w:p>
            <w:r/>
            <w:r>
              <w:rPr>
                <w:rFonts w:ascii="Times New Roman" w:hAnsi="Times New Roman"/>
                <w:color w:val="000000"/>
                <w:sz w:val="18"/>
              </w:rPr>
              <w:t>ENGINEERED</w:t>
            </w:r>
          </w:p>
        </w:tc>
        <w:tc>
          <w:tcPr>
            <w:tcW w:type="dxa" w:w="2160"/>
          </w:tcPr>
          <w:p>
            <w:r/>
            <w:r>
              <w:rPr>
                <w:rFonts w:ascii="Times New Roman" w:hAnsi="Times New Roman"/>
                <w:color w:val="000000"/>
                <w:sz w:val="18"/>
              </w:rPr>
              <w:t>Claim tier</w:t>
            </w:r>
          </w:p>
        </w:tc>
        <w:tc>
          <w:tcPr>
            <w:tcW w:type="dxa" w:w="2160"/>
          </w:tcPr>
          <w:p>
            <w:r/>
            <w:r>
              <w:rPr>
                <w:rFonts w:ascii="Times New Roman" w:hAnsi="Times New Roman"/>
                <w:color w:val="000000"/>
                <w:sz w:val="18"/>
              </w:rPr>
              <w:t>Tier 1 bounded</w:t>
            </w:r>
          </w:p>
        </w:tc>
      </w:tr>
      <w:tr>
        <w:tc>
          <w:tcPr>
            <w:tcW w:type="dxa" w:w="2160"/>
          </w:tcPr>
          <w:p>
            <w:r/>
            <w:r>
              <w:rPr>
                <w:rFonts w:ascii="Times New Roman" w:hAnsi="Times New Roman"/>
                <w:color w:val="000000"/>
                <w:sz w:val="18"/>
              </w:rPr>
              <w:t>KNUST n</w:t>
            </w:r>
          </w:p>
        </w:tc>
        <w:tc>
          <w:tcPr>
            <w:tcW w:type="dxa" w:w="2160"/>
          </w:tcPr>
          <w:p>
            <w:r/>
            <w:r>
              <w:rPr>
                <w:rFonts w:ascii="Times New Roman" w:hAnsi="Times New Roman"/>
                <w:color w:val="000000"/>
                <w:sz w:val="18"/>
              </w:rPr>
              <w:t>2,088 unique (from 4,121)</w:t>
            </w:r>
          </w:p>
        </w:tc>
        <w:tc>
          <w:tcPr>
            <w:tcW w:type="dxa" w:w="2160"/>
          </w:tcPr>
          <w:p>
            <w:r/>
            <w:r>
              <w:rPr>
                <w:rFonts w:ascii="Times New Roman" w:hAnsi="Times New Roman"/>
                <w:color w:val="000000"/>
                <w:sz w:val="18"/>
              </w:rPr>
              <w:t>HuSSREC ref</w:t>
            </w:r>
          </w:p>
        </w:tc>
        <w:tc>
          <w:tcPr>
            <w:tcW w:type="dxa" w:w="2160"/>
          </w:tcPr>
          <w:p>
            <w:r/>
            <w:r>
              <w:rPr>
                <w:rFonts w:ascii="Times New Roman" w:hAnsi="Times New Roman"/>
                <w:color w:val="000000"/>
                <w:sz w:val="18"/>
              </w:rPr>
              <w:t>[INSERT HuSSREC REFERENCE NUMBER]</w:t>
            </w:r>
          </w:p>
        </w:tc>
      </w:tr>
      <w:tr>
        <w:tc>
          <w:tcPr>
            <w:tcW w:type="dxa" w:w="2160"/>
          </w:tcPr>
          <w:p>
            <w:r/>
            <w:r>
              <w:rPr>
                <w:rFonts w:ascii="Times New Roman" w:hAnsi="Times New Roman"/>
                <w:color w:val="000000"/>
                <w:sz w:val="18"/>
              </w:rPr>
              <w:t>Date submitted</w:t>
            </w:r>
          </w:p>
        </w:tc>
        <w:tc>
          <w:tcPr>
            <w:tcW w:type="dxa" w:w="2160"/>
          </w:tcPr>
          <w:p>
            <w:r/>
            <w:r>
              <w:rPr>
                <w:rFonts w:ascii="Times New Roman" w:hAnsi="Times New Roman"/>
                <w:color w:val="000000"/>
                <w:sz w:val="18"/>
              </w:rPr>
              <w:t>[INSERT DATE]</w:t>
            </w:r>
          </w:p>
        </w:tc>
        <w:tc>
          <w:tcPr>
            <w:tcW w:type="dxa" w:w="2160"/>
          </w:tcPr>
          <w:p>
            <w:r/>
            <w:r>
              <w:rPr>
                <w:rFonts w:ascii="Times New Roman" w:hAnsi="Times New Roman"/>
                <w:color w:val="000000"/>
                <w:sz w:val="18"/>
              </w:rPr>
              <w:t>Code</w:t>
            </w:r>
          </w:p>
        </w:tc>
        <w:tc>
          <w:tcPr>
            <w:tcW w:type="dxa" w:w="2160"/>
          </w:tcPr>
          <w:p>
            <w:r/>
            <w:r>
              <w:rPr>
                <w:rFonts w:ascii="Times New Roman" w:hAnsi="Times New Roman"/>
                <w:color w:val="000000"/>
                <w:sz w:val="18"/>
              </w:rPr>
              <w:t>kab_pipeline.py (public repo, commit [INSERT HASH])</w:t>
            </w:r>
          </w:p>
        </w:tc>
      </w:tr>
    </w:tbl>
    <w:p/>
    <w:p>
      <w:pPr>
        <w:spacing w:after="120" w:line="360" w:lineRule="auto"/>
        <w:jc w:val="left"/>
      </w:pPr>
      <w:r>
        <w:rPr>
          <w:rFonts w:ascii="Times New Roman" w:hAnsi="Times New Roman"/>
          <w:b/>
          <w:i w:val="0"/>
          <w:color w:val="000000"/>
          <w:sz w:val="26"/>
        </w:rPr>
        <w:t>M1. Research Design Overview</w:t>
      </w:r>
    </w:p>
    <w:p>
      <w:pPr>
        <w:spacing w:after="160" w:line="360" w:lineRule="auto"/>
        <w:jc w:val="both"/>
      </w:pPr>
      <w:r>
        <w:rPr>
          <w:rFonts w:ascii="Times New Roman" w:hAnsi="Times New Roman"/>
          <w:b w:val="0"/>
          <w:i w:val="0"/>
          <w:color w:val="000000"/>
          <w:sz w:val="24"/>
        </w:rPr>
        <w:t>Supervised binary classification predicts cybersecurity behavioural readiness from Knowledge items, Attitude items, and demographic predictors. The KNUST dataset is de-duplicated before any partition (M6). Subsections cover data sources (M3-M4), ethics (M5), preprocessing and de-duplication (M6), features (M7), class imbalance (M8), partitioning (M9), combining strategy (M10), baselines (M11), the proposed model (M12), tuning (M13), training (M14), metrics (M15), ablation and statistics (M16), interpretability (M17), generalisation (M18), environment (M19), defences (M20), traceability (M21), and data and code availability (M23).</w:t>
      </w:r>
    </w:p>
    <w:p>
      <w:pPr>
        <w:spacing w:after="120" w:line="360" w:lineRule="auto"/>
        <w:jc w:val="left"/>
      </w:pPr>
      <w:r>
        <w:rPr>
          <w:rFonts w:ascii="Times New Roman" w:hAnsi="Times New Roman"/>
          <w:b/>
          <w:i w:val="0"/>
          <w:color w:val="000000"/>
          <w:sz w:val="26"/>
        </w:rPr>
        <w:t>M2. Problem Formalisation and Notation</w:t>
      </w:r>
    </w:p>
    <w:p>
      <w:pPr>
        <w:spacing w:after="160" w:line="360" w:lineRule="auto"/>
        <w:jc w:val="both"/>
      </w:pPr>
      <w:r>
        <w:rPr>
          <w:rFonts w:ascii="Times New Roman" w:hAnsi="Times New Roman"/>
          <w:b w:val="0"/>
          <w:i w:val="0"/>
          <w:color w:val="000000"/>
          <w:sz w:val="24"/>
        </w:rPr>
        <w:t>Let D = the de-duplicated dataset with n = 2088 rows. The feature matrix is X.shape = (2088, 17). The printed feature order (X.columns) is: Q6, Q7, Q8, Q9, Q10 (Knowledge); Q13, Q14, Q15, Q16, Q17 (Attitude); Q1, Q2, Q3, Q4, Q5 (demographics); K_agg, A_agg (aggregates). No Behaviour item (Q18-Q23) appears in X. The label y is a global median split of B_total = sum(Q18-Q23); median = 18.0; y = 1 if B_total &gt; median else 0.</w:t>
      </w:r>
    </w:p>
    <w:p>
      <w:pPr>
        <w:spacing w:after="120" w:line="360" w:lineRule="auto"/>
        <w:jc w:val="left"/>
      </w:pPr>
      <w:r>
        <w:rPr>
          <w:rFonts w:ascii="Times New Roman" w:hAnsi="Times New Roman"/>
          <w:b/>
          <w:i w:val="0"/>
          <w:color w:val="000000"/>
          <w:sz w:val="26"/>
        </w:rPr>
        <w:t>M3. Data Sources and Provenance</w:t>
      </w:r>
    </w:p>
    <w:p>
      <w:pPr>
        <w:spacing w:after="160" w:line="360" w:lineRule="auto"/>
        <w:jc w:val="both"/>
      </w:pPr>
      <w:r>
        <w:rPr>
          <w:rFonts w:ascii="Times New Roman" w:hAnsi="Times New Roman"/>
          <w:b w:val="0"/>
          <w:i w:val="0"/>
          <w:color w:val="000000"/>
          <w:sz w:val="24"/>
        </w:rPr>
        <w:t>Two datasets are used and never pooled. The KNUST field survey is the primary evaluation corpus. The Alzubaidi (2021) public dataset (doi:10.17632/fbs9mgmh4y.3, CC BY-NC-ND 4.0) is retained as an external stress-test only. KNUST ethics approval: HuSSREC reference [INSERT HuSSREC REFERENCE NUMBER].</w:t>
      </w:r>
    </w:p>
    <w:p>
      <w:pPr>
        <w:spacing w:after="120" w:line="360" w:lineRule="auto"/>
        <w:jc w:val="left"/>
      </w:pPr>
      <w:r>
        <w:rPr>
          <w:rFonts w:ascii="Times New Roman" w:hAnsi="Times New Roman"/>
          <w:b/>
          <w:i w:val="0"/>
          <w:color w:val="000000"/>
          <w:sz w:val="26"/>
        </w:rPr>
        <w:t>M4. Data Collection and Acquisition</w:t>
      </w:r>
    </w:p>
    <w:p>
      <w:pPr>
        <w:spacing w:after="160" w:line="360" w:lineRule="auto"/>
        <w:jc w:val="both"/>
      </w:pPr>
      <w:r>
        <w:rPr>
          <w:rFonts w:ascii="Times New Roman" w:hAnsi="Times New Roman"/>
          <w:b w:val="0"/>
          <w:i w:val="0"/>
          <w:color w:val="000000"/>
          <w:sz w:val="24"/>
        </w:rPr>
        <w:t>KNUST field data - sampling and de-duplication: The sampling frame comprised registered Supply Chain Management students at KNUST across Years 2 to 4 (approximately 3,200 registered; exact denominator to be confirmed with the Faculty of Business). Responses were collected on printed questionnaires and then entered into a Google Sheet. The raw sheet contained 4121 rows. Response-quality screening identified 2033 rows (49.3%) as exact-duplicate response patterns, defined as rows identical across all 21 answered fields. These were removed using an exact-match key over all 21 fields; where two or more rows shared a key, the first occurrence was retained and the remainder discarded, leaving n = 2088 unique responses for modelling. Two items, Q11 and Q12, were empty for all rows in the export and are excluded from the key and from modelling; the instrument as delivered therefore did not enforce a response on those two items, and the required-response setting is reported as having applied to the remaining items only. Completion-time analysis was not possible because the export carries only a submission timestamp with no start time.</w:t>
      </w:r>
    </w:p>
    <w:p>
      <w:pPr>
        <w:spacing w:after="120" w:line="360" w:lineRule="auto"/>
        <w:jc w:val="left"/>
      </w:pPr>
      <w:r>
        <w:rPr>
          <w:rFonts w:ascii="Times New Roman" w:hAnsi="Times New Roman"/>
          <w:b/>
          <w:i w:val="0"/>
          <w:color w:val="000000"/>
          <w:sz w:val="26"/>
        </w:rPr>
        <w:t>M5. Ethical Clearance</w:t>
      </w:r>
    </w:p>
    <w:p>
      <w:pPr>
        <w:spacing w:after="160" w:line="360" w:lineRule="auto"/>
        <w:jc w:val="both"/>
      </w:pPr>
      <w:r>
        <w:rPr>
          <w:rFonts w:ascii="Times New Roman" w:hAnsi="Times New Roman"/>
          <w:b w:val="0"/>
          <w:i w:val="0"/>
          <w:color w:val="000000"/>
          <w:sz w:val="24"/>
        </w:rPr>
        <w:t>Ethics approval was granted by the KNUST Humanities and Social Sciences Ethics Committee (HuSSREC), reference [INSERT HuSSREC REFERENCE NUMBER]. Participation was voluntary and informed consent was obtained. Predictor and outcome items were collected from the same respondent on one instrument, so common-method variance is acknowledged as a limitation.</w:t>
      </w:r>
    </w:p>
    <w:p>
      <w:pPr>
        <w:spacing w:after="120" w:line="360" w:lineRule="auto"/>
        <w:jc w:val="left"/>
      </w:pPr>
      <w:r>
        <w:rPr>
          <w:rFonts w:ascii="Times New Roman" w:hAnsi="Times New Roman"/>
          <w:b/>
          <w:i w:val="0"/>
          <w:color w:val="000000"/>
          <w:sz w:val="26"/>
        </w:rPr>
        <w:t>M6. Preprocessing and De-duplication</w:t>
      </w:r>
    </w:p>
    <w:p>
      <w:pPr>
        <w:spacing w:after="160" w:line="360" w:lineRule="auto"/>
        <w:jc w:val="both"/>
      </w:pPr>
      <w:r>
        <w:rPr>
          <w:rFonts w:ascii="Times New Roman" w:hAnsi="Times New Roman"/>
          <w:b w:val="0"/>
          <w:i w:val="0"/>
          <w:color w:val="000000"/>
          <w:sz w:val="24"/>
        </w:rPr>
        <w:t>De-duplication removed 2033 exact-duplicate rows as described in M4, before any partition and before the label median was computed. Missing items: Q11 and Q12 were empty for all 4121 rows and were dropped. Q11 ("I know what steps to take if I suspect a cybersecurity incident") is a Knowledge item, so the Knowledge subscale falls from six intended items to the five fielded items (Q6-Q10). Q12 ("Cybersecurity is a personal responsibility") is an Attitude item, so the Attitude subscale falls from six intended items to five (Q13-Q17). Exactly one Attitude item was lost, and the reduced Attitude subscale reliability is reported in M7 in that light. No item beyond Q11 and Q12 was affected. Straight-lining screening found the retained responses were not uniform-response rows.</w:t>
      </w:r>
    </w:p>
    <w:p>
      <w:pPr>
        <w:spacing w:after="120" w:line="360" w:lineRule="auto"/>
        <w:jc w:val="left"/>
      </w:pPr>
      <w:r>
        <w:rPr>
          <w:rFonts w:ascii="Times New Roman" w:hAnsi="Times New Roman"/>
          <w:b/>
          <w:i w:val="0"/>
          <w:color w:val="000000"/>
          <w:sz w:val="26"/>
        </w:rPr>
        <w:t>M7. Feature Construction and Reliability</w:t>
      </w:r>
    </w:p>
    <w:p>
      <w:pPr>
        <w:spacing w:after="160" w:line="360" w:lineRule="auto"/>
        <w:jc w:val="both"/>
      </w:pPr>
      <w:r>
        <w:rPr>
          <w:rFonts w:ascii="Times New Roman" w:hAnsi="Times New Roman"/>
          <w:b w:val="0"/>
          <w:i w:val="0"/>
          <w:color w:val="000000"/>
          <w:sz w:val="24"/>
        </w:rPr>
        <w:t>Knowledge subscale: Q6 (recognise phishing), Q7 (understand a data breach), Q8 (strong versus weak password), Q9 (public Wi-Fi and VPN risk), Q10 (explain social engineering). Attitude subscale: Q13-Q17. K_agg is the mean of the five Knowledge items; A_agg the mean of the five Attitude items. Demographics Q1-Q5 are ordinal-encoded. The reduced five-item Attitude subscale has lower internal reliability than a six-item subscale would; this is stated as a limitation rather than adjusted for.</w:t>
      </w:r>
    </w:p>
    <w:p>
      <w:pPr>
        <w:spacing w:after="120" w:line="360" w:lineRule="auto"/>
        <w:jc w:val="left"/>
      </w:pPr>
      <w:r>
        <w:rPr>
          <w:rFonts w:ascii="Times New Roman" w:hAnsi="Times New Roman"/>
          <w:b/>
          <w:i w:val="0"/>
          <w:color w:val="000000"/>
          <w:sz w:val="26"/>
        </w:rPr>
        <w:t>M8. Class Imbalance</w:t>
      </w:r>
    </w:p>
    <w:p>
      <w:pPr>
        <w:spacing w:after="160" w:line="360" w:lineRule="auto"/>
        <w:jc w:val="both"/>
      </w:pPr>
      <w:r>
        <w:rPr>
          <w:rFonts w:ascii="Times New Roman" w:hAnsi="Times New Roman"/>
          <w:b w:val="0"/>
          <w:i w:val="0"/>
          <w:color w:val="000000"/>
          <w:sz w:val="24"/>
        </w:rPr>
        <w:t>After de-duplication the classes are near-balanced: Low = 1167 (55.9%), High = 921 (44.1%). No resampling is applied. A stock scale_pos_weight XGBoost is included as a comparator to test whether any class-weighting helps at this balance.</w:t>
      </w:r>
    </w:p>
    <w:p>
      <w:pPr>
        <w:spacing w:after="120" w:line="360" w:lineRule="auto"/>
        <w:jc w:val="left"/>
      </w:pPr>
      <w:r>
        <w:rPr>
          <w:rFonts w:ascii="Times New Roman" w:hAnsi="Times New Roman"/>
          <w:b/>
          <w:i w:val="0"/>
          <w:color w:val="000000"/>
          <w:sz w:val="26"/>
        </w:rPr>
        <w:t>M9. Partitioning and Tuning Leakage Control</w:t>
      </w:r>
    </w:p>
    <w:p>
      <w:pPr>
        <w:spacing w:after="160" w:line="360" w:lineRule="auto"/>
        <w:jc w:val="both"/>
      </w:pPr>
      <w:r>
        <w:rPr>
          <w:rFonts w:ascii="Times New Roman" w:hAnsi="Times New Roman"/>
          <w:b w:val="0"/>
          <w:i w:val="0"/>
          <w:color w:val="000000"/>
          <w:sz w:val="24"/>
        </w:rPr>
        <w:t>Performance is estimated by 5 x 10-fold stratified cross-validation (50 fold-level observations). Hyperparameter tuning is nested inside each outer training fold, so no test-fold row informs tuning; this removes the tuning-leakage optimism that a single global GridSearchCV over the whole dataset would introduce. A separate 80/20 hold-out is used only for the confusion matrices, McNemar test and AUC in R7. Tuned values: baseline depth 2, WCE depth 3, lambda 1.25.</w:t>
      </w:r>
    </w:p>
    <w:p>
      <w:pPr>
        <w:spacing w:after="120" w:line="360" w:lineRule="auto"/>
        <w:jc w:val="left"/>
      </w:pPr>
      <w:r>
        <w:rPr>
          <w:rFonts w:ascii="Times New Roman" w:hAnsi="Times New Roman"/>
          <w:b/>
          <w:i w:val="0"/>
          <w:color w:val="000000"/>
          <w:sz w:val="26"/>
        </w:rPr>
        <w:t>M10. Dataset Combining Strategy</w:t>
      </w:r>
    </w:p>
    <w:p>
      <w:pPr>
        <w:spacing w:after="160" w:line="360" w:lineRule="auto"/>
        <w:jc w:val="both"/>
      </w:pPr>
      <w:r>
        <w:rPr>
          <w:rFonts w:ascii="Times New Roman" w:hAnsi="Times New Roman"/>
          <w:b w:val="0"/>
          <w:i w:val="0"/>
          <w:color w:val="000000"/>
          <w:sz w:val="24"/>
        </w:rPr>
        <w:t>Cross-dataset, unidirectional, external stress-test. The two datasets are processed in separate loops with no shared state, no feature-level concatenation and no corpus-level pooling. They are never pooled; results are reported separately per leg. The Alzubaidi leg is an external application, not an independent replication.</w:t>
      </w:r>
    </w:p>
    <w:p>
      <w:pPr>
        <w:spacing w:after="120" w:line="360" w:lineRule="auto"/>
        <w:jc w:val="left"/>
      </w:pPr>
      <w:r>
        <w:rPr>
          <w:rFonts w:ascii="Times New Roman" w:hAnsi="Times New Roman"/>
          <w:b/>
          <w:i w:val="0"/>
          <w:color w:val="000000"/>
          <w:sz w:val="26"/>
        </w:rPr>
        <w:t>M11. Baseline Selection</w:t>
      </w:r>
    </w:p>
    <w:p>
      <w:pPr>
        <w:spacing w:after="160" w:line="360" w:lineRule="auto"/>
        <w:jc w:val="both"/>
      </w:pPr>
      <w:r>
        <w:rPr>
          <w:rFonts w:ascii="Times New Roman" w:hAnsi="Times New Roman"/>
          <w:b w:val="0"/>
          <w:i w:val="0"/>
          <w:color w:val="000000"/>
          <w:sz w:val="24"/>
        </w:rPr>
        <w:t>Eight comparators: Baseline XGBoost (independently tuned), stock scale_pos_weight XGBoost, Decision Tree, Naive Bayes, Logistic Regression (scaled), SVM (scaled), Random Forest, and the proposed KAB-XGBoost-WCE. Each tunable model receives its own nested GridSearchCV on the training folds.</w:t>
      </w:r>
    </w:p>
    <w:p>
      <w:pPr>
        <w:spacing w:after="120" w:line="360" w:lineRule="auto"/>
        <w:jc w:val="left"/>
      </w:pPr>
      <w:r>
        <w:rPr>
          <w:rFonts w:ascii="Times New Roman" w:hAnsi="Times New Roman"/>
          <w:b/>
          <w:i w:val="0"/>
          <w:color w:val="000000"/>
          <w:sz w:val="26"/>
        </w:rPr>
        <w:t>M12. Proposed Model Specification</w:t>
      </w:r>
    </w:p>
    <w:p>
      <w:pPr>
        <w:spacing w:after="160" w:line="360" w:lineRule="auto"/>
        <w:jc w:val="both"/>
      </w:pPr>
      <w:r>
        <w:rPr>
          <w:rFonts w:ascii="Times New Roman" w:hAnsi="Times New Roman"/>
          <w:b w:val="0"/>
          <w:i w:val="0"/>
          <w:color w:val="000000"/>
          <w:sz w:val="24"/>
        </w:rPr>
        <w:t>Status ENGINEERED, operation Modify. The per-instance weight for Low-readiness rows is w_i = 1 + (|K_i - A_i| / (K_i + A_i)) * (lambda - 1); High-readiness rows keep w_i = 1. The weight is a genuine function of the Knowledge-Attitude asymmetry and is non-constant across Low-readiness rows. The full definition and its use in fitting are in kab_pipeline.py.</w:t>
      </w:r>
    </w:p>
    <w:p>
      <w:pPr>
        <w:spacing w:after="120" w:line="360" w:lineRule="auto"/>
        <w:jc w:val="left"/>
      </w:pPr>
      <w:r>
        <w:rPr>
          <w:rFonts w:ascii="Times New Roman" w:hAnsi="Times New Roman"/>
          <w:b/>
          <w:i w:val="0"/>
          <w:color w:val="000000"/>
          <w:sz w:val="26"/>
        </w:rPr>
        <w:t>M13. Hyperparameter Optimisation</w:t>
      </w:r>
    </w:p>
    <w:p>
      <w:pPr>
        <w:spacing w:after="160" w:line="360" w:lineRule="auto"/>
        <w:jc w:val="both"/>
      </w:pPr>
      <w:r>
        <w:rPr>
          <w:rFonts w:ascii="Times New Roman" w:hAnsi="Times New Roman"/>
          <w:b w:val="0"/>
          <w:i w:val="0"/>
          <w:color w:val="000000"/>
          <w:sz w:val="24"/>
        </w:rPr>
        <w:t>Table 2 lists the search spaces. Baseline XGBoost tunes max_depth over {2, 3, 5, 7} with its own GridSearchCV row, independent of the WCE tuning. WCE tunes depth and lambda jointly. SVM and Logistic Regression are tuned and evaluated on standardised features.</w:t>
      </w:r>
    </w:p>
    <w:p>
      <w:pPr>
        <w:spacing w:after="80" w:line="360" w:lineRule="auto"/>
        <w:jc w:val="both"/>
      </w:pPr>
      <w:r>
        <w:rPr>
          <w:rFonts w:ascii="Times New Roman" w:hAnsi="Times New Roman"/>
          <w:b w:val="0"/>
          <w:i/>
          <w:color w:val="000000"/>
          <w:sz w:val="20"/>
        </w:rPr>
        <w:t>Table 2. Tuning search spaces and selected values (single run).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Model</w:t>
            </w:r>
          </w:p>
        </w:tc>
        <w:tc>
          <w:tcPr>
            <w:tcW w:type="dxa" w:w="2880"/>
          </w:tcPr>
          <w:p>
            <w:r/>
            <w:r>
              <w:rPr>
                <w:rFonts w:ascii="Times New Roman" w:hAnsi="Times New Roman"/>
                <w:b/>
                <w:color w:val="000000"/>
                <w:sz w:val="18"/>
              </w:rPr>
              <w:t>Search space</w:t>
            </w:r>
          </w:p>
        </w:tc>
        <w:tc>
          <w:tcPr>
            <w:tcW w:type="dxa" w:w="2880"/>
          </w:tcPr>
          <w:p>
            <w:r/>
            <w:r>
              <w:rPr>
                <w:rFonts w:ascii="Times New Roman" w:hAnsi="Times New Roman"/>
                <w:b/>
                <w:color w:val="000000"/>
                <w:sz w:val="18"/>
              </w:rPr>
              <w:t>Selected</w:t>
            </w:r>
          </w:p>
        </w:tc>
      </w:tr>
      <w:tr>
        <w:tc>
          <w:tcPr>
            <w:tcW w:type="dxa" w:w="2880"/>
          </w:tcPr>
          <w:p>
            <w:r/>
            <w:r>
              <w:rPr>
                <w:rFonts w:ascii="Times New Roman" w:hAnsi="Times New Roman"/>
                <w:color w:val="000000"/>
                <w:sz w:val="18"/>
              </w:rPr>
              <w:t>Baseline XGBoost</w:t>
            </w:r>
          </w:p>
        </w:tc>
        <w:tc>
          <w:tcPr>
            <w:tcW w:type="dxa" w:w="2880"/>
          </w:tcPr>
          <w:p>
            <w:r/>
            <w:r>
              <w:rPr>
                <w:rFonts w:ascii="Times New Roman" w:hAnsi="Times New Roman"/>
                <w:color w:val="000000"/>
                <w:sz w:val="18"/>
              </w:rPr>
              <w:t>max_depth {2,3,5,7}</w:t>
            </w:r>
          </w:p>
        </w:tc>
        <w:tc>
          <w:tcPr>
            <w:tcW w:type="dxa" w:w="2880"/>
          </w:tcPr>
          <w:p>
            <w:r/>
            <w:r>
              <w:rPr>
                <w:rFonts w:ascii="Times New Roman" w:hAnsi="Times New Roman"/>
                <w:color w:val="000000"/>
                <w:sz w:val="18"/>
              </w:rPr>
              <w:t>depth 2</w:t>
            </w:r>
          </w:p>
        </w:tc>
      </w:tr>
      <w:tr>
        <w:tc>
          <w:tcPr>
            <w:tcW w:type="dxa" w:w="2880"/>
          </w:tcPr>
          <w:p>
            <w:r/>
            <w:r>
              <w:rPr>
                <w:rFonts w:ascii="Times New Roman" w:hAnsi="Times New Roman"/>
                <w:color w:val="000000"/>
                <w:sz w:val="18"/>
              </w:rPr>
              <w:t>KAB-XGBoost-WCE</w:t>
            </w:r>
          </w:p>
        </w:tc>
        <w:tc>
          <w:tcPr>
            <w:tcW w:type="dxa" w:w="2880"/>
          </w:tcPr>
          <w:p>
            <w:r/>
            <w:r>
              <w:rPr>
                <w:rFonts w:ascii="Times New Roman" w:hAnsi="Times New Roman"/>
                <w:color w:val="000000"/>
                <w:sz w:val="18"/>
              </w:rPr>
              <w:t>depth {3,5} x lambda {1.25,1.5}</w:t>
            </w:r>
          </w:p>
        </w:tc>
        <w:tc>
          <w:tcPr>
            <w:tcW w:type="dxa" w:w="2880"/>
          </w:tcPr>
          <w:p>
            <w:r/>
            <w:r>
              <w:rPr>
                <w:rFonts w:ascii="Times New Roman" w:hAnsi="Times New Roman"/>
                <w:color w:val="000000"/>
                <w:sz w:val="18"/>
              </w:rPr>
              <w:t>depth 3, lambda 1.25</w:t>
            </w:r>
          </w:p>
        </w:tc>
      </w:tr>
      <w:tr>
        <w:tc>
          <w:tcPr>
            <w:tcW w:type="dxa" w:w="2880"/>
          </w:tcPr>
          <w:p>
            <w:r/>
            <w:r>
              <w:rPr>
                <w:rFonts w:ascii="Times New Roman" w:hAnsi="Times New Roman"/>
                <w:color w:val="000000"/>
                <w:sz w:val="18"/>
              </w:rPr>
              <w:t>Decision Tree</w:t>
            </w:r>
          </w:p>
        </w:tc>
        <w:tc>
          <w:tcPr>
            <w:tcW w:type="dxa" w:w="2880"/>
          </w:tcPr>
          <w:p>
            <w:r/>
            <w:r>
              <w:rPr>
                <w:rFonts w:ascii="Times New Roman" w:hAnsi="Times New Roman"/>
                <w:color w:val="000000"/>
                <w:sz w:val="18"/>
              </w:rPr>
              <w:t>max_depth {3,5,7}</w:t>
            </w:r>
          </w:p>
        </w:tc>
        <w:tc>
          <w:tcPr>
            <w:tcW w:type="dxa" w:w="2880"/>
          </w:tcPr>
          <w:p>
            <w:r/>
            <w:r>
              <w:rPr>
                <w:rFonts w:ascii="Times New Roman" w:hAnsi="Times New Roman"/>
                <w:color w:val="000000"/>
                <w:sz w:val="18"/>
              </w:rPr>
              <w:t>selected per fold</w:t>
            </w:r>
          </w:p>
        </w:tc>
      </w:tr>
      <w:tr>
        <w:tc>
          <w:tcPr>
            <w:tcW w:type="dxa" w:w="2880"/>
          </w:tcPr>
          <w:p>
            <w:r/>
            <w:r>
              <w:rPr>
                <w:rFonts w:ascii="Times New Roman" w:hAnsi="Times New Roman"/>
                <w:color w:val="000000"/>
                <w:sz w:val="18"/>
              </w:rPr>
              <w:t>Random Forest</w:t>
            </w:r>
          </w:p>
        </w:tc>
        <w:tc>
          <w:tcPr>
            <w:tcW w:type="dxa" w:w="2880"/>
          </w:tcPr>
          <w:p>
            <w:r/>
            <w:r>
              <w:rPr>
                <w:rFonts w:ascii="Times New Roman" w:hAnsi="Times New Roman"/>
                <w:color w:val="000000"/>
                <w:sz w:val="18"/>
              </w:rPr>
              <w:t>n_estimators 300</w:t>
            </w:r>
          </w:p>
        </w:tc>
        <w:tc>
          <w:tcPr>
            <w:tcW w:type="dxa" w:w="2880"/>
          </w:tcPr>
          <w:p>
            <w:r/>
            <w:r>
              <w:rPr>
                <w:rFonts w:ascii="Times New Roman" w:hAnsi="Times New Roman"/>
                <w:color w:val="000000"/>
                <w:sz w:val="18"/>
              </w:rPr>
              <w:t>fixed</w:t>
            </w:r>
          </w:p>
        </w:tc>
      </w:tr>
      <w:tr>
        <w:tc>
          <w:tcPr>
            <w:tcW w:type="dxa" w:w="2880"/>
          </w:tcPr>
          <w:p>
            <w:r/>
            <w:r>
              <w:rPr>
                <w:rFonts w:ascii="Times New Roman" w:hAnsi="Times New Roman"/>
                <w:color w:val="000000"/>
                <w:sz w:val="18"/>
              </w:rPr>
              <w:t>SVM / LogReg</w:t>
            </w:r>
          </w:p>
        </w:tc>
        <w:tc>
          <w:tcPr>
            <w:tcW w:type="dxa" w:w="2880"/>
          </w:tcPr>
          <w:p>
            <w:r/>
            <w:r>
              <w:rPr>
                <w:rFonts w:ascii="Times New Roman" w:hAnsi="Times New Roman"/>
                <w:color w:val="000000"/>
                <w:sz w:val="18"/>
              </w:rPr>
              <w:t>default C, scaled features</w:t>
            </w:r>
          </w:p>
        </w:tc>
        <w:tc>
          <w:tcPr>
            <w:tcW w:type="dxa" w:w="2880"/>
          </w:tcPr>
          <w:p>
            <w:r/>
            <w:r>
              <w:rPr>
                <w:rFonts w:ascii="Times New Roman" w:hAnsi="Times New Roman"/>
                <w:color w:val="000000"/>
                <w:sz w:val="18"/>
              </w:rPr>
              <w:t>scaled</w:t>
            </w:r>
          </w:p>
        </w:tc>
      </w:tr>
    </w:tbl>
    <w:p/>
    <w:p>
      <w:pPr>
        <w:spacing w:after="120" w:line="360" w:lineRule="auto"/>
        <w:jc w:val="left"/>
      </w:pPr>
      <w:r>
        <w:rPr>
          <w:rFonts w:ascii="Times New Roman" w:hAnsi="Times New Roman"/>
          <w:b/>
          <w:i w:val="0"/>
          <w:color w:val="000000"/>
          <w:sz w:val="26"/>
        </w:rPr>
        <w:t>M14. Training Protocol and Reproducibility</w:t>
      </w:r>
    </w:p>
    <w:p>
      <w:pPr>
        <w:spacing w:after="160" w:line="360" w:lineRule="auto"/>
        <w:jc w:val="both"/>
      </w:pPr>
      <w:r>
        <w:rPr>
          <w:rFonts w:ascii="Times New Roman" w:hAnsi="Times New Roman"/>
          <w:b w:val="0"/>
          <w:i w:val="0"/>
          <w:color w:val="000000"/>
          <w:sz w:val="24"/>
        </w:rPr>
        <w:t>Seeds: repeats use random_state 42 to 46; all model instances fix random_state 42. The complete pipeline (loading, de-duplication, feature and label construction, nested GridSearchCV, all eight models, the four-arm ablation, the depth curve, and held-out analysis) is in kab_pipeline.py, and the 50 fold-level scores are exported to fold_level_results.csv so every figure in Results is independently recomputable.</w:t>
      </w:r>
    </w:p>
    <w:p>
      <w:pPr>
        <w:spacing w:after="120" w:line="360" w:lineRule="auto"/>
        <w:jc w:val="left"/>
      </w:pPr>
      <w:r>
        <w:rPr>
          <w:rFonts w:ascii="Times New Roman" w:hAnsi="Times New Roman"/>
          <w:b/>
          <w:i w:val="0"/>
          <w:color w:val="000000"/>
          <w:sz w:val="26"/>
        </w:rPr>
        <w:t>M15. Evaluation Metrics</w:t>
      </w:r>
    </w:p>
    <w:p>
      <w:pPr>
        <w:spacing w:after="160" w:line="360" w:lineRule="auto"/>
        <w:jc w:val="both"/>
      </w:pPr>
      <w:r>
        <w:rPr>
          <w:rFonts w:ascii="Times New Roman" w:hAnsi="Times New Roman"/>
          <w:b w:val="0"/>
          <w:i w:val="0"/>
          <w:color w:val="000000"/>
          <w:sz w:val="24"/>
        </w:rPr>
        <w:t>Primary metric: macro F1, which weights both classes equally under a symmetric cost story (Table A). Supporting: per-class precision, recall and F1; AUC-ROC; McNemar on the held-out split.</w:t>
      </w:r>
    </w:p>
    <w:p>
      <w:pPr>
        <w:spacing w:after="120" w:line="360" w:lineRule="auto"/>
        <w:jc w:val="left"/>
      </w:pPr>
      <w:r>
        <w:rPr>
          <w:rFonts w:ascii="Times New Roman" w:hAnsi="Times New Roman"/>
          <w:b/>
          <w:i w:val="0"/>
          <w:color w:val="000000"/>
          <w:sz w:val="26"/>
        </w:rPr>
        <w:t>M16. Ablation and Statistical Protocol</w:t>
      </w:r>
    </w:p>
    <w:p>
      <w:pPr>
        <w:spacing w:after="160" w:line="360" w:lineRule="auto"/>
        <w:jc w:val="both"/>
      </w:pPr>
      <w:r>
        <w:rPr>
          <w:rFonts w:ascii="Times New Roman" w:hAnsi="Times New Roman"/>
          <w:b w:val="0"/>
          <w:i w:val="0"/>
          <w:color w:val="000000"/>
          <w:sz w:val="24"/>
        </w:rPr>
        <w:t>Four-arm ablation isolates depth from weighting: Arm A vanilla depth 5, Arm B depth 3, Arm C depth 5 with weights, Arm D depth 3 with weights, all from the same 5 x 10-fold protocol. Primary test: Wilcoxon signed-rank on 50 paired folds, with W+, W-, p, fold-win and ties all reported.</w:t>
      </w:r>
    </w:p>
    <w:p>
      <w:pPr>
        <w:spacing w:after="120" w:line="360" w:lineRule="auto"/>
        <w:jc w:val="left"/>
      </w:pPr>
      <w:r>
        <w:rPr>
          <w:rFonts w:ascii="Times New Roman" w:hAnsi="Times New Roman"/>
          <w:b/>
          <w:i w:val="0"/>
          <w:color w:val="000000"/>
          <w:sz w:val="26"/>
        </w:rPr>
        <w:t>M17. Interpretability</w:t>
      </w:r>
    </w:p>
    <w:p>
      <w:pPr>
        <w:spacing w:after="160" w:line="360" w:lineRule="auto"/>
        <w:jc w:val="both"/>
      </w:pPr>
      <w:r>
        <w:rPr>
          <w:rFonts w:ascii="Times New Roman" w:hAnsi="Times New Roman"/>
          <w:b w:val="0"/>
          <w:i w:val="0"/>
          <w:color w:val="000000"/>
          <w:sz w:val="24"/>
        </w:rPr>
        <w:t>SHAP TreeExplainer is applied to the fitted model on the held-out partition. Feature importance is reported as associational only; no causal or curriculum-intervention claim is made.</w:t>
      </w:r>
    </w:p>
    <w:p>
      <w:pPr>
        <w:spacing w:after="120" w:line="360" w:lineRule="auto"/>
        <w:jc w:val="left"/>
      </w:pPr>
      <w:r>
        <w:rPr>
          <w:rFonts w:ascii="Times New Roman" w:hAnsi="Times New Roman"/>
          <w:b/>
          <w:i w:val="0"/>
          <w:color w:val="000000"/>
          <w:sz w:val="26"/>
        </w:rPr>
        <w:t>M18. Generalisation and Construct Equivalence</w:t>
      </w:r>
    </w:p>
    <w:p>
      <w:pPr>
        <w:spacing w:after="160" w:line="360" w:lineRule="auto"/>
        <w:jc w:val="both"/>
      </w:pPr>
      <w:r>
        <w:rPr>
          <w:rFonts w:ascii="Times New Roman" w:hAnsi="Times New Roman"/>
          <w:b w:val="0"/>
          <w:i w:val="0"/>
          <w:color w:val="000000"/>
          <w:sz w:val="24"/>
        </w:rPr>
        <w:t>This is a Tier 1 bounded, single-context field study with an external stress-test. The KNUST Knowledge items (Q6-Q10) are: recognise phishing, understand a data breach, strong versus weak password, public Wi-Fi and VPN risk, and explain social engineering. On the Alzubaidi instrument the nearest blocks are B19 (victimisation frequency) and B20 (concern), which measure experience and concern rather than knowledge; the Knowledge mapping to Alzubaidi is therefore imposed and weak, and is labelled as such. No measurement invariance is claimed, and no cross-dataset performance claim rests on the Alzubaidi leg. Table M18a gives the item-level mapping and its limitations.</w:t>
      </w:r>
    </w:p>
    <w:p>
      <w:pPr>
        <w:spacing w:after="80" w:line="360" w:lineRule="auto"/>
        <w:jc w:val="both"/>
      </w:pPr>
      <w:r>
        <w:rPr>
          <w:rFonts w:ascii="Times New Roman" w:hAnsi="Times New Roman"/>
          <w:b w:val="0"/>
          <w:i/>
          <w:color w:val="000000"/>
          <w:sz w:val="20"/>
        </w:rPr>
        <w:t>Table M18a. Item-level construct-equivalence mapping and its limitations.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Construct</w:t>
            </w:r>
          </w:p>
        </w:tc>
        <w:tc>
          <w:tcPr>
            <w:tcW w:type="dxa" w:w="2160"/>
          </w:tcPr>
          <w:p>
            <w:r/>
            <w:r>
              <w:rPr>
                <w:rFonts w:ascii="Times New Roman" w:hAnsi="Times New Roman"/>
                <w:b/>
                <w:color w:val="000000"/>
                <w:sz w:val="18"/>
              </w:rPr>
              <w:t>KNUST items</w:t>
            </w:r>
          </w:p>
        </w:tc>
        <w:tc>
          <w:tcPr>
            <w:tcW w:type="dxa" w:w="2160"/>
          </w:tcPr>
          <w:p>
            <w:r/>
            <w:r>
              <w:rPr>
                <w:rFonts w:ascii="Times New Roman" w:hAnsi="Times New Roman"/>
                <w:b/>
                <w:color w:val="000000"/>
                <w:sz w:val="18"/>
              </w:rPr>
              <w:t>Alzubaidi blocks</w:t>
            </w:r>
          </w:p>
        </w:tc>
        <w:tc>
          <w:tcPr>
            <w:tcW w:type="dxa" w:w="2160"/>
          </w:tcPr>
          <w:p>
            <w:r/>
            <w:r>
              <w:rPr>
                <w:rFonts w:ascii="Times New Roman" w:hAnsi="Times New Roman"/>
                <w:b/>
                <w:color w:val="000000"/>
                <w:sz w:val="18"/>
              </w:rPr>
              <w:t>Equivalence basis</w:t>
            </w:r>
          </w:p>
        </w:tc>
      </w:tr>
      <w:tr>
        <w:tc>
          <w:tcPr>
            <w:tcW w:type="dxa" w:w="2160"/>
          </w:tcPr>
          <w:p>
            <w:r/>
            <w:r>
              <w:rPr>
                <w:rFonts w:ascii="Times New Roman" w:hAnsi="Times New Roman"/>
                <w:color w:val="000000"/>
                <w:sz w:val="18"/>
              </w:rPr>
              <w:t>Knowledge</w:t>
            </w:r>
          </w:p>
        </w:tc>
        <w:tc>
          <w:tcPr>
            <w:tcW w:type="dxa" w:w="2160"/>
          </w:tcPr>
          <w:p>
            <w:r/>
            <w:r>
              <w:rPr>
                <w:rFonts w:ascii="Times New Roman" w:hAnsi="Times New Roman"/>
                <w:color w:val="000000"/>
                <w:sz w:val="18"/>
              </w:rPr>
              <w:t>Q6-Q10 (phishing, breach, password, Wi-Fi/VPN, social engineering)</w:t>
            </w:r>
          </w:p>
        </w:tc>
        <w:tc>
          <w:tcPr>
            <w:tcW w:type="dxa" w:w="2160"/>
          </w:tcPr>
          <w:p>
            <w:r/>
            <w:r>
              <w:rPr>
                <w:rFonts w:ascii="Times New Roman" w:hAnsi="Times New Roman"/>
                <w:color w:val="000000"/>
                <w:sz w:val="18"/>
              </w:rPr>
              <w:t>B19 + B20 (victimisation frequency, concern)</w:t>
            </w:r>
          </w:p>
        </w:tc>
        <w:tc>
          <w:tcPr>
            <w:tcW w:type="dxa" w:w="2160"/>
          </w:tcPr>
          <w:p>
            <w:r/>
            <w:r>
              <w:rPr>
                <w:rFonts w:ascii="Times New Roman" w:hAnsi="Times New Roman"/>
                <w:color w:val="000000"/>
                <w:sz w:val="18"/>
              </w:rPr>
              <w:t>Weak/imposed: Alzubaidi blocks measure experience and concern, not knowledge</w:t>
            </w:r>
          </w:p>
        </w:tc>
      </w:tr>
      <w:tr>
        <w:tc>
          <w:tcPr>
            <w:tcW w:type="dxa" w:w="2160"/>
          </w:tcPr>
          <w:p>
            <w:r/>
            <w:r>
              <w:rPr>
                <w:rFonts w:ascii="Times New Roman" w:hAnsi="Times New Roman"/>
                <w:color w:val="000000"/>
                <w:sz w:val="18"/>
              </w:rPr>
              <w:t>Attitude</w:t>
            </w:r>
          </w:p>
        </w:tc>
        <w:tc>
          <w:tcPr>
            <w:tcW w:type="dxa" w:w="2160"/>
          </w:tcPr>
          <w:p>
            <w:r/>
            <w:r>
              <w:rPr>
                <w:rFonts w:ascii="Times New Roman" w:hAnsi="Times New Roman"/>
                <w:color w:val="000000"/>
                <w:sz w:val="18"/>
              </w:rPr>
              <w:t>Q13-Q17 (protective attitudes)</w:t>
            </w:r>
          </w:p>
        </w:tc>
        <w:tc>
          <w:tcPr>
            <w:tcW w:type="dxa" w:w="2160"/>
          </w:tcPr>
          <w:p>
            <w:r/>
            <w:r>
              <w:rPr>
                <w:rFonts w:ascii="Times New Roman" w:hAnsi="Times New Roman"/>
                <w:color w:val="000000"/>
                <w:sz w:val="18"/>
              </w:rPr>
              <w:t>B18 + B22 + B13 + B21</w:t>
            </w:r>
          </w:p>
        </w:tc>
        <w:tc>
          <w:tcPr>
            <w:tcW w:type="dxa" w:w="2160"/>
          </w:tcPr>
          <w:p>
            <w:r/>
            <w:r>
              <w:rPr>
                <w:rFonts w:ascii="Times New Roman" w:hAnsi="Times New Roman"/>
                <w:color w:val="000000"/>
                <w:sz w:val="18"/>
              </w:rPr>
              <w:t>Imposed; evaluative stance is the shared basis</w:t>
            </w:r>
          </w:p>
        </w:tc>
      </w:tr>
      <w:tr>
        <w:tc>
          <w:tcPr>
            <w:tcW w:type="dxa" w:w="2160"/>
          </w:tcPr>
          <w:p>
            <w:r/>
            <w:r>
              <w:rPr>
                <w:rFonts w:ascii="Times New Roman" w:hAnsi="Times New Roman"/>
                <w:color w:val="000000"/>
                <w:sz w:val="18"/>
              </w:rPr>
              <w:t>Behaviour (label)</w:t>
            </w:r>
          </w:p>
        </w:tc>
        <w:tc>
          <w:tcPr>
            <w:tcW w:type="dxa" w:w="2160"/>
          </w:tcPr>
          <w:p>
            <w:r/>
            <w:r>
              <w:rPr>
                <w:rFonts w:ascii="Times New Roman" w:hAnsi="Times New Roman"/>
                <w:color w:val="000000"/>
                <w:sz w:val="18"/>
              </w:rPr>
              <w:t>Q18-Q23</w:t>
            </w:r>
          </w:p>
        </w:tc>
        <w:tc>
          <w:tcPr>
            <w:tcW w:type="dxa" w:w="2160"/>
          </w:tcPr>
          <w:p>
            <w:r/>
            <w:r>
              <w:rPr>
                <w:rFonts w:ascii="Times New Roman" w:hAnsi="Times New Roman"/>
                <w:color w:val="000000"/>
                <w:sz w:val="18"/>
              </w:rPr>
              <w:t>B14 block</w:t>
            </w:r>
          </w:p>
        </w:tc>
        <w:tc>
          <w:tcPr>
            <w:tcW w:type="dxa" w:w="2160"/>
          </w:tcPr>
          <w:p>
            <w:r/>
            <w:r>
              <w:rPr>
                <w:rFonts w:ascii="Times New Roman" w:hAnsi="Times New Roman"/>
                <w:color w:val="000000"/>
                <w:sz w:val="18"/>
              </w:rPr>
              <w:t>Self-reported practice; excluded from X</w:t>
            </w:r>
          </w:p>
        </w:tc>
      </w:tr>
      <w:tr>
        <w:tc>
          <w:tcPr>
            <w:tcW w:type="dxa" w:w="2160"/>
          </w:tcPr>
          <w:p>
            <w:r/>
            <w:r>
              <w:rPr>
                <w:rFonts w:ascii="Times New Roman" w:hAnsi="Times New Roman"/>
                <w:color w:val="000000"/>
                <w:sz w:val="18"/>
              </w:rPr>
              <w:t>Aggregates</w:t>
            </w:r>
          </w:p>
        </w:tc>
        <w:tc>
          <w:tcPr>
            <w:tcW w:type="dxa" w:w="2160"/>
          </w:tcPr>
          <w:p>
            <w:r/>
            <w:r>
              <w:rPr>
                <w:rFonts w:ascii="Times New Roman" w:hAnsi="Times New Roman"/>
                <w:color w:val="000000"/>
                <w:sz w:val="18"/>
              </w:rPr>
              <w:t>K_agg, A_agg</w:t>
            </w:r>
          </w:p>
        </w:tc>
        <w:tc>
          <w:tcPr>
            <w:tcW w:type="dxa" w:w="2160"/>
          </w:tcPr>
          <w:p>
            <w:r/>
            <w:r>
              <w:rPr>
                <w:rFonts w:ascii="Times New Roman" w:hAnsi="Times New Roman"/>
                <w:color w:val="000000"/>
                <w:sz w:val="18"/>
              </w:rPr>
              <w:t>K_agg, A_agg</w:t>
            </w:r>
          </w:p>
        </w:tc>
        <w:tc>
          <w:tcPr>
            <w:tcW w:type="dxa" w:w="2160"/>
          </w:tcPr>
          <w:p>
            <w:r/>
            <w:r>
              <w:rPr>
                <w:rFonts w:ascii="Times New Roman" w:hAnsi="Times New Roman"/>
                <w:color w:val="000000"/>
                <w:sz w:val="18"/>
              </w:rPr>
              <w:t>Mean of the mapped items on each instrument</w:t>
            </w:r>
          </w:p>
        </w:tc>
      </w:tr>
    </w:tbl>
    <w:p/>
    <w:p>
      <w:pPr>
        <w:spacing w:after="160" w:line="360" w:lineRule="auto"/>
        <w:jc w:val="both"/>
      </w:pPr>
      <w:r>
        <w:rPr>
          <w:rFonts w:ascii="Times New Roman" w:hAnsi="Times New Roman"/>
          <w:b w:val="0"/>
          <w:i w:val="0"/>
          <w:color w:val="000000"/>
          <w:sz w:val="24"/>
        </w:rPr>
        <w:t>Note: the KNUST Knowledge item Q11 was not fielded (empty) and is not part of any mapping. The Alzubaidi Knowledge mapping does not contain knowledge items, which is the load-bearing limitation of the Alzubaidi leg and the reason it is a stress-test only.</w:t>
      </w:r>
    </w:p>
    <w:p>
      <w:pPr>
        <w:spacing w:after="120" w:line="360" w:lineRule="auto"/>
        <w:jc w:val="left"/>
      </w:pPr>
      <w:r>
        <w:rPr>
          <w:rFonts w:ascii="Times New Roman" w:hAnsi="Times New Roman"/>
          <w:b/>
          <w:i w:val="0"/>
          <w:color w:val="000000"/>
          <w:sz w:val="26"/>
        </w:rPr>
        <w:t>M19. Computational Environment</w:t>
      </w:r>
    </w:p>
    <w:p>
      <w:pPr>
        <w:spacing w:after="160" w:line="360" w:lineRule="auto"/>
        <w:jc w:val="both"/>
      </w:pPr>
      <w:r>
        <w:rPr>
          <w:rFonts w:ascii="Times New Roman" w:hAnsi="Times New Roman"/>
          <w:b w:val="0"/>
          <w:i w:val="0"/>
          <w:color w:val="000000"/>
          <w:sz w:val="24"/>
        </w:rPr>
        <w:t>Python with scikit-learn and XGBoost. Mean per-fold training time: baseline 19.8 ms, WCE 23.8 ms; the difference is run-to-run noise, not a property of the weighting.</w:t>
      </w:r>
    </w:p>
    <w:p>
      <w:pPr>
        <w:spacing w:after="120" w:line="360" w:lineRule="auto"/>
        <w:jc w:val="left"/>
      </w:pPr>
      <w:r>
        <w:rPr>
          <w:rFonts w:ascii="Times New Roman" w:hAnsi="Times New Roman"/>
          <w:b/>
          <w:i w:val="0"/>
          <w:color w:val="000000"/>
          <w:sz w:val="26"/>
        </w:rPr>
        <w:t>M20. Methodological Defence</w:t>
      </w:r>
    </w:p>
    <w:p>
      <w:pPr>
        <w:spacing w:after="160" w:line="360" w:lineRule="auto"/>
        <w:jc w:val="both"/>
      </w:pPr>
      <w:r>
        <w:rPr>
          <w:rFonts w:ascii="Times New Roman" w:hAnsi="Times New Roman"/>
          <w:b w:val="0"/>
          <w:i w:val="0"/>
          <w:color w:val="000000"/>
          <w:sz w:val="24"/>
        </w:rPr>
        <w:t>Parsimony: the four-arm ablation shows depth tuning contributes +0.0182 macro F1 while the weighting contributes +0.0010, within noise of zero. On this dataset the engineered weighting is not justified on performance grounds, and the manuscript reports that null rather than defending the mechanism. The cost story in Table A is symmetric and is applied consistently in M15 and here.</w:t>
      </w:r>
    </w:p>
    <w:p>
      <w:pPr>
        <w:spacing w:after="120" w:line="360" w:lineRule="auto"/>
        <w:jc w:val="left"/>
      </w:pPr>
      <w:r>
        <w:rPr>
          <w:rFonts w:ascii="Times New Roman" w:hAnsi="Times New Roman"/>
          <w:b/>
          <w:i w:val="0"/>
          <w:color w:val="000000"/>
          <w:sz w:val="26"/>
        </w:rPr>
        <w:t>M21. Objective to Method to Result Traceability</w:t>
      </w:r>
    </w:p>
    <w:p>
      <w:pPr>
        <w:spacing w:after="80" w:line="360" w:lineRule="auto"/>
        <w:jc w:val="both"/>
      </w:pPr>
      <w:r>
        <w:rPr>
          <w:rFonts w:ascii="Times New Roman" w:hAnsi="Times New Roman"/>
          <w:b w:val="0"/>
          <w:i/>
          <w:color w:val="000000"/>
          <w:sz w:val="20"/>
        </w:rPr>
        <w:t>Table B maps each objective to its method step and result location.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Objective</w:t>
            </w:r>
          </w:p>
        </w:tc>
        <w:tc>
          <w:tcPr>
            <w:tcW w:type="dxa" w:w="2880"/>
          </w:tcPr>
          <w:p>
            <w:r/>
            <w:r>
              <w:rPr>
                <w:rFonts w:ascii="Times New Roman" w:hAnsi="Times New Roman"/>
                <w:b/>
                <w:color w:val="000000"/>
                <w:sz w:val="18"/>
              </w:rPr>
              <w:t>Method</w:t>
            </w:r>
          </w:p>
        </w:tc>
        <w:tc>
          <w:tcPr>
            <w:tcW w:type="dxa" w:w="2880"/>
          </w:tcPr>
          <w:p>
            <w:r/>
            <w:r>
              <w:rPr>
                <w:rFonts w:ascii="Times New Roman" w:hAnsi="Times New Roman"/>
                <w:b/>
                <w:color w:val="000000"/>
                <w:sz w:val="18"/>
              </w:rPr>
              <w:t>Result</w:t>
            </w:r>
          </w:p>
        </w:tc>
      </w:tr>
      <w:tr>
        <w:tc>
          <w:tcPr>
            <w:tcW w:type="dxa" w:w="2880"/>
          </w:tcPr>
          <w:p>
            <w:r/>
            <w:r>
              <w:rPr>
                <w:rFonts w:ascii="Times New Roman" w:hAnsi="Times New Roman"/>
                <w:color w:val="000000"/>
                <w:sz w:val="18"/>
              </w:rPr>
              <w:t>O1 Propose KAB-XGBoost-WCE</w:t>
            </w:r>
          </w:p>
        </w:tc>
        <w:tc>
          <w:tcPr>
            <w:tcW w:type="dxa" w:w="2880"/>
          </w:tcPr>
          <w:p>
            <w:r/>
            <w:r>
              <w:rPr>
                <w:rFonts w:ascii="Times New Roman" w:hAnsi="Times New Roman"/>
                <w:color w:val="000000"/>
                <w:sz w:val="18"/>
              </w:rPr>
              <w:t>M12, M16</w:t>
            </w:r>
          </w:p>
        </w:tc>
        <w:tc>
          <w:tcPr>
            <w:tcW w:type="dxa" w:w="2880"/>
          </w:tcPr>
          <w:p>
            <w:r/>
            <w:r>
              <w:rPr>
                <w:rFonts w:ascii="Times New Roman" w:hAnsi="Times New Roman"/>
                <w:color w:val="000000"/>
                <w:sz w:val="18"/>
              </w:rPr>
              <w:t>R2, R5, R10</w:t>
            </w:r>
          </w:p>
        </w:tc>
      </w:tr>
      <w:tr>
        <w:tc>
          <w:tcPr>
            <w:tcW w:type="dxa" w:w="2880"/>
          </w:tcPr>
          <w:p>
            <w:r/>
            <w:r>
              <w:rPr>
                <w:rFonts w:ascii="Times New Roman" w:hAnsi="Times New Roman"/>
                <w:color w:val="000000"/>
                <w:sz w:val="18"/>
              </w:rPr>
              <w:t>O2 Benchmark vs 7 comparators</w:t>
            </w:r>
          </w:p>
        </w:tc>
        <w:tc>
          <w:tcPr>
            <w:tcW w:type="dxa" w:w="2880"/>
          </w:tcPr>
          <w:p>
            <w:r/>
            <w:r>
              <w:rPr>
                <w:rFonts w:ascii="Times New Roman" w:hAnsi="Times New Roman"/>
                <w:color w:val="000000"/>
                <w:sz w:val="18"/>
              </w:rPr>
              <w:t>M11, M13</w:t>
            </w:r>
          </w:p>
        </w:tc>
        <w:tc>
          <w:tcPr>
            <w:tcW w:type="dxa" w:w="2880"/>
          </w:tcPr>
          <w:p>
            <w:r/>
            <w:r>
              <w:rPr>
                <w:rFonts w:ascii="Times New Roman" w:hAnsi="Times New Roman"/>
                <w:color w:val="000000"/>
                <w:sz w:val="18"/>
              </w:rPr>
              <w:t>R2 (Table 3), R3</w:t>
            </w:r>
          </w:p>
        </w:tc>
      </w:tr>
      <w:tr>
        <w:tc>
          <w:tcPr>
            <w:tcW w:type="dxa" w:w="2880"/>
          </w:tcPr>
          <w:p>
            <w:r/>
            <w:r>
              <w:rPr>
                <w:rFonts w:ascii="Times New Roman" w:hAnsi="Times New Roman"/>
                <w:color w:val="000000"/>
                <w:sz w:val="18"/>
              </w:rPr>
              <w:t>O3 Characterise feature importance</w:t>
            </w:r>
          </w:p>
        </w:tc>
        <w:tc>
          <w:tcPr>
            <w:tcW w:type="dxa" w:w="2880"/>
          </w:tcPr>
          <w:p>
            <w:r/>
            <w:r>
              <w:rPr>
                <w:rFonts w:ascii="Times New Roman" w:hAnsi="Times New Roman"/>
                <w:color w:val="000000"/>
                <w:sz w:val="18"/>
              </w:rPr>
              <w:t>M17</w:t>
            </w:r>
          </w:p>
        </w:tc>
        <w:tc>
          <w:tcPr>
            <w:tcW w:type="dxa" w:w="2880"/>
          </w:tcPr>
          <w:p>
            <w:r/>
            <w:r>
              <w:rPr>
                <w:rFonts w:ascii="Times New Roman" w:hAnsi="Times New Roman"/>
                <w:color w:val="000000"/>
                <w:sz w:val="18"/>
              </w:rPr>
              <w:t>R6</w:t>
            </w:r>
          </w:p>
        </w:tc>
      </w:tr>
    </w:tbl>
    <w:p/>
    <w:p>
      <w:pPr>
        <w:spacing w:after="120" w:line="360" w:lineRule="auto"/>
        <w:jc w:val="left"/>
      </w:pPr>
      <w:r>
        <w:rPr>
          <w:rFonts w:ascii="Times New Roman" w:hAnsi="Times New Roman"/>
          <w:b/>
          <w:i w:val="0"/>
          <w:color w:val="000000"/>
          <w:sz w:val="26"/>
        </w:rPr>
        <w:t>M22. Cost Story</w:t>
      </w:r>
    </w:p>
    <w:p>
      <w:pPr>
        <w:spacing w:after="80" w:line="360" w:lineRule="auto"/>
        <w:jc w:val="both"/>
      </w:pPr>
      <w:r>
        <w:rPr>
          <w:rFonts w:ascii="Times New Roman" w:hAnsi="Times New Roman"/>
          <w:b w:val="0"/>
          <w:i/>
          <w:color w:val="000000"/>
          <w:sz w:val="20"/>
        </w:rPr>
        <w:t>Table A. Construct to metric to stakeholder consequence.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Construct</w:t>
            </w:r>
          </w:p>
        </w:tc>
        <w:tc>
          <w:tcPr>
            <w:tcW w:type="dxa" w:w="2880"/>
          </w:tcPr>
          <w:p>
            <w:r/>
            <w:r>
              <w:rPr>
                <w:rFonts w:ascii="Times New Roman" w:hAnsi="Times New Roman"/>
                <w:b/>
                <w:color w:val="000000"/>
                <w:sz w:val="18"/>
              </w:rPr>
              <w:t>Metric</w:t>
            </w:r>
          </w:p>
        </w:tc>
        <w:tc>
          <w:tcPr>
            <w:tcW w:type="dxa" w:w="2880"/>
          </w:tcPr>
          <w:p>
            <w:r/>
            <w:r>
              <w:rPr>
                <w:rFonts w:ascii="Times New Roman" w:hAnsi="Times New Roman"/>
                <w:b/>
                <w:color w:val="000000"/>
                <w:sz w:val="18"/>
              </w:rPr>
              <w:t>Stakeholder consequence</w:t>
            </w:r>
          </w:p>
        </w:tc>
      </w:tr>
      <w:tr>
        <w:tc>
          <w:tcPr>
            <w:tcW w:type="dxa" w:w="2880"/>
          </w:tcPr>
          <w:p>
            <w:r/>
            <w:r>
              <w:rPr>
                <w:rFonts w:ascii="Times New Roman" w:hAnsi="Times New Roman"/>
                <w:color w:val="000000"/>
                <w:sz w:val="18"/>
              </w:rPr>
              <w:t>Behavioural readiness</w:t>
            </w:r>
          </w:p>
        </w:tc>
        <w:tc>
          <w:tcPr>
            <w:tcW w:type="dxa" w:w="2880"/>
          </w:tcPr>
          <w:p>
            <w:r/>
            <w:r>
              <w:rPr>
                <w:rFonts w:ascii="Times New Roman" w:hAnsi="Times New Roman"/>
                <w:color w:val="000000"/>
                <w:sz w:val="18"/>
              </w:rPr>
              <w:t>Macro F1</w:t>
            </w:r>
          </w:p>
        </w:tc>
        <w:tc>
          <w:tcPr>
            <w:tcW w:type="dxa" w:w="2880"/>
          </w:tcPr>
          <w:p>
            <w:r/>
            <w:r>
              <w:rPr>
                <w:rFonts w:ascii="Times New Roman" w:hAnsi="Times New Roman"/>
                <w:color w:val="000000"/>
                <w:sz w:val="18"/>
              </w:rPr>
              <w:t>False negative (Low predicted High) = at-risk student missed, receives no intervention</w:t>
            </w:r>
          </w:p>
        </w:tc>
      </w:tr>
      <w:tr>
        <w:tc>
          <w:tcPr>
            <w:tcW w:type="dxa" w:w="2880"/>
          </w:tcPr>
          <w:p>
            <w:r/>
            <w:r>
              <w:rPr>
                <w:rFonts w:ascii="Times New Roman" w:hAnsi="Times New Roman"/>
                <w:color w:val="000000"/>
                <w:sz w:val="18"/>
              </w:rPr>
              <w:t>Class balance</w:t>
            </w:r>
          </w:p>
        </w:tc>
        <w:tc>
          <w:tcPr>
            <w:tcW w:type="dxa" w:w="2880"/>
          </w:tcPr>
          <w:p>
            <w:r/>
            <w:r>
              <w:rPr>
                <w:rFonts w:ascii="Times New Roman" w:hAnsi="Times New Roman"/>
                <w:color w:val="000000"/>
                <w:sz w:val="18"/>
              </w:rPr>
              <w:t>Per-class recall</w:t>
            </w:r>
          </w:p>
        </w:tc>
        <w:tc>
          <w:tcPr>
            <w:tcW w:type="dxa" w:w="2880"/>
          </w:tcPr>
          <w:p>
            <w:r/>
            <w:r>
              <w:rPr>
                <w:rFonts w:ascii="Times New Roman" w:hAnsi="Times New Roman"/>
                <w:color w:val="000000"/>
                <w:sz w:val="18"/>
              </w:rPr>
              <w:t>Both classes weighted equally so neither group is systematically missed</w:t>
            </w:r>
          </w:p>
        </w:tc>
      </w:tr>
    </w:tbl>
    <w:p/>
    <w:p>
      <w:pPr>
        <w:spacing w:after="120" w:line="360" w:lineRule="auto"/>
        <w:jc w:val="left"/>
      </w:pPr>
      <w:r>
        <w:rPr>
          <w:rFonts w:ascii="Times New Roman" w:hAnsi="Times New Roman"/>
          <w:b/>
          <w:i w:val="0"/>
          <w:color w:val="000000"/>
          <w:sz w:val="26"/>
        </w:rPr>
        <w:t>M23. Data and Code Availability</w:t>
      </w:r>
    </w:p>
    <w:p>
      <w:pPr>
        <w:spacing w:after="160" w:line="360" w:lineRule="auto"/>
        <w:jc w:val="both"/>
      </w:pPr>
      <w:r>
        <w:rPr>
          <w:rFonts w:ascii="Times New Roman" w:hAnsi="Times New Roman"/>
          <w:b w:val="0"/>
          <w:i w:val="0"/>
          <w:color w:val="000000"/>
          <w:sz w:val="24"/>
        </w:rPr>
        <w:t>The full pipeline (kab_pipeline.py) and the fold-level export (fold_level_results.csv) are provided. The repository is to be made accessible to the verifier with the commit hash recorded here: 369cfee5643953dd7cbc2ebfd9e17939c574bb50. The KNUST dataset is restricted under HuSSREC terms; the Alzubaidi dataset is public at doi:10.17632/fbs9mgmh4y.3.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