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R10 (TWO-DATASET PIPELINE REBUILD WITH VERIFY2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R10</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Alzubaidi n</w:t>
            </w:r>
          </w:p>
        </w:tc>
        <w:tc>
          <w:tcPr>
            <w:tcW w:type="dxa" w:w="2160"/>
          </w:tcPr>
          <w:p>
            <w:r/>
            <w:r>
              <w:rPr>
                <w:rFonts w:ascii="Times New Roman" w:hAnsi="Times New Roman"/>
                <w:color w:val="000000"/>
                <w:sz w:val="18"/>
              </w:rPr>
              <w:t>1214</w:t>
            </w:r>
          </w:p>
        </w:tc>
      </w:tr>
      <w:tr>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[INSERT HuSSREC REFERENCE NUMBER]</w:t>
            </w:r>
          </w:p>
        </w:tc>
        <w:tc>
          <w:tcPr>
            <w:tcW w:type="dxa" w:w="2160"/>
          </w:tcPr>
          <w:p>
            <w:r/>
            <w:r>
              <w:rPr>
                <w:rFonts w:ascii="Times New Roman" w:hAnsi="Times New Roman"/>
                <w:color w:val="000000"/>
                <w:sz w:val="18"/>
              </w:rPr>
              <w:t>Date</w:t>
            </w:r>
          </w:p>
        </w:tc>
        <w:tc>
          <w:tcPr>
            <w:tcW w:type="dxa" w:w="2160"/>
          </w:tcPr>
          <w:p>
            <w:r/>
            <w:r>
              <w:rPr>
                <w:rFonts w:ascii="Times New Roman" w:hAnsi="Times New Roman"/>
                <w:color w:val="000000"/>
                <w:sz w:val="18"/>
              </w:rPr>
              <w:t>[INSERT DATE]</w:t>
            </w:r>
          </w:p>
        </w:tc>
      </w:tr>
      <w:tr>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w:t>
            </w:r>
          </w:p>
        </w:tc>
        <w:tc>
          <w:tcPr>
            <w:tcW w:type="dxa" w:w="2160"/>
          </w:tcPr>
          <w:p>
            <w:r/>
            <w:r>
              <w:rPr>
                <w:rFonts w:ascii="Times New Roman" w:hAnsi="Times New Roman"/>
                <w:color w:val="000000"/>
                <w:sz w:val="18"/>
              </w:rPr>
              <w:t>Commit</w:t>
            </w:r>
          </w:p>
        </w:tc>
        <w:tc>
          <w:tcPr>
            <w:tcW w:type="dxa" w:w="2160"/>
          </w:tcPr>
          <w:p>
            <w:r>
              <w:t>ccc62ad</w:t>
            </w:r>
            <w:r>
              <w:rPr>
                <w:rFonts w:ascii="Times New Roman" w:hAnsi="Times New Roman"/>
                <w:color w:val="000000"/>
                <w:sz w:val="18"/>
              </w:rPr>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Two datasets are used and never pooled: the KNUST field survey (primary) and the Alzubaidi (2021) public dataset (external stress-test). Both are processed by the same pipeline (kab_pipeline.py) in separate loops. Subsections cover data sources (M3-M4), ethics (M5), preprocessing and de-duplication (M6), features and reliability (M7), class imbalance (M8), partitioning and tuning-leakage control (M9), combining strategy (M10), baselines (M11), the proposed model (M12), tuning (M13), training (M14), metrics (M15), ablation and statistics (M16), interpretability (M17), generalisation and construct equivalence (M18), environment (M19), defences (M20), traceability (M21), cost story (M22), and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KNUST: X.shape = (2088, 17); feature order (X.columns) = Q6, Q7, Q8, Q9, Q10, Q13, Q14, Q15, Q16, Q17, Q1, Q2, Q3, Q4, Q5, K_agg, A_agg. Alzubaidi: X.shape = (1214, 28); feature order = B19_0, B19_1, B19_2, B19_3, B19_4, B19_5, B20_0, B20_1, B20_2, B20_3, B20_4, B20_5, B18_0, B18_1, B18_2, B18_3, B18_4, B18_5, B18_6, B22_0, B22_1, B22_2, B22_3, B22_4, B13, B21, K_agg, A_agg. No Behaviour item enters either X. The label y is a global median split of the Behaviour total; for KNUST the median is 18.0.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KNUST field survey: primary evaluation corpus, restricted under HuSSREC terms (reference [INSERT HuSSREC REFERENCE NUMBER]). Alzubaidi (2021): public dataset, doi:10.17632/fbs9mgmh4y.3, CC BY-NC-ND 4.0, retained as an external stress-test. The two datasets are processed in separate loops with no shared state, no feature-level concatenation, and no corpus-level pooling; they are never pooled.</w:t>
      </w:r>
    </w:p>
    <w:p>
      <w:pPr>
        <w:spacing w:after="120" w:line="360" w:lineRule="auto"/>
        <w:jc w:val="left"/>
      </w:pPr>
      <w:r>
        <w:rPr>
          <w:rFonts w:ascii="Times New Roman" w:hAnsi="Times New Roman"/>
          <w:b/>
          <w:i w:val="0"/>
          <w:color w:val="000000"/>
          <w:sz w:val="26"/>
        </w:rPr>
        <w:t>M4. Data Collection, Acquisition and Duplicate Removal</w:t>
      </w:r>
    </w:p>
    <w:p>
      <w:pPr>
        <w:spacing w:after="160" w:line="360" w:lineRule="auto"/>
        <w:jc w:val="both"/>
      </w:pPr>
      <w:r>
        <w:rPr>
          <w:rFonts w:ascii="Times New Roman" w:hAnsi="Times New Roman"/>
          <w:b w:val="0"/>
          <w:i w:val="0"/>
          <w:color w:val="000000"/>
          <w:sz w:val="24"/>
        </w:rPr>
        <w:t>KNUST sampling frame: registered Supply Chain Management students at KNUST across Years 2 to 4, estimated at 3200 students (Faculty of Business records; exact denominator to be confirmed). Data were collected on printed paper questionnaires, then transferred into a Google Sheet programmatically using a Google Apps Script. The script appended the paper responses in batches; a fault in the batch loop re-appended exactly two contiguous runs of already-entered rows: rows 1,589 to 2,683 (1,095 rows, re-appending earlier rows at a 500-row offset) and rows 3,184 to 4,121 (938 rows, re-appending rows 1 to 938). The 2,088 retained rows are the non-repeated rows 1 to 1,588 and 2,684 to 3,183. The export timestamps (6 to 7 July 2026, median gap 1.9 s) are transcription times, not response times, which is why no early-versus-late comparison is possible. The raw sheet contained 4121 rows; 2033 of these (49.3%) were exact-duplicate response patterns. Duplicates were removed before any modelling using an exact-match key over all 21 answered fields (Q1-Q10, Q13-Q23); where two or more rows shared a key, the first occurrence was retained and the rest discarded, leaving n = 2088 unique responses. Response rate: the raw count corresponds to 128.8% of the estimated frame (above 100% precisely because of the duplication), and the de-duplicated count to 65.2%. A non-response comparison of early versus late respondents was not possible because the export carries only a submission timestamp with no start time. Table M4a summarises the frame and removal.</w:t>
      </w:r>
    </w:p>
    <w:p>
      <w:pPr>
        <w:spacing w:after="80" w:line="360" w:lineRule="auto"/>
        <w:jc w:val="both"/>
      </w:pPr>
      <w:r>
        <w:rPr>
          <w:rFonts w:ascii="Times New Roman" w:hAnsi="Times New Roman"/>
          <w:b w:val="0"/>
          <w:i/>
          <w:color w:val="000000"/>
          <w:sz w:val="20"/>
        </w:rPr>
        <w:t>Table M4a. Sampling frame and duplicate removal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tcPr>
          <w:p>
            <w:r/>
            <w:r>
              <w:rPr>
                <w:rFonts w:ascii="Times New Roman" w:hAnsi="Times New Roman"/>
                <w:b/>
                <w:color w:val="000000"/>
                <w:sz w:val="18"/>
              </w:rPr>
              <w:t>Quantity</w:t>
            </w:r>
          </w:p>
        </w:tc>
        <w:tc>
          <w:tcPr>
            <w:tcW w:type="dxa" w:w="4320"/>
          </w:tcPr>
          <w:p>
            <w:r/>
            <w:r>
              <w:rPr>
                <w:rFonts w:ascii="Times New Roman" w:hAnsi="Times New Roman"/>
                <w:b/>
                <w:color w:val="000000"/>
                <w:sz w:val="18"/>
              </w:rPr>
              <w:t>Value</w:t>
            </w:r>
          </w:p>
        </w:tc>
      </w:tr>
      <w:tr>
        <w:tc>
          <w:tcPr>
            <w:tcW w:type="dxa" w:w="4320"/>
          </w:tcPr>
          <w:p>
            <w:r/>
            <w:r>
              <w:rPr>
                <w:rFonts w:ascii="Times New Roman" w:hAnsi="Times New Roman"/>
                <w:color w:val="000000"/>
                <w:sz w:val="18"/>
              </w:rPr>
              <w:t>Estimated registered SCM students (Years 2-4)</w:t>
            </w:r>
          </w:p>
        </w:tc>
        <w:tc>
          <w:tcPr>
            <w:tcW w:type="dxa" w:w="4320"/>
          </w:tcPr>
          <w:p>
            <w:r/>
            <w:r>
              <w:rPr>
                <w:rFonts w:ascii="Times New Roman" w:hAnsi="Times New Roman"/>
                <w:color w:val="000000"/>
                <w:sz w:val="18"/>
              </w:rPr>
              <w:t>3200</w:t>
            </w:r>
          </w:p>
        </w:tc>
      </w:tr>
      <w:tr>
        <w:tc>
          <w:tcPr>
            <w:tcW w:type="dxa" w:w="4320"/>
          </w:tcPr>
          <w:p>
            <w:r/>
            <w:r>
              <w:rPr>
                <w:rFonts w:ascii="Times New Roman" w:hAnsi="Times New Roman"/>
                <w:color w:val="000000"/>
                <w:sz w:val="18"/>
              </w:rPr>
              <w:t>Raw rows in export</w:t>
            </w:r>
          </w:p>
        </w:tc>
        <w:tc>
          <w:tcPr>
            <w:tcW w:type="dxa" w:w="4320"/>
          </w:tcPr>
          <w:p>
            <w:r/>
            <w:r>
              <w:rPr>
                <w:rFonts w:ascii="Times New Roman" w:hAnsi="Times New Roman"/>
                <w:color w:val="000000"/>
                <w:sz w:val="18"/>
              </w:rPr>
              <w:t>4121</w:t>
            </w:r>
          </w:p>
        </w:tc>
      </w:tr>
      <w:tr>
        <w:tc>
          <w:tcPr>
            <w:tcW w:type="dxa" w:w="4320"/>
          </w:tcPr>
          <w:p>
            <w:r/>
            <w:r>
              <w:rPr>
                <w:rFonts w:ascii="Times New Roman" w:hAnsi="Times New Roman"/>
                <w:color w:val="000000"/>
                <w:sz w:val="18"/>
              </w:rPr>
              <w:t>Exact-duplicate rows removed</w:t>
            </w:r>
          </w:p>
        </w:tc>
        <w:tc>
          <w:tcPr>
            <w:tcW w:type="dxa" w:w="4320"/>
          </w:tcPr>
          <w:p>
            <w:r/>
            <w:r>
              <w:rPr>
                <w:rFonts w:ascii="Times New Roman" w:hAnsi="Times New Roman"/>
                <w:color w:val="000000"/>
                <w:sz w:val="18"/>
              </w:rPr>
              <w:t>2033 (49.3%)</w:t>
            </w:r>
          </w:p>
        </w:tc>
      </w:tr>
      <w:tr>
        <w:tc>
          <w:tcPr>
            <w:tcW w:type="dxa" w:w="4320"/>
          </w:tcPr>
          <w:p>
            <w:r/>
            <w:r>
              <w:rPr>
                <w:rFonts w:ascii="Times New Roman" w:hAnsi="Times New Roman"/>
                <w:color w:val="000000"/>
                <w:sz w:val="18"/>
              </w:rPr>
              <w:t>Unique responses retained</w:t>
            </w:r>
          </w:p>
        </w:tc>
        <w:tc>
          <w:tcPr>
            <w:tcW w:type="dxa" w:w="4320"/>
          </w:tcPr>
          <w:p>
            <w:r/>
            <w:r>
              <w:rPr>
                <w:rFonts w:ascii="Times New Roman" w:hAnsi="Times New Roman"/>
                <w:color w:val="000000"/>
                <w:sz w:val="18"/>
              </w:rPr>
              <w:t>2088</w:t>
            </w:r>
          </w:p>
        </w:tc>
      </w:tr>
      <w:tr>
        <w:tc>
          <w:tcPr>
            <w:tcW w:type="dxa" w:w="4320"/>
          </w:tcPr>
          <w:p>
            <w:r/>
            <w:r>
              <w:rPr>
                <w:rFonts w:ascii="Times New Roman" w:hAnsi="Times New Roman"/>
                <w:color w:val="000000"/>
                <w:sz w:val="18"/>
              </w:rPr>
              <w:t>Raw response rate</w:t>
            </w:r>
          </w:p>
        </w:tc>
        <w:tc>
          <w:tcPr>
            <w:tcW w:type="dxa" w:w="4320"/>
          </w:tcPr>
          <w:p>
            <w:r/>
            <w:r>
              <w:rPr>
                <w:rFonts w:ascii="Times New Roman" w:hAnsi="Times New Roman"/>
                <w:color w:val="000000"/>
                <w:sz w:val="18"/>
              </w:rPr>
              <w:t>128.8%</w:t>
            </w:r>
          </w:p>
        </w:tc>
      </w:tr>
      <w:tr>
        <w:tc>
          <w:tcPr>
            <w:tcW w:type="dxa" w:w="4320"/>
          </w:tcPr>
          <w:p>
            <w:r/>
            <w:r>
              <w:rPr>
                <w:rFonts w:ascii="Times New Roman" w:hAnsi="Times New Roman"/>
                <w:color w:val="000000"/>
                <w:sz w:val="18"/>
              </w:rPr>
              <w:t>De-duplicated response rate</w:t>
            </w:r>
          </w:p>
        </w:tc>
        <w:tc>
          <w:tcPr>
            <w:tcW w:type="dxa" w:w="4320"/>
          </w:tcPr>
          <w:p>
            <w:r/>
            <w:r>
              <w:rPr>
                <w:rFonts w:ascii="Times New Roman" w:hAnsi="Times New Roman"/>
                <w:color w:val="000000"/>
                <w:sz w:val="18"/>
              </w:rPr>
              <w:t>65.2%</w:t>
            </w:r>
          </w:p>
        </w:tc>
      </w:tr>
    </w:tbl>
    <w:p/>
    <w:p>
      <w:pPr>
        <w:spacing w:after="160" w:line="360" w:lineRule="auto"/>
        <w:jc w:val="both"/>
      </w:pPr>
      <w:r>
        <w:rPr>
          <w:rFonts w:ascii="Times New Roman" w:hAnsi="Times New Roman"/>
          <w:b w:val="0"/>
          <w:i w:val="0"/>
          <w:color w:val="000000"/>
          <w:sz w:val="24"/>
        </w:rPr>
        <w:t>Alzubaidi: downloaded from Mendeley Data (doi:10.17632/fbs9mgmh4y.3); 1231 responses, 17 exact duplicates removed, leaving 1214 unique responses; modelled feature matrix d = 28 after block mapping (M18).</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Approved by the KNUST Humanities and Social Sciences Ethics Committee (HuSSREC), reference [INSERT HuSSREC REFERENCE NUMBER]. Participation was voluntary with informed consent.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Q11 ("I know what steps to take if I suspect a cybersecurity incident") is a Knowledge item, so the Knowledge subscale is the five fielded items Q6-Q10. Q12 ("Cybersecurity is a personal responsibility") is an Attitude item, so the Attitude subscale is the five fielded items Q13-Q17. Exactly one Attitude item was lost. No item beyond Q11 and Q12 was affected. Straight-lining screening confirmed the retained rows are not uniform-response rows. Completion-time screening was not possible (submission timestamp only, no start time).</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KNUST Knowledge items: Q6 recognise phishing, Q7 understand a data breach, Q8 strong versus weak password, Q9 public Wi-Fi and VPN risk, Q10 explain social engineering. Attitude items: Q13-Q17. K_agg and A_agg are the subscale means; demographics Q1-Q5 are ordinal-encoded. Cronbach alpha (KNUST, de-duplicated): Knowledge 0.703, Attitude 0.603, Behaviour 0.709. The Attitude alpha is below 0.70, consistent with the loss of one Attitude item (Q12); this is stated as a limitation. Alpha values are reported here in Methods only and are not repeated in Results.</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KNUST is near-balanced after de-duplication: Low 1015 (48.6%), High 1073 (51.4%). Alzubaidi: Low 567 (46.7%), High 647 (53.3%). No resampling is applied to the primary analysis. An artificial-skew test (M16, R10) deliberately imbalances the data to test whether the weighting helps more under skew.</w:t>
      </w:r>
    </w:p>
    <w:p>
      <w:pPr>
        <w:spacing w:after="120" w:line="360" w:lineRule="auto"/>
        <w:jc w:val="left"/>
      </w:pPr>
      <w:r>
        <w:rPr>
          <w:rFonts w:ascii="Times New Roman" w:hAnsi="Times New Roman"/>
          <w:b/>
          <w:i w:val="0"/>
          <w:color w:val="000000"/>
          <w:sz w:val="26"/>
        </w:rPr>
        <w:t>M9. Partitioning and Tuning-Leakage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A separate 80/20 hold-out is used only for the confusion matrices, McNemar test, AUC, SHAP and robustness in R6/R7/R11. Average tuned depths across folds: KNUST baseline 2.22 / WCE 2.26; Alzubaidi baseline 2 / WCE 2. Average tuned lambda (KNUST): 1.385. Lambda and depth are tuned per fold via 3-fold inner CV.</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share no data, no features and no fitted state; they are never pooled and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Eight comparators on each dataset: Baseline XGBoost (independently tuned), stock scale_pos_weight XGBoost, Decision Tree, Naive Bayes, Logistic Regression (scaled), SVM (scaled), Random Forest, and the proposed KAB-XGBoost-WCE. Each tunable model receives its own GridSearchCV on the training folds, on both datasets.</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For instances where K_agg &lt; median(K_agg) OR A_agg &lt; median(A_agg), the per-instance weight is w_i = lambda; all other instances receive w_i = 1.0. The weight targets low-knowledge or negative-attitude instances regardless of class label. Lambda is tuned per fold. The full definition is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gives search spaces and selected values on both datasets. Baseline XGBoost tunes max_depth over {2,3,5,7} with its own GridSearchCV, independent of the WCE tuning, on each dataset. SVM and Logistic Regression are evaluated on standardised features.</w:t>
      </w:r>
    </w:p>
    <w:p>
      <w:pPr>
        <w:spacing w:after="80" w:line="360" w:lineRule="auto"/>
        <w:jc w:val="both"/>
      </w:pPr>
      <w:r>
        <w:rPr>
          <w:rFonts w:ascii="Times New Roman" w:hAnsi="Times New Roman"/>
          <w:b w:val="0"/>
          <w:i/>
          <w:color w:val="000000"/>
          <w:sz w:val="20"/>
        </w:rPr>
        <w:t>Table 2. Tuning search spaces and selected values (both datasets,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Search space</w:t>
            </w:r>
          </w:p>
        </w:tc>
        <w:tc>
          <w:tcPr>
            <w:tcW w:type="dxa" w:w="2160"/>
          </w:tcPr>
          <w:p>
            <w:r/>
            <w:r>
              <w:rPr>
                <w:rFonts w:ascii="Times New Roman" w:hAnsi="Times New Roman"/>
                <w:b/>
                <w:color w:val="000000"/>
                <w:sz w:val="18"/>
              </w:rPr>
              <w:t>KNUST</w:t>
            </w:r>
          </w:p>
        </w:tc>
        <w:tc>
          <w:tcPr>
            <w:tcW w:type="dxa" w:w="2160"/>
          </w:tcPr>
          <w:p>
            <w:r/>
            <w:r>
              <w:rPr>
                <w:rFonts w:ascii="Times New Roman" w:hAnsi="Times New Roman"/>
                <w:b/>
                <w:color w:val="000000"/>
                <w:sz w:val="18"/>
              </w:rPr>
              <w:t>Alzubaidi</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max_depth {2,3,5,7}</w:t>
            </w:r>
          </w:p>
        </w:tc>
        <w:tc>
          <w:tcPr>
            <w:tcW w:type="dxa" w:w="2160"/>
          </w:tcPr>
          <w:p>
            <w:r/>
            <w:r>
              <w:rPr>
                <w:rFonts w:ascii="Times New Roman" w:hAnsi="Times New Roman"/>
                <w:color w:val="000000"/>
                <w:sz w:val="18"/>
              </w:rPr>
              <w:t>depth 2</w:t>
            </w:r>
          </w:p>
        </w:tc>
        <w:tc>
          <w:tcPr>
            <w:tcW w:type="dxa" w:w="2160"/>
          </w:tcPr>
          <w:p>
            <w:r/>
            <w:r>
              <w:rPr>
                <w:rFonts w:ascii="Times New Roman" w:hAnsi="Times New Roman"/>
                <w:color w:val="000000"/>
                <w:sz w:val="18"/>
              </w:rPr>
              <w:t>depth 2</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depth {2,3,5} x lambda {1.25,1.5}</w:t>
            </w:r>
          </w:p>
        </w:tc>
        <w:tc>
          <w:tcPr>
            <w:tcW w:type="dxa" w:w="2160"/>
          </w:tcPr>
          <w:p>
            <w:r/>
            <w:r>
              <w:rPr>
                <w:rFonts w:ascii="Times New Roman" w:hAnsi="Times New Roman"/>
                <w:color w:val="000000"/>
                <w:sz w:val="18"/>
              </w:rPr>
              <w:t>avg depth 2.26, lam 1.385</w:t>
            </w:r>
          </w:p>
        </w:tc>
        <w:tc>
          <w:tcPr>
            <w:tcW w:type="dxa" w:w="2160"/>
          </w:tcPr>
          <w:p>
            <w:r/>
            <w:r>
              <w:rPr>
                <w:rFonts w:ascii="Times New Roman" w:hAnsi="Times New Roman"/>
                <w:color w:val="000000"/>
                <w:sz w:val="18"/>
              </w:rPr>
              <w:t>depth 2, lam 1.25</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max_depth {3,5,7}</w:t>
            </w:r>
          </w:p>
        </w:tc>
        <w:tc>
          <w:tcPr>
            <w:tcW w:type="dxa" w:w="2160"/>
          </w:tcPr>
          <w:p>
            <w:r/>
            <w:r>
              <w:rPr>
                <w:rFonts w:ascii="Times New Roman" w:hAnsi="Times New Roman"/>
                <w:color w:val="000000"/>
                <w:sz w:val="18"/>
              </w:rPr>
              <w:t>per fold</w:t>
            </w:r>
          </w:p>
        </w:tc>
        <w:tc>
          <w:tcPr>
            <w:tcW w:type="dxa" w:w="2160"/>
          </w:tcPr>
          <w:p>
            <w:r/>
            <w:r>
              <w:rPr>
                <w:rFonts w:ascii="Times New Roman" w:hAnsi="Times New Roman"/>
                <w:color w:val="000000"/>
                <w:sz w:val="18"/>
              </w:rPr>
              <w:t>per fold</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n_estimators 300</w:t>
            </w:r>
          </w:p>
        </w:tc>
        <w:tc>
          <w:tcPr>
            <w:tcW w:type="dxa" w:w="2160"/>
          </w:tcPr>
          <w:p>
            <w:r/>
            <w:r>
              <w:rPr>
                <w:rFonts w:ascii="Times New Roman" w:hAnsi="Times New Roman"/>
                <w:color w:val="000000"/>
                <w:sz w:val="18"/>
              </w:rPr>
              <w:t>fixed</w:t>
            </w:r>
          </w:p>
        </w:tc>
        <w:tc>
          <w:tcPr>
            <w:tcW w:type="dxa" w:w="2160"/>
          </w:tcPr>
          <w:p>
            <w:r/>
            <w:r>
              <w:rPr>
                <w:rFonts w:ascii="Times New Roman" w:hAnsi="Times New Roman"/>
                <w:color w:val="000000"/>
                <w:sz w:val="18"/>
              </w:rPr>
              <w:t>fixed</w:t>
            </w:r>
          </w:p>
        </w:tc>
      </w:tr>
      <w:tr>
        <w:tc>
          <w:tcPr>
            <w:tcW w:type="dxa" w:w="2160"/>
          </w:tcPr>
          <w:p>
            <w:r/>
            <w:r>
              <w:rPr>
                <w:rFonts w:ascii="Times New Roman" w:hAnsi="Times New Roman"/>
                <w:color w:val="000000"/>
                <w:sz w:val="18"/>
              </w:rPr>
              <w:t>SVM / LogReg</w:t>
            </w:r>
          </w:p>
        </w:tc>
        <w:tc>
          <w:tcPr>
            <w:tcW w:type="dxa" w:w="2160"/>
          </w:tcPr>
          <w:p>
            <w:r/>
            <w:r>
              <w:rPr>
                <w:rFonts w:ascii="Times New Roman" w:hAnsi="Times New Roman"/>
                <w:color w:val="000000"/>
                <w:sz w:val="18"/>
              </w:rPr>
              <w:t>scaled features</w:t>
            </w:r>
          </w:p>
        </w:tc>
        <w:tc>
          <w:tcPr>
            <w:tcW w:type="dxa" w:w="2160"/>
          </w:tcPr>
          <w:p>
            <w:r/>
            <w:r>
              <w:rPr>
                <w:rFonts w:ascii="Times New Roman" w:hAnsi="Times New Roman"/>
                <w:color w:val="000000"/>
                <w:sz w:val="18"/>
              </w:rPr>
              <w:t>scaled</w:t>
            </w:r>
          </w:p>
        </w:tc>
        <w:tc>
          <w:tcPr>
            <w:tcW w:type="dxa" w:w="216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model instances fix random_state 42. The complete pipeline (loading and de-duplication for KNUST, block mapping for Alzubaidi, feature and label construction, nested GridSearchCV, all eight models (seven comparators plus the proposed KAB-XGBoost-WCE), the four-arm ablation, the depth curve, held-out analysis, SHAP, ordinal and bootstrap robustness, subgroup analysis, and the artificial-skew test) is in kab_pipeline.py. The 50 fold-level scores per dataset are exported to fold_level_results_knust.csv and fold_level_results_alzubaidi.csv so every figure in Results is independently recomputable. Reproducibility depends on repository access, which is a stated limitation in M23.</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(symmetric cost story, Table A). Supporting: per-class precision, recall and F1; AUC-ROC; McNemar on the held-out split; SHAP for feature importance.</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(A vanilla depth 5, B depth 3, C depth 5 with weights, D depth 3 with weights), all from the same 5 x 10-fold protocol. Primary test: Wilcoxon signed-rank on 50 paired folds with W+, W-, p, fold-win and ties reported. Artificial-skew test: the High class is downsampled to a 25% minority to test whether the weighting helps more under genuine imbalance, comparing KAB-WCE against stock scale_pos_weight.</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KAB-XGBoost-WCE model on each dataset's held-out partition, and mean absolute SHAP values give the global feature ranking reported in R6. Importance is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Tier 1 bounded, single-context field study with an external stress-test. The KNUST Knowledge items are as listed in M7. On the Alzubaidi instrument the nearest blocks are B19 (cybercrime victimisation frequency) and B20 (concern), which measure experience and concern rather than knowledge; the Knowledge mapping to Alzubaidi is therefore imposed and weak, and is labelled as such. No measurement invariance is claimed. Table M18a gives the item-level mapping.</w:t>
      </w:r>
    </w:p>
    <w:p>
      <w:pPr>
        <w:spacing w:after="80" w:line="360" w:lineRule="auto"/>
        <w:jc w:val="both"/>
      </w:pPr>
      <w:r>
        <w:rPr>
          <w:rFonts w:ascii="Times New Roman" w:hAnsi="Times New Roman"/>
          <w:b w:val="0"/>
          <w:i/>
          <w:color w:val="000000"/>
          <w:sz w:val="20"/>
        </w:rPr>
        <w:t>Table M18a. Item-level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w:t>
            </w:r>
          </w:p>
        </w:tc>
        <w:tc>
          <w:tcPr>
            <w:tcW w:type="dxa" w:w="2160"/>
          </w:tcPr>
          <w:p>
            <w:r/>
            <w:r>
              <w:rPr>
                <w:rFonts w:ascii="Times New Roman" w:hAnsi="Times New Roman"/>
                <w:color w:val="000000"/>
                <w:sz w:val="18"/>
              </w:rPr>
              <w:t>B19 + B20 (victimisation,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XGBoost and SHAP. Mean per-fold training time (KNUST): baseline 22.4 ms, WCE 26.1 ms; the difference is run-to-run scheduling noise, not a property of the weighting.</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on KNUST the four-arm ablation shows depth tuning contributes +0.0182 macro F1 while the weighting contributes +0.0010, within noise of zero; the manuscript reports this null rather than defending the mechanism. The cost story in Table A is symmetric and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 Every routed result section exists in the Results document.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p>
            <w:r>
              <w:rPr>
                <w:rFonts w:ascii="Times New Roman" w:hAnsi="Times New Roman"/>
                <w:color w:val="000000"/>
                <w:sz w:val="18"/>
                <w:i/>
              </w:rPr>
              <w:t>Answer: The weighting adds no measurable value (+0.0026 at depth 5, -0.0033 at depth 3); WCE does not beat the baseline on either dataset.</w:t>
            </w:r>
          </w:p>
        </w:tc>
      </w:tr>
      <w:tr>
        <w:tc>
          <w:tcPr>
            <w:tcW w:type="dxa" w:w="2880"/>
          </w:tcPr>
          <w:p>
            <w:r/>
            <w:r>
              <w:rPr>
                <w:rFonts w:ascii="Times New Roman" w:hAnsi="Times New Roman"/>
                <w:color w:val="000000"/>
                <w:sz w:val="18"/>
              </w:rPr>
              <w:t>O2 Benchmark vs 7 comparators (both datasets)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 R4</w:t>
            </w:r>
          </w:p>
          <w:p>
            <w:r>
              <w:rPr>
                <w:rFonts w:ascii="Times New Roman" w:hAnsi="Times New Roman"/>
                <w:color w:val="000000"/>
                <w:sz w:val="18"/>
                <w:i/>
              </w:rPr>
              <w:t>Answer: WCE is outperformed by Naive Bayes and Logistic Regression on KNUST and by Logistic Regression and Random Forest on Alzubaidi.</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 (SHAP)</w:t>
            </w:r>
          </w:p>
          <w:p>
            <w:r>
              <w:rPr>
                <w:rFonts w:ascii="Times New Roman" w:hAnsi="Times New Roman"/>
                <w:color w:val="000000"/>
                <w:sz w:val="18"/>
                <w:i/>
              </w:rPr>
              <w:t>Answer: K_agg and A_agg rank first and second on KNUST; A_agg ranks first on Alzubaidi. This supports the KAB framework as a theoretical organiser, not as a weighting mechanism.</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behavioural meaning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Metric</w:t>
            </w:r>
          </w:p>
        </w:tc>
        <w:tc>
          <w:tcPr>
            <w:tcW w:type="dxa" w:w="2160"/>
          </w:tcPr>
          <w:p>
            <w:r/>
            <w:r>
              <w:rPr>
                <w:rFonts w:ascii="Times New Roman" w:hAnsi="Times New Roman"/>
                <w:b/>
                <w:color w:val="000000"/>
                <w:sz w:val="18"/>
              </w:rPr>
              <w:t>Behavioural meaning</w:t>
            </w:r>
          </w:p>
        </w:tc>
        <w:tc>
          <w:tcPr>
            <w:tcW w:type="dxa" w:w="2160"/>
          </w:tcPr>
          <w:p>
            <w:r/>
            <w:r>
              <w:rPr>
                <w:rFonts w:ascii="Times New Roman" w:hAnsi="Times New Roman"/>
                <w:b/>
                <w:color w:val="000000"/>
                <w:sz w:val="18"/>
              </w:rPr>
              <w:t>Stakeholder consequence</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Correctly separating Low from High readiness</w:t>
            </w:r>
          </w:p>
        </w:tc>
        <w:tc>
          <w:tcPr>
            <w:tcW w:type="dxa" w:w="2160"/>
          </w:tcPr>
          <w:p>
            <w:r/>
            <w:r>
              <w:rPr>
                <w:rFonts w:ascii="Times New Roman" w:hAnsi="Times New Roman"/>
                <w:color w:val="000000"/>
                <w:sz w:val="18"/>
              </w:rPr>
              <w:t>False positive (Low predicted High) = at-risk student missed, receives no intervention</w:t>
            </w:r>
          </w:p>
        </w:tc>
      </w:tr>
      <w:tr>
        <w:tc>
          <w:tcPr>
            <w:tcW w:type="dxa" w:w="2160"/>
          </w:tcPr>
          <w:p>
            <w:r/>
            <w:r>
              <w:rPr>
                <w:rFonts w:ascii="Times New Roman" w:hAnsi="Times New Roman"/>
                <w:color w:val="000000"/>
                <w:sz w:val="18"/>
              </w:rPr>
              <w:t>Class coverage</w:t>
            </w:r>
          </w:p>
        </w:tc>
        <w:tc>
          <w:tcPr>
            <w:tcW w:type="dxa" w:w="2160"/>
          </w:tcPr>
          <w:p>
            <w:r/>
            <w:r>
              <w:rPr>
                <w:rFonts w:ascii="Times New Roman" w:hAnsi="Times New Roman"/>
                <w:color w:val="000000"/>
                <w:sz w:val="18"/>
              </w:rPr>
              <w:t>Per-class recall</w:t>
            </w:r>
          </w:p>
        </w:tc>
        <w:tc>
          <w:tcPr>
            <w:tcW w:type="dxa" w:w="2160"/>
          </w:tcPr>
          <w:p>
            <w:r/>
            <w:r>
              <w:rPr>
                <w:rFonts w:ascii="Times New Roman" w:hAnsi="Times New Roman"/>
                <w:color w:val="000000"/>
                <w:sz w:val="18"/>
              </w:rPr>
              <w:t>Fraction of each class correctly identified</w:t>
            </w:r>
          </w:p>
        </w:tc>
        <w:tc>
          <w:tcPr>
            <w:tcW w:type="dxa" w:w="2160"/>
          </w:tcPr>
          <w:p>
            <w:r/>
            <w:r>
              <w:rPr>
                <w:rFonts w:ascii="Times New Roman" w:hAnsi="Times New Roman"/>
                <w:color w:val="000000"/>
                <w:sz w:val="18"/>
              </w:rPr>
              <w:t>Both classes weighted equally so neither group is systematically missed</w:t>
            </w:r>
          </w:p>
        </w:tc>
      </w:tr>
      <w:tr>
        <w:tc>
          <w:tcPr>
            <w:tcW w:type="dxa" w:w="2160"/>
          </w:tcPr>
          <w:p>
            <w:r/>
            <w:r>
              <w:rPr>
                <w:rFonts w:ascii="Times New Roman" w:hAnsi="Times New Roman"/>
                <w:color w:val="000000"/>
                <w:sz w:val="18"/>
              </w:rPr>
              <w:t>Mechanism value</w:t>
            </w:r>
          </w:p>
        </w:tc>
        <w:tc>
          <w:tcPr>
            <w:tcW w:type="dxa" w:w="2160"/>
          </w:tcPr>
          <w:p>
            <w:r/>
            <w:r>
              <w:rPr>
                <w:rFonts w:ascii="Times New Roman" w:hAnsi="Times New Roman"/>
                <w:color w:val="000000"/>
                <w:sz w:val="18"/>
              </w:rPr>
              <w:t>Ablation delta</w:t>
            </w:r>
          </w:p>
        </w:tc>
        <w:tc>
          <w:tcPr>
            <w:tcW w:type="dxa" w:w="2160"/>
          </w:tcPr>
          <w:p>
            <w:r/>
            <w:r>
              <w:rPr>
                <w:rFonts w:ascii="Times New Roman" w:hAnsi="Times New Roman"/>
                <w:color w:val="000000"/>
                <w:sz w:val="18"/>
              </w:rPr>
              <w:t>Gain attributable to the KAB weighting</w:t>
            </w:r>
          </w:p>
        </w:tc>
        <w:tc>
          <w:tcPr>
            <w:tcW w:type="dxa" w:w="2160"/>
          </w:tcPr>
          <w:p>
            <w:r/>
            <w:r>
              <w:rPr>
                <w:rFonts w:ascii="Times New Roman" w:hAnsi="Times New Roman"/>
                <w:color w:val="000000"/>
                <w:sz w:val="18"/>
              </w:rPr>
              <w:t>Near zero on near-balanced data, so the engineered weighting is not justified here</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both fold-level exports, summary_results.json and shap_importance.json are provided. The repository is to be made accessible to the verifier with the commit hash recorded here: ccc62ad069439628de77b98af63aa4c97c426899. Until the repository is accessible, full reproducibility cannot be independently confirmed; this is a stated limitation.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