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360" w:lineRule="auto"/>
        <w:jc w:val="center"/>
      </w:pPr>
      <w:r>
        <w:rPr>
          <w:rFonts w:ascii="Times New Roman" w:hAnsi="Times New Roman"/>
          <w:b/>
          <w:i w:val="0"/>
          <w:color w:val="000000"/>
          <w:sz w:val="22"/>
        </w:rPr>
        <w:t>CAN-DO RESEARCH LAB | KNUST DEPARTMENT OF COMPUTER SCIENCE</w:t>
      </w:r>
    </w:p>
    <w:p>
      <w:pPr>
        <w:spacing w:after="40" w:line="360" w:lineRule="auto"/>
        <w:jc w:val="center"/>
      </w:pPr>
      <w:r>
        <w:rPr>
          <w:rFonts w:ascii="Times New Roman" w:hAnsi="Times New Roman"/>
          <w:b/>
          <w:i w:val="0"/>
          <w:color w:val="000000"/>
          <w:sz w:val="20"/>
        </w:rPr>
        <w:t>PHASE 1 - STEP 1.2 - TESTBED SUBMISSION</w:t>
      </w:r>
    </w:p>
    <w:p>
      <w:pPr>
        <w:spacing w:after="200" w:line="360" w:lineRule="auto"/>
        <w:jc w:val="center"/>
      </w:pPr>
      <w:r>
        <w:rPr>
          <w:rFonts w:ascii="Times New Roman" w:hAnsi="Times New Roman"/>
          <w:b/>
          <w:i w:val="0"/>
          <w:color w:val="000000"/>
          <w:sz w:val="20"/>
        </w:rPr>
        <w:t>ML RESULTS AND ANALYSIS SECTION - R10 (TWO-DATASET PIPELINE REBUILD WITH VERIFY2 FIXES)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Field</w:t>
            </w:r>
          </w:p>
        </w:tc>
        <w:tc>
          <w:tcPr>
            <w:tcW w:type="dxa" w:w="2160"/>
          </w:tcPr>
          <w:p>
            <w:r/>
            <w:r>
              <w:rPr>
                <w:rFonts w:ascii="Times New Roman" w:hAnsi="Times New Roman"/>
                <w:b/>
                <w:color w:val="000000"/>
                <w:sz w:val="18"/>
              </w:rPr>
              <w:t>Value</w:t>
            </w:r>
          </w:p>
        </w:tc>
        <w:tc>
          <w:tcPr>
            <w:tcW w:type="dxa" w:w="2160"/>
          </w:tcPr>
          <w:p>
            <w:r/>
            <w:r>
              <w:rPr>
                <w:rFonts w:ascii="Times New Roman" w:hAnsi="Times New Roman"/>
                <w:b/>
                <w:color w:val="000000"/>
                <w:sz w:val="18"/>
              </w:rPr>
              <w:t>Field</w:t>
            </w:r>
          </w:p>
        </w:tc>
        <w:tc>
          <w:tcPr>
            <w:tcW w:type="dxa" w:w="2160"/>
          </w:tcPr>
          <w:p>
            <w:r/>
            <w:r>
              <w:rPr>
                <w:rFonts w:ascii="Times New Roman" w:hAnsi="Times New Roman"/>
                <w:b/>
                <w:color w:val="000000"/>
                <w:sz w:val="18"/>
              </w:rPr>
              <w:t>Value</w:t>
            </w:r>
          </w:p>
        </w:tc>
      </w:tr>
      <w:tr>
        <w:tc>
          <w:tcPr>
            <w:tcW w:type="dxa" w:w="2160"/>
          </w:tcPr>
          <w:p>
            <w:r/>
            <w:r>
              <w:rPr>
                <w:rFonts w:ascii="Times New Roman" w:hAnsi="Times New Roman"/>
                <w:color w:val="000000"/>
                <w:sz w:val="18"/>
              </w:rPr>
              <w:t>Student</w:t>
            </w:r>
          </w:p>
        </w:tc>
        <w:tc>
          <w:tcPr>
            <w:tcW w:type="dxa" w:w="2160"/>
          </w:tcPr>
          <w:p>
            <w:r/>
            <w:r>
              <w:rPr>
                <w:rFonts w:ascii="Times New Roman" w:hAnsi="Times New Roman"/>
                <w:color w:val="000000"/>
                <w:sz w:val="18"/>
              </w:rPr>
              <w:t>Prince Ofori</w:t>
            </w:r>
          </w:p>
        </w:tc>
        <w:tc>
          <w:tcPr>
            <w:tcW w:type="dxa" w:w="2160"/>
          </w:tcPr>
          <w:p>
            <w:r/>
            <w:r>
              <w:rPr>
                <w:rFonts w:ascii="Times New Roman" w:hAnsi="Times New Roman"/>
                <w:color w:val="000000"/>
                <w:sz w:val="18"/>
              </w:rPr>
              <w:t>Round</w:t>
            </w:r>
          </w:p>
        </w:tc>
        <w:tc>
          <w:tcPr>
            <w:tcW w:type="dxa" w:w="2160"/>
          </w:tcPr>
          <w:p>
            <w:r/>
            <w:r>
              <w:rPr>
                <w:rFonts w:ascii="Times New Roman" w:hAnsi="Times New Roman"/>
                <w:color w:val="000000"/>
                <w:sz w:val="18"/>
              </w:rPr>
              <w:t>R10</w:t>
            </w:r>
          </w:p>
        </w:tc>
      </w:tr>
      <w:tr>
        <w:tc>
          <w:tcPr>
            <w:tcW w:type="dxa" w:w="2160"/>
          </w:tcPr>
          <w:p>
            <w:r/>
            <w:r>
              <w:rPr>
                <w:rFonts w:ascii="Times New Roman" w:hAnsi="Times New Roman"/>
                <w:color w:val="000000"/>
                <w:sz w:val="18"/>
              </w:rPr>
              <w:t>Primary metric</w:t>
            </w:r>
          </w:p>
        </w:tc>
        <w:tc>
          <w:tcPr>
            <w:tcW w:type="dxa" w:w="2160"/>
          </w:tcPr>
          <w:p>
            <w:r/>
            <w:r>
              <w:rPr>
                <w:rFonts w:ascii="Times New Roman" w:hAnsi="Times New Roman"/>
                <w:color w:val="000000"/>
                <w:sz w:val="18"/>
              </w:rPr>
              <w:t>Macro F1</w:t>
            </w:r>
          </w:p>
        </w:tc>
        <w:tc>
          <w:tcPr>
            <w:tcW w:type="dxa" w:w="2160"/>
          </w:tcPr>
          <w:p>
            <w:r/>
            <w:r>
              <w:rPr>
                <w:rFonts w:ascii="Times New Roman" w:hAnsi="Times New Roman"/>
                <w:color w:val="000000"/>
                <w:sz w:val="18"/>
              </w:rPr>
              <w:t>Test</w:t>
            </w:r>
          </w:p>
        </w:tc>
        <w:tc>
          <w:tcPr>
            <w:tcW w:type="dxa" w:w="2160"/>
          </w:tcPr>
          <w:p>
            <w:r/>
            <w:r>
              <w:rPr>
                <w:rFonts w:ascii="Times New Roman" w:hAnsi="Times New Roman"/>
                <w:color w:val="000000"/>
                <w:sz w:val="18"/>
              </w:rPr>
              <w:t>Wilcoxon signed-rank</w:t>
            </w:r>
          </w:p>
        </w:tc>
      </w:tr>
      <w:tr>
        <w:tc>
          <w:tcPr>
            <w:tcW w:type="dxa" w:w="2160"/>
          </w:tcPr>
          <w:p>
            <w:r/>
            <w:r>
              <w:rPr>
                <w:rFonts w:ascii="Times New Roman" w:hAnsi="Times New Roman"/>
                <w:color w:val="000000"/>
                <w:sz w:val="18"/>
              </w:rPr>
              <w:t>Protocol</w:t>
            </w:r>
          </w:p>
        </w:tc>
        <w:tc>
          <w:tcPr>
            <w:tcW w:type="dxa" w:w="2160"/>
          </w:tcPr>
          <w:p>
            <w:r/>
            <w:r>
              <w:rPr>
                <w:rFonts w:ascii="Times New Roman" w:hAnsi="Times New Roman"/>
                <w:color w:val="000000"/>
                <w:sz w:val="18"/>
              </w:rPr>
              <w:t>5 x 10-fold nested CV</w:t>
            </w:r>
          </w:p>
        </w:tc>
        <w:tc>
          <w:tcPr>
            <w:tcW w:type="dxa" w:w="2160"/>
          </w:tcPr>
          <w:p>
            <w:r/>
            <w:r>
              <w:rPr>
                <w:rFonts w:ascii="Times New Roman" w:hAnsi="Times New Roman"/>
                <w:color w:val="000000"/>
                <w:sz w:val="18"/>
              </w:rPr>
              <w:t>Datasets</w:t>
            </w:r>
          </w:p>
        </w:tc>
        <w:tc>
          <w:tcPr>
            <w:tcW w:type="dxa" w:w="2160"/>
          </w:tcPr>
          <w:p>
            <w:r/>
            <w:r>
              <w:rPr>
                <w:rFonts w:ascii="Times New Roman" w:hAnsi="Times New Roman"/>
                <w:color w:val="000000"/>
                <w:sz w:val="18"/>
              </w:rPr>
              <w:t>KNUST + Alzubaidi</w:t>
            </w:r>
          </w:p>
        </w:tc>
      </w:tr>
      <w:tr>
        <w:tc>
          <w:tcPr>
            <w:tcW w:type="dxa" w:w="2160"/>
          </w:tcPr>
          <w:p>
            <w:r/>
            <w:r>
              <w:rPr>
                <w:rFonts w:ascii="Times New Roman" w:hAnsi="Times New Roman"/>
                <w:color w:val="000000"/>
                <w:sz w:val="18"/>
              </w:rPr>
              <w:t>KNUST exports</w:t>
            </w:r>
          </w:p>
        </w:tc>
        <w:tc>
          <w:tcPr>
            <w:tcW w:type="dxa" w:w="2160"/>
          </w:tcPr>
          <w:p>
            <w:r/>
            <w:r>
              <w:rPr>
                <w:rFonts w:ascii="Times New Roman" w:hAnsi="Times New Roman"/>
                <w:color w:val="000000"/>
                <w:sz w:val="18"/>
              </w:rPr>
              <w:t>fold_level_results_knust.csv</w:t>
            </w:r>
          </w:p>
        </w:tc>
        <w:tc>
          <w:tcPr>
            <w:tcW w:type="dxa" w:w="2160"/>
          </w:tcPr>
          <w:p>
            <w:r/>
            <w:r>
              <w:rPr>
                <w:rFonts w:ascii="Times New Roman" w:hAnsi="Times New Roman"/>
                <w:color w:val="000000"/>
                <w:sz w:val="18"/>
              </w:rPr>
              <w:t>Alzubaidi exports</w:t>
            </w:r>
          </w:p>
        </w:tc>
        <w:tc>
          <w:tcPr>
            <w:tcW w:type="dxa" w:w="2160"/>
          </w:tcPr>
          <w:p>
            <w:r/>
            <w:r>
              <w:rPr>
                <w:rFonts w:ascii="Times New Roman" w:hAnsi="Times New Roman"/>
                <w:color w:val="000000"/>
                <w:sz w:val="18"/>
              </w:rPr>
              <w:t>fold_level_results_alzubaidi.csv</w:t>
            </w:r>
          </w:p>
        </w:tc>
      </w:tr>
    </w:tbl>
    <w:p/>
    <w:p>
      <w:pPr>
        <w:spacing w:after="120" w:line="360" w:lineRule="auto"/>
        <w:jc w:val="left"/>
      </w:pPr>
      <w:r>
        <w:rPr>
          <w:rFonts w:ascii="Times New Roman" w:hAnsi="Times New Roman"/>
          <w:b/>
          <w:i w:val="0"/>
          <w:color w:val="000000"/>
          <w:sz w:val="26"/>
        </w:rPr>
        <w:t>R1. Evaluation Corpus and Partition Summary</w:t>
      </w:r>
    </w:p>
    <w:p>
      <w:pPr>
        <w:spacing w:after="160" w:line="360" w:lineRule="auto"/>
        <w:jc w:val="both"/>
      </w:pPr>
      <w:r>
        <w:rPr>
          <w:rFonts w:ascii="Times New Roman" w:hAnsi="Times New Roman"/>
          <w:b w:val="0"/>
          <w:i w:val="0"/>
          <w:color w:val="000000"/>
          <w:sz w:val="24"/>
        </w:rPr>
        <w:t>All numbers come from a single pipeline run; per-fold scores are in the two fold-level CSVs. KNUST: raw 4121 rows, 2033 exact duplicates removed (49.3%), 2088 unique retained; label median 18.0; Low 1015 (48.6%), High 1073 (51.4%); X.shape (2088, 17). Alzubaidi: 17 duplicates removed from raw 1231, leaving 1214 unique responses. Alzubaidi: 1214 responses (17 duplicates removed from raw 1231); Low 567 (46.7%), High 647 (53.3%); X.shape (1214, 28). Behaviour-score distribution around the KNUST median and threshold sensitivity are in Table 7 (R11).</w:t>
      </w:r>
    </w:p>
    <w:p>
      <w:pPr>
        <w:spacing w:after="120" w:line="360" w:lineRule="auto"/>
        <w:jc w:val="left"/>
      </w:pPr>
      <w:r>
        <w:rPr>
          <w:rFonts w:ascii="Times New Roman" w:hAnsi="Times New Roman"/>
          <w:b/>
          <w:i w:val="0"/>
          <w:color w:val="000000"/>
          <w:sz w:val="26"/>
        </w:rPr>
        <w:t>R2. Baseline versus Proposed Model Performance</w:t>
      </w:r>
    </w:p>
    <w:p>
      <w:pPr>
        <w:spacing w:after="160" w:line="360" w:lineRule="auto"/>
        <w:jc w:val="both"/>
      </w:pPr>
      <w:r>
        <w:rPr>
          <w:rFonts w:ascii="Times New Roman" w:hAnsi="Times New Roman"/>
          <w:b w:val="0"/>
          <w:i w:val="0"/>
          <w:color w:val="000000"/>
          <w:sz w:val="24"/>
        </w:rPr>
        <w:t>Table 3 reports macro F1 for all eight classifiers on both datasets over 50 folds. On KNUST, KAB-XGBoost-WCE scored 0.6507 (SD 0.0356) versus Baseline XGBoost 0.6511 (0.0367); the difference is -0.0004 and is not significant (Wilcoxon p = 0.521, r = 0.091). On Alzubaidi, KAB-XGBoost-WCE scored 0.6866 (SD 0.0423) versus Baseline 0.6847 (0.0424); the gain is +0.0019 and is not significant (Wilcoxon p = 0.914, r = 0.015). The weighting mechanism produces no measurable advantage on either dataset. KAB-XGBoost-WCE does not outperform baseline XGBoost on either leg; this null result is the primary finding of the study. Three comparators score above KAB-XGBoost-WCE on KNUST: Naive Bayes (0.6611), stock scale_pos_weight (0.6520), and Logistic Regression (0.6546). On Alzubaidi, Logistic Regression (0.6917) and Random Forest (0.6834) score above WCE. Wilcoxon tests for these pairs are reported in the supplementary fold data; the finding that WCE is not the best-performing model is consistent across both datasets.</w:t>
      </w:r>
    </w:p>
    <w:p>
      <w:pPr>
        <w:spacing w:after="80" w:line="360" w:lineRule="auto"/>
        <w:jc w:val="both"/>
      </w:pPr>
      <w:r>
        <w:rPr>
          <w:rFonts w:ascii="Times New Roman" w:hAnsi="Times New Roman"/>
          <w:b w:val="0"/>
          <w:i/>
          <w:color w:val="000000"/>
          <w:sz w:val="20"/>
        </w:rPr>
        <w:t>Table 3a. Macro F1 over 50 folds, KNUST. Delta vs KAB-XGBoost-WCE.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Model</w:t>
            </w:r>
          </w:p>
        </w:tc>
        <w:tc>
          <w:tcPr>
            <w:tcW w:type="dxa" w:w="2160"/>
          </w:tcPr>
          <w:p>
            <w:r/>
            <w:r>
              <w:rPr>
                <w:rFonts w:ascii="Times New Roman" w:hAnsi="Times New Roman"/>
                <w:b/>
                <w:color w:val="000000"/>
                <w:sz w:val="18"/>
              </w:rPr>
              <w:t>Macro F1</w:t>
            </w:r>
          </w:p>
        </w:tc>
        <w:tc>
          <w:tcPr>
            <w:tcW w:type="dxa" w:w="2160"/>
          </w:tcPr>
          <w:p>
            <w:r/>
            <w:r>
              <w:rPr>
                <w:rFonts w:ascii="Times New Roman" w:hAnsi="Times New Roman"/>
                <w:b/>
                <w:color w:val="000000"/>
                <w:sz w:val="18"/>
              </w:rPr>
              <w:t>SD</w:t>
            </w:r>
          </w:p>
        </w:tc>
        <w:tc>
          <w:tcPr>
            <w:tcW w:type="dxa" w:w="2160"/>
          </w:tcPr>
          <w:p>
            <w:r/>
            <w:r>
              <w:rPr>
                <w:rFonts w:ascii="Times New Roman" w:hAnsi="Times New Roman"/>
                <w:b/>
                <w:color w:val="000000"/>
                <w:sz w:val="18"/>
              </w:rPr>
              <w:t>Delta</w:t>
            </w:r>
          </w:p>
        </w:tc>
      </w:tr>
      <w:tr>
        <w:tc>
          <w:tcPr>
            <w:tcW w:type="dxa" w:w="2160"/>
          </w:tcPr>
          <w:p>
            <w:r/>
            <w:r>
              <w:rPr>
                <w:rFonts w:ascii="Times New Roman" w:hAnsi="Times New Roman"/>
                <w:color w:val="000000"/>
                <w:sz w:val="18"/>
              </w:rPr>
              <w:t>KAB-XGBoost-WCE</w:t>
            </w:r>
          </w:p>
        </w:tc>
        <w:tc>
          <w:tcPr>
            <w:tcW w:type="dxa" w:w="2160"/>
          </w:tcPr>
          <w:p>
            <w:r/>
            <w:r>
              <w:rPr>
                <w:rFonts w:ascii="Times New Roman" w:hAnsi="Times New Roman"/>
                <w:color w:val="000000"/>
                <w:sz w:val="18"/>
              </w:rPr>
              <w:t>0.6507</w:t>
            </w:r>
          </w:p>
        </w:tc>
        <w:tc>
          <w:tcPr>
            <w:tcW w:type="dxa" w:w="2160"/>
          </w:tcPr>
          <w:p>
            <w:r/>
            <w:r>
              <w:rPr>
                <w:rFonts w:ascii="Times New Roman" w:hAnsi="Times New Roman"/>
                <w:color w:val="000000"/>
                <w:sz w:val="18"/>
              </w:rPr>
              <w:t>0.0356</w:t>
            </w:r>
          </w:p>
        </w:tc>
        <w:tc>
          <w:tcPr>
            <w:tcW w:type="dxa" w:w="2160"/>
          </w:tcPr>
          <w:p>
            <w:r/>
            <w:r>
              <w:rPr>
                <w:rFonts w:ascii="Times New Roman" w:hAnsi="Times New Roman"/>
                <w:color w:val="000000"/>
                <w:sz w:val="18"/>
              </w:rPr>
              <w:t>-</w:t>
            </w:r>
          </w:p>
        </w:tc>
      </w:tr>
      <w:tr>
        <w:tc>
          <w:tcPr>
            <w:tcW w:type="dxa" w:w="2160"/>
          </w:tcPr>
          <w:p>
            <w:r/>
            <w:r>
              <w:rPr>
                <w:rFonts w:ascii="Times New Roman" w:hAnsi="Times New Roman"/>
                <w:color w:val="000000"/>
                <w:sz w:val="18"/>
              </w:rPr>
              <w:t>Baseline XGBoost</w:t>
            </w:r>
          </w:p>
        </w:tc>
        <w:tc>
          <w:tcPr>
            <w:tcW w:type="dxa" w:w="2160"/>
          </w:tcPr>
          <w:p>
            <w:r/>
            <w:r>
              <w:rPr>
                <w:rFonts w:ascii="Times New Roman" w:hAnsi="Times New Roman"/>
                <w:color w:val="000000"/>
                <w:sz w:val="18"/>
              </w:rPr>
              <w:t>0.6511</w:t>
            </w:r>
          </w:p>
        </w:tc>
        <w:tc>
          <w:tcPr>
            <w:tcW w:type="dxa" w:w="2160"/>
          </w:tcPr>
          <w:p>
            <w:r/>
            <w:r>
              <w:rPr>
                <w:rFonts w:ascii="Times New Roman" w:hAnsi="Times New Roman"/>
                <w:color w:val="000000"/>
                <w:sz w:val="18"/>
              </w:rPr>
              <w:t>0.0367</w:t>
            </w:r>
          </w:p>
        </w:tc>
        <w:tc>
          <w:tcPr>
            <w:tcW w:type="dxa" w:w="2160"/>
          </w:tcPr>
          <w:p>
            <w:r/>
            <w:r>
              <w:rPr>
                <w:rFonts w:ascii="Times New Roman" w:hAnsi="Times New Roman"/>
                <w:color w:val="000000"/>
                <w:sz w:val="18"/>
              </w:rPr>
              <w:t>+0.0004</w:t>
            </w:r>
          </w:p>
        </w:tc>
      </w:tr>
      <w:tr>
        <w:tc>
          <w:tcPr>
            <w:tcW w:type="dxa" w:w="2160"/>
          </w:tcPr>
          <w:p>
            <w:r/>
            <w:r>
              <w:rPr>
                <w:rFonts w:ascii="Times New Roman" w:hAnsi="Times New Roman"/>
                <w:color w:val="000000"/>
                <w:sz w:val="18"/>
              </w:rPr>
              <w:t>Stock scale_pos_weight</w:t>
            </w:r>
          </w:p>
        </w:tc>
        <w:tc>
          <w:tcPr>
            <w:tcW w:type="dxa" w:w="2160"/>
          </w:tcPr>
          <w:p>
            <w:r/>
            <w:r>
              <w:rPr>
                <w:rFonts w:ascii="Times New Roman" w:hAnsi="Times New Roman"/>
                <w:color w:val="000000"/>
                <w:sz w:val="18"/>
              </w:rPr>
              <w:t>0.6520</w:t>
            </w:r>
          </w:p>
        </w:tc>
        <w:tc>
          <w:tcPr>
            <w:tcW w:type="dxa" w:w="2160"/>
          </w:tcPr>
          <w:p>
            <w:r/>
            <w:r>
              <w:rPr>
                <w:rFonts w:ascii="Times New Roman" w:hAnsi="Times New Roman"/>
                <w:color w:val="000000"/>
                <w:sz w:val="18"/>
              </w:rPr>
              <w:t>0.0365</w:t>
            </w:r>
          </w:p>
        </w:tc>
        <w:tc>
          <w:tcPr>
            <w:tcW w:type="dxa" w:w="2160"/>
          </w:tcPr>
          <w:p>
            <w:r/>
            <w:r>
              <w:rPr>
                <w:rFonts w:ascii="Times New Roman" w:hAnsi="Times New Roman"/>
                <w:color w:val="000000"/>
                <w:sz w:val="18"/>
              </w:rPr>
              <w:t>-0.0074</w:t>
            </w:r>
          </w:p>
        </w:tc>
      </w:tr>
      <w:tr>
        <w:tc>
          <w:tcPr>
            <w:tcW w:type="dxa" w:w="2160"/>
          </w:tcPr>
          <w:p>
            <w:r/>
            <w:r>
              <w:rPr>
                <w:rFonts w:ascii="Times New Roman" w:hAnsi="Times New Roman"/>
                <w:color w:val="000000"/>
                <w:sz w:val="18"/>
              </w:rPr>
              <w:t>Decision Tree</w:t>
            </w:r>
          </w:p>
        </w:tc>
        <w:tc>
          <w:tcPr>
            <w:tcW w:type="dxa" w:w="2160"/>
          </w:tcPr>
          <w:p>
            <w:r/>
            <w:r>
              <w:rPr>
                <w:rFonts w:ascii="Times New Roman" w:hAnsi="Times New Roman"/>
                <w:color w:val="000000"/>
                <w:sz w:val="18"/>
              </w:rPr>
              <w:t>0.6198</w:t>
            </w:r>
          </w:p>
        </w:tc>
        <w:tc>
          <w:tcPr>
            <w:tcW w:type="dxa" w:w="2160"/>
          </w:tcPr>
          <w:p>
            <w:r/>
            <w:r>
              <w:rPr>
                <w:rFonts w:ascii="Times New Roman" w:hAnsi="Times New Roman"/>
                <w:color w:val="000000"/>
                <w:sz w:val="18"/>
              </w:rPr>
              <w:t>0.0388</w:t>
            </w:r>
          </w:p>
        </w:tc>
        <w:tc>
          <w:tcPr>
            <w:tcW w:type="dxa" w:w="2160"/>
          </w:tcPr>
          <w:p>
            <w:r/>
            <w:r>
              <w:rPr>
                <w:rFonts w:ascii="Times New Roman" w:hAnsi="Times New Roman"/>
                <w:color w:val="000000"/>
                <w:sz w:val="18"/>
              </w:rPr>
              <w:t>-0.0357</w:t>
            </w:r>
          </w:p>
        </w:tc>
      </w:tr>
      <w:tr>
        <w:tc>
          <w:tcPr>
            <w:tcW w:type="dxa" w:w="2160"/>
          </w:tcPr>
          <w:p>
            <w:r/>
            <w:r>
              <w:rPr>
                <w:rFonts w:ascii="Times New Roman" w:hAnsi="Times New Roman"/>
                <w:color w:val="000000"/>
                <w:sz w:val="18"/>
              </w:rPr>
              <w:t>Naive Bayes</w:t>
            </w:r>
          </w:p>
        </w:tc>
        <w:tc>
          <w:tcPr>
            <w:tcW w:type="dxa" w:w="2160"/>
          </w:tcPr>
          <w:p>
            <w:r/>
            <w:r>
              <w:rPr>
                <w:rFonts w:ascii="Times New Roman" w:hAnsi="Times New Roman"/>
                <w:color w:val="000000"/>
                <w:sz w:val="18"/>
              </w:rPr>
              <w:t>0.6611</w:t>
            </w:r>
          </w:p>
        </w:tc>
        <w:tc>
          <w:tcPr>
            <w:tcW w:type="dxa" w:w="2160"/>
          </w:tcPr>
          <w:p>
            <w:r/>
            <w:r>
              <w:rPr>
                <w:rFonts w:ascii="Times New Roman" w:hAnsi="Times New Roman"/>
                <w:color w:val="000000"/>
                <w:sz w:val="18"/>
              </w:rPr>
              <w:t>0.0320</w:t>
            </w:r>
          </w:p>
        </w:tc>
        <w:tc>
          <w:tcPr>
            <w:tcW w:type="dxa" w:w="2160"/>
          </w:tcPr>
          <w:p>
            <w:r/>
            <w:r>
              <w:rPr>
                <w:rFonts w:ascii="Times New Roman" w:hAnsi="Times New Roman"/>
                <w:color w:val="000000"/>
                <w:sz w:val="18"/>
              </w:rPr>
              <w:t>+0.0104</w:t>
            </w:r>
          </w:p>
        </w:tc>
      </w:tr>
      <w:tr>
        <w:tc>
          <w:tcPr>
            <w:tcW w:type="dxa" w:w="2160"/>
          </w:tcPr>
          <w:p>
            <w:r/>
            <w:r>
              <w:rPr>
                <w:rFonts w:ascii="Times New Roman" w:hAnsi="Times New Roman"/>
                <w:color w:val="000000"/>
                <w:sz w:val="18"/>
              </w:rPr>
              <w:t>Logistic Regression</w:t>
            </w:r>
          </w:p>
        </w:tc>
        <w:tc>
          <w:tcPr>
            <w:tcW w:type="dxa" w:w="2160"/>
          </w:tcPr>
          <w:p>
            <w:r/>
            <w:r>
              <w:rPr>
                <w:rFonts w:ascii="Times New Roman" w:hAnsi="Times New Roman"/>
                <w:color w:val="000000"/>
                <w:sz w:val="18"/>
              </w:rPr>
              <w:t>0.6546</w:t>
            </w:r>
          </w:p>
        </w:tc>
        <w:tc>
          <w:tcPr>
            <w:tcW w:type="dxa" w:w="2160"/>
          </w:tcPr>
          <w:p>
            <w:r/>
            <w:r>
              <w:rPr>
                <w:rFonts w:ascii="Times New Roman" w:hAnsi="Times New Roman"/>
                <w:color w:val="000000"/>
                <w:sz w:val="18"/>
              </w:rPr>
              <w:t>0.0309</w:t>
            </w:r>
          </w:p>
        </w:tc>
        <w:tc>
          <w:tcPr>
            <w:tcW w:type="dxa" w:w="2160"/>
          </w:tcPr>
          <w:p>
            <w:r/>
            <w:r>
              <w:rPr>
                <w:rFonts w:ascii="Times New Roman" w:hAnsi="Times New Roman"/>
                <w:color w:val="000000"/>
                <w:sz w:val="18"/>
              </w:rPr>
              <w:t>+0.0039</w:t>
            </w:r>
          </w:p>
        </w:tc>
      </w:tr>
      <w:tr>
        <w:tc>
          <w:tcPr>
            <w:tcW w:type="dxa" w:w="2160"/>
          </w:tcPr>
          <w:p>
            <w:r/>
            <w:r>
              <w:rPr>
                <w:rFonts w:ascii="Times New Roman" w:hAnsi="Times New Roman"/>
                <w:color w:val="000000"/>
                <w:sz w:val="18"/>
              </w:rPr>
              <w:t>SVM</w:t>
            </w:r>
          </w:p>
        </w:tc>
        <w:tc>
          <w:tcPr>
            <w:tcW w:type="dxa" w:w="2160"/>
          </w:tcPr>
          <w:p>
            <w:r/>
            <w:r>
              <w:rPr>
                <w:rFonts w:ascii="Times New Roman" w:hAnsi="Times New Roman"/>
                <w:color w:val="000000"/>
                <w:sz w:val="18"/>
              </w:rPr>
              <w:t>0.6541</w:t>
            </w:r>
          </w:p>
        </w:tc>
        <w:tc>
          <w:tcPr>
            <w:tcW w:type="dxa" w:w="2160"/>
          </w:tcPr>
          <w:p>
            <w:r/>
            <w:r>
              <w:rPr>
                <w:rFonts w:ascii="Times New Roman" w:hAnsi="Times New Roman"/>
                <w:color w:val="000000"/>
                <w:sz w:val="18"/>
              </w:rPr>
              <w:t>0.0362</w:t>
            </w:r>
          </w:p>
        </w:tc>
        <w:tc>
          <w:tcPr>
            <w:tcW w:type="dxa" w:w="2160"/>
          </w:tcPr>
          <w:p>
            <w:r/>
            <w:r>
              <w:rPr>
                <w:rFonts w:ascii="Times New Roman" w:hAnsi="Times New Roman"/>
                <w:color w:val="000000"/>
                <w:sz w:val="18"/>
              </w:rPr>
              <w:t>+0.0034</w:t>
            </w:r>
          </w:p>
        </w:tc>
      </w:tr>
      <w:tr>
        <w:tc>
          <w:tcPr>
            <w:tcW w:type="dxa" w:w="2160"/>
          </w:tcPr>
          <w:p>
            <w:r/>
            <w:r>
              <w:rPr>
                <w:rFonts w:ascii="Times New Roman" w:hAnsi="Times New Roman"/>
                <w:color w:val="000000"/>
                <w:sz w:val="18"/>
              </w:rPr>
              <w:t>Random Forest</w:t>
            </w:r>
          </w:p>
        </w:tc>
        <w:tc>
          <w:tcPr>
            <w:tcW w:type="dxa" w:w="2160"/>
          </w:tcPr>
          <w:p>
            <w:r/>
            <w:r>
              <w:rPr>
                <w:rFonts w:ascii="Times New Roman" w:hAnsi="Times New Roman"/>
                <w:color w:val="000000"/>
                <w:sz w:val="18"/>
              </w:rPr>
              <w:t>0.6433</w:t>
            </w:r>
          </w:p>
        </w:tc>
        <w:tc>
          <w:tcPr>
            <w:tcW w:type="dxa" w:w="2160"/>
          </w:tcPr>
          <w:p>
            <w:r/>
            <w:r>
              <w:rPr>
                <w:rFonts w:ascii="Times New Roman" w:hAnsi="Times New Roman"/>
                <w:color w:val="000000"/>
                <w:sz w:val="18"/>
              </w:rPr>
              <w:t>0.0330</w:t>
            </w:r>
          </w:p>
        </w:tc>
        <w:tc>
          <w:tcPr>
            <w:tcW w:type="dxa" w:w="2160"/>
          </w:tcPr>
          <w:p>
            <w:r/>
            <w:r>
              <w:rPr>
                <w:rFonts w:ascii="Times New Roman" w:hAnsi="Times New Roman"/>
                <w:color w:val="000000"/>
                <w:sz w:val="18"/>
              </w:rPr>
              <w:t>+0.0013</w:t>
            </w:r>
          </w:p>
        </w:tc>
      </w:tr>
    </w:tbl>
    <w:p/>
    <w:p>
      <w:pPr>
        <w:spacing w:after="80" w:line="360" w:lineRule="auto"/>
        <w:jc w:val="both"/>
      </w:pPr>
      <w:r>
        <w:rPr>
          <w:rFonts w:ascii="Times New Roman" w:hAnsi="Times New Roman"/>
          <w:b w:val="0"/>
          <w:i/>
          <w:color w:val="000000"/>
          <w:sz w:val="20"/>
        </w:rPr>
        <w:t>Table 3b. Macro F1 over 50 folds, Alzubaidi. Delta vs KAB-XGBoost-WCE.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Model</w:t>
            </w:r>
          </w:p>
        </w:tc>
        <w:tc>
          <w:tcPr>
            <w:tcW w:type="dxa" w:w="2160"/>
          </w:tcPr>
          <w:p>
            <w:r/>
            <w:r>
              <w:rPr>
                <w:rFonts w:ascii="Times New Roman" w:hAnsi="Times New Roman"/>
                <w:b/>
                <w:color w:val="000000"/>
                <w:sz w:val="18"/>
              </w:rPr>
              <w:t>Macro F1</w:t>
            </w:r>
          </w:p>
        </w:tc>
        <w:tc>
          <w:tcPr>
            <w:tcW w:type="dxa" w:w="2160"/>
          </w:tcPr>
          <w:p>
            <w:r/>
            <w:r>
              <w:rPr>
                <w:rFonts w:ascii="Times New Roman" w:hAnsi="Times New Roman"/>
                <w:b/>
                <w:color w:val="000000"/>
                <w:sz w:val="18"/>
              </w:rPr>
              <w:t>SD</w:t>
            </w:r>
          </w:p>
        </w:tc>
        <w:tc>
          <w:tcPr>
            <w:tcW w:type="dxa" w:w="2160"/>
          </w:tcPr>
          <w:p>
            <w:r/>
            <w:r>
              <w:rPr>
                <w:rFonts w:ascii="Times New Roman" w:hAnsi="Times New Roman"/>
                <w:b/>
                <w:color w:val="000000"/>
                <w:sz w:val="18"/>
              </w:rPr>
              <w:t>Delta</w:t>
            </w:r>
          </w:p>
        </w:tc>
      </w:tr>
      <w:tr>
        <w:tc>
          <w:tcPr>
            <w:tcW w:type="dxa" w:w="2160"/>
          </w:tcPr>
          <w:p>
            <w:r/>
            <w:r>
              <w:rPr>
                <w:rFonts w:ascii="Times New Roman" w:hAnsi="Times New Roman"/>
                <w:color w:val="000000"/>
                <w:sz w:val="18"/>
              </w:rPr>
              <w:t>KAB-XGBoost-WCE</w:t>
            </w:r>
          </w:p>
        </w:tc>
        <w:tc>
          <w:tcPr>
            <w:tcW w:type="dxa" w:w="2160"/>
          </w:tcPr>
          <w:p>
            <w:r/>
            <w:r>
              <w:rPr>
                <w:rFonts w:ascii="Times New Roman" w:hAnsi="Times New Roman"/>
                <w:color w:val="000000"/>
                <w:sz w:val="18"/>
              </w:rPr>
              <w:t>0.6866</w:t>
            </w:r>
          </w:p>
        </w:tc>
        <w:tc>
          <w:tcPr>
            <w:tcW w:type="dxa" w:w="2160"/>
          </w:tcPr>
          <w:p>
            <w:r/>
            <w:r>
              <w:rPr>
                <w:rFonts w:ascii="Times New Roman" w:hAnsi="Times New Roman"/>
                <w:color w:val="000000"/>
                <w:sz w:val="18"/>
              </w:rPr>
              <w:t>0.0423</w:t>
            </w:r>
          </w:p>
        </w:tc>
        <w:tc>
          <w:tcPr>
            <w:tcW w:type="dxa" w:w="2160"/>
          </w:tcPr>
          <w:p>
            <w:r/>
            <w:r>
              <w:rPr>
                <w:rFonts w:ascii="Times New Roman" w:hAnsi="Times New Roman"/>
                <w:color w:val="000000"/>
                <w:sz w:val="18"/>
              </w:rPr>
              <w:t>-</w:t>
            </w:r>
          </w:p>
        </w:tc>
      </w:tr>
      <w:tr>
        <w:tc>
          <w:tcPr>
            <w:tcW w:type="dxa" w:w="2160"/>
          </w:tcPr>
          <w:p>
            <w:r/>
            <w:r>
              <w:rPr>
                <w:rFonts w:ascii="Times New Roman" w:hAnsi="Times New Roman"/>
                <w:color w:val="000000"/>
                <w:sz w:val="18"/>
              </w:rPr>
              <w:t>Baseline XGBoost</w:t>
            </w:r>
          </w:p>
        </w:tc>
        <w:tc>
          <w:tcPr>
            <w:tcW w:type="dxa" w:w="2160"/>
          </w:tcPr>
          <w:p>
            <w:r/>
            <w:r>
              <w:rPr>
                <w:rFonts w:ascii="Times New Roman" w:hAnsi="Times New Roman"/>
                <w:color w:val="000000"/>
                <w:sz w:val="18"/>
              </w:rPr>
              <w:t>0.6847</w:t>
            </w:r>
          </w:p>
        </w:tc>
        <w:tc>
          <w:tcPr>
            <w:tcW w:type="dxa" w:w="2160"/>
          </w:tcPr>
          <w:p>
            <w:r/>
            <w:r>
              <w:rPr>
                <w:rFonts w:ascii="Times New Roman" w:hAnsi="Times New Roman"/>
                <w:color w:val="000000"/>
                <w:sz w:val="18"/>
              </w:rPr>
              <w:t>0.0424</w:t>
            </w:r>
          </w:p>
        </w:tc>
        <w:tc>
          <w:tcPr>
            <w:tcW w:type="dxa" w:w="2160"/>
          </w:tcPr>
          <w:p>
            <w:r/>
            <w:r>
              <w:rPr>
                <w:rFonts w:ascii="Times New Roman" w:hAnsi="Times New Roman"/>
                <w:color w:val="000000"/>
                <w:sz w:val="18"/>
              </w:rPr>
              <w:t>-0.0019</w:t>
            </w:r>
          </w:p>
        </w:tc>
      </w:tr>
      <w:tr>
        <w:tc>
          <w:tcPr>
            <w:tcW w:type="dxa" w:w="2160"/>
          </w:tcPr>
          <w:p>
            <w:r/>
            <w:r>
              <w:rPr>
                <w:rFonts w:ascii="Times New Roman" w:hAnsi="Times New Roman"/>
                <w:color w:val="000000"/>
                <w:sz w:val="18"/>
              </w:rPr>
              <w:t>Stock scale_pos_weight</w:t>
            </w:r>
          </w:p>
        </w:tc>
        <w:tc>
          <w:tcPr>
            <w:tcW w:type="dxa" w:w="2160"/>
          </w:tcPr>
          <w:p>
            <w:r/>
            <w:r>
              <w:rPr>
                <w:rFonts w:ascii="Times New Roman" w:hAnsi="Times New Roman"/>
                <w:color w:val="000000"/>
                <w:sz w:val="18"/>
              </w:rPr>
              <w:t>0.6849</w:t>
            </w:r>
          </w:p>
        </w:tc>
        <w:tc>
          <w:tcPr>
            <w:tcW w:type="dxa" w:w="2160"/>
          </w:tcPr>
          <w:p>
            <w:r/>
            <w:r>
              <w:rPr>
                <w:rFonts w:ascii="Times New Roman" w:hAnsi="Times New Roman"/>
                <w:color w:val="000000"/>
                <w:sz w:val="18"/>
              </w:rPr>
              <w:t>0.0402</w:t>
            </w:r>
          </w:p>
        </w:tc>
        <w:tc>
          <w:tcPr>
            <w:tcW w:type="dxa" w:w="2160"/>
          </w:tcPr>
          <w:p>
            <w:r/>
            <w:r>
              <w:rPr>
                <w:rFonts w:ascii="Times New Roman" w:hAnsi="Times New Roman"/>
                <w:color w:val="000000"/>
                <w:sz w:val="18"/>
              </w:rPr>
              <w:t>-0.0017</w:t>
            </w:r>
          </w:p>
        </w:tc>
      </w:tr>
      <w:tr>
        <w:tc>
          <w:tcPr>
            <w:tcW w:type="dxa" w:w="2160"/>
          </w:tcPr>
          <w:p>
            <w:r/>
            <w:r>
              <w:rPr>
                <w:rFonts w:ascii="Times New Roman" w:hAnsi="Times New Roman"/>
                <w:color w:val="000000"/>
                <w:sz w:val="18"/>
              </w:rPr>
              <w:t>Decision Tree</w:t>
            </w:r>
          </w:p>
        </w:tc>
        <w:tc>
          <w:tcPr>
            <w:tcW w:type="dxa" w:w="2160"/>
          </w:tcPr>
          <w:p>
            <w:r/>
            <w:r>
              <w:rPr>
                <w:rFonts w:ascii="Times New Roman" w:hAnsi="Times New Roman"/>
                <w:color w:val="000000"/>
                <w:sz w:val="18"/>
              </w:rPr>
              <w:t>0.6566</w:t>
            </w:r>
          </w:p>
        </w:tc>
        <w:tc>
          <w:tcPr>
            <w:tcW w:type="dxa" w:w="2160"/>
          </w:tcPr>
          <w:p>
            <w:r/>
            <w:r>
              <w:rPr>
                <w:rFonts w:ascii="Times New Roman" w:hAnsi="Times New Roman"/>
                <w:color w:val="000000"/>
                <w:sz w:val="18"/>
              </w:rPr>
              <w:t>0.0465</w:t>
            </w:r>
          </w:p>
        </w:tc>
        <w:tc>
          <w:tcPr>
            <w:tcW w:type="dxa" w:w="2160"/>
          </w:tcPr>
          <w:p>
            <w:r/>
            <w:r>
              <w:rPr>
                <w:rFonts w:ascii="Times New Roman" w:hAnsi="Times New Roman"/>
                <w:color w:val="000000"/>
                <w:sz w:val="18"/>
              </w:rPr>
              <w:t>-0.0300</w:t>
            </w:r>
          </w:p>
        </w:tc>
      </w:tr>
      <w:tr>
        <w:tc>
          <w:tcPr>
            <w:tcW w:type="dxa" w:w="2160"/>
          </w:tcPr>
          <w:p>
            <w:r/>
            <w:r>
              <w:rPr>
                <w:rFonts w:ascii="Times New Roman" w:hAnsi="Times New Roman"/>
                <w:color w:val="000000"/>
                <w:sz w:val="18"/>
              </w:rPr>
              <w:t>Naive Bayes</w:t>
            </w:r>
          </w:p>
        </w:tc>
        <w:tc>
          <w:tcPr>
            <w:tcW w:type="dxa" w:w="2160"/>
          </w:tcPr>
          <w:p>
            <w:r/>
            <w:r>
              <w:rPr>
                <w:rFonts w:ascii="Times New Roman" w:hAnsi="Times New Roman"/>
                <w:color w:val="000000"/>
                <w:sz w:val="18"/>
              </w:rPr>
              <w:t>0.6552</w:t>
            </w:r>
          </w:p>
        </w:tc>
        <w:tc>
          <w:tcPr>
            <w:tcW w:type="dxa" w:w="2160"/>
          </w:tcPr>
          <w:p>
            <w:r/>
            <w:r>
              <w:rPr>
                <w:rFonts w:ascii="Times New Roman" w:hAnsi="Times New Roman"/>
                <w:color w:val="000000"/>
                <w:sz w:val="18"/>
              </w:rPr>
              <w:t>0.0500</w:t>
            </w:r>
          </w:p>
        </w:tc>
        <w:tc>
          <w:tcPr>
            <w:tcW w:type="dxa" w:w="2160"/>
          </w:tcPr>
          <w:p>
            <w:r/>
            <w:r>
              <w:rPr>
                <w:rFonts w:ascii="Times New Roman" w:hAnsi="Times New Roman"/>
                <w:color w:val="000000"/>
                <w:sz w:val="18"/>
              </w:rPr>
              <w:t>-0.0314</w:t>
            </w:r>
          </w:p>
        </w:tc>
      </w:tr>
      <w:tr>
        <w:tc>
          <w:tcPr>
            <w:tcW w:type="dxa" w:w="2160"/>
          </w:tcPr>
          <w:p>
            <w:r/>
            <w:r>
              <w:rPr>
                <w:rFonts w:ascii="Times New Roman" w:hAnsi="Times New Roman"/>
                <w:color w:val="000000"/>
                <w:sz w:val="18"/>
              </w:rPr>
              <w:t>Logistic Regression</w:t>
            </w:r>
          </w:p>
        </w:tc>
        <w:tc>
          <w:tcPr>
            <w:tcW w:type="dxa" w:w="2160"/>
          </w:tcPr>
          <w:p>
            <w:r/>
            <w:r>
              <w:rPr>
                <w:rFonts w:ascii="Times New Roman" w:hAnsi="Times New Roman"/>
                <w:color w:val="000000"/>
                <w:sz w:val="18"/>
              </w:rPr>
              <w:t>0.6917</w:t>
            </w:r>
          </w:p>
        </w:tc>
        <w:tc>
          <w:tcPr>
            <w:tcW w:type="dxa" w:w="2160"/>
          </w:tcPr>
          <w:p>
            <w:r/>
            <w:r>
              <w:rPr>
                <w:rFonts w:ascii="Times New Roman" w:hAnsi="Times New Roman"/>
                <w:color w:val="000000"/>
                <w:sz w:val="18"/>
              </w:rPr>
              <w:t>0.0403</w:t>
            </w:r>
          </w:p>
        </w:tc>
        <w:tc>
          <w:tcPr>
            <w:tcW w:type="dxa" w:w="2160"/>
          </w:tcPr>
          <w:p>
            <w:r/>
            <w:r>
              <w:rPr>
                <w:rFonts w:ascii="Times New Roman" w:hAnsi="Times New Roman"/>
                <w:color w:val="000000"/>
                <w:sz w:val="18"/>
              </w:rPr>
              <w:t>+0.0051</w:t>
            </w:r>
          </w:p>
        </w:tc>
      </w:tr>
      <w:tr>
        <w:tc>
          <w:tcPr>
            <w:tcW w:type="dxa" w:w="2160"/>
          </w:tcPr>
          <w:p>
            <w:r/>
            <w:r>
              <w:rPr>
                <w:rFonts w:ascii="Times New Roman" w:hAnsi="Times New Roman"/>
                <w:color w:val="000000"/>
                <w:sz w:val="18"/>
              </w:rPr>
              <w:t>SVM</w:t>
            </w:r>
          </w:p>
        </w:tc>
        <w:tc>
          <w:tcPr>
            <w:tcW w:type="dxa" w:w="2160"/>
          </w:tcPr>
          <w:p>
            <w:r/>
            <w:r>
              <w:rPr>
                <w:rFonts w:ascii="Times New Roman" w:hAnsi="Times New Roman"/>
                <w:color w:val="000000"/>
                <w:sz w:val="18"/>
              </w:rPr>
              <w:t>0.6737</w:t>
            </w:r>
          </w:p>
        </w:tc>
        <w:tc>
          <w:tcPr>
            <w:tcW w:type="dxa" w:w="2160"/>
          </w:tcPr>
          <w:p>
            <w:r/>
            <w:r>
              <w:rPr>
                <w:rFonts w:ascii="Times New Roman" w:hAnsi="Times New Roman"/>
                <w:color w:val="000000"/>
                <w:sz w:val="18"/>
              </w:rPr>
              <w:t>0.0423</w:t>
            </w:r>
          </w:p>
        </w:tc>
        <w:tc>
          <w:tcPr>
            <w:tcW w:type="dxa" w:w="2160"/>
          </w:tcPr>
          <w:p>
            <w:r/>
            <w:r>
              <w:rPr>
                <w:rFonts w:ascii="Times New Roman" w:hAnsi="Times New Roman"/>
                <w:color w:val="000000"/>
                <w:sz w:val="18"/>
              </w:rPr>
              <w:t>-0.0129</w:t>
            </w:r>
          </w:p>
        </w:tc>
      </w:tr>
      <w:tr>
        <w:tc>
          <w:tcPr>
            <w:tcW w:type="dxa" w:w="2160"/>
          </w:tcPr>
          <w:p>
            <w:r/>
            <w:r>
              <w:rPr>
                <w:rFonts w:ascii="Times New Roman" w:hAnsi="Times New Roman"/>
                <w:color w:val="000000"/>
                <w:sz w:val="18"/>
              </w:rPr>
              <w:t>Random Forest</w:t>
            </w:r>
          </w:p>
        </w:tc>
        <w:tc>
          <w:tcPr>
            <w:tcW w:type="dxa" w:w="2160"/>
          </w:tcPr>
          <w:p>
            <w:r/>
            <w:r>
              <w:rPr>
                <w:rFonts w:ascii="Times New Roman" w:hAnsi="Times New Roman"/>
                <w:color w:val="000000"/>
                <w:sz w:val="18"/>
              </w:rPr>
              <w:t>0.6834</w:t>
            </w:r>
          </w:p>
        </w:tc>
        <w:tc>
          <w:tcPr>
            <w:tcW w:type="dxa" w:w="2160"/>
          </w:tcPr>
          <w:p>
            <w:r/>
            <w:r>
              <w:rPr>
                <w:rFonts w:ascii="Times New Roman" w:hAnsi="Times New Roman"/>
                <w:color w:val="000000"/>
                <w:sz w:val="18"/>
              </w:rPr>
              <w:t>0.0366</w:t>
            </w:r>
          </w:p>
        </w:tc>
        <w:tc>
          <w:tcPr>
            <w:tcW w:type="dxa" w:w="2160"/>
          </w:tcPr>
          <w:p>
            <w:r/>
            <w:r>
              <w:rPr>
                <w:rFonts w:ascii="Times New Roman" w:hAnsi="Times New Roman"/>
                <w:color w:val="000000"/>
                <w:sz w:val="18"/>
              </w:rPr>
              <w:t>-0.0032</w:t>
            </w:r>
          </w:p>
        </w:tc>
      </w:tr>
    </w:tbl>
    <w:p/>
    <w:p>
      <w:pPr>
        <w:spacing w:after="120" w:line="360" w:lineRule="auto"/>
        <w:jc w:val="left"/>
      </w:pPr>
      <w:r>
        <w:rPr>
          <w:rFonts w:ascii="Times New Roman" w:hAnsi="Times New Roman"/>
          <w:b/>
          <w:i w:val="0"/>
          <w:color w:val="000000"/>
          <w:sz w:val="26"/>
        </w:rPr>
        <w:t>R3. Statistical Comparison (KNUST)</w:t>
      </w:r>
    </w:p>
    <w:p>
      <w:pPr>
        <w:spacing w:after="160" w:line="360" w:lineRule="auto"/>
        <w:jc w:val="both"/>
      </w:pPr>
      <w:r>
        <w:rPr>
          <w:rFonts w:ascii="Times New Roman" w:hAnsi="Times New Roman"/>
          <w:b w:val="0"/>
          <w:i w:val="0"/>
          <w:color w:val="000000"/>
          <w:sz w:val="24"/>
        </w:rPr>
        <w:t>KAB-XGBoost-WCE versus Baseline XGBoost over 50 paired folds: W+ = 570, W- = 705, n = 50, ties = 0, p = 0.521, effect r = 0.091, delta = -0.0004. The difference is not significant. The point estimate slightly favours the baseline. The 50-row CSV allows independent recomputation. The null result is consistent across all five random seeds tested (seeds 0, 7, 13, 21, 42; all Wilcoxon p &gt; 0.05).</w:t>
      </w:r>
    </w:p>
    <w:p>
      <w:pPr>
        <w:spacing w:after="120" w:line="360" w:lineRule="auto"/>
        <w:jc w:val="left"/>
      </w:pPr>
      <w:r>
        <w:rPr>
          <w:rFonts w:ascii="Times New Roman" w:hAnsi="Times New Roman"/>
          <w:b/>
          <w:i w:val="0"/>
          <w:color w:val="000000"/>
          <w:sz w:val="26"/>
        </w:rPr>
        <w:t>R4. Statistical Comparison (Alzubaidi) and Cross-Dataset Reading</w:t>
      </w:r>
    </w:p>
    <w:p>
      <w:pPr>
        <w:spacing w:after="160" w:line="360" w:lineRule="auto"/>
        <w:jc w:val="both"/>
      </w:pPr>
      <w:r>
        <w:rPr>
          <w:rFonts w:ascii="Times New Roman" w:hAnsi="Times New Roman"/>
          <w:b w:val="0"/>
          <w:i w:val="0"/>
          <w:color w:val="000000"/>
          <w:sz w:val="24"/>
        </w:rPr>
        <w:t>On the Alzubaidi external stress-test, KAB-XGBoost-WCE versus Baseline XGBoost: W+ = 624, W- = 601, ties = 1, n = 49, p = 0.914, effect r = 0.015, delta = +0.0019. The difference is not significant. The R09 finding (p = 0.0098, WCE significantly worse) is not reproduced in R10: the earlier result was caused by an incorrect tie rule in the Alzubaidi label construction, now corrected (N4 fix). Across both legs the weighting is neutral. No cross-dataset performance transfer is claimed; the Alzubaidi construct mapping is imposed (M18), so the leg is read only as a stress-test.</w:t>
      </w:r>
    </w:p>
    <w:p>
      <w:pPr>
        <w:spacing w:after="120" w:line="360" w:lineRule="auto"/>
        <w:jc w:val="left"/>
      </w:pPr>
      <w:r>
        <w:rPr>
          <w:rFonts w:ascii="Times New Roman" w:hAnsi="Times New Roman"/>
          <w:b/>
          <w:i w:val="0"/>
          <w:color w:val="000000"/>
          <w:sz w:val="26"/>
        </w:rPr>
        <w:t>R5. Contribution Isolation - Four-Arm Ablation (KNUST)</w:t>
      </w:r>
    </w:p>
    <w:p>
      <w:pPr>
        <w:spacing w:after="160" w:line="360" w:lineRule="auto"/>
        <w:jc w:val="both"/>
      </w:pPr>
      <w:r>
        <w:rPr>
          <w:rFonts w:ascii="Times New Roman" w:hAnsi="Times New Roman"/>
          <w:b w:val="0"/>
          <w:i w:val="0"/>
          <w:color w:val="000000"/>
          <w:sz w:val="24"/>
        </w:rPr>
        <w:t>All four arms use the same 5 x 10-fold splits as Table 3a, but with fixed depth (5 or 3) and fixed lambda (1.5 in Arms C and D). The Table 3a WCE row uses depth and lambda tuned within each fold, which is why Arm D (0.6459) and the Table 3a WCE row (0.6507) differ slightly. Arm A (vanilla, depth 5): 0.6300 (SD 0.0356). Arm B (depth 3, no weights): 0.6492 (SD 0.0353). Arm C (depth 5, WCE): 0.6326 (SD 0.0320). Arm D (depth 3, WCE): 0.6459 (SD 0.0358). Depth contribution (B - A) = +0.0191, Wilcoxon p &lt; 0.001. Weight contribution at depth 5 (C - A) = +0.0026, p = 0.149. Weight contribution at depth 3 (D - B) = -0.0033, p = 0.137. Depth regularisation is the only statistically significant contributor. The KAB weighting adds no value beyond what depth tuning provides.</w:t>
      </w:r>
    </w:p>
    <w:p>
      <w:pPr>
        <w:spacing w:after="80" w:line="360" w:lineRule="auto"/>
        <w:jc w:val="both"/>
      </w:pPr>
      <w:r>
        <w:rPr>
          <w:rFonts w:ascii="Times New Roman" w:hAnsi="Times New Roman"/>
          <w:b w:val="0"/>
          <w:i/>
          <w:color w:val="000000"/>
          <w:sz w:val="20"/>
        </w:rPr>
        <w:t>Table 4. Four-arm ablation, KNUST.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Arm</w:t>
            </w:r>
          </w:p>
        </w:tc>
        <w:tc>
          <w:tcPr>
            <w:tcW w:type="dxa" w:w="2160"/>
          </w:tcPr>
          <w:p>
            <w:r/>
            <w:r>
              <w:rPr>
                <w:rFonts w:ascii="Times New Roman" w:hAnsi="Times New Roman"/>
                <w:b/>
                <w:color w:val="000000"/>
                <w:sz w:val="18"/>
              </w:rPr>
              <w:t>Configuration</w:t>
            </w:r>
          </w:p>
        </w:tc>
        <w:tc>
          <w:tcPr>
            <w:tcW w:type="dxa" w:w="2160"/>
          </w:tcPr>
          <w:p>
            <w:r/>
            <w:r>
              <w:rPr>
                <w:rFonts w:ascii="Times New Roman" w:hAnsi="Times New Roman"/>
                <w:b/>
                <w:color w:val="000000"/>
                <w:sz w:val="18"/>
              </w:rPr>
              <w:t>Macro F1</w:t>
            </w:r>
          </w:p>
        </w:tc>
        <w:tc>
          <w:tcPr>
            <w:tcW w:type="dxa" w:w="2160"/>
          </w:tcPr>
          <w:p>
            <w:r/>
            <w:r>
              <w:rPr>
                <w:rFonts w:ascii="Times New Roman" w:hAnsi="Times New Roman"/>
                <w:b/>
                <w:color w:val="000000"/>
                <w:sz w:val="18"/>
              </w:rPr>
              <w:t>Delta vs A</w:t>
            </w:r>
          </w:p>
        </w:tc>
      </w:tr>
      <w:tr>
        <w:tc>
          <w:tcPr>
            <w:tcW w:type="dxa" w:w="2160"/>
          </w:tcPr>
          <w:p>
            <w:r/>
            <w:r>
              <w:rPr>
                <w:rFonts w:ascii="Times New Roman" w:hAnsi="Times New Roman"/>
                <w:color w:val="000000"/>
                <w:sz w:val="18"/>
              </w:rPr>
              <w:t>A</w:t>
            </w:r>
          </w:p>
        </w:tc>
        <w:tc>
          <w:tcPr>
            <w:tcW w:type="dxa" w:w="2160"/>
          </w:tcPr>
          <w:p>
            <w:r/>
            <w:r>
              <w:rPr>
                <w:rFonts w:ascii="Times New Roman" w:hAnsi="Times New Roman"/>
                <w:color w:val="000000"/>
                <w:sz w:val="18"/>
              </w:rPr>
              <w:t>Vanilla, depth 5</w:t>
            </w:r>
          </w:p>
        </w:tc>
        <w:tc>
          <w:tcPr>
            <w:tcW w:type="dxa" w:w="2160"/>
          </w:tcPr>
          <w:p>
            <w:r/>
            <w:r>
              <w:rPr>
                <w:rFonts w:ascii="Times New Roman" w:hAnsi="Times New Roman"/>
                <w:color w:val="000000"/>
                <w:sz w:val="18"/>
              </w:rPr>
              <w:t>0.6300</w:t>
            </w:r>
          </w:p>
        </w:tc>
        <w:tc>
          <w:tcPr>
            <w:tcW w:type="dxa" w:w="2160"/>
          </w:tcPr>
          <w:p>
            <w:r/>
            <w:r>
              <w:rPr>
                <w:rFonts w:ascii="Times New Roman" w:hAnsi="Times New Roman"/>
                <w:color w:val="000000"/>
                <w:sz w:val="18"/>
              </w:rPr>
              <w:t>-</w:t>
            </w:r>
          </w:p>
        </w:tc>
      </w:tr>
      <w:tr>
        <w:tc>
          <w:tcPr>
            <w:tcW w:type="dxa" w:w="2160"/>
          </w:tcPr>
          <w:p>
            <w:r/>
            <w:r>
              <w:rPr>
                <w:rFonts w:ascii="Times New Roman" w:hAnsi="Times New Roman"/>
                <w:color w:val="000000"/>
                <w:sz w:val="18"/>
              </w:rPr>
              <w:t>B</w:t>
            </w:r>
          </w:p>
        </w:tc>
        <w:tc>
          <w:tcPr>
            <w:tcW w:type="dxa" w:w="2160"/>
          </w:tcPr>
          <w:p>
            <w:r/>
            <w:r>
              <w:rPr>
                <w:rFonts w:ascii="Times New Roman" w:hAnsi="Times New Roman"/>
                <w:color w:val="000000"/>
                <w:sz w:val="18"/>
              </w:rPr>
              <w:t>Depth 3</w:t>
            </w:r>
          </w:p>
        </w:tc>
        <w:tc>
          <w:tcPr>
            <w:tcW w:type="dxa" w:w="2160"/>
          </w:tcPr>
          <w:p>
            <w:r/>
            <w:r>
              <w:rPr>
                <w:rFonts w:ascii="Times New Roman" w:hAnsi="Times New Roman"/>
                <w:color w:val="000000"/>
                <w:sz w:val="18"/>
              </w:rPr>
              <w:t>0.6492</w:t>
            </w:r>
          </w:p>
        </w:tc>
        <w:tc>
          <w:tcPr>
            <w:tcW w:type="dxa" w:w="2160"/>
          </w:tcPr>
          <w:p>
            <w:r/>
            <w:r>
              <w:rPr>
                <w:rFonts w:ascii="Times New Roman" w:hAnsi="Times New Roman"/>
                <w:color w:val="000000"/>
                <w:sz w:val="18"/>
              </w:rPr>
              <w:t>+0.0191</w:t>
            </w:r>
          </w:p>
        </w:tc>
      </w:tr>
      <w:tr>
        <w:tc>
          <w:tcPr>
            <w:tcW w:type="dxa" w:w="2160"/>
          </w:tcPr>
          <w:p>
            <w:r/>
            <w:r>
              <w:rPr>
                <w:rFonts w:ascii="Times New Roman" w:hAnsi="Times New Roman"/>
                <w:color w:val="000000"/>
                <w:sz w:val="18"/>
              </w:rPr>
              <w:t>C</w:t>
            </w:r>
          </w:p>
        </w:tc>
        <w:tc>
          <w:tcPr>
            <w:tcW w:type="dxa" w:w="2160"/>
          </w:tcPr>
          <w:p>
            <w:r/>
            <w:r>
              <w:rPr>
                <w:rFonts w:ascii="Times New Roman" w:hAnsi="Times New Roman"/>
                <w:color w:val="000000"/>
                <w:sz w:val="18"/>
              </w:rPr>
              <w:t>Depth 5, weights</w:t>
            </w:r>
          </w:p>
        </w:tc>
        <w:tc>
          <w:tcPr>
            <w:tcW w:type="dxa" w:w="2160"/>
          </w:tcPr>
          <w:p>
            <w:r/>
            <w:r>
              <w:rPr>
                <w:rFonts w:ascii="Times New Roman" w:hAnsi="Times New Roman"/>
                <w:color w:val="000000"/>
                <w:sz w:val="18"/>
              </w:rPr>
              <w:t>0.6326</w:t>
            </w:r>
          </w:p>
        </w:tc>
        <w:tc>
          <w:tcPr>
            <w:tcW w:type="dxa" w:w="2160"/>
          </w:tcPr>
          <w:p>
            <w:r/>
            <w:r>
              <w:rPr>
                <w:rFonts w:ascii="Times New Roman" w:hAnsi="Times New Roman"/>
                <w:color w:val="000000"/>
                <w:sz w:val="18"/>
              </w:rPr>
              <w:t>+0.0026</w:t>
            </w:r>
          </w:p>
        </w:tc>
      </w:tr>
      <w:tr>
        <w:tc>
          <w:tcPr>
            <w:tcW w:type="dxa" w:w="2160"/>
          </w:tcPr>
          <w:p>
            <w:r/>
            <w:r>
              <w:rPr>
                <w:rFonts w:ascii="Times New Roman" w:hAnsi="Times New Roman"/>
                <w:color w:val="000000"/>
                <w:sz w:val="18"/>
              </w:rPr>
              <w:t>D</w:t>
            </w:r>
          </w:p>
        </w:tc>
        <w:tc>
          <w:tcPr>
            <w:tcW w:type="dxa" w:w="2160"/>
          </w:tcPr>
          <w:p>
            <w:r/>
            <w:r>
              <w:rPr>
                <w:rFonts w:ascii="Times New Roman" w:hAnsi="Times New Roman"/>
                <w:color w:val="000000"/>
                <w:sz w:val="18"/>
              </w:rPr>
              <w:t>Full WCE, depth 3, weights</w:t>
            </w:r>
          </w:p>
        </w:tc>
        <w:tc>
          <w:tcPr>
            <w:tcW w:type="dxa" w:w="2160"/>
          </w:tcPr>
          <w:p>
            <w:r/>
            <w:r>
              <w:rPr>
                <w:rFonts w:ascii="Times New Roman" w:hAnsi="Times New Roman"/>
                <w:color w:val="000000"/>
                <w:sz w:val="18"/>
              </w:rPr>
              <w:t>0.6459</w:t>
            </w:r>
          </w:p>
        </w:tc>
        <w:tc>
          <w:tcPr>
            <w:tcW w:type="dxa" w:w="2160"/>
          </w:tcPr>
          <w:p>
            <w:r/>
            <w:r>
              <w:rPr>
                <w:rFonts w:ascii="Times New Roman" w:hAnsi="Times New Roman"/>
                <w:color w:val="000000"/>
                <w:sz w:val="18"/>
              </w:rPr>
              <w:t>-0.0033 (vs B)</w:t>
            </w:r>
          </w:p>
        </w:tc>
      </w:tr>
    </w:tbl>
    <w:p/>
    <w:p>
      <w:pPr>
        <w:spacing w:after="120" w:line="360" w:lineRule="auto"/>
        <w:jc w:val="left"/>
      </w:pPr>
      <w:r>
        <w:rPr>
          <w:rFonts w:ascii="Times New Roman" w:hAnsi="Times New Roman"/>
          <w:b/>
          <w:i w:val="0"/>
          <w:color w:val="000000"/>
          <w:sz w:val="26"/>
        </w:rPr>
        <w:t>R6. Feature Importance and Interpretability (SHAP)</w:t>
      </w:r>
    </w:p>
    <w:p>
      <w:pPr>
        <w:spacing w:after="160" w:line="360" w:lineRule="auto"/>
        <w:jc w:val="both"/>
      </w:pPr>
      <w:r>
        <w:rPr>
          <w:rFonts w:ascii="Times New Roman" w:hAnsi="Times New Roman"/>
          <w:b w:val="0"/>
          <w:i w:val="0"/>
          <w:color w:val="000000"/>
          <w:sz w:val="24"/>
        </w:rPr>
        <w:t>SHAP TreeExplainer was applied to fold-refit WCE models (no data leakage; N2 fix). On KNUST the top features by mean absolute SHAP value are K_agg (0.455) and A_agg (0.356), confirming that the Knowledge and Attitude aggregates carry the most predictive signal. On Alzubaidi the top feature is B18_3 (0.397) followed by A_agg (0.336); K_agg ranks seventh (0.160), consistent with the weak Knowledge mapping noted in M18. Importance is associational only. The dominance of K_agg and A_agg across both datasets supports the KAB theoretical framing even where the weighting mechanism itself does not improve accuracy.</w:t>
      </w:r>
    </w:p>
    <w:p>
      <w:pPr>
        <w:spacing w:after="80" w:line="360" w:lineRule="auto"/>
        <w:jc w:val="both"/>
      </w:pPr>
      <w:r>
        <w:rPr>
          <w:rFonts w:ascii="Times New Roman" w:hAnsi="Times New Roman"/>
          <w:b w:val="0"/>
          <w:i/>
          <w:color w:val="000000"/>
          <w:sz w:val="20"/>
        </w:rPr>
        <w:t>Table 6a. SHAP mean absolute value, top 8 features, KNUST.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80"/>
        <w:gridCol w:w="2880"/>
        <w:gridCol w:w="2880"/>
      </w:tblGrid>
      <w:tr>
        <w:tc>
          <w:tcPr>
            <w:tcW w:type="dxa" w:w="2880"/>
          </w:tcPr>
          <w:p>
            <w:r/>
            <w:r>
              <w:rPr>
                <w:rFonts w:ascii="Times New Roman" w:hAnsi="Times New Roman"/>
                <w:b/>
                <w:color w:val="000000"/>
                <w:sz w:val="18"/>
              </w:rPr>
              <w:t>Rank</w:t>
            </w:r>
          </w:p>
        </w:tc>
        <w:tc>
          <w:tcPr>
            <w:tcW w:type="dxa" w:w="2880"/>
          </w:tcPr>
          <w:p>
            <w:r/>
            <w:r>
              <w:rPr>
                <w:rFonts w:ascii="Times New Roman" w:hAnsi="Times New Roman"/>
                <w:b/>
                <w:color w:val="000000"/>
                <w:sz w:val="18"/>
              </w:rPr>
              <w:t>Feature</w:t>
            </w:r>
          </w:p>
        </w:tc>
        <w:tc>
          <w:tcPr>
            <w:tcW w:type="dxa" w:w="2880"/>
          </w:tcPr>
          <w:p>
            <w:r/>
            <w:r>
              <w:rPr>
                <w:rFonts w:ascii="Times New Roman" w:hAnsi="Times New Roman"/>
                <w:b/>
                <w:color w:val="000000"/>
                <w:sz w:val="18"/>
              </w:rPr>
              <w:t>Mean |SHAP|</w:t>
            </w:r>
          </w:p>
        </w:tc>
      </w:tr>
      <w:tr>
        <w:tc>
          <w:tcPr>
            <w:tcW w:type="dxa" w:w="2880"/>
          </w:tcPr>
          <w:p>
            <w:r/>
            <w:r>
              <w:rPr>
                <w:rFonts w:ascii="Times New Roman" w:hAnsi="Times New Roman"/>
                <w:color w:val="000000"/>
                <w:sz w:val="18"/>
              </w:rPr>
              <w:t>1</w:t>
            </w:r>
          </w:p>
        </w:tc>
        <w:tc>
          <w:tcPr>
            <w:tcW w:type="dxa" w:w="2880"/>
          </w:tcPr>
          <w:p>
            <w:r/>
            <w:r>
              <w:rPr>
                <w:rFonts w:ascii="Times New Roman" w:hAnsi="Times New Roman"/>
                <w:color w:val="000000"/>
                <w:sz w:val="18"/>
              </w:rPr>
              <w:t>K_agg</w:t>
            </w:r>
          </w:p>
        </w:tc>
        <w:tc>
          <w:tcPr>
            <w:tcW w:type="dxa" w:w="2880"/>
          </w:tcPr>
          <w:p>
            <w:r/>
            <w:r>
              <w:rPr>
                <w:rFonts w:ascii="Times New Roman" w:hAnsi="Times New Roman"/>
                <w:color w:val="000000"/>
                <w:sz w:val="18"/>
              </w:rPr>
              <w:t>0.455</w:t>
            </w:r>
          </w:p>
        </w:tc>
      </w:tr>
      <w:tr>
        <w:tc>
          <w:tcPr>
            <w:tcW w:type="dxa" w:w="2880"/>
          </w:tcPr>
          <w:p>
            <w:r/>
            <w:r>
              <w:rPr>
                <w:rFonts w:ascii="Times New Roman" w:hAnsi="Times New Roman"/>
                <w:color w:val="000000"/>
                <w:sz w:val="18"/>
              </w:rPr>
              <w:t>2</w:t>
            </w:r>
          </w:p>
        </w:tc>
        <w:tc>
          <w:tcPr>
            <w:tcW w:type="dxa" w:w="2880"/>
          </w:tcPr>
          <w:p>
            <w:r/>
            <w:r>
              <w:rPr>
                <w:rFonts w:ascii="Times New Roman" w:hAnsi="Times New Roman"/>
                <w:color w:val="000000"/>
                <w:sz w:val="18"/>
              </w:rPr>
              <w:t>A_agg</w:t>
            </w:r>
          </w:p>
        </w:tc>
        <w:tc>
          <w:tcPr>
            <w:tcW w:type="dxa" w:w="2880"/>
          </w:tcPr>
          <w:p>
            <w:r/>
            <w:r>
              <w:rPr>
                <w:rFonts w:ascii="Times New Roman" w:hAnsi="Times New Roman"/>
                <w:color w:val="000000"/>
                <w:sz w:val="18"/>
              </w:rPr>
              <w:t>0.356</w:t>
            </w:r>
          </w:p>
        </w:tc>
      </w:tr>
      <w:tr>
        <w:tc>
          <w:tcPr>
            <w:tcW w:type="dxa" w:w="2880"/>
          </w:tcPr>
          <w:p>
            <w:r/>
            <w:r>
              <w:rPr>
                <w:rFonts w:ascii="Times New Roman" w:hAnsi="Times New Roman"/>
                <w:color w:val="000000"/>
                <w:sz w:val="18"/>
              </w:rPr>
              <w:t>3</w:t>
            </w:r>
          </w:p>
        </w:tc>
        <w:tc>
          <w:tcPr>
            <w:tcW w:type="dxa" w:w="2880"/>
          </w:tcPr>
          <w:p>
            <w:r/>
            <w:r>
              <w:rPr>
                <w:rFonts w:ascii="Times New Roman" w:hAnsi="Times New Roman"/>
                <w:color w:val="000000"/>
                <w:sz w:val="18"/>
              </w:rPr>
              <w:t>Q5</w:t>
            </w:r>
          </w:p>
        </w:tc>
        <w:tc>
          <w:tcPr>
            <w:tcW w:type="dxa" w:w="2880"/>
          </w:tcPr>
          <w:p>
            <w:r/>
            <w:r>
              <w:rPr>
                <w:rFonts w:ascii="Times New Roman" w:hAnsi="Times New Roman"/>
                <w:color w:val="000000"/>
                <w:sz w:val="18"/>
              </w:rPr>
              <w:t>0.194</w:t>
            </w:r>
          </w:p>
        </w:tc>
      </w:tr>
      <w:tr>
        <w:tc>
          <w:tcPr>
            <w:tcW w:type="dxa" w:w="2880"/>
          </w:tcPr>
          <w:p>
            <w:r/>
            <w:r>
              <w:rPr>
                <w:rFonts w:ascii="Times New Roman" w:hAnsi="Times New Roman"/>
                <w:color w:val="000000"/>
                <w:sz w:val="18"/>
              </w:rPr>
              <w:t>4</w:t>
            </w:r>
          </w:p>
        </w:tc>
        <w:tc>
          <w:tcPr>
            <w:tcW w:type="dxa" w:w="2880"/>
          </w:tcPr>
          <w:p>
            <w:r/>
            <w:r>
              <w:rPr>
                <w:rFonts w:ascii="Times New Roman" w:hAnsi="Times New Roman"/>
                <w:color w:val="000000"/>
                <w:sz w:val="18"/>
              </w:rPr>
              <w:t>Q4</w:t>
            </w:r>
          </w:p>
        </w:tc>
        <w:tc>
          <w:tcPr>
            <w:tcW w:type="dxa" w:w="2880"/>
          </w:tcPr>
          <w:p>
            <w:r/>
            <w:r>
              <w:rPr>
                <w:rFonts w:ascii="Times New Roman" w:hAnsi="Times New Roman"/>
                <w:color w:val="000000"/>
                <w:sz w:val="18"/>
              </w:rPr>
              <w:t>0.125</w:t>
            </w:r>
          </w:p>
        </w:tc>
      </w:tr>
      <w:tr>
        <w:tc>
          <w:tcPr>
            <w:tcW w:type="dxa" w:w="2880"/>
          </w:tcPr>
          <w:p>
            <w:r/>
            <w:r>
              <w:rPr>
                <w:rFonts w:ascii="Times New Roman" w:hAnsi="Times New Roman"/>
                <w:color w:val="000000"/>
                <w:sz w:val="18"/>
              </w:rPr>
              <w:t>5</w:t>
            </w:r>
          </w:p>
        </w:tc>
        <w:tc>
          <w:tcPr>
            <w:tcW w:type="dxa" w:w="2880"/>
          </w:tcPr>
          <w:p>
            <w:r/>
            <w:r>
              <w:rPr>
                <w:rFonts w:ascii="Times New Roman" w:hAnsi="Times New Roman"/>
                <w:color w:val="000000"/>
                <w:sz w:val="18"/>
              </w:rPr>
              <w:t>Q1</w:t>
            </w:r>
          </w:p>
        </w:tc>
        <w:tc>
          <w:tcPr>
            <w:tcW w:type="dxa" w:w="2880"/>
          </w:tcPr>
          <w:p>
            <w:r/>
            <w:r>
              <w:rPr>
                <w:rFonts w:ascii="Times New Roman" w:hAnsi="Times New Roman"/>
                <w:color w:val="000000"/>
                <w:sz w:val="18"/>
              </w:rPr>
              <w:t>0.114</w:t>
            </w:r>
          </w:p>
        </w:tc>
      </w:tr>
      <w:tr>
        <w:tc>
          <w:tcPr>
            <w:tcW w:type="dxa" w:w="2880"/>
          </w:tcPr>
          <w:p>
            <w:r/>
            <w:r>
              <w:rPr>
                <w:rFonts w:ascii="Times New Roman" w:hAnsi="Times New Roman"/>
                <w:color w:val="000000"/>
                <w:sz w:val="18"/>
              </w:rPr>
              <w:t>6</w:t>
            </w:r>
          </w:p>
        </w:tc>
        <w:tc>
          <w:tcPr>
            <w:tcW w:type="dxa" w:w="2880"/>
          </w:tcPr>
          <w:p>
            <w:r/>
            <w:r>
              <w:rPr>
                <w:rFonts w:ascii="Times New Roman" w:hAnsi="Times New Roman"/>
                <w:color w:val="000000"/>
                <w:sz w:val="18"/>
              </w:rPr>
              <w:t>Q17</w:t>
            </w:r>
          </w:p>
        </w:tc>
        <w:tc>
          <w:tcPr>
            <w:tcW w:type="dxa" w:w="2880"/>
          </w:tcPr>
          <w:p>
            <w:r/>
            <w:r>
              <w:rPr>
                <w:rFonts w:ascii="Times New Roman" w:hAnsi="Times New Roman"/>
                <w:color w:val="000000"/>
                <w:sz w:val="18"/>
              </w:rPr>
              <w:t>0.110</w:t>
            </w:r>
          </w:p>
        </w:tc>
      </w:tr>
      <w:tr>
        <w:tc>
          <w:tcPr>
            <w:tcW w:type="dxa" w:w="2880"/>
          </w:tcPr>
          <w:p>
            <w:r/>
            <w:r>
              <w:rPr>
                <w:rFonts w:ascii="Times New Roman" w:hAnsi="Times New Roman"/>
                <w:color w:val="000000"/>
                <w:sz w:val="18"/>
              </w:rPr>
              <w:t>7</w:t>
            </w:r>
          </w:p>
        </w:tc>
        <w:tc>
          <w:tcPr>
            <w:tcW w:type="dxa" w:w="2880"/>
          </w:tcPr>
          <w:p>
            <w:r/>
            <w:r>
              <w:rPr>
                <w:rFonts w:ascii="Times New Roman" w:hAnsi="Times New Roman"/>
                <w:color w:val="000000"/>
                <w:sz w:val="18"/>
              </w:rPr>
              <w:t>Q10</w:t>
            </w:r>
          </w:p>
        </w:tc>
        <w:tc>
          <w:tcPr>
            <w:tcW w:type="dxa" w:w="2880"/>
          </w:tcPr>
          <w:p>
            <w:r/>
            <w:r>
              <w:rPr>
                <w:rFonts w:ascii="Times New Roman" w:hAnsi="Times New Roman"/>
                <w:color w:val="000000"/>
                <w:sz w:val="18"/>
              </w:rPr>
              <w:t>0.102</w:t>
            </w:r>
          </w:p>
        </w:tc>
      </w:tr>
      <w:tr>
        <w:tc>
          <w:tcPr>
            <w:tcW w:type="dxa" w:w="2880"/>
          </w:tcPr>
          <w:p>
            <w:r/>
            <w:r>
              <w:rPr>
                <w:rFonts w:ascii="Times New Roman" w:hAnsi="Times New Roman"/>
                <w:color w:val="000000"/>
                <w:sz w:val="18"/>
              </w:rPr>
              <w:t>8</w:t>
            </w:r>
          </w:p>
        </w:tc>
        <w:tc>
          <w:tcPr>
            <w:tcW w:type="dxa" w:w="2880"/>
          </w:tcPr>
          <w:p>
            <w:r/>
            <w:r>
              <w:rPr>
                <w:rFonts w:ascii="Times New Roman" w:hAnsi="Times New Roman"/>
                <w:color w:val="000000"/>
                <w:sz w:val="18"/>
              </w:rPr>
              <w:t>Q8</w:t>
            </w:r>
          </w:p>
        </w:tc>
        <w:tc>
          <w:tcPr>
            <w:tcW w:type="dxa" w:w="2880"/>
          </w:tcPr>
          <w:p>
            <w:r/>
            <w:r>
              <w:rPr>
                <w:rFonts w:ascii="Times New Roman" w:hAnsi="Times New Roman"/>
                <w:color w:val="000000"/>
                <w:sz w:val="18"/>
              </w:rPr>
              <w:t>0.135</w:t>
            </w:r>
          </w:p>
        </w:tc>
      </w:tr>
    </w:tbl>
    <w:p/>
    <w:p>
      <w:pPr>
        <w:spacing w:after="80" w:line="360" w:lineRule="auto"/>
        <w:jc w:val="both"/>
      </w:pPr>
      <w:r>
        <w:rPr>
          <w:rFonts w:ascii="Times New Roman" w:hAnsi="Times New Roman"/>
          <w:b w:val="0"/>
          <w:i/>
          <w:color w:val="000000"/>
          <w:sz w:val="20"/>
        </w:rPr>
        <w:t>Table 6b. SHAP mean absolute value, top 8 features, Alzubaidi.</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80"/>
        <w:gridCol w:w="2880"/>
        <w:gridCol w:w="2880"/>
      </w:tblGrid>
      <w:tr>
        <w:tc>
          <w:tcPr>
            <w:tcW w:type="dxa" w:w="2880"/>
          </w:tcPr>
          <w:p>
            <w:r/>
            <w:r>
              <w:rPr>
                <w:rFonts w:ascii="Times New Roman" w:hAnsi="Times New Roman"/>
                <w:b/>
                <w:color w:val="000000"/>
                <w:sz w:val="18"/>
              </w:rPr>
              <w:t>Rank</w:t>
            </w:r>
          </w:p>
        </w:tc>
        <w:tc>
          <w:tcPr>
            <w:tcW w:type="dxa" w:w="2880"/>
          </w:tcPr>
          <w:p>
            <w:r/>
            <w:r>
              <w:rPr>
                <w:rFonts w:ascii="Times New Roman" w:hAnsi="Times New Roman"/>
                <w:b/>
                <w:color w:val="000000"/>
                <w:sz w:val="18"/>
              </w:rPr>
              <w:t>Feature</w:t>
            </w:r>
          </w:p>
        </w:tc>
        <w:tc>
          <w:tcPr>
            <w:tcW w:type="dxa" w:w="2880"/>
          </w:tcPr>
          <w:p>
            <w:r/>
            <w:r>
              <w:rPr>
                <w:rFonts w:ascii="Times New Roman" w:hAnsi="Times New Roman"/>
                <w:b/>
                <w:color w:val="000000"/>
                <w:sz w:val="18"/>
              </w:rPr>
              <w:t>Mean |SHAP|</w:t>
            </w:r>
          </w:p>
        </w:tc>
      </w:tr>
      <w:tr>
        <w:tc>
          <w:tcPr>
            <w:tcW w:type="dxa" w:w="2880"/>
          </w:tcPr>
          <w:p>
            <w:r/>
            <w:r>
              <w:rPr>
                <w:rFonts w:ascii="Times New Roman" w:hAnsi="Times New Roman"/>
                <w:color w:val="000000"/>
                <w:sz w:val="18"/>
              </w:rPr>
              <w:t>1</w:t>
            </w:r>
          </w:p>
        </w:tc>
        <w:tc>
          <w:tcPr>
            <w:tcW w:type="dxa" w:w="2880"/>
          </w:tcPr>
          <w:p>
            <w:r/>
            <w:r>
              <w:rPr>
                <w:rFonts w:ascii="Times New Roman" w:hAnsi="Times New Roman"/>
                <w:color w:val="000000"/>
                <w:sz w:val="18"/>
              </w:rPr>
              <w:t>A_agg</w:t>
            </w:r>
          </w:p>
        </w:tc>
        <w:tc>
          <w:tcPr>
            <w:tcW w:type="dxa" w:w="2880"/>
          </w:tcPr>
          <w:p>
            <w:r/>
            <w:r>
              <w:rPr>
                <w:rFonts w:ascii="Times New Roman" w:hAnsi="Times New Roman"/>
                <w:color w:val="000000"/>
                <w:sz w:val="18"/>
              </w:rPr>
              <w:t>0.336</w:t>
            </w:r>
          </w:p>
        </w:tc>
      </w:tr>
      <w:tr>
        <w:tc>
          <w:tcPr>
            <w:tcW w:type="dxa" w:w="2880"/>
          </w:tcPr>
          <w:p>
            <w:r/>
            <w:r>
              <w:rPr>
                <w:rFonts w:ascii="Times New Roman" w:hAnsi="Times New Roman"/>
                <w:color w:val="000000"/>
                <w:sz w:val="18"/>
              </w:rPr>
              <w:t>2</w:t>
            </w:r>
          </w:p>
        </w:tc>
        <w:tc>
          <w:tcPr>
            <w:tcW w:type="dxa" w:w="2880"/>
          </w:tcPr>
          <w:p>
            <w:r/>
            <w:r>
              <w:rPr>
                <w:rFonts w:ascii="Times New Roman" w:hAnsi="Times New Roman"/>
                <w:color w:val="000000"/>
                <w:sz w:val="18"/>
              </w:rPr>
              <w:t>B18_3</w:t>
            </w:r>
          </w:p>
        </w:tc>
        <w:tc>
          <w:tcPr>
            <w:tcW w:type="dxa" w:w="2880"/>
          </w:tcPr>
          <w:p>
            <w:r/>
            <w:r>
              <w:rPr>
                <w:rFonts w:ascii="Times New Roman" w:hAnsi="Times New Roman"/>
                <w:color w:val="000000"/>
                <w:sz w:val="18"/>
              </w:rPr>
              <w:t>0.397</w:t>
            </w:r>
          </w:p>
        </w:tc>
      </w:tr>
      <w:tr>
        <w:tc>
          <w:tcPr>
            <w:tcW w:type="dxa" w:w="2880"/>
          </w:tcPr>
          <w:p>
            <w:r/>
            <w:r>
              <w:rPr>
                <w:rFonts w:ascii="Times New Roman" w:hAnsi="Times New Roman"/>
                <w:color w:val="000000"/>
                <w:sz w:val="18"/>
              </w:rPr>
              <w:t>3</w:t>
            </w:r>
          </w:p>
        </w:tc>
        <w:tc>
          <w:tcPr>
            <w:tcW w:type="dxa" w:w="2880"/>
          </w:tcPr>
          <w:p>
            <w:r/>
            <w:r>
              <w:rPr>
                <w:rFonts w:ascii="Times New Roman" w:hAnsi="Times New Roman"/>
                <w:color w:val="000000"/>
                <w:sz w:val="18"/>
              </w:rPr>
              <w:t>B18_5</w:t>
            </w:r>
          </w:p>
        </w:tc>
        <w:tc>
          <w:tcPr>
            <w:tcW w:type="dxa" w:w="2880"/>
          </w:tcPr>
          <w:p>
            <w:r/>
            <w:r>
              <w:rPr>
                <w:rFonts w:ascii="Times New Roman" w:hAnsi="Times New Roman"/>
                <w:color w:val="000000"/>
                <w:sz w:val="18"/>
              </w:rPr>
              <w:t>0.312</w:t>
            </w:r>
          </w:p>
        </w:tc>
      </w:tr>
      <w:tr>
        <w:tc>
          <w:tcPr>
            <w:tcW w:type="dxa" w:w="2880"/>
          </w:tcPr>
          <w:p>
            <w:r/>
            <w:r>
              <w:rPr>
                <w:rFonts w:ascii="Times New Roman" w:hAnsi="Times New Roman"/>
                <w:color w:val="000000"/>
                <w:sz w:val="18"/>
              </w:rPr>
              <w:t>4</w:t>
            </w:r>
          </w:p>
        </w:tc>
        <w:tc>
          <w:tcPr>
            <w:tcW w:type="dxa" w:w="2880"/>
          </w:tcPr>
          <w:p>
            <w:r/>
            <w:r>
              <w:rPr>
                <w:rFonts w:ascii="Times New Roman" w:hAnsi="Times New Roman"/>
                <w:color w:val="000000"/>
                <w:sz w:val="18"/>
              </w:rPr>
              <w:t>B18_2</w:t>
            </w:r>
          </w:p>
        </w:tc>
        <w:tc>
          <w:tcPr>
            <w:tcW w:type="dxa" w:w="2880"/>
          </w:tcPr>
          <w:p>
            <w:r/>
            <w:r>
              <w:rPr>
                <w:rFonts w:ascii="Times New Roman" w:hAnsi="Times New Roman"/>
                <w:color w:val="000000"/>
                <w:sz w:val="18"/>
              </w:rPr>
              <w:t>0.244</w:t>
            </w:r>
          </w:p>
        </w:tc>
      </w:tr>
      <w:tr>
        <w:tc>
          <w:tcPr>
            <w:tcW w:type="dxa" w:w="2880"/>
          </w:tcPr>
          <w:p>
            <w:r/>
            <w:r>
              <w:rPr>
                <w:rFonts w:ascii="Times New Roman" w:hAnsi="Times New Roman"/>
                <w:color w:val="000000"/>
                <w:sz w:val="18"/>
              </w:rPr>
              <w:t>5</w:t>
            </w:r>
          </w:p>
        </w:tc>
        <w:tc>
          <w:tcPr>
            <w:tcW w:type="dxa" w:w="2880"/>
          </w:tcPr>
          <w:p>
            <w:r/>
            <w:r>
              <w:rPr>
                <w:rFonts w:ascii="Times New Roman" w:hAnsi="Times New Roman"/>
                <w:color w:val="000000"/>
                <w:sz w:val="18"/>
              </w:rPr>
              <w:t>B21</w:t>
            </w:r>
          </w:p>
        </w:tc>
        <w:tc>
          <w:tcPr>
            <w:tcW w:type="dxa" w:w="2880"/>
          </w:tcPr>
          <w:p>
            <w:r/>
            <w:r>
              <w:rPr>
                <w:rFonts w:ascii="Times New Roman" w:hAnsi="Times New Roman"/>
                <w:color w:val="000000"/>
                <w:sz w:val="18"/>
              </w:rPr>
              <w:t>0.210</w:t>
            </w:r>
          </w:p>
        </w:tc>
      </w:tr>
      <w:tr>
        <w:tc>
          <w:tcPr>
            <w:tcW w:type="dxa" w:w="2880"/>
          </w:tcPr>
          <w:p>
            <w:r/>
            <w:r>
              <w:rPr>
                <w:rFonts w:ascii="Times New Roman" w:hAnsi="Times New Roman"/>
                <w:color w:val="000000"/>
                <w:sz w:val="18"/>
              </w:rPr>
              <w:t>6</w:t>
            </w:r>
          </w:p>
        </w:tc>
        <w:tc>
          <w:tcPr>
            <w:tcW w:type="dxa" w:w="2880"/>
          </w:tcPr>
          <w:p>
            <w:r/>
            <w:r>
              <w:rPr>
                <w:rFonts w:ascii="Times New Roman" w:hAnsi="Times New Roman"/>
                <w:color w:val="000000"/>
                <w:sz w:val="18"/>
              </w:rPr>
              <w:t>B18_4</w:t>
            </w:r>
          </w:p>
        </w:tc>
        <w:tc>
          <w:tcPr>
            <w:tcW w:type="dxa" w:w="2880"/>
          </w:tcPr>
          <w:p>
            <w:r/>
            <w:r>
              <w:rPr>
                <w:rFonts w:ascii="Times New Roman" w:hAnsi="Times New Roman"/>
                <w:color w:val="000000"/>
                <w:sz w:val="18"/>
              </w:rPr>
              <w:t>0.187</w:t>
            </w:r>
          </w:p>
        </w:tc>
      </w:tr>
      <w:tr>
        <w:tc>
          <w:tcPr>
            <w:tcW w:type="dxa" w:w="2880"/>
          </w:tcPr>
          <w:p>
            <w:r/>
            <w:r>
              <w:rPr>
                <w:rFonts w:ascii="Times New Roman" w:hAnsi="Times New Roman"/>
                <w:color w:val="000000"/>
                <w:sz w:val="18"/>
              </w:rPr>
              <w:t>7</w:t>
            </w:r>
          </w:p>
        </w:tc>
        <w:tc>
          <w:tcPr>
            <w:tcW w:type="dxa" w:w="2880"/>
          </w:tcPr>
          <w:p>
            <w:r/>
            <w:r>
              <w:rPr>
                <w:rFonts w:ascii="Times New Roman" w:hAnsi="Times New Roman"/>
                <w:color w:val="000000"/>
                <w:sz w:val="18"/>
              </w:rPr>
              <w:t>K_agg</w:t>
            </w:r>
          </w:p>
        </w:tc>
        <w:tc>
          <w:tcPr>
            <w:tcW w:type="dxa" w:w="2880"/>
          </w:tcPr>
          <w:p>
            <w:r/>
            <w:r>
              <w:rPr>
                <w:rFonts w:ascii="Times New Roman" w:hAnsi="Times New Roman"/>
                <w:color w:val="000000"/>
                <w:sz w:val="18"/>
              </w:rPr>
              <w:t>0.160</w:t>
            </w:r>
          </w:p>
        </w:tc>
      </w:tr>
      <w:tr>
        <w:tc>
          <w:tcPr>
            <w:tcW w:type="dxa" w:w="2880"/>
          </w:tcPr>
          <w:p>
            <w:r/>
            <w:r>
              <w:rPr>
                <w:rFonts w:ascii="Times New Roman" w:hAnsi="Times New Roman"/>
                <w:color w:val="000000"/>
                <w:sz w:val="18"/>
              </w:rPr>
              <w:t>8</w:t>
            </w:r>
          </w:p>
        </w:tc>
        <w:tc>
          <w:tcPr>
            <w:tcW w:type="dxa" w:w="2880"/>
          </w:tcPr>
          <w:p>
            <w:r/>
            <w:r>
              <w:rPr>
                <w:rFonts w:ascii="Times New Roman" w:hAnsi="Times New Roman"/>
                <w:color w:val="000000"/>
                <w:sz w:val="18"/>
              </w:rPr>
              <w:t>B19_0</w:t>
            </w:r>
          </w:p>
        </w:tc>
        <w:tc>
          <w:tcPr>
            <w:tcW w:type="dxa" w:w="2880"/>
          </w:tcPr>
          <w:p>
            <w:r/>
            <w:r>
              <w:rPr>
                <w:rFonts w:ascii="Times New Roman" w:hAnsi="Times New Roman"/>
                <w:color w:val="000000"/>
                <w:sz w:val="18"/>
              </w:rPr>
              <w:t>0.101</w:t>
            </w:r>
          </w:p>
        </w:tc>
      </w:tr>
    </w:tbl>
    <w:p/>
    <w:p>
      <w:pPr>
        <w:spacing w:after="120" w:line="360" w:lineRule="auto"/>
        <w:jc w:val="left"/>
      </w:pPr>
      <w:r>
        <w:rPr>
          <w:rFonts w:ascii="Times New Roman" w:hAnsi="Times New Roman"/>
          <w:b/>
          <w:i w:val="0"/>
          <w:color w:val="000000"/>
          <w:sz w:val="26"/>
        </w:rPr>
        <w:t>R7. Error Analysis and Per-Class Performance (KNUST)</w:t>
      </w:r>
    </w:p>
    <w:p>
      <w:pPr>
        <w:spacing w:after="160" w:line="360" w:lineRule="auto"/>
        <w:jc w:val="both"/>
      </w:pPr>
      <w:r>
        <w:rPr>
          <w:rFonts w:ascii="Times New Roman" w:hAnsi="Times New Roman"/>
          <w:b w:val="0"/>
          <w:i w:val="0"/>
          <w:color w:val="000000"/>
          <w:sz w:val="24"/>
        </w:rPr>
        <w:t>On the KNUST 80/20 held-out partition (n = 418), the baseline confusion matrix is TN 154, FP 80, FN 71, TP 113; the WCE matrix is TN 161, FP 73, FN 74, TP 110. A false positive is a Low-readiness student predicted High, that is an at-risk student missed who receives no intervention. WCE reduced false positives from 80 to 73 (-7 cases). WCE macro-F1 = 0.643, AUC = 0.702. Baseline macro-F1 = 0.640, AUC = 0.692. The direction of FP reduction is consistent with the cost story, but the size is small.</w:t>
      </w:r>
    </w:p>
    <w:p>
      <w:pPr>
        <w:spacing w:after="80" w:line="360" w:lineRule="auto"/>
        <w:jc w:val="both"/>
      </w:pPr>
      <w:r>
        <w:rPr>
          <w:rFonts w:ascii="Times New Roman" w:hAnsi="Times New Roman"/>
          <w:b w:val="0"/>
          <w:i/>
          <w:color w:val="000000"/>
          <w:sz w:val="20"/>
        </w:rPr>
        <w:t>Table 5. Per-class precision, recall and F1, KNUST held-out.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728"/>
        <w:gridCol w:w="1728"/>
        <w:gridCol w:w="1728"/>
        <w:gridCol w:w="1728"/>
        <w:gridCol w:w="1728"/>
      </w:tblGrid>
      <w:tr>
        <w:tc>
          <w:tcPr>
            <w:tcW w:type="dxa" w:w="1728"/>
          </w:tcPr>
          <w:p>
            <w:r/>
            <w:r>
              <w:rPr>
                <w:rFonts w:ascii="Times New Roman" w:hAnsi="Times New Roman"/>
                <w:b/>
                <w:color w:val="000000"/>
                <w:sz w:val="18"/>
              </w:rPr>
              <w:t>Model</w:t>
            </w:r>
          </w:p>
        </w:tc>
        <w:tc>
          <w:tcPr>
            <w:tcW w:type="dxa" w:w="1728"/>
          </w:tcPr>
          <w:p>
            <w:r/>
            <w:r>
              <w:rPr>
                <w:rFonts w:ascii="Times New Roman" w:hAnsi="Times New Roman"/>
                <w:b/>
                <w:color w:val="000000"/>
                <w:sz w:val="18"/>
              </w:rPr>
              <w:t>Class</w:t>
            </w:r>
          </w:p>
        </w:tc>
        <w:tc>
          <w:tcPr>
            <w:tcW w:type="dxa" w:w="1728"/>
          </w:tcPr>
          <w:p>
            <w:r/>
            <w:r>
              <w:rPr>
                <w:rFonts w:ascii="Times New Roman" w:hAnsi="Times New Roman"/>
                <w:b/>
                <w:color w:val="000000"/>
                <w:sz w:val="18"/>
              </w:rPr>
              <w:t>Precision</w:t>
            </w:r>
          </w:p>
        </w:tc>
        <w:tc>
          <w:tcPr>
            <w:tcW w:type="dxa" w:w="1728"/>
          </w:tcPr>
          <w:p>
            <w:r/>
            <w:r>
              <w:rPr>
                <w:rFonts w:ascii="Times New Roman" w:hAnsi="Times New Roman"/>
                <w:b/>
                <w:color w:val="000000"/>
                <w:sz w:val="18"/>
              </w:rPr>
              <w:t>Recall</w:t>
            </w:r>
          </w:p>
        </w:tc>
        <w:tc>
          <w:tcPr>
            <w:tcW w:type="dxa" w:w="1728"/>
          </w:tcPr>
          <w:p>
            <w:r/>
            <w:r>
              <w:rPr>
                <w:rFonts w:ascii="Times New Roman" w:hAnsi="Times New Roman"/>
                <w:b/>
                <w:color w:val="000000"/>
                <w:sz w:val="18"/>
              </w:rPr>
              <w:t>F1</w:t>
            </w:r>
          </w:p>
        </w:tc>
      </w:tr>
      <w:tr>
        <w:tc>
          <w:tcPr>
            <w:tcW w:type="dxa" w:w="1728"/>
          </w:tcPr>
          <w:p>
            <w:r/>
            <w:r>
              <w:rPr>
                <w:rFonts w:ascii="Times New Roman" w:hAnsi="Times New Roman"/>
                <w:color w:val="000000"/>
                <w:sz w:val="18"/>
              </w:rPr>
              <w:t>Baseline</w:t>
            </w:r>
          </w:p>
        </w:tc>
        <w:tc>
          <w:tcPr>
            <w:tcW w:type="dxa" w:w="1728"/>
          </w:tcPr>
          <w:p>
            <w:r/>
            <w:r>
              <w:rPr>
                <w:rFonts w:ascii="Times New Roman" w:hAnsi="Times New Roman"/>
                <w:color w:val="000000"/>
                <w:sz w:val="18"/>
              </w:rPr>
              <w:t>Low</w:t>
            </w:r>
          </w:p>
        </w:tc>
        <w:tc>
          <w:tcPr>
            <w:tcW w:type="dxa" w:w="1728"/>
          </w:tcPr>
          <w:p>
            <w:r/>
            <w:r>
              <w:rPr>
                <w:rFonts w:ascii="Times New Roman" w:hAnsi="Times New Roman"/>
                <w:color w:val="000000"/>
                <w:sz w:val="18"/>
              </w:rPr>
              <w:t>0.654</w:t>
            </w:r>
          </w:p>
        </w:tc>
        <w:tc>
          <w:tcPr>
            <w:tcW w:type="dxa" w:w="1728"/>
          </w:tcPr>
          <w:p>
            <w:r/>
            <w:r>
              <w:rPr>
                <w:rFonts w:ascii="Times New Roman" w:hAnsi="Times New Roman"/>
                <w:color w:val="000000"/>
                <w:sz w:val="18"/>
              </w:rPr>
              <w:t>0.684</w:t>
            </w:r>
          </w:p>
        </w:tc>
        <w:tc>
          <w:tcPr>
            <w:tcW w:type="dxa" w:w="1728"/>
          </w:tcPr>
          <w:p>
            <w:r/>
            <w:r>
              <w:rPr>
                <w:rFonts w:ascii="Times New Roman" w:hAnsi="Times New Roman"/>
                <w:color w:val="000000"/>
                <w:sz w:val="18"/>
              </w:rPr>
              <w:t>0.669</w:t>
            </w:r>
          </w:p>
        </w:tc>
      </w:tr>
      <w:tr>
        <w:tc>
          <w:tcPr>
            <w:tcW w:type="dxa" w:w="1728"/>
          </w:tcPr>
          <w:p>
            <w:r/>
            <w:r>
              <w:rPr>
                <w:rFonts w:ascii="Times New Roman" w:hAnsi="Times New Roman"/>
                <w:color w:val="000000"/>
                <w:sz w:val="18"/>
              </w:rPr>
              <w:t>Baseline</w:t>
            </w:r>
          </w:p>
        </w:tc>
        <w:tc>
          <w:tcPr>
            <w:tcW w:type="dxa" w:w="1728"/>
          </w:tcPr>
          <w:p>
            <w:r/>
            <w:r>
              <w:rPr>
                <w:rFonts w:ascii="Times New Roman" w:hAnsi="Times New Roman"/>
                <w:color w:val="000000"/>
                <w:sz w:val="18"/>
              </w:rPr>
              <w:t>High</w:t>
            </w:r>
          </w:p>
        </w:tc>
        <w:tc>
          <w:tcPr>
            <w:tcW w:type="dxa" w:w="1728"/>
          </w:tcPr>
          <w:p>
            <w:r/>
            <w:r>
              <w:rPr>
                <w:rFonts w:ascii="Times New Roman" w:hAnsi="Times New Roman"/>
                <w:color w:val="000000"/>
                <w:sz w:val="18"/>
              </w:rPr>
              <w:t>0.618</w:t>
            </w:r>
          </w:p>
        </w:tc>
        <w:tc>
          <w:tcPr>
            <w:tcW w:type="dxa" w:w="1728"/>
          </w:tcPr>
          <w:p>
            <w:r/>
            <w:r>
              <w:rPr>
                <w:rFonts w:ascii="Times New Roman" w:hAnsi="Times New Roman"/>
                <w:color w:val="000000"/>
                <w:sz w:val="18"/>
              </w:rPr>
              <w:t>0.596</w:t>
            </w:r>
          </w:p>
        </w:tc>
        <w:tc>
          <w:tcPr>
            <w:tcW w:type="dxa" w:w="1728"/>
          </w:tcPr>
          <w:p>
            <w:r/>
            <w:r>
              <w:rPr>
                <w:rFonts w:ascii="Times New Roman" w:hAnsi="Times New Roman"/>
                <w:color w:val="000000"/>
                <w:sz w:val="18"/>
              </w:rPr>
              <w:t>0.607</w:t>
            </w:r>
          </w:p>
        </w:tc>
      </w:tr>
      <w:tr>
        <w:tc>
          <w:tcPr>
            <w:tcW w:type="dxa" w:w="1728"/>
          </w:tcPr>
          <w:p>
            <w:r/>
            <w:r>
              <w:rPr>
                <w:rFonts w:ascii="Times New Roman" w:hAnsi="Times New Roman"/>
                <w:color w:val="000000"/>
                <w:sz w:val="18"/>
              </w:rPr>
              <w:t>KAB-WCE</w:t>
            </w:r>
          </w:p>
        </w:tc>
        <w:tc>
          <w:tcPr>
            <w:tcW w:type="dxa" w:w="1728"/>
          </w:tcPr>
          <w:p>
            <w:r/>
            <w:r>
              <w:rPr>
                <w:rFonts w:ascii="Times New Roman" w:hAnsi="Times New Roman"/>
                <w:color w:val="000000"/>
                <w:sz w:val="18"/>
              </w:rPr>
              <w:t>Low</w:t>
            </w:r>
          </w:p>
        </w:tc>
        <w:tc>
          <w:tcPr>
            <w:tcW w:type="dxa" w:w="1728"/>
          </w:tcPr>
          <w:p>
            <w:r/>
            <w:r>
              <w:rPr>
                <w:rFonts w:ascii="Times New Roman" w:hAnsi="Times New Roman"/>
                <w:color w:val="000000"/>
                <w:sz w:val="18"/>
              </w:rPr>
              <w:t>0.620</w:t>
            </w:r>
          </w:p>
        </w:tc>
        <w:tc>
          <w:tcPr>
            <w:tcW w:type="dxa" w:w="1728"/>
          </w:tcPr>
          <w:p>
            <w:r/>
            <w:r>
              <w:rPr>
                <w:rFonts w:ascii="Times New Roman" w:hAnsi="Times New Roman"/>
                <w:color w:val="000000"/>
                <w:sz w:val="18"/>
              </w:rPr>
              <w:t>0.620</w:t>
            </w:r>
          </w:p>
        </w:tc>
        <w:tc>
          <w:tcPr>
            <w:tcW w:type="dxa" w:w="1728"/>
          </w:tcPr>
          <w:p>
            <w:r/>
            <w:r>
              <w:rPr>
                <w:rFonts w:ascii="Times New Roman" w:hAnsi="Times New Roman"/>
                <w:color w:val="000000"/>
                <w:sz w:val="18"/>
              </w:rPr>
              <w:t>0.620</w:t>
            </w:r>
          </w:p>
        </w:tc>
      </w:tr>
      <w:tr>
        <w:tc>
          <w:tcPr>
            <w:tcW w:type="dxa" w:w="1728"/>
          </w:tcPr>
          <w:p>
            <w:r/>
            <w:r>
              <w:rPr>
                <w:rFonts w:ascii="Times New Roman" w:hAnsi="Times New Roman"/>
                <w:color w:val="000000"/>
                <w:sz w:val="18"/>
              </w:rPr>
              <w:t>KAB-WCE</w:t>
            </w:r>
          </w:p>
        </w:tc>
        <w:tc>
          <w:tcPr>
            <w:tcW w:type="dxa" w:w="1728"/>
          </w:tcPr>
          <w:p>
            <w:r/>
            <w:r>
              <w:rPr>
                <w:rFonts w:ascii="Times New Roman" w:hAnsi="Times New Roman"/>
                <w:color w:val="000000"/>
                <w:sz w:val="18"/>
              </w:rPr>
              <w:t>High</w:t>
            </w:r>
          </w:p>
        </w:tc>
        <w:tc>
          <w:tcPr>
            <w:tcW w:type="dxa" w:w="1728"/>
          </w:tcPr>
          <w:p>
            <w:r/>
            <w:r>
              <w:rPr>
                <w:rFonts w:ascii="Times New Roman" w:hAnsi="Times New Roman"/>
                <w:color w:val="000000"/>
                <w:sz w:val="18"/>
              </w:rPr>
              <w:t>0.590</w:t>
            </w:r>
          </w:p>
        </w:tc>
        <w:tc>
          <w:tcPr>
            <w:tcW w:type="dxa" w:w="1728"/>
          </w:tcPr>
          <w:p>
            <w:r/>
            <w:r>
              <w:rPr>
                <w:rFonts w:ascii="Times New Roman" w:hAnsi="Times New Roman"/>
                <w:color w:val="000000"/>
                <w:sz w:val="18"/>
              </w:rPr>
              <w:t>0.590</w:t>
            </w:r>
          </w:p>
        </w:tc>
        <w:tc>
          <w:tcPr>
            <w:tcW w:type="dxa" w:w="1728"/>
          </w:tcPr>
          <w:p>
            <w:r/>
            <w:r>
              <w:rPr>
                <w:rFonts w:ascii="Times New Roman" w:hAnsi="Times New Roman"/>
                <w:color w:val="000000"/>
                <w:sz w:val="18"/>
              </w:rPr>
              <w:t>0.590</w:t>
            </w:r>
          </w:p>
        </w:tc>
      </w:tr>
    </w:tbl>
    <w:p/>
    <w:p>
      <w:pPr>
        <w:spacing w:after="160" w:line="360" w:lineRule="auto"/>
        <w:jc w:val="both"/>
      </w:pPr>
      <w:r>
        <w:rPr>
          <w:rFonts w:ascii="Times New Roman" w:hAnsi="Times New Roman"/>
          <w:b w:val="0"/>
          <w:i w:val="0"/>
          <w:color w:val="000000"/>
          <w:sz w:val="24"/>
        </w:rPr>
        <w:t>McNemar (held-out): b = 13 (baseline correct, WCE wrong), c = 17 (baseline wrong, WCE correct), chi-square = 0.300, p = 0.584. The difference is not significant. AUC: baseline 0.692, WCE 0.702. The R09 McNemar finding (p = 0.037, significant) was caused by an inverted FP definition and a pipeline error; both are corrected in R10.</w:t>
      </w:r>
    </w:p>
    <w:p>
      <w:pPr>
        <w:spacing w:after="120" w:line="360" w:lineRule="auto"/>
        <w:jc w:val="left"/>
      </w:pPr>
      <w:r>
        <w:rPr>
          <w:rFonts w:ascii="Times New Roman" w:hAnsi="Times New Roman"/>
          <w:b/>
          <w:i w:val="0"/>
          <w:color w:val="000000"/>
          <w:sz w:val="26"/>
        </w:rPr>
        <w:t>R8. Transfer and Cross-Dataset Results</w:t>
      </w:r>
    </w:p>
    <w:p>
      <w:pPr>
        <w:spacing w:after="160" w:line="360" w:lineRule="auto"/>
        <w:jc w:val="both"/>
      </w:pPr>
      <w:r>
        <w:rPr>
          <w:rFonts w:ascii="Times New Roman" w:hAnsi="Times New Roman"/>
          <w:b w:val="0"/>
          <w:i w:val="0"/>
          <w:color w:val="000000"/>
          <w:sz w:val="24"/>
        </w:rPr>
        <w:t>Reported separately per leg; never pooled. KNUST is primary; Alzubaidi is an external stress-test with an imposed construct mapping (M18). The proposed model does not beat the baseline on either leg (KNUST p = 0.521, ns; Alzubaidi p = 0.914, ns). Both legs now give a null result. The R09 Alzubaidi finding (p = 0.0098) was a pipeline error, not a population finding; it is retracted and replaced by the corrected R10 result.</w:t>
      </w:r>
    </w:p>
    <w:p>
      <w:pPr>
        <w:spacing w:after="120" w:line="360" w:lineRule="auto"/>
        <w:jc w:val="left"/>
      </w:pPr>
      <w:r>
        <w:rPr>
          <w:rFonts w:ascii="Times New Roman" w:hAnsi="Times New Roman"/>
          <w:b/>
          <w:i w:val="0"/>
          <w:color w:val="000000"/>
          <w:sz w:val="26"/>
        </w:rPr>
        <w:t>R9. Computational Cost</w:t>
      </w:r>
    </w:p>
    <w:p>
      <w:pPr>
        <w:spacing w:after="160" w:line="360" w:lineRule="auto"/>
        <w:jc w:val="both"/>
      </w:pPr>
      <w:r>
        <w:rPr>
          <w:rFonts w:ascii="Times New Roman" w:hAnsi="Times New Roman"/>
          <w:b w:val="0"/>
          <w:i w:val="0"/>
          <w:color w:val="000000"/>
          <w:sz w:val="24"/>
        </w:rPr>
        <w:t>Mean per-fold training time (KNUST): baseline 22.4 ms, WCE 26.1 ms. The per-instance weight vector is a vectorised operation and costs microseconds; the difference is run-to-run scheduling noise and is not attributed to the weighting. No performance-per-cost claim is made.</w:t>
      </w:r>
    </w:p>
    <w:p>
      <w:pPr>
        <w:spacing w:after="120" w:line="360" w:lineRule="auto"/>
        <w:jc w:val="left"/>
      </w:pPr>
      <w:r>
        <w:rPr>
          <w:rFonts w:ascii="Times New Roman" w:hAnsi="Times New Roman"/>
          <w:b/>
          <w:i w:val="0"/>
          <w:color w:val="000000"/>
          <w:sz w:val="26"/>
        </w:rPr>
        <w:t>R10. Non-Confirmatory and Negative Results</w:t>
      </w:r>
    </w:p>
    <w:p>
      <w:pPr>
        <w:spacing w:after="160" w:line="360" w:lineRule="auto"/>
        <w:jc w:val="both"/>
      </w:pPr>
      <w:r>
        <w:rPr>
          <w:rFonts w:ascii="Times New Roman" w:hAnsi="Times New Roman"/>
          <w:b w:val="0"/>
          <w:i w:val="0"/>
          <w:color w:val="000000"/>
          <w:sz w:val="24"/>
        </w:rPr>
        <w:t>The study reports a null primary result across both datasets and both statistical tests. KAB-XGBoost-WCE does not beat Baseline XGBoost on KNUST (p = 0.521) or Alzubaidi (p = 0.914). The weighting's isolated ablation contribution is +0.0026 (not significant). The honest conclusion is that the KAB asymmetry weighting adds no measurable value on either dataset in the R10 run.</w:t>
      </w:r>
    </w:p>
    <w:p>
      <w:pPr>
        <w:spacing w:after="160" w:line="360" w:lineRule="auto"/>
        <w:jc w:val="both"/>
      </w:pPr>
      <w:r>
        <w:rPr>
          <w:rFonts w:ascii="Times New Roman" w:hAnsi="Times New Roman"/>
          <w:b w:val="0"/>
          <w:i w:val="0"/>
          <w:color w:val="000000"/>
          <w:sz w:val="24"/>
        </w:rPr>
        <w:t>Second, the artificial-skew test (25% minority, n = 1556) shows: Baseline F1 = 0.556, WCE F1 = 0.557 (gain +0.002, not significant), stock scale_pos_weight F1 = 0.589 (gain +0.033 vs baseline; Wilcoxon p &lt; 0.001 vs WCE). Under genuine imbalance the class-ratio weight outperforms WCE. The KAB asymmetry heuristic does not help even when imbalance is the primary concern.</w:t>
      </w:r>
    </w:p>
    <w:p>
      <w:pPr>
        <w:spacing w:after="160" w:line="360" w:lineRule="auto"/>
        <w:jc w:val="both"/>
      </w:pPr>
      <w:r>
        <w:rPr>
          <w:rFonts w:ascii="Times New Roman" w:hAnsi="Times New Roman"/>
          <w:b w:val="0"/>
          <w:i w:val="0"/>
          <w:color w:val="000000"/>
          <w:sz w:val="24"/>
        </w:rPr>
        <w:t>Third, the Decision Tree depth curve diagnoses the pre-de-duplication leakage. On the de-duplicated KNUST data the tree scores depth 1 0.6186, depth 2 0.6167, depth 3 0.6130, unlimited 0.5749. The unlimited tree is the weakest, not the strongest: once duplicate rows are removed the memorisation advantage disappears. This is the only set of depth-curve values in the document.</w:t>
      </w:r>
    </w:p>
    <w:p>
      <w:pPr>
        <w:spacing w:after="120" w:line="360" w:lineRule="auto"/>
        <w:jc w:val="left"/>
      </w:pPr>
      <w:r>
        <w:rPr>
          <w:rFonts w:ascii="Times New Roman" w:hAnsi="Times New Roman"/>
          <w:b/>
          <w:i w:val="0"/>
          <w:color w:val="000000"/>
          <w:sz w:val="26"/>
        </w:rPr>
        <w:t>R11. Robustness and Subgroup Analysis (KNUST)</w:t>
      </w:r>
    </w:p>
    <w:p>
      <w:pPr>
        <w:spacing w:after="160" w:line="360" w:lineRule="auto"/>
        <w:jc w:val="both"/>
      </w:pPr>
      <w:r>
        <w:rPr>
          <w:rFonts w:ascii="Times New Roman" w:hAnsi="Times New Roman"/>
          <w:b w:val="0"/>
          <w:i w:val="0"/>
          <w:color w:val="000000"/>
          <w:sz w:val="24"/>
        </w:rPr>
        <w:t>Ordinal robustness. Each ordinal item was shifted plus or minus one level (clipped to valid range) over 100 bootstrap iterations. K_agg and A_agg were recomputed from the perturbed items in each trial. KNUST: base F1 = 0.643, perturbed mean = 0.638 (SD = 0.011), change = -0.005 (perturbed minus base), bootstrap 95% CI [0.596, 0.690]. Alzubaidi: base F1 = 0.678, perturbed mean = 0.655 (SD = 0.008), change = -0.023, bootstrap 95% CI [0.616, 0.737]. Both datasets show modest, stable degradation. The model is not brittle to minor measurement error in the survey items.</w:t>
      </w:r>
    </w:p>
    <w:p>
      <w:pPr>
        <w:spacing w:after="160" w:line="360" w:lineRule="auto"/>
        <w:jc w:val="both"/>
      </w:pPr>
      <w:r>
        <w:rPr>
          <w:rFonts w:ascii="Times New Roman" w:hAnsi="Times New Roman"/>
          <w:b w:val="0"/>
          <w:i w:val="0"/>
          <w:color w:val="000000"/>
          <w:sz w:val="24"/>
        </w:rPr>
        <w:t>Seed sensitivity. The full 5x10 CV was repeated across five seeds (0, 7, 13, 21, 42). Delta (WCE - Baseline) ranged from -0.009 to -0.001 across all seeds; no seed produced a significant WCE advantage. The null result is stable and not an artefact of the default seed.</w:t>
      </w:r>
    </w:p>
    <w:p>
      <w:pPr>
        <w:spacing w:after="160" w:line="360" w:lineRule="auto"/>
        <w:jc w:val="both"/>
      </w:pPr>
      <w:r>
        <w:rPr>
          <w:rFonts w:ascii="Times New Roman" w:hAnsi="Times New Roman"/>
          <w:b w:val="0"/>
          <w:i w:val="0"/>
          <w:color w:val="000000"/>
          <w:sz w:val="24"/>
        </w:rPr>
        <w:t>Subgroup analysis and threshold sensitivity are in Table 7. Performance is broadly similar across year of study and prior IT coursework, and the null result holds at tertile and quartile thresholds as well as at the median.</w:t>
      </w:r>
    </w:p>
    <w:p>
      <w:pPr>
        <w:spacing w:after="80" w:line="360" w:lineRule="auto"/>
        <w:jc w:val="both"/>
      </w:pPr>
      <w:r>
        <w:rPr>
          <w:rFonts w:ascii="Times New Roman" w:hAnsi="Times New Roman"/>
          <w:b w:val="0"/>
          <w:i/>
          <w:color w:val="000000"/>
          <w:sz w:val="20"/>
        </w:rPr>
        <w:t>Table 7. Subgroup macro F1 (out-of-fold) and Behaviour-score threshold sensitivity, KNUST.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Group / threshold</w:t>
            </w:r>
          </w:p>
        </w:tc>
        <w:tc>
          <w:tcPr>
            <w:tcW w:type="dxa" w:w="2160"/>
          </w:tcPr>
          <w:p>
            <w:r/>
            <w:r>
              <w:rPr>
                <w:rFonts w:ascii="Times New Roman" w:hAnsi="Times New Roman"/>
                <w:b/>
                <w:color w:val="000000"/>
                <w:sz w:val="18"/>
              </w:rPr>
              <w:t>n or share</w:t>
            </w:r>
          </w:p>
        </w:tc>
        <w:tc>
          <w:tcPr>
            <w:tcW w:type="dxa" w:w="2160"/>
          </w:tcPr>
          <w:p>
            <w:r/>
            <w:r>
              <w:rPr>
                <w:rFonts w:ascii="Times New Roman" w:hAnsi="Times New Roman"/>
                <w:b/>
                <w:color w:val="000000"/>
                <w:sz w:val="18"/>
              </w:rPr>
              <w:t>Macro F1</w:t>
            </w:r>
          </w:p>
        </w:tc>
        <w:tc>
          <w:tcPr>
            <w:tcW w:type="dxa" w:w="2160"/>
          </w:tcPr>
          <w:p>
            <w:r/>
            <w:r>
              <w:rPr>
                <w:rFonts w:ascii="Times New Roman" w:hAnsi="Times New Roman"/>
                <w:b/>
                <w:color w:val="000000"/>
                <w:sz w:val="18"/>
              </w:rPr>
              <w:t>Note</w:t>
            </w:r>
          </w:p>
        </w:tc>
      </w:tr>
      <w:tr>
        <w:tc>
          <w:tcPr>
            <w:tcW w:type="dxa" w:w="2160"/>
          </w:tcPr>
          <w:p>
            <w:r/>
            <w:r>
              <w:rPr>
                <w:rFonts w:ascii="Times New Roman" w:hAnsi="Times New Roman"/>
                <w:color w:val="000000"/>
                <w:sz w:val="18"/>
              </w:rPr>
              <w:t>Year: Year group A</w:t>
            </w:r>
          </w:p>
        </w:tc>
        <w:tc>
          <w:tcPr>
            <w:tcW w:type="dxa" w:w="2160"/>
          </w:tcPr>
          <w:p>
            <w:r/>
            <w:r>
              <w:rPr>
                <w:rFonts w:ascii="Times New Roman" w:hAnsi="Times New Roman"/>
                <w:color w:val="000000"/>
                <w:sz w:val="18"/>
              </w:rPr>
              <w:t>519</w:t>
            </w:r>
          </w:p>
        </w:tc>
        <w:tc>
          <w:tcPr>
            <w:tcW w:type="dxa" w:w="2160"/>
          </w:tcPr>
          <w:p>
            <w:r/>
            <w:r>
              <w:rPr>
                <w:rFonts w:ascii="Times New Roman" w:hAnsi="Times New Roman"/>
                <w:color w:val="000000"/>
                <w:sz w:val="18"/>
              </w:rPr>
              <w:t>0.6346</w:t>
            </w:r>
          </w:p>
        </w:tc>
        <w:tc>
          <w:tcPr>
            <w:tcW w:type="dxa" w:w="2160"/>
          </w:tcPr>
          <w:p>
            <w:r/>
            <w:r>
              <w:rPr>
                <w:rFonts w:ascii="Times New Roman" w:hAnsi="Times New Roman"/>
                <w:color w:val="000000"/>
                <w:sz w:val="18"/>
              </w:rPr>
            </w:r>
          </w:p>
        </w:tc>
      </w:tr>
      <w:tr>
        <w:tc>
          <w:tcPr>
            <w:tcW w:type="dxa" w:w="2160"/>
          </w:tcPr>
          <w:p>
            <w:r/>
            <w:r>
              <w:rPr>
                <w:rFonts w:ascii="Times New Roman" w:hAnsi="Times New Roman"/>
                <w:color w:val="000000"/>
                <w:sz w:val="18"/>
              </w:rPr>
              <w:t>Year: Year group B</w:t>
            </w:r>
          </w:p>
        </w:tc>
        <w:tc>
          <w:tcPr>
            <w:tcW w:type="dxa" w:w="2160"/>
          </w:tcPr>
          <w:p>
            <w:r/>
            <w:r>
              <w:rPr>
                <w:rFonts w:ascii="Times New Roman" w:hAnsi="Times New Roman"/>
                <w:color w:val="000000"/>
                <w:sz w:val="18"/>
              </w:rPr>
              <w:t>835</w:t>
            </w:r>
          </w:p>
        </w:tc>
        <w:tc>
          <w:tcPr>
            <w:tcW w:type="dxa" w:w="2160"/>
          </w:tcPr>
          <w:p>
            <w:r/>
            <w:r>
              <w:rPr>
                <w:rFonts w:ascii="Times New Roman" w:hAnsi="Times New Roman"/>
                <w:color w:val="000000"/>
                <w:sz w:val="18"/>
              </w:rPr>
              <w:t>0.6499</w:t>
            </w:r>
          </w:p>
        </w:tc>
        <w:tc>
          <w:tcPr>
            <w:tcW w:type="dxa" w:w="2160"/>
          </w:tcPr>
          <w:p>
            <w:r/>
            <w:r>
              <w:rPr>
                <w:rFonts w:ascii="Times New Roman" w:hAnsi="Times New Roman"/>
                <w:color w:val="000000"/>
                <w:sz w:val="18"/>
              </w:rPr>
            </w:r>
          </w:p>
        </w:tc>
      </w:tr>
      <w:tr>
        <w:tc>
          <w:tcPr>
            <w:tcW w:type="dxa" w:w="2160"/>
          </w:tcPr>
          <w:p>
            <w:r/>
            <w:r>
              <w:rPr>
                <w:rFonts w:ascii="Times New Roman" w:hAnsi="Times New Roman"/>
                <w:color w:val="000000"/>
                <w:sz w:val="18"/>
              </w:rPr>
              <w:t>Year: Year group C</w:t>
            </w:r>
          </w:p>
        </w:tc>
        <w:tc>
          <w:tcPr>
            <w:tcW w:type="dxa" w:w="2160"/>
          </w:tcPr>
          <w:p>
            <w:r/>
            <w:r>
              <w:rPr>
                <w:rFonts w:ascii="Times New Roman" w:hAnsi="Times New Roman"/>
                <w:color w:val="000000"/>
                <w:sz w:val="18"/>
              </w:rPr>
              <w:t>734</w:t>
            </w:r>
          </w:p>
        </w:tc>
        <w:tc>
          <w:tcPr>
            <w:tcW w:type="dxa" w:w="2160"/>
          </w:tcPr>
          <w:p>
            <w:r/>
            <w:r>
              <w:rPr>
                <w:rFonts w:ascii="Times New Roman" w:hAnsi="Times New Roman"/>
                <w:color w:val="000000"/>
                <w:sz w:val="18"/>
              </w:rPr>
              <w:t>0.6584</w:t>
            </w:r>
          </w:p>
        </w:tc>
        <w:tc>
          <w:tcPr>
            <w:tcW w:type="dxa" w:w="2160"/>
          </w:tcPr>
          <w:p>
            <w:r/>
            <w:r>
              <w:rPr>
                <w:rFonts w:ascii="Times New Roman" w:hAnsi="Times New Roman"/>
                <w:color w:val="000000"/>
                <w:sz w:val="18"/>
              </w:rPr>
            </w:r>
          </w:p>
        </w:tc>
      </w:tr>
      <w:tr>
        <w:tc>
          <w:tcPr>
            <w:tcW w:type="dxa" w:w="2160"/>
          </w:tcPr>
          <w:p>
            <w:r/>
            <w:r>
              <w:rPr>
                <w:rFonts w:ascii="Times New Roman" w:hAnsi="Times New Roman"/>
                <w:color w:val="000000"/>
                <w:sz w:val="18"/>
              </w:rPr>
              <w:t>IT: No prior IT course</w:t>
            </w:r>
          </w:p>
        </w:tc>
        <w:tc>
          <w:tcPr>
            <w:tcW w:type="dxa" w:w="2160"/>
          </w:tcPr>
          <w:p>
            <w:r/>
            <w:r>
              <w:rPr>
                <w:rFonts w:ascii="Times New Roman" w:hAnsi="Times New Roman"/>
                <w:color w:val="000000"/>
                <w:sz w:val="18"/>
              </w:rPr>
              <w:t>1497</w:t>
            </w:r>
          </w:p>
        </w:tc>
        <w:tc>
          <w:tcPr>
            <w:tcW w:type="dxa" w:w="2160"/>
          </w:tcPr>
          <w:p>
            <w:r/>
            <w:r>
              <w:rPr>
                <w:rFonts w:ascii="Times New Roman" w:hAnsi="Times New Roman"/>
                <w:color w:val="000000"/>
                <w:sz w:val="18"/>
              </w:rPr>
              <w:t>0.6531</w:t>
            </w:r>
          </w:p>
        </w:tc>
        <w:tc>
          <w:tcPr>
            <w:tcW w:type="dxa" w:w="2160"/>
          </w:tcPr>
          <w:p>
            <w:r/>
            <w:r>
              <w:rPr>
                <w:rFonts w:ascii="Times New Roman" w:hAnsi="Times New Roman"/>
                <w:color w:val="000000"/>
                <w:sz w:val="18"/>
              </w:rPr>
            </w:r>
          </w:p>
        </w:tc>
      </w:tr>
      <w:tr>
        <w:tc>
          <w:tcPr>
            <w:tcW w:type="dxa" w:w="2160"/>
          </w:tcPr>
          <w:p>
            <w:r/>
            <w:r>
              <w:rPr>
                <w:rFonts w:ascii="Times New Roman" w:hAnsi="Times New Roman"/>
                <w:color w:val="000000"/>
                <w:sz w:val="18"/>
              </w:rPr>
              <w:t>IT: Prior IT course</w:t>
            </w:r>
          </w:p>
        </w:tc>
        <w:tc>
          <w:tcPr>
            <w:tcW w:type="dxa" w:w="2160"/>
          </w:tcPr>
          <w:p>
            <w:r/>
            <w:r>
              <w:rPr>
                <w:rFonts w:ascii="Times New Roman" w:hAnsi="Times New Roman"/>
                <w:color w:val="000000"/>
                <w:sz w:val="18"/>
              </w:rPr>
              <w:t>591</w:t>
            </w:r>
          </w:p>
        </w:tc>
        <w:tc>
          <w:tcPr>
            <w:tcW w:type="dxa" w:w="2160"/>
          </w:tcPr>
          <w:p>
            <w:r/>
            <w:r>
              <w:rPr>
                <w:rFonts w:ascii="Times New Roman" w:hAnsi="Times New Roman"/>
                <w:color w:val="000000"/>
                <w:sz w:val="18"/>
              </w:rPr>
              <w:t>0.6250</w:t>
            </w:r>
          </w:p>
        </w:tc>
        <w:tc>
          <w:tcPr>
            <w:tcW w:type="dxa" w:w="2160"/>
          </w:tcPr>
          <w:p>
            <w:r/>
            <w:r>
              <w:rPr>
                <w:rFonts w:ascii="Times New Roman" w:hAnsi="Times New Roman"/>
                <w:color w:val="000000"/>
                <w:sz w:val="18"/>
              </w:rPr>
            </w:r>
          </w:p>
        </w:tc>
      </w:tr>
      <w:tr>
        <w:tc>
          <w:tcPr>
            <w:tcW w:type="dxa" w:w="2160"/>
          </w:tcPr>
          <w:p>
            <w:r/>
            <w:r>
              <w:rPr>
                <w:rFonts w:ascii="Times New Roman" w:hAnsi="Times New Roman"/>
                <w:color w:val="000000"/>
                <w:sz w:val="18"/>
              </w:rPr>
              <w:t>Threshold: median</w:t>
            </w:r>
          </w:p>
        </w:tc>
        <w:tc>
          <w:tcPr>
            <w:tcW w:type="dxa" w:w="2160"/>
          </w:tcPr>
          <w:p>
            <w:r/>
            <w:r>
              <w:rPr>
                <w:rFonts w:ascii="Times New Roman" w:hAnsi="Times New Roman"/>
                <w:color w:val="000000"/>
                <w:sz w:val="18"/>
              </w:rPr>
              <w:t>low 55%</w:t>
            </w:r>
          </w:p>
        </w:tc>
        <w:tc>
          <w:tcPr>
            <w:tcW w:type="dxa" w:w="2160"/>
          </w:tcPr>
          <w:p>
            <w:r/>
            <w:r>
              <w:rPr>
                <w:rFonts w:ascii="Times New Roman" w:hAnsi="Times New Roman"/>
                <w:color w:val="000000"/>
                <w:sz w:val="18"/>
              </w:rPr>
              <w:t>0.6495</w:t>
            </w:r>
          </w:p>
        </w:tc>
        <w:tc>
          <w:tcPr>
            <w:tcW w:type="dxa" w:w="2160"/>
          </w:tcPr>
          <w:p>
            <w:r/>
            <w:r>
              <w:rPr>
                <w:rFonts w:ascii="Times New Roman" w:hAnsi="Times New Roman"/>
                <w:color w:val="000000"/>
                <w:sz w:val="18"/>
              </w:rPr>
              <w:t>cut 18</w:t>
            </w:r>
          </w:p>
        </w:tc>
      </w:tr>
      <w:tr>
        <w:tc>
          <w:tcPr>
            <w:tcW w:type="dxa" w:w="2160"/>
          </w:tcPr>
          <w:p>
            <w:r/>
            <w:r>
              <w:rPr>
                <w:rFonts w:ascii="Times New Roman" w:hAnsi="Times New Roman"/>
                <w:color w:val="000000"/>
                <w:sz w:val="18"/>
              </w:rPr>
              <w:t>Threshold: tertile_top</w:t>
            </w:r>
          </w:p>
        </w:tc>
        <w:tc>
          <w:tcPr>
            <w:tcW w:type="dxa" w:w="2160"/>
          </w:tcPr>
          <w:p>
            <w:r/>
            <w:r>
              <w:rPr>
                <w:rFonts w:ascii="Times New Roman" w:hAnsi="Times New Roman"/>
                <w:color w:val="000000"/>
                <w:sz w:val="18"/>
              </w:rPr>
              <w:t>low 70%</w:t>
            </w:r>
          </w:p>
        </w:tc>
        <w:tc>
          <w:tcPr>
            <w:tcW w:type="dxa" w:w="2160"/>
          </w:tcPr>
          <w:p>
            <w:r/>
            <w:r>
              <w:rPr>
                <w:rFonts w:ascii="Times New Roman" w:hAnsi="Times New Roman"/>
                <w:color w:val="000000"/>
                <w:sz w:val="18"/>
              </w:rPr>
              <w:t>0.5921</w:t>
            </w:r>
          </w:p>
        </w:tc>
        <w:tc>
          <w:tcPr>
            <w:tcW w:type="dxa" w:w="2160"/>
          </w:tcPr>
          <w:p>
            <w:r/>
            <w:r>
              <w:rPr>
                <w:rFonts w:ascii="Times New Roman" w:hAnsi="Times New Roman"/>
                <w:color w:val="000000"/>
                <w:sz w:val="18"/>
              </w:rPr>
              <w:t>cut 20</w:t>
            </w:r>
          </w:p>
        </w:tc>
      </w:tr>
      <w:tr>
        <w:tc>
          <w:tcPr>
            <w:tcW w:type="dxa" w:w="2160"/>
          </w:tcPr>
          <w:p>
            <w:r/>
            <w:r>
              <w:rPr>
                <w:rFonts w:ascii="Times New Roman" w:hAnsi="Times New Roman"/>
                <w:color w:val="000000"/>
                <w:sz w:val="18"/>
              </w:rPr>
              <w:t>Threshold: quartile_top</w:t>
            </w:r>
          </w:p>
        </w:tc>
        <w:tc>
          <w:tcPr>
            <w:tcW w:type="dxa" w:w="2160"/>
          </w:tcPr>
          <w:p>
            <w:r/>
            <w:r>
              <w:rPr>
                <w:rFonts w:ascii="Times New Roman" w:hAnsi="Times New Roman"/>
                <w:color w:val="000000"/>
                <w:sz w:val="18"/>
              </w:rPr>
              <w:t>low 76%</w:t>
            </w:r>
          </w:p>
        </w:tc>
        <w:tc>
          <w:tcPr>
            <w:tcW w:type="dxa" w:w="2160"/>
          </w:tcPr>
          <w:p>
            <w:r/>
            <w:r>
              <w:rPr>
                <w:rFonts w:ascii="Times New Roman" w:hAnsi="Times New Roman"/>
                <w:color w:val="000000"/>
                <w:sz w:val="18"/>
              </w:rPr>
              <w:t>0.5937</w:t>
            </w:r>
          </w:p>
        </w:tc>
        <w:tc>
          <w:tcPr>
            <w:tcW w:type="dxa" w:w="2160"/>
          </w:tcPr>
          <w:p>
            <w:r/>
            <w:r>
              <w:rPr>
                <w:rFonts w:ascii="Times New Roman" w:hAnsi="Times New Roman"/>
                <w:color w:val="000000"/>
                <w:sz w:val="18"/>
              </w:rPr>
              <w:t>cut 21</w:t>
            </w:r>
          </w:p>
        </w:tc>
      </w:tr>
    </w:tbl>
    <w:p/>
    <w:p>
      <w:pPr>
        <w:spacing w:after="160" w:line="360" w:lineRule="auto"/>
        <w:jc w:val="both"/>
      </w:pPr>
      <w:r>
        <w:rPr>
          <w:rFonts w:ascii="Times New Roman" w:hAnsi="Times New Roman"/>
          <w:b w:val="0"/>
          <w:i w:val="0"/>
          <w:color w:val="000000"/>
          <w:sz w:val="24"/>
        </w:rPr>
        <w:t>Behaviour-score distribution around the median (18.0): counts at scores 16 to 20 are 16: 128, 17: 146, 18: 140, 19: 139, 20: 155. The classes are not driven by a spike at a single score, so the median split is not an artefact of a degenerate distribution.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