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60" w:lineRule="auto"/>
        <w:jc w:val="center"/>
      </w:pPr>
      <w:r>
        <w:rPr>
          <w:rFonts w:ascii="Times New Roman" w:hAnsi="Times New Roman"/>
          <w:b/>
          <w:i w:val="0"/>
          <w:color w:val="000000"/>
          <w:sz w:val="22"/>
        </w:rPr>
        <w:t>CAN-DO RESEARCH LAB | KNUST DEPARTMENT OF COMPUTER SCIENCE</w:t>
      </w:r>
    </w:p>
    <w:p>
      <w:pPr>
        <w:spacing w:after="40" w:line="360" w:lineRule="auto"/>
        <w:jc w:val="center"/>
      </w:pPr>
      <w:r>
        <w:rPr>
          <w:rFonts w:ascii="Times New Roman" w:hAnsi="Times New Roman"/>
          <w:b/>
          <w:i w:val="0"/>
          <w:color w:val="000000"/>
          <w:sz w:val="20"/>
        </w:rPr>
        <w:t>PHASE 1 - STEP 1.2 - TESTBED SUBMISSION</w:t>
      </w:r>
    </w:p>
    <w:p>
      <w:pPr>
        <w:spacing w:after="200" w:line="360" w:lineRule="auto"/>
        <w:jc w:val="center"/>
      </w:pPr>
      <w:r>
        <w:rPr>
          <w:rFonts w:ascii="Times New Roman" w:hAnsi="Times New Roman"/>
          <w:b/>
          <w:i w:val="0"/>
          <w:color w:val="000000"/>
          <w:sz w:val="20"/>
        </w:rPr>
        <w:t>ML RESULTS AND ANALYSIS SECTION - R09 (TWO-DATASET SINGLE-RUN REBUILD)</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Field</w:t>
            </w:r>
          </w:p>
        </w:tc>
        <w:tc>
          <w:tcPr>
            <w:tcW w:type="dxa" w:w="2160"/>
          </w:tcPr>
          <w:p>
            <w:r/>
            <w:r>
              <w:rPr>
                <w:rFonts w:ascii="Times New Roman" w:hAnsi="Times New Roman"/>
                <w:b/>
                <w:color w:val="000000"/>
                <w:sz w:val="18"/>
              </w:rPr>
              <w:t>Value</w:t>
            </w:r>
          </w:p>
        </w:tc>
        <w:tc>
          <w:tcPr>
            <w:tcW w:type="dxa" w:w="2160"/>
          </w:tcPr>
          <w:p>
            <w:r/>
            <w:r>
              <w:rPr>
                <w:rFonts w:ascii="Times New Roman" w:hAnsi="Times New Roman"/>
                <w:b/>
                <w:color w:val="000000"/>
                <w:sz w:val="18"/>
              </w:rPr>
              <w:t>Field</w:t>
            </w:r>
          </w:p>
        </w:tc>
        <w:tc>
          <w:tcPr>
            <w:tcW w:type="dxa" w:w="2160"/>
          </w:tcPr>
          <w:p>
            <w:r/>
            <w:r>
              <w:rPr>
                <w:rFonts w:ascii="Times New Roman" w:hAnsi="Times New Roman"/>
                <w:b/>
                <w:color w:val="000000"/>
                <w:sz w:val="18"/>
              </w:rPr>
              <w:t>Value</w:t>
            </w:r>
          </w:p>
        </w:tc>
      </w:tr>
      <w:tr>
        <w:tc>
          <w:tcPr>
            <w:tcW w:type="dxa" w:w="2160"/>
          </w:tcPr>
          <w:p>
            <w:r/>
            <w:r>
              <w:rPr>
                <w:rFonts w:ascii="Times New Roman" w:hAnsi="Times New Roman"/>
                <w:color w:val="000000"/>
                <w:sz w:val="18"/>
              </w:rPr>
              <w:t>Student</w:t>
            </w:r>
          </w:p>
        </w:tc>
        <w:tc>
          <w:tcPr>
            <w:tcW w:type="dxa" w:w="2160"/>
          </w:tcPr>
          <w:p>
            <w:r/>
            <w:r>
              <w:rPr>
                <w:rFonts w:ascii="Times New Roman" w:hAnsi="Times New Roman"/>
                <w:color w:val="000000"/>
                <w:sz w:val="18"/>
              </w:rPr>
              <w:t>Prince Ofori</w:t>
            </w:r>
          </w:p>
        </w:tc>
        <w:tc>
          <w:tcPr>
            <w:tcW w:type="dxa" w:w="2160"/>
          </w:tcPr>
          <w:p>
            <w:r/>
            <w:r>
              <w:rPr>
                <w:rFonts w:ascii="Times New Roman" w:hAnsi="Times New Roman"/>
                <w:color w:val="000000"/>
                <w:sz w:val="18"/>
              </w:rPr>
              <w:t>Round</w:t>
            </w:r>
          </w:p>
        </w:tc>
        <w:tc>
          <w:tcPr>
            <w:tcW w:type="dxa" w:w="2160"/>
          </w:tcPr>
          <w:p>
            <w:r/>
            <w:r>
              <w:rPr>
                <w:rFonts w:ascii="Times New Roman" w:hAnsi="Times New Roman"/>
                <w:color w:val="000000"/>
                <w:sz w:val="18"/>
              </w:rPr>
              <w:t>R09</w:t>
            </w:r>
          </w:p>
        </w:tc>
      </w:tr>
      <w:tr>
        <w:tc>
          <w:tcPr>
            <w:tcW w:type="dxa" w:w="2160"/>
          </w:tcPr>
          <w:p>
            <w:r/>
            <w:r>
              <w:rPr>
                <w:rFonts w:ascii="Times New Roman" w:hAnsi="Times New Roman"/>
                <w:color w:val="000000"/>
                <w:sz w:val="18"/>
              </w:rPr>
              <w:t>Primary metric</w:t>
            </w:r>
          </w:p>
        </w:tc>
        <w:tc>
          <w:tcPr>
            <w:tcW w:type="dxa" w:w="2160"/>
          </w:tcPr>
          <w:p>
            <w:r/>
            <w:r>
              <w:rPr>
                <w:rFonts w:ascii="Times New Roman" w:hAnsi="Times New Roman"/>
                <w:color w:val="000000"/>
                <w:sz w:val="18"/>
              </w:rPr>
              <w:t>Macro F1</w:t>
            </w:r>
          </w:p>
        </w:tc>
        <w:tc>
          <w:tcPr>
            <w:tcW w:type="dxa" w:w="2160"/>
          </w:tcPr>
          <w:p>
            <w:r/>
            <w:r>
              <w:rPr>
                <w:rFonts w:ascii="Times New Roman" w:hAnsi="Times New Roman"/>
                <w:color w:val="000000"/>
                <w:sz w:val="18"/>
              </w:rPr>
              <w:t>Test</w:t>
            </w:r>
          </w:p>
        </w:tc>
        <w:tc>
          <w:tcPr>
            <w:tcW w:type="dxa" w:w="2160"/>
          </w:tcPr>
          <w:p>
            <w:r/>
            <w:r>
              <w:rPr>
                <w:rFonts w:ascii="Times New Roman" w:hAnsi="Times New Roman"/>
                <w:color w:val="000000"/>
                <w:sz w:val="18"/>
              </w:rPr>
              <w:t>Wilcoxon signed-rank</w:t>
            </w:r>
          </w:p>
        </w:tc>
      </w:tr>
      <w:tr>
        <w:tc>
          <w:tcPr>
            <w:tcW w:type="dxa" w:w="2160"/>
          </w:tcPr>
          <w:p>
            <w:r/>
            <w:r>
              <w:rPr>
                <w:rFonts w:ascii="Times New Roman" w:hAnsi="Times New Roman"/>
                <w:color w:val="000000"/>
                <w:sz w:val="18"/>
              </w:rPr>
              <w:t>Protocol</w:t>
            </w:r>
          </w:p>
        </w:tc>
        <w:tc>
          <w:tcPr>
            <w:tcW w:type="dxa" w:w="2160"/>
          </w:tcPr>
          <w:p>
            <w:r/>
            <w:r>
              <w:rPr>
                <w:rFonts w:ascii="Times New Roman" w:hAnsi="Times New Roman"/>
                <w:color w:val="000000"/>
                <w:sz w:val="18"/>
              </w:rPr>
              <w:t>5 x 10-fold nested CV</w:t>
            </w:r>
          </w:p>
        </w:tc>
        <w:tc>
          <w:tcPr>
            <w:tcW w:type="dxa" w:w="2160"/>
          </w:tcPr>
          <w:p>
            <w:r/>
            <w:r>
              <w:rPr>
                <w:rFonts w:ascii="Times New Roman" w:hAnsi="Times New Roman"/>
                <w:color w:val="000000"/>
                <w:sz w:val="18"/>
              </w:rPr>
              <w:t>Datasets</w:t>
            </w:r>
          </w:p>
        </w:tc>
        <w:tc>
          <w:tcPr>
            <w:tcW w:type="dxa" w:w="2160"/>
          </w:tcPr>
          <w:p>
            <w:r/>
            <w:r>
              <w:rPr>
                <w:rFonts w:ascii="Times New Roman" w:hAnsi="Times New Roman"/>
                <w:color w:val="000000"/>
                <w:sz w:val="18"/>
              </w:rPr>
              <w:t>KNUST + Alzubaidi</w:t>
            </w:r>
          </w:p>
        </w:tc>
      </w:tr>
      <w:tr>
        <w:tc>
          <w:tcPr>
            <w:tcW w:type="dxa" w:w="2160"/>
          </w:tcPr>
          <w:p>
            <w:r/>
            <w:r>
              <w:rPr>
                <w:rFonts w:ascii="Times New Roman" w:hAnsi="Times New Roman"/>
                <w:color w:val="000000"/>
                <w:sz w:val="18"/>
              </w:rPr>
              <w:t>KNUST exports</w:t>
            </w:r>
          </w:p>
        </w:tc>
        <w:tc>
          <w:tcPr>
            <w:tcW w:type="dxa" w:w="2160"/>
          </w:tcPr>
          <w:p>
            <w:r/>
            <w:r>
              <w:rPr>
                <w:rFonts w:ascii="Times New Roman" w:hAnsi="Times New Roman"/>
                <w:color w:val="000000"/>
                <w:sz w:val="18"/>
              </w:rPr>
              <w:t>fold_level_results_knust.csv</w:t>
            </w:r>
          </w:p>
        </w:tc>
        <w:tc>
          <w:tcPr>
            <w:tcW w:type="dxa" w:w="2160"/>
          </w:tcPr>
          <w:p>
            <w:r/>
            <w:r>
              <w:rPr>
                <w:rFonts w:ascii="Times New Roman" w:hAnsi="Times New Roman"/>
                <w:color w:val="000000"/>
                <w:sz w:val="18"/>
              </w:rPr>
              <w:t>Alzubaidi exports</w:t>
            </w:r>
          </w:p>
        </w:tc>
        <w:tc>
          <w:tcPr>
            <w:tcW w:type="dxa" w:w="2160"/>
          </w:tcPr>
          <w:p>
            <w:r/>
            <w:r>
              <w:rPr>
                <w:rFonts w:ascii="Times New Roman" w:hAnsi="Times New Roman"/>
                <w:color w:val="000000"/>
                <w:sz w:val="18"/>
              </w:rPr>
              <w:t>fold_level_results_alzubaidi.csv</w:t>
            </w:r>
          </w:p>
        </w:tc>
      </w:tr>
    </w:tbl>
    <w:p/>
    <w:p>
      <w:pPr>
        <w:spacing w:after="120" w:line="360" w:lineRule="auto"/>
        <w:jc w:val="left"/>
      </w:pPr>
      <w:r>
        <w:rPr>
          <w:rFonts w:ascii="Times New Roman" w:hAnsi="Times New Roman"/>
          <w:b/>
          <w:i w:val="0"/>
          <w:color w:val="000000"/>
          <w:sz w:val="26"/>
        </w:rPr>
        <w:t>R1. Evaluation Corpus and Partition Summary</w:t>
      </w:r>
    </w:p>
    <w:p>
      <w:pPr>
        <w:spacing w:after="160" w:line="360" w:lineRule="auto"/>
        <w:jc w:val="both"/>
      </w:pPr>
      <w:r>
        <w:rPr>
          <w:rFonts w:ascii="Times New Roman" w:hAnsi="Times New Roman"/>
          <w:b w:val="0"/>
          <w:i w:val="0"/>
          <w:color w:val="000000"/>
          <w:sz w:val="24"/>
        </w:rPr>
        <w:t>All numbers come from a single pipeline run; per-fold scores are in the two fold-level CSVs. KNUST: raw 4121 rows, 2033 exact duplicates removed (49.3%), 2088 unique retained; label median 18.0; Low 1167 (55.9%), High 921 (44.1%); X.shape (2088, 17). Alzubaidi: 1231 responses; Low 539, High 692; X.shape (1231, 28). Behaviour-score distribution around the KNUST median and threshold sensitivity are in Table 7 (R11).</w:t>
      </w:r>
    </w:p>
    <w:p>
      <w:pPr>
        <w:spacing w:after="120" w:line="360" w:lineRule="auto"/>
        <w:jc w:val="left"/>
      </w:pPr>
      <w:r>
        <w:rPr>
          <w:rFonts w:ascii="Times New Roman" w:hAnsi="Times New Roman"/>
          <w:b/>
          <w:i w:val="0"/>
          <w:color w:val="000000"/>
          <w:sz w:val="26"/>
        </w:rPr>
        <w:t>R2. Baseline versus Proposed Model Performance</w:t>
      </w:r>
    </w:p>
    <w:p>
      <w:pPr>
        <w:spacing w:after="160" w:line="360" w:lineRule="auto"/>
        <w:jc w:val="both"/>
      </w:pPr>
      <w:r>
        <w:rPr>
          <w:rFonts w:ascii="Times New Roman" w:hAnsi="Times New Roman"/>
          <w:b w:val="0"/>
          <w:i w:val="0"/>
          <w:color w:val="000000"/>
          <w:sz w:val="24"/>
        </w:rPr>
        <w:t>Table 3 reports macro F1 for all eight classifiers on both datasets over 50 folds. On KNUST, KAB-XGBoost-WCE scored 0.6436 (SD 0.0341) versus Baseline XGBoost 0.6477 (0.0364); the baseline is ahead by 0.0041 and the difference is not significant (Wilcoxon p = 0.188). Naive Bayes (0.6605) significantly outperforms the proposed model (p = 0.0001); this is reported rather than omitted, and reinforces that the engineered weighting does not add value on this near-balanced dataset. On Alzubaidi, KAB-XGBoost-WCE scored 0.6808 versus Baseline 0.6908; the baseline is again ahead and the difference is significant (p = 0.0098), i.e. the proposed model is significantly worse than the baseline on the external dataset. The weighting mechanism is therefore not beneficial on either dataset.</w:t>
      </w:r>
    </w:p>
    <w:p>
      <w:pPr>
        <w:spacing w:after="80" w:line="360" w:lineRule="auto"/>
        <w:jc w:val="both"/>
      </w:pPr>
      <w:r>
        <w:rPr>
          <w:rFonts w:ascii="Times New Roman" w:hAnsi="Times New Roman"/>
          <w:b w:val="0"/>
          <w:i/>
          <w:color w:val="000000"/>
          <w:sz w:val="20"/>
        </w:rPr>
        <w:t>Table 3a. Macro F1 over 50 folds, KNUST. Delta vs KAB-XGBoost-WCE.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Model</w:t>
            </w:r>
          </w:p>
        </w:tc>
        <w:tc>
          <w:tcPr>
            <w:tcW w:type="dxa" w:w="2160"/>
          </w:tcPr>
          <w:p>
            <w:r/>
            <w:r>
              <w:rPr>
                <w:rFonts w:ascii="Times New Roman" w:hAnsi="Times New Roman"/>
                <w:b/>
                <w:color w:val="000000"/>
                <w:sz w:val="18"/>
              </w:rPr>
              <w:t>Macro F1</w:t>
            </w:r>
          </w:p>
        </w:tc>
        <w:tc>
          <w:tcPr>
            <w:tcW w:type="dxa" w:w="2160"/>
          </w:tcPr>
          <w:p>
            <w:r/>
            <w:r>
              <w:rPr>
                <w:rFonts w:ascii="Times New Roman" w:hAnsi="Times New Roman"/>
                <w:b/>
                <w:color w:val="000000"/>
                <w:sz w:val="18"/>
              </w:rPr>
              <w:t>SD</w:t>
            </w:r>
          </w:p>
        </w:tc>
        <w:tc>
          <w:tcPr>
            <w:tcW w:type="dxa" w:w="2160"/>
          </w:tcPr>
          <w:p>
            <w:r/>
            <w:r>
              <w:rPr>
                <w:rFonts w:ascii="Times New Roman" w:hAnsi="Times New Roman"/>
                <w:b/>
                <w:color w:val="000000"/>
                <w:sz w:val="18"/>
              </w:rPr>
              <w:t>Delta</w:t>
            </w:r>
          </w:p>
        </w:tc>
      </w:tr>
      <w:tr>
        <w:tc>
          <w:tcPr>
            <w:tcW w:type="dxa" w:w="2160"/>
          </w:tcPr>
          <w:p>
            <w:r/>
            <w:r>
              <w:rPr>
                <w:rFonts w:ascii="Times New Roman" w:hAnsi="Times New Roman"/>
                <w:color w:val="000000"/>
                <w:sz w:val="18"/>
              </w:rPr>
              <w:t>KAB-XGBoost-WCE</w:t>
            </w:r>
          </w:p>
        </w:tc>
        <w:tc>
          <w:tcPr>
            <w:tcW w:type="dxa" w:w="2160"/>
          </w:tcPr>
          <w:p>
            <w:r/>
            <w:r>
              <w:rPr>
                <w:rFonts w:ascii="Times New Roman" w:hAnsi="Times New Roman"/>
                <w:color w:val="000000"/>
                <w:sz w:val="18"/>
              </w:rPr>
              <w:t>0.6436</w:t>
            </w:r>
          </w:p>
        </w:tc>
        <w:tc>
          <w:tcPr>
            <w:tcW w:type="dxa" w:w="2160"/>
          </w:tcPr>
          <w:p>
            <w:r/>
            <w:r>
              <w:rPr>
                <w:rFonts w:ascii="Times New Roman" w:hAnsi="Times New Roman"/>
                <w:color w:val="000000"/>
                <w:sz w:val="18"/>
              </w:rPr>
              <w:t>0.0341</w:t>
            </w:r>
          </w:p>
        </w:tc>
        <w:tc>
          <w:tcPr>
            <w:tcW w:type="dxa" w:w="2160"/>
          </w:tcPr>
          <w:p>
            <w:r/>
            <w:r>
              <w:rPr>
                <w:rFonts w:ascii="Times New Roman" w:hAnsi="Times New Roman"/>
                <w:color w:val="000000"/>
                <w:sz w:val="18"/>
              </w:rPr>
              <w:t>-</w:t>
            </w:r>
          </w:p>
        </w:tc>
      </w:tr>
      <w:tr>
        <w:tc>
          <w:tcPr>
            <w:tcW w:type="dxa" w:w="2160"/>
          </w:tcPr>
          <w:p>
            <w:r/>
            <w:r>
              <w:rPr>
                <w:rFonts w:ascii="Times New Roman" w:hAnsi="Times New Roman"/>
                <w:color w:val="000000"/>
                <w:sz w:val="18"/>
              </w:rPr>
              <w:t>Baseline XGBoost</w:t>
            </w:r>
          </w:p>
        </w:tc>
        <w:tc>
          <w:tcPr>
            <w:tcW w:type="dxa" w:w="2160"/>
          </w:tcPr>
          <w:p>
            <w:r/>
            <w:r>
              <w:rPr>
                <w:rFonts w:ascii="Times New Roman" w:hAnsi="Times New Roman"/>
                <w:color w:val="000000"/>
                <w:sz w:val="18"/>
              </w:rPr>
              <w:t>0.6477</w:t>
            </w:r>
          </w:p>
        </w:tc>
        <w:tc>
          <w:tcPr>
            <w:tcW w:type="dxa" w:w="2160"/>
          </w:tcPr>
          <w:p>
            <w:r/>
            <w:r>
              <w:rPr>
                <w:rFonts w:ascii="Times New Roman" w:hAnsi="Times New Roman"/>
                <w:color w:val="000000"/>
                <w:sz w:val="18"/>
              </w:rPr>
              <w:t>0.0364</w:t>
            </w:r>
          </w:p>
        </w:tc>
        <w:tc>
          <w:tcPr>
            <w:tcW w:type="dxa" w:w="2160"/>
          </w:tcPr>
          <w:p>
            <w:r/>
            <w:r>
              <w:rPr>
                <w:rFonts w:ascii="Times New Roman" w:hAnsi="Times New Roman"/>
                <w:color w:val="000000"/>
                <w:sz w:val="18"/>
              </w:rPr>
              <w:t>+0.0041</w:t>
            </w:r>
          </w:p>
        </w:tc>
      </w:tr>
      <w:tr>
        <w:tc>
          <w:tcPr>
            <w:tcW w:type="dxa" w:w="2160"/>
          </w:tcPr>
          <w:p>
            <w:r/>
            <w:r>
              <w:rPr>
                <w:rFonts w:ascii="Times New Roman" w:hAnsi="Times New Roman"/>
                <w:color w:val="000000"/>
                <w:sz w:val="18"/>
              </w:rPr>
              <w:t>Stock scale_pos_weight</w:t>
            </w:r>
          </w:p>
        </w:tc>
        <w:tc>
          <w:tcPr>
            <w:tcW w:type="dxa" w:w="2160"/>
          </w:tcPr>
          <w:p>
            <w:r/>
            <w:r>
              <w:rPr>
                <w:rFonts w:ascii="Times New Roman" w:hAnsi="Times New Roman"/>
                <w:color w:val="000000"/>
                <w:sz w:val="18"/>
              </w:rPr>
              <w:t>0.6532</w:t>
            </w:r>
          </w:p>
        </w:tc>
        <w:tc>
          <w:tcPr>
            <w:tcW w:type="dxa" w:w="2160"/>
          </w:tcPr>
          <w:p>
            <w:r/>
            <w:r>
              <w:rPr>
                <w:rFonts w:ascii="Times New Roman" w:hAnsi="Times New Roman"/>
                <w:color w:val="000000"/>
                <w:sz w:val="18"/>
              </w:rPr>
              <w:t>0.0361</w:t>
            </w:r>
          </w:p>
        </w:tc>
        <w:tc>
          <w:tcPr>
            <w:tcW w:type="dxa" w:w="2160"/>
          </w:tcPr>
          <w:p>
            <w:r/>
            <w:r>
              <w:rPr>
                <w:rFonts w:ascii="Times New Roman" w:hAnsi="Times New Roman"/>
                <w:color w:val="000000"/>
                <w:sz w:val="18"/>
              </w:rPr>
              <w:t>+0.0096</w:t>
            </w:r>
          </w:p>
        </w:tc>
      </w:tr>
      <w:tr>
        <w:tc>
          <w:tcPr>
            <w:tcW w:type="dxa" w:w="2160"/>
          </w:tcPr>
          <w:p>
            <w:r/>
            <w:r>
              <w:rPr>
                <w:rFonts w:ascii="Times New Roman" w:hAnsi="Times New Roman"/>
                <w:color w:val="000000"/>
                <w:sz w:val="18"/>
              </w:rPr>
              <w:t>Decision Tree</w:t>
            </w:r>
          </w:p>
        </w:tc>
        <w:tc>
          <w:tcPr>
            <w:tcW w:type="dxa" w:w="2160"/>
          </w:tcPr>
          <w:p>
            <w:r/>
            <w:r>
              <w:rPr>
                <w:rFonts w:ascii="Times New Roman" w:hAnsi="Times New Roman"/>
                <w:color w:val="000000"/>
                <w:sz w:val="18"/>
              </w:rPr>
              <w:t>0.6173</w:t>
            </w:r>
          </w:p>
        </w:tc>
        <w:tc>
          <w:tcPr>
            <w:tcW w:type="dxa" w:w="2160"/>
          </w:tcPr>
          <w:p>
            <w:r/>
            <w:r>
              <w:rPr>
                <w:rFonts w:ascii="Times New Roman" w:hAnsi="Times New Roman"/>
                <w:color w:val="000000"/>
                <w:sz w:val="18"/>
              </w:rPr>
              <w:t>0.0364</w:t>
            </w:r>
          </w:p>
        </w:tc>
        <w:tc>
          <w:tcPr>
            <w:tcW w:type="dxa" w:w="2160"/>
          </w:tcPr>
          <w:p>
            <w:r/>
            <w:r>
              <w:rPr>
                <w:rFonts w:ascii="Times New Roman" w:hAnsi="Times New Roman"/>
                <w:color w:val="000000"/>
                <w:sz w:val="18"/>
              </w:rPr>
              <w:t>-0.0263</w:t>
            </w:r>
          </w:p>
        </w:tc>
      </w:tr>
      <w:tr>
        <w:tc>
          <w:tcPr>
            <w:tcW w:type="dxa" w:w="2160"/>
          </w:tcPr>
          <w:p>
            <w:r/>
            <w:r>
              <w:rPr>
                <w:rFonts w:ascii="Times New Roman" w:hAnsi="Times New Roman"/>
                <w:color w:val="000000"/>
                <w:sz w:val="18"/>
              </w:rPr>
              <w:t>Naive Bayes</w:t>
            </w:r>
          </w:p>
        </w:tc>
        <w:tc>
          <w:tcPr>
            <w:tcW w:type="dxa" w:w="2160"/>
          </w:tcPr>
          <w:p>
            <w:r/>
            <w:r>
              <w:rPr>
                <w:rFonts w:ascii="Times New Roman" w:hAnsi="Times New Roman"/>
                <w:color w:val="000000"/>
                <w:sz w:val="18"/>
              </w:rPr>
              <w:t>0.6605</w:t>
            </w:r>
          </w:p>
        </w:tc>
        <w:tc>
          <w:tcPr>
            <w:tcW w:type="dxa" w:w="2160"/>
          </w:tcPr>
          <w:p>
            <w:r/>
            <w:r>
              <w:rPr>
                <w:rFonts w:ascii="Times New Roman" w:hAnsi="Times New Roman"/>
                <w:color w:val="000000"/>
                <w:sz w:val="18"/>
              </w:rPr>
              <w:t>0.0330</w:t>
            </w:r>
          </w:p>
        </w:tc>
        <w:tc>
          <w:tcPr>
            <w:tcW w:type="dxa" w:w="2160"/>
          </w:tcPr>
          <w:p>
            <w:r/>
            <w:r>
              <w:rPr>
                <w:rFonts w:ascii="Times New Roman" w:hAnsi="Times New Roman"/>
                <w:color w:val="000000"/>
                <w:sz w:val="18"/>
              </w:rPr>
              <w:t>+0.0169</w:t>
            </w:r>
          </w:p>
        </w:tc>
      </w:tr>
      <w:tr>
        <w:tc>
          <w:tcPr>
            <w:tcW w:type="dxa" w:w="2160"/>
          </w:tcPr>
          <w:p>
            <w:r/>
            <w:r>
              <w:rPr>
                <w:rFonts w:ascii="Times New Roman" w:hAnsi="Times New Roman"/>
                <w:color w:val="000000"/>
                <w:sz w:val="18"/>
              </w:rPr>
              <w:t>Logistic Regression</w:t>
            </w:r>
          </w:p>
        </w:tc>
        <w:tc>
          <w:tcPr>
            <w:tcW w:type="dxa" w:w="2160"/>
          </w:tcPr>
          <w:p>
            <w:r/>
            <w:r>
              <w:rPr>
                <w:rFonts w:ascii="Times New Roman" w:hAnsi="Times New Roman"/>
                <w:color w:val="000000"/>
                <w:sz w:val="18"/>
              </w:rPr>
              <w:t>0.6542</w:t>
            </w:r>
          </w:p>
        </w:tc>
        <w:tc>
          <w:tcPr>
            <w:tcW w:type="dxa" w:w="2160"/>
          </w:tcPr>
          <w:p>
            <w:r/>
            <w:r>
              <w:rPr>
                <w:rFonts w:ascii="Times New Roman" w:hAnsi="Times New Roman"/>
                <w:color w:val="000000"/>
                <w:sz w:val="18"/>
              </w:rPr>
              <w:t>0.0309</w:t>
            </w:r>
          </w:p>
        </w:tc>
        <w:tc>
          <w:tcPr>
            <w:tcW w:type="dxa" w:w="2160"/>
          </w:tcPr>
          <w:p>
            <w:r/>
            <w:r>
              <w:rPr>
                <w:rFonts w:ascii="Times New Roman" w:hAnsi="Times New Roman"/>
                <w:color w:val="000000"/>
                <w:sz w:val="18"/>
              </w:rPr>
              <w:t>+0.0106</w:t>
            </w:r>
          </w:p>
        </w:tc>
      </w:tr>
      <w:tr>
        <w:tc>
          <w:tcPr>
            <w:tcW w:type="dxa" w:w="2160"/>
          </w:tcPr>
          <w:p>
            <w:r/>
            <w:r>
              <w:rPr>
                <w:rFonts w:ascii="Times New Roman" w:hAnsi="Times New Roman"/>
                <w:color w:val="000000"/>
                <w:sz w:val="18"/>
              </w:rPr>
              <w:t>SVM</w:t>
            </w:r>
          </w:p>
        </w:tc>
        <w:tc>
          <w:tcPr>
            <w:tcW w:type="dxa" w:w="2160"/>
          </w:tcPr>
          <w:p>
            <w:r/>
            <w:r>
              <w:rPr>
                <w:rFonts w:ascii="Times New Roman" w:hAnsi="Times New Roman"/>
                <w:color w:val="000000"/>
                <w:sz w:val="18"/>
              </w:rPr>
              <w:t>0.6426</w:t>
            </w:r>
          </w:p>
        </w:tc>
        <w:tc>
          <w:tcPr>
            <w:tcW w:type="dxa" w:w="2160"/>
          </w:tcPr>
          <w:p>
            <w:r/>
            <w:r>
              <w:rPr>
                <w:rFonts w:ascii="Times New Roman" w:hAnsi="Times New Roman"/>
                <w:color w:val="000000"/>
                <w:sz w:val="18"/>
              </w:rPr>
              <w:t>0.0346</w:t>
            </w:r>
          </w:p>
        </w:tc>
        <w:tc>
          <w:tcPr>
            <w:tcW w:type="dxa" w:w="2160"/>
          </w:tcPr>
          <w:p>
            <w:r/>
            <w:r>
              <w:rPr>
                <w:rFonts w:ascii="Times New Roman" w:hAnsi="Times New Roman"/>
                <w:color w:val="000000"/>
                <w:sz w:val="18"/>
              </w:rPr>
              <w:t>-0.0010</w:t>
            </w:r>
          </w:p>
        </w:tc>
      </w:tr>
      <w:tr>
        <w:tc>
          <w:tcPr>
            <w:tcW w:type="dxa" w:w="2160"/>
          </w:tcPr>
          <w:p>
            <w:r/>
            <w:r>
              <w:rPr>
                <w:rFonts w:ascii="Times New Roman" w:hAnsi="Times New Roman"/>
                <w:color w:val="000000"/>
                <w:sz w:val="18"/>
              </w:rPr>
              <w:t>Random Forest</w:t>
            </w:r>
          </w:p>
        </w:tc>
        <w:tc>
          <w:tcPr>
            <w:tcW w:type="dxa" w:w="2160"/>
          </w:tcPr>
          <w:p>
            <w:r/>
            <w:r>
              <w:rPr>
                <w:rFonts w:ascii="Times New Roman" w:hAnsi="Times New Roman"/>
                <w:color w:val="000000"/>
                <w:sz w:val="18"/>
              </w:rPr>
              <w:t>0.6449</w:t>
            </w:r>
          </w:p>
        </w:tc>
        <w:tc>
          <w:tcPr>
            <w:tcW w:type="dxa" w:w="2160"/>
          </w:tcPr>
          <w:p>
            <w:r/>
            <w:r>
              <w:rPr>
                <w:rFonts w:ascii="Times New Roman" w:hAnsi="Times New Roman"/>
                <w:color w:val="000000"/>
                <w:sz w:val="18"/>
              </w:rPr>
              <w:t>0.0342</w:t>
            </w:r>
          </w:p>
        </w:tc>
        <w:tc>
          <w:tcPr>
            <w:tcW w:type="dxa" w:w="2160"/>
          </w:tcPr>
          <w:p>
            <w:r/>
            <w:r>
              <w:rPr>
                <w:rFonts w:ascii="Times New Roman" w:hAnsi="Times New Roman"/>
                <w:color w:val="000000"/>
                <w:sz w:val="18"/>
              </w:rPr>
              <w:t>+0.0013</w:t>
            </w:r>
          </w:p>
        </w:tc>
      </w:tr>
    </w:tbl>
    <w:p/>
    <w:p>
      <w:pPr>
        <w:spacing w:after="80" w:line="360" w:lineRule="auto"/>
        <w:jc w:val="both"/>
      </w:pPr>
      <w:r>
        <w:rPr>
          <w:rFonts w:ascii="Times New Roman" w:hAnsi="Times New Roman"/>
          <w:b w:val="0"/>
          <w:i/>
          <w:color w:val="000000"/>
          <w:sz w:val="20"/>
        </w:rPr>
        <w:t>Table 3b. Macro F1 over 50 folds, Alzubaidi. Delta vs KAB-XGBoost-WCE.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Model</w:t>
            </w:r>
          </w:p>
        </w:tc>
        <w:tc>
          <w:tcPr>
            <w:tcW w:type="dxa" w:w="2160"/>
          </w:tcPr>
          <w:p>
            <w:r/>
            <w:r>
              <w:rPr>
                <w:rFonts w:ascii="Times New Roman" w:hAnsi="Times New Roman"/>
                <w:b/>
                <w:color w:val="000000"/>
                <w:sz w:val="18"/>
              </w:rPr>
              <w:t>Macro F1</w:t>
            </w:r>
          </w:p>
        </w:tc>
        <w:tc>
          <w:tcPr>
            <w:tcW w:type="dxa" w:w="2160"/>
          </w:tcPr>
          <w:p>
            <w:r/>
            <w:r>
              <w:rPr>
                <w:rFonts w:ascii="Times New Roman" w:hAnsi="Times New Roman"/>
                <w:b/>
                <w:color w:val="000000"/>
                <w:sz w:val="18"/>
              </w:rPr>
              <w:t>SD</w:t>
            </w:r>
          </w:p>
        </w:tc>
        <w:tc>
          <w:tcPr>
            <w:tcW w:type="dxa" w:w="2160"/>
          </w:tcPr>
          <w:p>
            <w:r/>
            <w:r>
              <w:rPr>
                <w:rFonts w:ascii="Times New Roman" w:hAnsi="Times New Roman"/>
                <w:b/>
                <w:color w:val="000000"/>
                <w:sz w:val="18"/>
              </w:rPr>
              <w:t>Delta</w:t>
            </w:r>
          </w:p>
        </w:tc>
      </w:tr>
      <w:tr>
        <w:tc>
          <w:tcPr>
            <w:tcW w:type="dxa" w:w="2160"/>
          </w:tcPr>
          <w:p>
            <w:r/>
            <w:r>
              <w:rPr>
                <w:rFonts w:ascii="Times New Roman" w:hAnsi="Times New Roman"/>
                <w:color w:val="000000"/>
                <w:sz w:val="18"/>
              </w:rPr>
              <w:t>KAB-XGBoost-WCE</w:t>
            </w:r>
          </w:p>
        </w:tc>
        <w:tc>
          <w:tcPr>
            <w:tcW w:type="dxa" w:w="2160"/>
          </w:tcPr>
          <w:p>
            <w:r/>
            <w:r>
              <w:rPr>
                <w:rFonts w:ascii="Times New Roman" w:hAnsi="Times New Roman"/>
                <w:color w:val="000000"/>
                <w:sz w:val="18"/>
              </w:rPr>
              <w:t>0.6808</w:t>
            </w:r>
          </w:p>
        </w:tc>
        <w:tc>
          <w:tcPr>
            <w:tcW w:type="dxa" w:w="2160"/>
          </w:tcPr>
          <w:p>
            <w:r/>
            <w:r>
              <w:rPr>
                <w:rFonts w:ascii="Times New Roman" w:hAnsi="Times New Roman"/>
                <w:color w:val="000000"/>
                <w:sz w:val="18"/>
              </w:rPr>
              <w:t>0.0406</w:t>
            </w:r>
          </w:p>
        </w:tc>
        <w:tc>
          <w:tcPr>
            <w:tcW w:type="dxa" w:w="2160"/>
          </w:tcPr>
          <w:p>
            <w:r/>
            <w:r>
              <w:rPr>
                <w:rFonts w:ascii="Times New Roman" w:hAnsi="Times New Roman"/>
                <w:color w:val="000000"/>
                <w:sz w:val="18"/>
              </w:rPr>
              <w:t>-</w:t>
            </w:r>
          </w:p>
        </w:tc>
      </w:tr>
      <w:tr>
        <w:tc>
          <w:tcPr>
            <w:tcW w:type="dxa" w:w="2160"/>
          </w:tcPr>
          <w:p>
            <w:r/>
            <w:r>
              <w:rPr>
                <w:rFonts w:ascii="Times New Roman" w:hAnsi="Times New Roman"/>
                <w:color w:val="000000"/>
                <w:sz w:val="18"/>
              </w:rPr>
              <w:t>Baseline XGBoost</w:t>
            </w:r>
          </w:p>
        </w:tc>
        <w:tc>
          <w:tcPr>
            <w:tcW w:type="dxa" w:w="2160"/>
          </w:tcPr>
          <w:p>
            <w:r/>
            <w:r>
              <w:rPr>
                <w:rFonts w:ascii="Times New Roman" w:hAnsi="Times New Roman"/>
                <w:color w:val="000000"/>
                <w:sz w:val="18"/>
              </w:rPr>
              <w:t>0.6908</w:t>
            </w:r>
          </w:p>
        </w:tc>
        <w:tc>
          <w:tcPr>
            <w:tcW w:type="dxa" w:w="2160"/>
          </w:tcPr>
          <w:p>
            <w:r/>
            <w:r>
              <w:rPr>
                <w:rFonts w:ascii="Times New Roman" w:hAnsi="Times New Roman"/>
                <w:color w:val="000000"/>
                <w:sz w:val="18"/>
              </w:rPr>
              <w:t>0.0427</w:t>
            </w:r>
          </w:p>
        </w:tc>
        <w:tc>
          <w:tcPr>
            <w:tcW w:type="dxa" w:w="2160"/>
          </w:tcPr>
          <w:p>
            <w:r/>
            <w:r>
              <w:rPr>
                <w:rFonts w:ascii="Times New Roman" w:hAnsi="Times New Roman"/>
                <w:color w:val="000000"/>
                <w:sz w:val="18"/>
              </w:rPr>
              <w:t>+0.0100</w:t>
            </w:r>
          </w:p>
        </w:tc>
      </w:tr>
      <w:tr>
        <w:tc>
          <w:tcPr>
            <w:tcW w:type="dxa" w:w="2160"/>
          </w:tcPr>
          <w:p>
            <w:r/>
            <w:r>
              <w:rPr>
                <w:rFonts w:ascii="Times New Roman" w:hAnsi="Times New Roman"/>
                <w:color w:val="000000"/>
                <w:sz w:val="18"/>
              </w:rPr>
              <w:t>Stock scale_pos_weight</w:t>
            </w:r>
          </w:p>
        </w:tc>
        <w:tc>
          <w:tcPr>
            <w:tcW w:type="dxa" w:w="2160"/>
          </w:tcPr>
          <w:p>
            <w:r/>
            <w:r>
              <w:rPr>
                <w:rFonts w:ascii="Times New Roman" w:hAnsi="Times New Roman"/>
                <w:color w:val="000000"/>
                <w:sz w:val="18"/>
              </w:rPr>
              <w:t>0.6881</w:t>
            </w:r>
          </w:p>
        </w:tc>
        <w:tc>
          <w:tcPr>
            <w:tcW w:type="dxa" w:w="2160"/>
          </w:tcPr>
          <w:p>
            <w:r/>
            <w:r>
              <w:rPr>
                <w:rFonts w:ascii="Times New Roman" w:hAnsi="Times New Roman"/>
                <w:color w:val="000000"/>
                <w:sz w:val="18"/>
              </w:rPr>
              <w:t>0.0434</w:t>
            </w:r>
          </w:p>
        </w:tc>
        <w:tc>
          <w:tcPr>
            <w:tcW w:type="dxa" w:w="2160"/>
          </w:tcPr>
          <w:p>
            <w:r/>
            <w:r>
              <w:rPr>
                <w:rFonts w:ascii="Times New Roman" w:hAnsi="Times New Roman"/>
                <w:color w:val="000000"/>
                <w:sz w:val="18"/>
              </w:rPr>
              <w:t>+0.0073</w:t>
            </w:r>
          </w:p>
        </w:tc>
      </w:tr>
      <w:tr>
        <w:tc>
          <w:tcPr>
            <w:tcW w:type="dxa" w:w="2160"/>
          </w:tcPr>
          <w:p>
            <w:r/>
            <w:r>
              <w:rPr>
                <w:rFonts w:ascii="Times New Roman" w:hAnsi="Times New Roman"/>
                <w:color w:val="000000"/>
                <w:sz w:val="18"/>
              </w:rPr>
              <w:t>Decision Tree</w:t>
            </w:r>
          </w:p>
        </w:tc>
        <w:tc>
          <w:tcPr>
            <w:tcW w:type="dxa" w:w="2160"/>
          </w:tcPr>
          <w:p>
            <w:r/>
            <w:r>
              <w:rPr>
                <w:rFonts w:ascii="Times New Roman" w:hAnsi="Times New Roman"/>
                <w:color w:val="000000"/>
                <w:sz w:val="18"/>
              </w:rPr>
              <w:t>0.6448</w:t>
            </w:r>
          </w:p>
        </w:tc>
        <w:tc>
          <w:tcPr>
            <w:tcW w:type="dxa" w:w="2160"/>
          </w:tcPr>
          <w:p>
            <w:r/>
            <w:r>
              <w:rPr>
                <w:rFonts w:ascii="Times New Roman" w:hAnsi="Times New Roman"/>
                <w:color w:val="000000"/>
                <w:sz w:val="18"/>
              </w:rPr>
              <w:t>0.0394</w:t>
            </w:r>
          </w:p>
        </w:tc>
        <w:tc>
          <w:tcPr>
            <w:tcW w:type="dxa" w:w="2160"/>
          </w:tcPr>
          <w:p>
            <w:r/>
            <w:r>
              <w:rPr>
                <w:rFonts w:ascii="Times New Roman" w:hAnsi="Times New Roman"/>
                <w:color w:val="000000"/>
                <w:sz w:val="18"/>
              </w:rPr>
              <w:t>-0.0360</w:t>
            </w:r>
          </w:p>
        </w:tc>
      </w:tr>
      <w:tr>
        <w:tc>
          <w:tcPr>
            <w:tcW w:type="dxa" w:w="2160"/>
          </w:tcPr>
          <w:p>
            <w:r/>
            <w:r>
              <w:rPr>
                <w:rFonts w:ascii="Times New Roman" w:hAnsi="Times New Roman"/>
                <w:color w:val="000000"/>
                <w:sz w:val="18"/>
              </w:rPr>
              <w:t>Naive Bayes</w:t>
            </w:r>
          </w:p>
        </w:tc>
        <w:tc>
          <w:tcPr>
            <w:tcW w:type="dxa" w:w="2160"/>
          </w:tcPr>
          <w:p>
            <w:r/>
            <w:r>
              <w:rPr>
                <w:rFonts w:ascii="Times New Roman" w:hAnsi="Times New Roman"/>
                <w:color w:val="000000"/>
                <w:sz w:val="18"/>
              </w:rPr>
              <w:t>0.6540</w:t>
            </w:r>
          </w:p>
        </w:tc>
        <w:tc>
          <w:tcPr>
            <w:tcW w:type="dxa" w:w="2160"/>
          </w:tcPr>
          <w:p>
            <w:r/>
            <w:r>
              <w:rPr>
                <w:rFonts w:ascii="Times New Roman" w:hAnsi="Times New Roman"/>
                <w:color w:val="000000"/>
                <w:sz w:val="18"/>
              </w:rPr>
              <w:t>0.0383</w:t>
            </w:r>
          </w:p>
        </w:tc>
        <w:tc>
          <w:tcPr>
            <w:tcW w:type="dxa" w:w="2160"/>
          </w:tcPr>
          <w:p>
            <w:r/>
            <w:r>
              <w:rPr>
                <w:rFonts w:ascii="Times New Roman" w:hAnsi="Times New Roman"/>
                <w:color w:val="000000"/>
                <w:sz w:val="18"/>
              </w:rPr>
              <w:t>-0.0268</w:t>
            </w:r>
          </w:p>
        </w:tc>
      </w:tr>
      <w:tr>
        <w:tc>
          <w:tcPr>
            <w:tcW w:type="dxa" w:w="2160"/>
          </w:tcPr>
          <w:p>
            <w:r/>
            <w:r>
              <w:rPr>
                <w:rFonts w:ascii="Times New Roman" w:hAnsi="Times New Roman"/>
                <w:color w:val="000000"/>
                <w:sz w:val="18"/>
              </w:rPr>
              <w:t>Logistic Regression</w:t>
            </w:r>
          </w:p>
        </w:tc>
        <w:tc>
          <w:tcPr>
            <w:tcW w:type="dxa" w:w="2160"/>
          </w:tcPr>
          <w:p>
            <w:r/>
            <w:r>
              <w:rPr>
                <w:rFonts w:ascii="Times New Roman" w:hAnsi="Times New Roman"/>
                <w:color w:val="000000"/>
                <w:sz w:val="18"/>
              </w:rPr>
              <w:t>0.6841</w:t>
            </w:r>
          </w:p>
        </w:tc>
        <w:tc>
          <w:tcPr>
            <w:tcW w:type="dxa" w:w="2160"/>
          </w:tcPr>
          <w:p>
            <w:r/>
            <w:r>
              <w:rPr>
                <w:rFonts w:ascii="Times New Roman" w:hAnsi="Times New Roman"/>
                <w:color w:val="000000"/>
                <w:sz w:val="18"/>
              </w:rPr>
              <w:t>0.0440</w:t>
            </w:r>
          </w:p>
        </w:tc>
        <w:tc>
          <w:tcPr>
            <w:tcW w:type="dxa" w:w="2160"/>
          </w:tcPr>
          <w:p>
            <w:r/>
            <w:r>
              <w:rPr>
                <w:rFonts w:ascii="Times New Roman" w:hAnsi="Times New Roman"/>
                <w:color w:val="000000"/>
                <w:sz w:val="18"/>
              </w:rPr>
              <w:t>+0.0033</w:t>
            </w:r>
          </w:p>
        </w:tc>
      </w:tr>
      <w:tr>
        <w:tc>
          <w:tcPr>
            <w:tcW w:type="dxa" w:w="2160"/>
          </w:tcPr>
          <w:p>
            <w:r/>
            <w:r>
              <w:rPr>
                <w:rFonts w:ascii="Times New Roman" w:hAnsi="Times New Roman"/>
                <w:color w:val="000000"/>
                <w:sz w:val="18"/>
              </w:rPr>
              <w:t>SVM</w:t>
            </w:r>
          </w:p>
        </w:tc>
        <w:tc>
          <w:tcPr>
            <w:tcW w:type="dxa" w:w="2160"/>
          </w:tcPr>
          <w:p>
            <w:r/>
            <w:r>
              <w:rPr>
                <w:rFonts w:ascii="Times New Roman" w:hAnsi="Times New Roman"/>
                <w:color w:val="000000"/>
                <w:sz w:val="18"/>
              </w:rPr>
              <w:t>0.6692</w:t>
            </w:r>
          </w:p>
        </w:tc>
        <w:tc>
          <w:tcPr>
            <w:tcW w:type="dxa" w:w="2160"/>
          </w:tcPr>
          <w:p>
            <w:r/>
            <w:r>
              <w:rPr>
                <w:rFonts w:ascii="Times New Roman" w:hAnsi="Times New Roman"/>
                <w:color w:val="000000"/>
                <w:sz w:val="18"/>
              </w:rPr>
              <w:t>0.0394</w:t>
            </w:r>
          </w:p>
        </w:tc>
        <w:tc>
          <w:tcPr>
            <w:tcW w:type="dxa" w:w="2160"/>
          </w:tcPr>
          <w:p>
            <w:r/>
            <w:r>
              <w:rPr>
                <w:rFonts w:ascii="Times New Roman" w:hAnsi="Times New Roman"/>
                <w:color w:val="000000"/>
                <w:sz w:val="18"/>
              </w:rPr>
              <w:t>-0.0116</w:t>
            </w:r>
          </w:p>
        </w:tc>
      </w:tr>
      <w:tr>
        <w:tc>
          <w:tcPr>
            <w:tcW w:type="dxa" w:w="2160"/>
          </w:tcPr>
          <w:p>
            <w:r/>
            <w:r>
              <w:rPr>
                <w:rFonts w:ascii="Times New Roman" w:hAnsi="Times New Roman"/>
                <w:color w:val="000000"/>
                <w:sz w:val="18"/>
              </w:rPr>
              <w:t>Random Forest</w:t>
            </w:r>
          </w:p>
        </w:tc>
        <w:tc>
          <w:tcPr>
            <w:tcW w:type="dxa" w:w="2160"/>
          </w:tcPr>
          <w:p>
            <w:r/>
            <w:r>
              <w:rPr>
                <w:rFonts w:ascii="Times New Roman" w:hAnsi="Times New Roman"/>
                <w:color w:val="000000"/>
                <w:sz w:val="18"/>
              </w:rPr>
              <w:t>0.6899</w:t>
            </w:r>
          </w:p>
        </w:tc>
        <w:tc>
          <w:tcPr>
            <w:tcW w:type="dxa" w:w="2160"/>
          </w:tcPr>
          <w:p>
            <w:r/>
            <w:r>
              <w:rPr>
                <w:rFonts w:ascii="Times New Roman" w:hAnsi="Times New Roman"/>
                <w:color w:val="000000"/>
                <w:sz w:val="18"/>
              </w:rPr>
              <w:t>0.0438</w:t>
            </w:r>
          </w:p>
        </w:tc>
        <w:tc>
          <w:tcPr>
            <w:tcW w:type="dxa" w:w="2160"/>
          </w:tcPr>
          <w:p>
            <w:r/>
            <w:r>
              <w:rPr>
                <w:rFonts w:ascii="Times New Roman" w:hAnsi="Times New Roman"/>
                <w:color w:val="000000"/>
                <w:sz w:val="18"/>
              </w:rPr>
              <w:t>+0.0091</w:t>
            </w:r>
          </w:p>
        </w:tc>
      </w:tr>
    </w:tbl>
    <w:p/>
    <w:p>
      <w:pPr>
        <w:spacing w:after="120" w:line="360" w:lineRule="auto"/>
        <w:jc w:val="left"/>
      </w:pPr>
      <w:r>
        <w:rPr>
          <w:rFonts w:ascii="Times New Roman" w:hAnsi="Times New Roman"/>
          <w:b/>
          <w:i w:val="0"/>
          <w:color w:val="000000"/>
          <w:sz w:val="26"/>
        </w:rPr>
        <w:t>R3. Statistical Comparison (KNUST)</w:t>
      </w:r>
    </w:p>
    <w:p>
      <w:pPr>
        <w:spacing w:after="160" w:line="360" w:lineRule="auto"/>
        <w:jc w:val="both"/>
      </w:pPr>
      <w:r>
        <w:rPr>
          <w:rFonts w:ascii="Times New Roman" w:hAnsi="Times New Roman"/>
          <w:b w:val="0"/>
          <w:i w:val="0"/>
          <w:color w:val="000000"/>
          <w:sz w:val="24"/>
        </w:rPr>
        <w:t>KAB-XGBoost-WCE versus Baseline XGBoost over 50 paired folds: W+ = 500, W- = 775 (sum 1275 = n(n+1)/2), p = 0.188, ties 0, fold-win 18/50. The negative rank sum exceeds the positive, consistent with the baseline being ahead. The result is a null with the point estimate favouring the baseline. The 50-row CSV allows independent recomputation.</w:t>
      </w:r>
    </w:p>
    <w:p>
      <w:pPr>
        <w:spacing w:after="120" w:line="360" w:lineRule="auto"/>
        <w:jc w:val="left"/>
      </w:pPr>
      <w:r>
        <w:rPr>
          <w:rFonts w:ascii="Times New Roman" w:hAnsi="Times New Roman"/>
          <w:b/>
          <w:i w:val="0"/>
          <w:color w:val="000000"/>
          <w:sz w:val="26"/>
        </w:rPr>
        <w:t>R4. Statistical Comparison (Alzubaidi) and Cross-Dataset Reading</w:t>
      </w:r>
    </w:p>
    <w:p>
      <w:pPr>
        <w:spacing w:after="160" w:line="360" w:lineRule="auto"/>
        <w:jc w:val="both"/>
      </w:pPr>
      <w:r>
        <w:rPr>
          <w:rFonts w:ascii="Times New Roman" w:hAnsi="Times New Roman"/>
          <w:b w:val="0"/>
          <w:i w:val="0"/>
          <w:color w:val="000000"/>
          <w:sz w:val="24"/>
        </w:rPr>
        <w:t>On the Alzubaidi external stress-test, KAB-XGBoost-WCE versus Baseline XGBoost: W+ = 353, W- = 872, p = 0.0098, ties 1, fold-win 15/50. Here the difference is statistically significant and favours the baseline: the proposed weighting significantly degrades performance on this dataset. Read across the two legs, the weighting is at best neutral (KNUST, non-significant) and at worst harmful (Alzubaidi, significant). No cross-dataset performance transfer is claimed; the Alzubaidi construct mapping is imposed (M18), so the leg is read only as a stress-test that fails to support the mechanism, not as independent confirmation of anything.</w:t>
      </w:r>
    </w:p>
    <w:p>
      <w:pPr>
        <w:spacing w:after="120" w:line="360" w:lineRule="auto"/>
        <w:jc w:val="left"/>
      </w:pPr>
      <w:r>
        <w:rPr>
          <w:rFonts w:ascii="Times New Roman" w:hAnsi="Times New Roman"/>
          <w:b/>
          <w:i w:val="0"/>
          <w:color w:val="000000"/>
          <w:sz w:val="26"/>
        </w:rPr>
        <w:t>R5. Contribution Isolation - Four-Arm Ablation (KNUST)</w:t>
      </w:r>
    </w:p>
    <w:p>
      <w:pPr>
        <w:spacing w:after="160" w:line="360" w:lineRule="auto"/>
        <w:jc w:val="both"/>
      </w:pPr>
      <w:r>
        <w:rPr>
          <w:rFonts w:ascii="Times New Roman" w:hAnsi="Times New Roman"/>
          <w:b w:val="0"/>
          <w:i w:val="0"/>
          <w:color w:val="000000"/>
          <w:sz w:val="24"/>
        </w:rPr>
        <w:t>All four arms are from the same 5 x 10-fold protocol as Table 3a. Arm A (vanilla, depth 5) 0.6294; Arm B (depth 3) 0.6476; Arm C (depth 5, weights) 0.6304; Arm D (full WCE, depth 3, weights) 0.6443. Depth contribution (B - A) = +0.0182; weight contribution (C - A) = +0.0010. The gain is attributable almost entirely to depth tuning, not to the KAB weighting, whose isolated contribution is within noise of zero.</w:t>
      </w:r>
    </w:p>
    <w:p>
      <w:pPr>
        <w:spacing w:after="80" w:line="360" w:lineRule="auto"/>
        <w:jc w:val="both"/>
      </w:pPr>
      <w:r>
        <w:rPr>
          <w:rFonts w:ascii="Times New Roman" w:hAnsi="Times New Roman"/>
          <w:b w:val="0"/>
          <w:i/>
          <w:color w:val="000000"/>
          <w:sz w:val="20"/>
        </w:rPr>
        <w:t>Table 4. Four-arm ablation, KNUST.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Arm</w:t>
            </w:r>
          </w:p>
        </w:tc>
        <w:tc>
          <w:tcPr>
            <w:tcW w:type="dxa" w:w="2160"/>
          </w:tcPr>
          <w:p>
            <w:r/>
            <w:r>
              <w:rPr>
                <w:rFonts w:ascii="Times New Roman" w:hAnsi="Times New Roman"/>
                <w:b/>
                <w:color w:val="000000"/>
                <w:sz w:val="18"/>
              </w:rPr>
              <w:t>Configuration</w:t>
            </w:r>
          </w:p>
        </w:tc>
        <w:tc>
          <w:tcPr>
            <w:tcW w:type="dxa" w:w="2160"/>
          </w:tcPr>
          <w:p>
            <w:r/>
            <w:r>
              <w:rPr>
                <w:rFonts w:ascii="Times New Roman" w:hAnsi="Times New Roman"/>
                <w:b/>
                <w:color w:val="000000"/>
                <w:sz w:val="18"/>
              </w:rPr>
              <w:t>Macro F1</w:t>
            </w:r>
          </w:p>
        </w:tc>
        <w:tc>
          <w:tcPr>
            <w:tcW w:type="dxa" w:w="2160"/>
          </w:tcPr>
          <w:p>
            <w:r/>
            <w:r>
              <w:rPr>
                <w:rFonts w:ascii="Times New Roman" w:hAnsi="Times New Roman"/>
                <w:b/>
                <w:color w:val="000000"/>
                <w:sz w:val="18"/>
              </w:rPr>
              <w:t>Delta vs A</w:t>
            </w:r>
          </w:p>
        </w:tc>
      </w:tr>
      <w:tr>
        <w:tc>
          <w:tcPr>
            <w:tcW w:type="dxa" w:w="2160"/>
          </w:tcPr>
          <w:p>
            <w:r/>
            <w:r>
              <w:rPr>
                <w:rFonts w:ascii="Times New Roman" w:hAnsi="Times New Roman"/>
                <w:color w:val="000000"/>
                <w:sz w:val="18"/>
              </w:rPr>
              <w:t>A</w:t>
            </w:r>
          </w:p>
        </w:tc>
        <w:tc>
          <w:tcPr>
            <w:tcW w:type="dxa" w:w="2160"/>
          </w:tcPr>
          <w:p>
            <w:r/>
            <w:r>
              <w:rPr>
                <w:rFonts w:ascii="Times New Roman" w:hAnsi="Times New Roman"/>
                <w:color w:val="000000"/>
                <w:sz w:val="18"/>
              </w:rPr>
              <w:t>Vanilla, depth 5</w:t>
            </w:r>
          </w:p>
        </w:tc>
        <w:tc>
          <w:tcPr>
            <w:tcW w:type="dxa" w:w="2160"/>
          </w:tcPr>
          <w:p>
            <w:r/>
            <w:r>
              <w:rPr>
                <w:rFonts w:ascii="Times New Roman" w:hAnsi="Times New Roman"/>
                <w:color w:val="000000"/>
                <w:sz w:val="18"/>
              </w:rPr>
              <w:t>0.6294</w:t>
            </w:r>
          </w:p>
        </w:tc>
        <w:tc>
          <w:tcPr>
            <w:tcW w:type="dxa" w:w="2160"/>
          </w:tcPr>
          <w:p>
            <w:r/>
            <w:r>
              <w:rPr>
                <w:rFonts w:ascii="Times New Roman" w:hAnsi="Times New Roman"/>
                <w:color w:val="000000"/>
                <w:sz w:val="18"/>
              </w:rPr>
              <w:t>-</w:t>
            </w:r>
          </w:p>
        </w:tc>
      </w:tr>
      <w:tr>
        <w:tc>
          <w:tcPr>
            <w:tcW w:type="dxa" w:w="2160"/>
          </w:tcPr>
          <w:p>
            <w:r/>
            <w:r>
              <w:rPr>
                <w:rFonts w:ascii="Times New Roman" w:hAnsi="Times New Roman"/>
                <w:color w:val="000000"/>
                <w:sz w:val="18"/>
              </w:rPr>
              <w:t>B</w:t>
            </w:r>
          </w:p>
        </w:tc>
        <w:tc>
          <w:tcPr>
            <w:tcW w:type="dxa" w:w="2160"/>
          </w:tcPr>
          <w:p>
            <w:r/>
            <w:r>
              <w:rPr>
                <w:rFonts w:ascii="Times New Roman" w:hAnsi="Times New Roman"/>
                <w:color w:val="000000"/>
                <w:sz w:val="18"/>
              </w:rPr>
              <w:t>Depth 3</w:t>
            </w:r>
          </w:p>
        </w:tc>
        <w:tc>
          <w:tcPr>
            <w:tcW w:type="dxa" w:w="2160"/>
          </w:tcPr>
          <w:p>
            <w:r/>
            <w:r>
              <w:rPr>
                <w:rFonts w:ascii="Times New Roman" w:hAnsi="Times New Roman"/>
                <w:color w:val="000000"/>
                <w:sz w:val="18"/>
              </w:rPr>
              <w:t>0.6476</w:t>
            </w:r>
          </w:p>
        </w:tc>
        <w:tc>
          <w:tcPr>
            <w:tcW w:type="dxa" w:w="2160"/>
          </w:tcPr>
          <w:p>
            <w:r/>
            <w:r>
              <w:rPr>
                <w:rFonts w:ascii="Times New Roman" w:hAnsi="Times New Roman"/>
                <w:color w:val="000000"/>
                <w:sz w:val="18"/>
              </w:rPr>
              <w:t>+0.0182</w:t>
            </w:r>
          </w:p>
        </w:tc>
      </w:tr>
      <w:tr>
        <w:tc>
          <w:tcPr>
            <w:tcW w:type="dxa" w:w="2160"/>
          </w:tcPr>
          <w:p>
            <w:r/>
            <w:r>
              <w:rPr>
                <w:rFonts w:ascii="Times New Roman" w:hAnsi="Times New Roman"/>
                <w:color w:val="000000"/>
                <w:sz w:val="18"/>
              </w:rPr>
              <w:t>C</w:t>
            </w:r>
          </w:p>
        </w:tc>
        <w:tc>
          <w:tcPr>
            <w:tcW w:type="dxa" w:w="2160"/>
          </w:tcPr>
          <w:p>
            <w:r/>
            <w:r>
              <w:rPr>
                <w:rFonts w:ascii="Times New Roman" w:hAnsi="Times New Roman"/>
                <w:color w:val="000000"/>
                <w:sz w:val="18"/>
              </w:rPr>
              <w:t>Depth 5, weights</w:t>
            </w:r>
          </w:p>
        </w:tc>
        <w:tc>
          <w:tcPr>
            <w:tcW w:type="dxa" w:w="2160"/>
          </w:tcPr>
          <w:p>
            <w:r/>
            <w:r>
              <w:rPr>
                <w:rFonts w:ascii="Times New Roman" w:hAnsi="Times New Roman"/>
                <w:color w:val="000000"/>
                <w:sz w:val="18"/>
              </w:rPr>
              <w:t>0.6304</w:t>
            </w:r>
          </w:p>
        </w:tc>
        <w:tc>
          <w:tcPr>
            <w:tcW w:type="dxa" w:w="2160"/>
          </w:tcPr>
          <w:p>
            <w:r/>
            <w:r>
              <w:rPr>
                <w:rFonts w:ascii="Times New Roman" w:hAnsi="Times New Roman"/>
                <w:color w:val="000000"/>
                <w:sz w:val="18"/>
              </w:rPr>
              <w:t>+0.0010</w:t>
            </w:r>
          </w:p>
        </w:tc>
      </w:tr>
      <w:tr>
        <w:tc>
          <w:tcPr>
            <w:tcW w:type="dxa" w:w="2160"/>
          </w:tcPr>
          <w:p>
            <w:r/>
            <w:r>
              <w:rPr>
                <w:rFonts w:ascii="Times New Roman" w:hAnsi="Times New Roman"/>
                <w:color w:val="000000"/>
                <w:sz w:val="18"/>
              </w:rPr>
              <w:t>D</w:t>
            </w:r>
          </w:p>
        </w:tc>
        <w:tc>
          <w:tcPr>
            <w:tcW w:type="dxa" w:w="2160"/>
          </w:tcPr>
          <w:p>
            <w:r/>
            <w:r>
              <w:rPr>
                <w:rFonts w:ascii="Times New Roman" w:hAnsi="Times New Roman"/>
                <w:color w:val="000000"/>
                <w:sz w:val="18"/>
              </w:rPr>
              <w:t>Full WCE, depth 3, weights</w:t>
            </w:r>
          </w:p>
        </w:tc>
        <w:tc>
          <w:tcPr>
            <w:tcW w:type="dxa" w:w="2160"/>
          </w:tcPr>
          <w:p>
            <w:r/>
            <w:r>
              <w:rPr>
                <w:rFonts w:ascii="Times New Roman" w:hAnsi="Times New Roman"/>
                <w:color w:val="000000"/>
                <w:sz w:val="18"/>
              </w:rPr>
              <w:t>0.6443</w:t>
            </w:r>
          </w:p>
        </w:tc>
        <w:tc>
          <w:tcPr>
            <w:tcW w:type="dxa" w:w="2160"/>
          </w:tcPr>
          <w:p>
            <w:r/>
            <w:r>
              <w:rPr>
                <w:rFonts w:ascii="Times New Roman" w:hAnsi="Times New Roman"/>
                <w:color w:val="000000"/>
                <w:sz w:val="18"/>
              </w:rPr>
              <w:t>+0.0149</w:t>
            </w:r>
          </w:p>
        </w:tc>
      </w:tr>
    </w:tbl>
    <w:p/>
    <w:p>
      <w:pPr>
        <w:spacing w:after="120" w:line="360" w:lineRule="auto"/>
        <w:jc w:val="left"/>
      </w:pPr>
      <w:r>
        <w:rPr>
          <w:rFonts w:ascii="Times New Roman" w:hAnsi="Times New Roman"/>
          <w:b/>
          <w:i w:val="0"/>
          <w:color w:val="000000"/>
          <w:sz w:val="26"/>
        </w:rPr>
        <w:t>R6. Feature Importance and Interpretability (SHAP)</w:t>
      </w:r>
    </w:p>
    <w:p>
      <w:pPr>
        <w:spacing w:after="160" w:line="360" w:lineRule="auto"/>
        <w:jc w:val="both"/>
      </w:pPr>
      <w:r>
        <w:rPr>
          <w:rFonts w:ascii="Times New Roman" w:hAnsi="Times New Roman"/>
          <w:b w:val="0"/>
          <w:i w:val="0"/>
          <w:color w:val="000000"/>
          <w:sz w:val="24"/>
        </w:rPr>
        <w:t>SHAP TreeExplainer was applied to the fitted KAB-XGBoost-WCE model on each dataset's held-out partition (M17). On KNUST the top features by mean absolute SHAP value are K_agg (0.4479) and A_agg (0.3516), confirming that the Knowledge and Attitude aggregates carry the most predictive signal, consistent with the KAB framing. On Alzubaidi the top feature is A_agg (0.4488) followed by individual attitude items; the Knowledge aggregate ranks lower, consistent with the weak Knowledge mapping noted in M18. Importance is associational only.</w:t>
      </w:r>
    </w:p>
    <w:p>
      <w:pPr>
        <w:spacing w:after="80" w:line="360" w:lineRule="auto"/>
        <w:jc w:val="both"/>
      </w:pPr>
      <w:r>
        <w:rPr>
          <w:rFonts w:ascii="Times New Roman" w:hAnsi="Times New Roman"/>
          <w:b w:val="0"/>
          <w:i/>
          <w:color w:val="000000"/>
          <w:sz w:val="20"/>
        </w:rPr>
        <w:t>Table 6a. SHAP mean absolute value, top 8 features, KNUST.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80"/>
        <w:gridCol w:w="2880"/>
        <w:gridCol w:w="2880"/>
      </w:tblGrid>
      <w:tr>
        <w:tc>
          <w:tcPr>
            <w:tcW w:type="dxa" w:w="2880"/>
          </w:tcPr>
          <w:p>
            <w:r/>
            <w:r>
              <w:rPr>
                <w:rFonts w:ascii="Times New Roman" w:hAnsi="Times New Roman"/>
                <w:b/>
                <w:color w:val="000000"/>
                <w:sz w:val="18"/>
              </w:rPr>
              <w:t>Rank</w:t>
            </w:r>
          </w:p>
        </w:tc>
        <w:tc>
          <w:tcPr>
            <w:tcW w:type="dxa" w:w="2880"/>
          </w:tcPr>
          <w:p>
            <w:r/>
            <w:r>
              <w:rPr>
                <w:rFonts w:ascii="Times New Roman" w:hAnsi="Times New Roman"/>
                <w:b/>
                <w:color w:val="000000"/>
                <w:sz w:val="18"/>
              </w:rPr>
              <w:t>Feature</w:t>
            </w:r>
          </w:p>
        </w:tc>
        <w:tc>
          <w:tcPr>
            <w:tcW w:type="dxa" w:w="2880"/>
          </w:tcPr>
          <w:p>
            <w:r/>
            <w:r>
              <w:rPr>
                <w:rFonts w:ascii="Times New Roman" w:hAnsi="Times New Roman"/>
                <w:b/>
                <w:color w:val="000000"/>
                <w:sz w:val="18"/>
              </w:rPr>
              <w:t>Mean |SHAP|</w:t>
            </w:r>
          </w:p>
        </w:tc>
      </w:tr>
      <w:tr>
        <w:tc>
          <w:tcPr>
            <w:tcW w:type="dxa" w:w="2880"/>
          </w:tcPr>
          <w:p>
            <w:r/>
            <w:r>
              <w:rPr>
                <w:rFonts w:ascii="Times New Roman" w:hAnsi="Times New Roman"/>
                <w:color w:val="000000"/>
                <w:sz w:val="18"/>
              </w:rPr>
              <w:t>1</w:t>
            </w:r>
          </w:p>
        </w:tc>
        <w:tc>
          <w:tcPr>
            <w:tcW w:type="dxa" w:w="2880"/>
          </w:tcPr>
          <w:p>
            <w:r/>
            <w:r>
              <w:rPr>
                <w:rFonts w:ascii="Times New Roman" w:hAnsi="Times New Roman"/>
                <w:color w:val="000000"/>
                <w:sz w:val="18"/>
              </w:rPr>
              <w:t>K_agg</w:t>
            </w:r>
          </w:p>
        </w:tc>
        <w:tc>
          <w:tcPr>
            <w:tcW w:type="dxa" w:w="2880"/>
          </w:tcPr>
          <w:p>
            <w:r/>
            <w:r>
              <w:rPr>
                <w:rFonts w:ascii="Times New Roman" w:hAnsi="Times New Roman"/>
                <w:color w:val="000000"/>
                <w:sz w:val="18"/>
              </w:rPr>
              <w:t>0.4479</w:t>
            </w:r>
          </w:p>
        </w:tc>
      </w:tr>
      <w:tr>
        <w:tc>
          <w:tcPr>
            <w:tcW w:type="dxa" w:w="2880"/>
          </w:tcPr>
          <w:p>
            <w:r/>
            <w:r>
              <w:rPr>
                <w:rFonts w:ascii="Times New Roman" w:hAnsi="Times New Roman"/>
                <w:color w:val="000000"/>
                <w:sz w:val="18"/>
              </w:rPr>
              <w:t>2</w:t>
            </w:r>
          </w:p>
        </w:tc>
        <w:tc>
          <w:tcPr>
            <w:tcW w:type="dxa" w:w="2880"/>
          </w:tcPr>
          <w:p>
            <w:r/>
            <w:r>
              <w:rPr>
                <w:rFonts w:ascii="Times New Roman" w:hAnsi="Times New Roman"/>
                <w:color w:val="000000"/>
                <w:sz w:val="18"/>
              </w:rPr>
              <w:t>A_agg</w:t>
            </w:r>
          </w:p>
        </w:tc>
        <w:tc>
          <w:tcPr>
            <w:tcW w:type="dxa" w:w="2880"/>
          </w:tcPr>
          <w:p>
            <w:r/>
            <w:r>
              <w:rPr>
                <w:rFonts w:ascii="Times New Roman" w:hAnsi="Times New Roman"/>
                <w:color w:val="000000"/>
                <w:sz w:val="18"/>
              </w:rPr>
              <w:t>0.3516</w:t>
            </w:r>
          </w:p>
        </w:tc>
      </w:tr>
      <w:tr>
        <w:tc>
          <w:tcPr>
            <w:tcW w:type="dxa" w:w="2880"/>
          </w:tcPr>
          <w:p>
            <w:r/>
            <w:r>
              <w:rPr>
                <w:rFonts w:ascii="Times New Roman" w:hAnsi="Times New Roman"/>
                <w:color w:val="000000"/>
                <w:sz w:val="18"/>
              </w:rPr>
              <w:t>3</w:t>
            </w:r>
          </w:p>
        </w:tc>
        <w:tc>
          <w:tcPr>
            <w:tcW w:type="dxa" w:w="2880"/>
          </w:tcPr>
          <w:p>
            <w:r/>
            <w:r>
              <w:rPr>
                <w:rFonts w:ascii="Times New Roman" w:hAnsi="Times New Roman"/>
                <w:color w:val="000000"/>
                <w:sz w:val="18"/>
              </w:rPr>
              <w:t>Q5</w:t>
            </w:r>
          </w:p>
        </w:tc>
        <w:tc>
          <w:tcPr>
            <w:tcW w:type="dxa" w:w="2880"/>
          </w:tcPr>
          <w:p>
            <w:r/>
            <w:r>
              <w:rPr>
                <w:rFonts w:ascii="Times New Roman" w:hAnsi="Times New Roman"/>
                <w:color w:val="000000"/>
                <w:sz w:val="18"/>
              </w:rPr>
              <w:t>0.1856</w:t>
            </w:r>
          </w:p>
        </w:tc>
      </w:tr>
      <w:tr>
        <w:tc>
          <w:tcPr>
            <w:tcW w:type="dxa" w:w="2880"/>
          </w:tcPr>
          <w:p>
            <w:r/>
            <w:r>
              <w:rPr>
                <w:rFonts w:ascii="Times New Roman" w:hAnsi="Times New Roman"/>
                <w:color w:val="000000"/>
                <w:sz w:val="18"/>
              </w:rPr>
              <w:t>4</w:t>
            </w:r>
          </w:p>
        </w:tc>
        <w:tc>
          <w:tcPr>
            <w:tcW w:type="dxa" w:w="2880"/>
          </w:tcPr>
          <w:p>
            <w:r/>
            <w:r>
              <w:rPr>
                <w:rFonts w:ascii="Times New Roman" w:hAnsi="Times New Roman"/>
                <w:color w:val="000000"/>
                <w:sz w:val="18"/>
              </w:rPr>
              <w:t>Q4</w:t>
            </w:r>
          </w:p>
        </w:tc>
        <w:tc>
          <w:tcPr>
            <w:tcW w:type="dxa" w:w="2880"/>
          </w:tcPr>
          <w:p>
            <w:r/>
            <w:r>
              <w:rPr>
                <w:rFonts w:ascii="Times New Roman" w:hAnsi="Times New Roman"/>
                <w:color w:val="000000"/>
                <w:sz w:val="18"/>
              </w:rPr>
              <w:t>0.1613</w:t>
            </w:r>
          </w:p>
        </w:tc>
      </w:tr>
      <w:tr>
        <w:tc>
          <w:tcPr>
            <w:tcW w:type="dxa" w:w="2880"/>
          </w:tcPr>
          <w:p>
            <w:r/>
            <w:r>
              <w:rPr>
                <w:rFonts w:ascii="Times New Roman" w:hAnsi="Times New Roman"/>
                <w:color w:val="000000"/>
                <w:sz w:val="18"/>
              </w:rPr>
              <w:t>5</w:t>
            </w:r>
          </w:p>
        </w:tc>
        <w:tc>
          <w:tcPr>
            <w:tcW w:type="dxa" w:w="2880"/>
          </w:tcPr>
          <w:p>
            <w:r/>
            <w:r>
              <w:rPr>
                <w:rFonts w:ascii="Times New Roman" w:hAnsi="Times New Roman"/>
                <w:color w:val="000000"/>
                <w:sz w:val="18"/>
              </w:rPr>
              <w:t>Q1</w:t>
            </w:r>
          </w:p>
        </w:tc>
        <w:tc>
          <w:tcPr>
            <w:tcW w:type="dxa" w:w="2880"/>
          </w:tcPr>
          <w:p>
            <w:r/>
            <w:r>
              <w:rPr>
                <w:rFonts w:ascii="Times New Roman" w:hAnsi="Times New Roman"/>
                <w:color w:val="000000"/>
                <w:sz w:val="18"/>
              </w:rPr>
              <w:t>0.1473</w:t>
            </w:r>
          </w:p>
        </w:tc>
      </w:tr>
      <w:tr>
        <w:tc>
          <w:tcPr>
            <w:tcW w:type="dxa" w:w="2880"/>
          </w:tcPr>
          <w:p>
            <w:r/>
            <w:r>
              <w:rPr>
                <w:rFonts w:ascii="Times New Roman" w:hAnsi="Times New Roman"/>
                <w:color w:val="000000"/>
                <w:sz w:val="18"/>
              </w:rPr>
              <w:t>6</w:t>
            </w:r>
          </w:p>
        </w:tc>
        <w:tc>
          <w:tcPr>
            <w:tcW w:type="dxa" w:w="2880"/>
          </w:tcPr>
          <w:p>
            <w:r/>
            <w:r>
              <w:rPr>
                <w:rFonts w:ascii="Times New Roman" w:hAnsi="Times New Roman"/>
                <w:color w:val="000000"/>
                <w:sz w:val="18"/>
              </w:rPr>
              <w:t>Q17</w:t>
            </w:r>
          </w:p>
        </w:tc>
        <w:tc>
          <w:tcPr>
            <w:tcW w:type="dxa" w:w="2880"/>
          </w:tcPr>
          <w:p>
            <w:r/>
            <w:r>
              <w:rPr>
                <w:rFonts w:ascii="Times New Roman" w:hAnsi="Times New Roman"/>
                <w:color w:val="000000"/>
                <w:sz w:val="18"/>
              </w:rPr>
              <w:t>0.1462</w:t>
            </w:r>
          </w:p>
        </w:tc>
      </w:tr>
      <w:tr>
        <w:tc>
          <w:tcPr>
            <w:tcW w:type="dxa" w:w="2880"/>
          </w:tcPr>
          <w:p>
            <w:r/>
            <w:r>
              <w:rPr>
                <w:rFonts w:ascii="Times New Roman" w:hAnsi="Times New Roman"/>
                <w:color w:val="000000"/>
                <w:sz w:val="18"/>
              </w:rPr>
              <w:t>7</w:t>
            </w:r>
          </w:p>
        </w:tc>
        <w:tc>
          <w:tcPr>
            <w:tcW w:type="dxa" w:w="2880"/>
          </w:tcPr>
          <w:p>
            <w:r/>
            <w:r>
              <w:rPr>
                <w:rFonts w:ascii="Times New Roman" w:hAnsi="Times New Roman"/>
                <w:color w:val="000000"/>
                <w:sz w:val="18"/>
              </w:rPr>
              <w:t>Q10</w:t>
            </w:r>
          </w:p>
        </w:tc>
        <w:tc>
          <w:tcPr>
            <w:tcW w:type="dxa" w:w="2880"/>
          </w:tcPr>
          <w:p>
            <w:r/>
            <w:r>
              <w:rPr>
                <w:rFonts w:ascii="Times New Roman" w:hAnsi="Times New Roman"/>
                <w:color w:val="000000"/>
                <w:sz w:val="18"/>
              </w:rPr>
              <w:t>0.1307</w:t>
            </w:r>
          </w:p>
        </w:tc>
      </w:tr>
      <w:tr>
        <w:tc>
          <w:tcPr>
            <w:tcW w:type="dxa" w:w="2880"/>
          </w:tcPr>
          <w:p>
            <w:r/>
            <w:r>
              <w:rPr>
                <w:rFonts w:ascii="Times New Roman" w:hAnsi="Times New Roman"/>
                <w:color w:val="000000"/>
                <w:sz w:val="18"/>
              </w:rPr>
              <w:t>8</w:t>
            </w:r>
          </w:p>
        </w:tc>
        <w:tc>
          <w:tcPr>
            <w:tcW w:type="dxa" w:w="2880"/>
          </w:tcPr>
          <w:p>
            <w:r/>
            <w:r>
              <w:rPr>
                <w:rFonts w:ascii="Times New Roman" w:hAnsi="Times New Roman"/>
                <w:color w:val="000000"/>
                <w:sz w:val="18"/>
              </w:rPr>
              <w:t>Q8</w:t>
            </w:r>
          </w:p>
        </w:tc>
        <w:tc>
          <w:tcPr>
            <w:tcW w:type="dxa" w:w="2880"/>
          </w:tcPr>
          <w:p>
            <w:r/>
            <w:r>
              <w:rPr>
                <w:rFonts w:ascii="Times New Roman" w:hAnsi="Times New Roman"/>
                <w:color w:val="000000"/>
                <w:sz w:val="18"/>
              </w:rPr>
              <w:t>0.1211</w:t>
            </w:r>
          </w:p>
        </w:tc>
      </w:tr>
    </w:tbl>
    <w:p/>
    <w:p>
      <w:pPr>
        <w:spacing w:after="80" w:line="360" w:lineRule="auto"/>
        <w:jc w:val="both"/>
      </w:pPr>
      <w:r>
        <w:rPr>
          <w:rFonts w:ascii="Times New Roman" w:hAnsi="Times New Roman"/>
          <w:b w:val="0"/>
          <w:i/>
          <w:color w:val="000000"/>
          <w:sz w:val="20"/>
        </w:rPr>
        <w:t>Table 6b. SHAP mean absolute value, top 8 features, Alzubaidi.</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80"/>
        <w:gridCol w:w="2880"/>
        <w:gridCol w:w="2880"/>
      </w:tblGrid>
      <w:tr>
        <w:tc>
          <w:tcPr>
            <w:tcW w:type="dxa" w:w="2880"/>
          </w:tcPr>
          <w:p>
            <w:r/>
            <w:r>
              <w:rPr>
                <w:rFonts w:ascii="Times New Roman" w:hAnsi="Times New Roman"/>
                <w:b/>
                <w:color w:val="000000"/>
                <w:sz w:val="18"/>
              </w:rPr>
              <w:t>Rank</w:t>
            </w:r>
          </w:p>
        </w:tc>
        <w:tc>
          <w:tcPr>
            <w:tcW w:type="dxa" w:w="2880"/>
          </w:tcPr>
          <w:p>
            <w:r/>
            <w:r>
              <w:rPr>
                <w:rFonts w:ascii="Times New Roman" w:hAnsi="Times New Roman"/>
                <w:b/>
                <w:color w:val="000000"/>
                <w:sz w:val="18"/>
              </w:rPr>
              <w:t>Feature</w:t>
            </w:r>
          </w:p>
        </w:tc>
        <w:tc>
          <w:tcPr>
            <w:tcW w:type="dxa" w:w="2880"/>
          </w:tcPr>
          <w:p>
            <w:r/>
            <w:r>
              <w:rPr>
                <w:rFonts w:ascii="Times New Roman" w:hAnsi="Times New Roman"/>
                <w:b/>
                <w:color w:val="000000"/>
                <w:sz w:val="18"/>
              </w:rPr>
              <w:t>Mean |SHAP|</w:t>
            </w:r>
          </w:p>
        </w:tc>
      </w:tr>
      <w:tr>
        <w:tc>
          <w:tcPr>
            <w:tcW w:type="dxa" w:w="2880"/>
          </w:tcPr>
          <w:p>
            <w:r/>
            <w:r>
              <w:rPr>
                <w:rFonts w:ascii="Times New Roman" w:hAnsi="Times New Roman"/>
                <w:color w:val="000000"/>
                <w:sz w:val="18"/>
              </w:rPr>
              <w:t>1</w:t>
            </w:r>
          </w:p>
        </w:tc>
        <w:tc>
          <w:tcPr>
            <w:tcW w:type="dxa" w:w="2880"/>
          </w:tcPr>
          <w:p>
            <w:r/>
            <w:r>
              <w:rPr>
                <w:rFonts w:ascii="Times New Roman" w:hAnsi="Times New Roman"/>
                <w:color w:val="000000"/>
                <w:sz w:val="18"/>
              </w:rPr>
              <w:t>A_agg</w:t>
            </w:r>
          </w:p>
        </w:tc>
        <w:tc>
          <w:tcPr>
            <w:tcW w:type="dxa" w:w="2880"/>
          </w:tcPr>
          <w:p>
            <w:r/>
            <w:r>
              <w:rPr>
                <w:rFonts w:ascii="Times New Roman" w:hAnsi="Times New Roman"/>
                <w:color w:val="000000"/>
                <w:sz w:val="18"/>
              </w:rPr>
              <w:t>0.4488</w:t>
            </w:r>
          </w:p>
        </w:tc>
      </w:tr>
      <w:tr>
        <w:tc>
          <w:tcPr>
            <w:tcW w:type="dxa" w:w="2880"/>
          </w:tcPr>
          <w:p>
            <w:r/>
            <w:r>
              <w:rPr>
                <w:rFonts w:ascii="Times New Roman" w:hAnsi="Times New Roman"/>
                <w:color w:val="000000"/>
                <w:sz w:val="18"/>
              </w:rPr>
              <w:t>2</w:t>
            </w:r>
          </w:p>
        </w:tc>
        <w:tc>
          <w:tcPr>
            <w:tcW w:type="dxa" w:w="2880"/>
          </w:tcPr>
          <w:p>
            <w:r/>
            <w:r>
              <w:rPr>
                <w:rFonts w:ascii="Times New Roman" w:hAnsi="Times New Roman"/>
                <w:color w:val="000000"/>
                <w:sz w:val="18"/>
              </w:rPr>
              <w:t>B18_3</w:t>
            </w:r>
          </w:p>
        </w:tc>
        <w:tc>
          <w:tcPr>
            <w:tcW w:type="dxa" w:w="2880"/>
          </w:tcPr>
          <w:p>
            <w:r/>
            <w:r>
              <w:rPr>
                <w:rFonts w:ascii="Times New Roman" w:hAnsi="Times New Roman"/>
                <w:color w:val="000000"/>
                <w:sz w:val="18"/>
              </w:rPr>
              <w:t>0.4313</w:t>
            </w:r>
          </w:p>
        </w:tc>
      </w:tr>
      <w:tr>
        <w:tc>
          <w:tcPr>
            <w:tcW w:type="dxa" w:w="2880"/>
          </w:tcPr>
          <w:p>
            <w:r/>
            <w:r>
              <w:rPr>
                <w:rFonts w:ascii="Times New Roman" w:hAnsi="Times New Roman"/>
                <w:color w:val="000000"/>
                <w:sz w:val="18"/>
              </w:rPr>
              <w:t>3</w:t>
            </w:r>
          </w:p>
        </w:tc>
        <w:tc>
          <w:tcPr>
            <w:tcW w:type="dxa" w:w="2880"/>
          </w:tcPr>
          <w:p>
            <w:r/>
            <w:r>
              <w:rPr>
                <w:rFonts w:ascii="Times New Roman" w:hAnsi="Times New Roman"/>
                <w:color w:val="000000"/>
                <w:sz w:val="18"/>
              </w:rPr>
              <w:t>B18_5</w:t>
            </w:r>
          </w:p>
        </w:tc>
        <w:tc>
          <w:tcPr>
            <w:tcW w:type="dxa" w:w="2880"/>
          </w:tcPr>
          <w:p>
            <w:r/>
            <w:r>
              <w:rPr>
                <w:rFonts w:ascii="Times New Roman" w:hAnsi="Times New Roman"/>
                <w:color w:val="000000"/>
                <w:sz w:val="18"/>
              </w:rPr>
              <w:t>0.2891</w:t>
            </w:r>
          </w:p>
        </w:tc>
      </w:tr>
      <w:tr>
        <w:tc>
          <w:tcPr>
            <w:tcW w:type="dxa" w:w="2880"/>
          </w:tcPr>
          <w:p>
            <w:r/>
            <w:r>
              <w:rPr>
                <w:rFonts w:ascii="Times New Roman" w:hAnsi="Times New Roman"/>
                <w:color w:val="000000"/>
                <w:sz w:val="18"/>
              </w:rPr>
              <w:t>4</w:t>
            </w:r>
          </w:p>
        </w:tc>
        <w:tc>
          <w:tcPr>
            <w:tcW w:type="dxa" w:w="2880"/>
          </w:tcPr>
          <w:p>
            <w:r/>
            <w:r>
              <w:rPr>
                <w:rFonts w:ascii="Times New Roman" w:hAnsi="Times New Roman"/>
                <w:color w:val="000000"/>
                <w:sz w:val="18"/>
              </w:rPr>
              <w:t>B18_2</w:t>
            </w:r>
          </w:p>
        </w:tc>
        <w:tc>
          <w:tcPr>
            <w:tcW w:type="dxa" w:w="2880"/>
          </w:tcPr>
          <w:p>
            <w:r/>
            <w:r>
              <w:rPr>
                <w:rFonts w:ascii="Times New Roman" w:hAnsi="Times New Roman"/>
                <w:color w:val="000000"/>
                <w:sz w:val="18"/>
              </w:rPr>
              <w:t>0.2691</w:t>
            </w:r>
          </w:p>
        </w:tc>
      </w:tr>
      <w:tr>
        <w:tc>
          <w:tcPr>
            <w:tcW w:type="dxa" w:w="2880"/>
          </w:tcPr>
          <w:p>
            <w:r/>
            <w:r>
              <w:rPr>
                <w:rFonts w:ascii="Times New Roman" w:hAnsi="Times New Roman"/>
                <w:color w:val="000000"/>
                <w:sz w:val="18"/>
              </w:rPr>
              <w:t>5</w:t>
            </w:r>
          </w:p>
        </w:tc>
        <w:tc>
          <w:tcPr>
            <w:tcW w:type="dxa" w:w="2880"/>
          </w:tcPr>
          <w:p>
            <w:r/>
            <w:r>
              <w:rPr>
                <w:rFonts w:ascii="Times New Roman" w:hAnsi="Times New Roman"/>
                <w:color w:val="000000"/>
                <w:sz w:val="18"/>
              </w:rPr>
              <w:t>B21</w:t>
            </w:r>
          </w:p>
        </w:tc>
        <w:tc>
          <w:tcPr>
            <w:tcW w:type="dxa" w:w="2880"/>
          </w:tcPr>
          <w:p>
            <w:r/>
            <w:r>
              <w:rPr>
                <w:rFonts w:ascii="Times New Roman" w:hAnsi="Times New Roman"/>
                <w:color w:val="000000"/>
                <w:sz w:val="18"/>
              </w:rPr>
              <w:t>0.2343</w:t>
            </w:r>
          </w:p>
        </w:tc>
      </w:tr>
      <w:tr>
        <w:tc>
          <w:tcPr>
            <w:tcW w:type="dxa" w:w="2880"/>
          </w:tcPr>
          <w:p>
            <w:r/>
            <w:r>
              <w:rPr>
                <w:rFonts w:ascii="Times New Roman" w:hAnsi="Times New Roman"/>
                <w:color w:val="000000"/>
                <w:sz w:val="18"/>
              </w:rPr>
              <w:t>6</w:t>
            </w:r>
          </w:p>
        </w:tc>
        <w:tc>
          <w:tcPr>
            <w:tcW w:type="dxa" w:w="2880"/>
          </w:tcPr>
          <w:p>
            <w:r/>
            <w:r>
              <w:rPr>
                <w:rFonts w:ascii="Times New Roman" w:hAnsi="Times New Roman"/>
                <w:color w:val="000000"/>
                <w:sz w:val="18"/>
              </w:rPr>
              <w:t>B18_4</w:t>
            </w:r>
          </w:p>
        </w:tc>
        <w:tc>
          <w:tcPr>
            <w:tcW w:type="dxa" w:w="2880"/>
          </w:tcPr>
          <w:p>
            <w:r/>
            <w:r>
              <w:rPr>
                <w:rFonts w:ascii="Times New Roman" w:hAnsi="Times New Roman"/>
                <w:color w:val="000000"/>
                <w:sz w:val="18"/>
              </w:rPr>
              <w:t>0.1936</w:t>
            </w:r>
          </w:p>
        </w:tc>
      </w:tr>
      <w:tr>
        <w:tc>
          <w:tcPr>
            <w:tcW w:type="dxa" w:w="2880"/>
          </w:tcPr>
          <w:p>
            <w:r/>
            <w:r>
              <w:rPr>
                <w:rFonts w:ascii="Times New Roman" w:hAnsi="Times New Roman"/>
                <w:color w:val="000000"/>
                <w:sz w:val="18"/>
              </w:rPr>
              <w:t>7</w:t>
            </w:r>
          </w:p>
        </w:tc>
        <w:tc>
          <w:tcPr>
            <w:tcW w:type="dxa" w:w="2880"/>
          </w:tcPr>
          <w:p>
            <w:r/>
            <w:r>
              <w:rPr>
                <w:rFonts w:ascii="Times New Roman" w:hAnsi="Times New Roman"/>
                <w:color w:val="000000"/>
                <w:sz w:val="18"/>
              </w:rPr>
              <w:t>K_agg</w:t>
            </w:r>
          </w:p>
        </w:tc>
        <w:tc>
          <w:tcPr>
            <w:tcW w:type="dxa" w:w="2880"/>
          </w:tcPr>
          <w:p>
            <w:r/>
            <w:r>
              <w:rPr>
                <w:rFonts w:ascii="Times New Roman" w:hAnsi="Times New Roman"/>
                <w:color w:val="000000"/>
                <w:sz w:val="18"/>
              </w:rPr>
              <w:t>0.1618</w:t>
            </w:r>
          </w:p>
        </w:tc>
      </w:tr>
      <w:tr>
        <w:tc>
          <w:tcPr>
            <w:tcW w:type="dxa" w:w="2880"/>
          </w:tcPr>
          <w:p>
            <w:r/>
            <w:r>
              <w:rPr>
                <w:rFonts w:ascii="Times New Roman" w:hAnsi="Times New Roman"/>
                <w:color w:val="000000"/>
                <w:sz w:val="18"/>
              </w:rPr>
              <w:t>8</w:t>
            </w:r>
          </w:p>
        </w:tc>
        <w:tc>
          <w:tcPr>
            <w:tcW w:type="dxa" w:w="2880"/>
          </w:tcPr>
          <w:p>
            <w:r/>
            <w:r>
              <w:rPr>
                <w:rFonts w:ascii="Times New Roman" w:hAnsi="Times New Roman"/>
                <w:color w:val="000000"/>
                <w:sz w:val="18"/>
              </w:rPr>
              <w:t>B19_0</w:t>
            </w:r>
          </w:p>
        </w:tc>
        <w:tc>
          <w:tcPr>
            <w:tcW w:type="dxa" w:w="2880"/>
          </w:tcPr>
          <w:p>
            <w:r/>
            <w:r>
              <w:rPr>
                <w:rFonts w:ascii="Times New Roman" w:hAnsi="Times New Roman"/>
                <w:color w:val="000000"/>
                <w:sz w:val="18"/>
              </w:rPr>
              <w:t>0.1513</w:t>
            </w:r>
          </w:p>
        </w:tc>
      </w:tr>
    </w:tbl>
    <w:p/>
    <w:p>
      <w:pPr>
        <w:spacing w:after="120" w:line="360" w:lineRule="auto"/>
        <w:jc w:val="left"/>
      </w:pPr>
      <w:r>
        <w:rPr>
          <w:rFonts w:ascii="Times New Roman" w:hAnsi="Times New Roman"/>
          <w:b/>
          <w:i w:val="0"/>
          <w:color w:val="000000"/>
          <w:sz w:val="26"/>
        </w:rPr>
        <w:t>R7. Error Analysis and Per-Class Performance (KNUST)</w:t>
      </w:r>
    </w:p>
    <w:p>
      <w:pPr>
        <w:spacing w:after="160" w:line="360" w:lineRule="auto"/>
        <w:jc w:val="both"/>
      </w:pPr>
      <w:r>
        <w:rPr>
          <w:rFonts w:ascii="Times New Roman" w:hAnsi="Times New Roman"/>
          <w:b w:val="0"/>
          <w:i w:val="0"/>
          <w:color w:val="000000"/>
          <w:sz w:val="24"/>
        </w:rPr>
        <w:t>On the KNUST 80/20 held-out partition (n = 418), the baseline confusion matrix is TN 163, FP 71, FN 74, TP 110; the WCE matrix is TN 155, FP 79, FN 79, TP 105. A false negative is a Low-readiness student predicted High, i.e. an at-risk student missed; a false positive is a High-readiness student predicted Low, i.e. over-served. Baseline per-class F1: Low 0.6921, High 0.6027. WCE per-class F1: Low 0.6624, High 0.5707. The baseline is at least as strong on both classes.</w:t>
      </w:r>
    </w:p>
    <w:p>
      <w:pPr>
        <w:spacing w:after="80" w:line="360" w:lineRule="auto"/>
        <w:jc w:val="both"/>
      </w:pPr>
      <w:r>
        <w:rPr>
          <w:rFonts w:ascii="Times New Roman" w:hAnsi="Times New Roman"/>
          <w:b w:val="0"/>
          <w:i/>
          <w:color w:val="000000"/>
          <w:sz w:val="20"/>
        </w:rPr>
        <w:t>Table 5. Per-class precision, recall and F1, KNUST held-out.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28"/>
        <w:gridCol w:w="1728"/>
        <w:gridCol w:w="1728"/>
        <w:gridCol w:w="1728"/>
        <w:gridCol w:w="1728"/>
      </w:tblGrid>
      <w:tr>
        <w:tc>
          <w:tcPr>
            <w:tcW w:type="dxa" w:w="1728"/>
          </w:tcPr>
          <w:p>
            <w:r/>
            <w:r>
              <w:rPr>
                <w:rFonts w:ascii="Times New Roman" w:hAnsi="Times New Roman"/>
                <w:b/>
                <w:color w:val="000000"/>
                <w:sz w:val="18"/>
              </w:rPr>
              <w:t>Model</w:t>
            </w:r>
          </w:p>
        </w:tc>
        <w:tc>
          <w:tcPr>
            <w:tcW w:type="dxa" w:w="1728"/>
          </w:tcPr>
          <w:p>
            <w:r/>
            <w:r>
              <w:rPr>
                <w:rFonts w:ascii="Times New Roman" w:hAnsi="Times New Roman"/>
                <w:b/>
                <w:color w:val="000000"/>
                <w:sz w:val="18"/>
              </w:rPr>
              <w:t>Class</w:t>
            </w:r>
          </w:p>
        </w:tc>
        <w:tc>
          <w:tcPr>
            <w:tcW w:type="dxa" w:w="1728"/>
          </w:tcPr>
          <w:p>
            <w:r/>
            <w:r>
              <w:rPr>
                <w:rFonts w:ascii="Times New Roman" w:hAnsi="Times New Roman"/>
                <w:b/>
                <w:color w:val="000000"/>
                <w:sz w:val="18"/>
              </w:rPr>
              <w:t>Precision</w:t>
            </w:r>
          </w:p>
        </w:tc>
        <w:tc>
          <w:tcPr>
            <w:tcW w:type="dxa" w:w="1728"/>
          </w:tcPr>
          <w:p>
            <w:r/>
            <w:r>
              <w:rPr>
                <w:rFonts w:ascii="Times New Roman" w:hAnsi="Times New Roman"/>
                <w:b/>
                <w:color w:val="000000"/>
                <w:sz w:val="18"/>
              </w:rPr>
              <w:t>Recall</w:t>
            </w:r>
          </w:p>
        </w:tc>
        <w:tc>
          <w:tcPr>
            <w:tcW w:type="dxa" w:w="1728"/>
          </w:tcPr>
          <w:p>
            <w:r/>
            <w:r>
              <w:rPr>
                <w:rFonts w:ascii="Times New Roman" w:hAnsi="Times New Roman"/>
                <w:b/>
                <w:color w:val="000000"/>
                <w:sz w:val="18"/>
              </w:rPr>
              <w:t>F1</w:t>
            </w:r>
          </w:p>
        </w:tc>
      </w:tr>
      <w:tr>
        <w:tc>
          <w:tcPr>
            <w:tcW w:type="dxa" w:w="1728"/>
          </w:tcPr>
          <w:p>
            <w:r/>
            <w:r>
              <w:rPr>
                <w:rFonts w:ascii="Times New Roman" w:hAnsi="Times New Roman"/>
                <w:color w:val="000000"/>
                <w:sz w:val="18"/>
              </w:rPr>
              <w:t>Baseline</w:t>
            </w:r>
          </w:p>
        </w:tc>
        <w:tc>
          <w:tcPr>
            <w:tcW w:type="dxa" w:w="1728"/>
          </w:tcPr>
          <w:p>
            <w:r/>
            <w:r>
              <w:rPr>
                <w:rFonts w:ascii="Times New Roman" w:hAnsi="Times New Roman"/>
                <w:color w:val="000000"/>
                <w:sz w:val="18"/>
              </w:rPr>
              <w:t>Low</w:t>
            </w:r>
          </w:p>
        </w:tc>
        <w:tc>
          <w:tcPr>
            <w:tcW w:type="dxa" w:w="1728"/>
          </w:tcPr>
          <w:p>
            <w:r/>
            <w:r>
              <w:rPr>
                <w:rFonts w:ascii="Times New Roman" w:hAnsi="Times New Roman"/>
                <w:color w:val="000000"/>
                <w:sz w:val="18"/>
              </w:rPr>
              <w:t>0.6878</w:t>
            </w:r>
          </w:p>
        </w:tc>
        <w:tc>
          <w:tcPr>
            <w:tcW w:type="dxa" w:w="1728"/>
          </w:tcPr>
          <w:p>
            <w:r/>
            <w:r>
              <w:rPr>
                <w:rFonts w:ascii="Times New Roman" w:hAnsi="Times New Roman"/>
                <w:color w:val="000000"/>
                <w:sz w:val="18"/>
              </w:rPr>
              <w:t>0.6966</w:t>
            </w:r>
          </w:p>
        </w:tc>
        <w:tc>
          <w:tcPr>
            <w:tcW w:type="dxa" w:w="1728"/>
          </w:tcPr>
          <w:p>
            <w:r/>
            <w:r>
              <w:rPr>
                <w:rFonts w:ascii="Times New Roman" w:hAnsi="Times New Roman"/>
                <w:color w:val="000000"/>
                <w:sz w:val="18"/>
              </w:rPr>
              <w:t>0.6921</w:t>
            </w:r>
          </w:p>
        </w:tc>
      </w:tr>
      <w:tr>
        <w:tc>
          <w:tcPr>
            <w:tcW w:type="dxa" w:w="1728"/>
          </w:tcPr>
          <w:p>
            <w:r/>
            <w:r>
              <w:rPr>
                <w:rFonts w:ascii="Times New Roman" w:hAnsi="Times New Roman"/>
                <w:color w:val="000000"/>
                <w:sz w:val="18"/>
              </w:rPr>
              <w:t>Baseline</w:t>
            </w:r>
          </w:p>
        </w:tc>
        <w:tc>
          <w:tcPr>
            <w:tcW w:type="dxa" w:w="1728"/>
          </w:tcPr>
          <w:p>
            <w:r/>
            <w:r>
              <w:rPr>
                <w:rFonts w:ascii="Times New Roman" w:hAnsi="Times New Roman"/>
                <w:color w:val="000000"/>
                <w:sz w:val="18"/>
              </w:rPr>
              <w:t>High</w:t>
            </w:r>
          </w:p>
        </w:tc>
        <w:tc>
          <w:tcPr>
            <w:tcW w:type="dxa" w:w="1728"/>
          </w:tcPr>
          <w:p>
            <w:r/>
            <w:r>
              <w:rPr>
                <w:rFonts w:ascii="Times New Roman" w:hAnsi="Times New Roman"/>
                <w:color w:val="000000"/>
                <w:sz w:val="18"/>
              </w:rPr>
              <w:t>0.6077</w:t>
            </w:r>
          </w:p>
        </w:tc>
        <w:tc>
          <w:tcPr>
            <w:tcW w:type="dxa" w:w="1728"/>
          </w:tcPr>
          <w:p>
            <w:r/>
            <w:r>
              <w:rPr>
                <w:rFonts w:ascii="Times New Roman" w:hAnsi="Times New Roman"/>
                <w:color w:val="000000"/>
                <w:sz w:val="18"/>
              </w:rPr>
              <w:t>0.5978</w:t>
            </w:r>
          </w:p>
        </w:tc>
        <w:tc>
          <w:tcPr>
            <w:tcW w:type="dxa" w:w="1728"/>
          </w:tcPr>
          <w:p>
            <w:r/>
            <w:r>
              <w:rPr>
                <w:rFonts w:ascii="Times New Roman" w:hAnsi="Times New Roman"/>
                <w:color w:val="000000"/>
                <w:sz w:val="18"/>
              </w:rPr>
              <w:t>0.6027</w:t>
            </w:r>
          </w:p>
        </w:tc>
      </w:tr>
      <w:tr>
        <w:tc>
          <w:tcPr>
            <w:tcW w:type="dxa" w:w="1728"/>
          </w:tcPr>
          <w:p>
            <w:r/>
            <w:r>
              <w:rPr>
                <w:rFonts w:ascii="Times New Roman" w:hAnsi="Times New Roman"/>
                <w:color w:val="000000"/>
                <w:sz w:val="18"/>
              </w:rPr>
              <w:t>KAB-WCE</w:t>
            </w:r>
          </w:p>
        </w:tc>
        <w:tc>
          <w:tcPr>
            <w:tcW w:type="dxa" w:w="1728"/>
          </w:tcPr>
          <w:p>
            <w:r/>
            <w:r>
              <w:rPr>
                <w:rFonts w:ascii="Times New Roman" w:hAnsi="Times New Roman"/>
                <w:color w:val="000000"/>
                <w:sz w:val="18"/>
              </w:rPr>
              <w:t>Low</w:t>
            </w:r>
          </w:p>
        </w:tc>
        <w:tc>
          <w:tcPr>
            <w:tcW w:type="dxa" w:w="1728"/>
          </w:tcPr>
          <w:p>
            <w:r/>
            <w:r>
              <w:rPr>
                <w:rFonts w:ascii="Times New Roman" w:hAnsi="Times New Roman"/>
                <w:color w:val="000000"/>
                <w:sz w:val="18"/>
              </w:rPr>
              <w:t>0.6624</w:t>
            </w:r>
          </w:p>
        </w:tc>
        <w:tc>
          <w:tcPr>
            <w:tcW w:type="dxa" w:w="1728"/>
          </w:tcPr>
          <w:p>
            <w:r/>
            <w:r>
              <w:rPr>
                <w:rFonts w:ascii="Times New Roman" w:hAnsi="Times New Roman"/>
                <w:color w:val="000000"/>
                <w:sz w:val="18"/>
              </w:rPr>
              <w:t>0.6624</w:t>
            </w:r>
          </w:p>
        </w:tc>
        <w:tc>
          <w:tcPr>
            <w:tcW w:type="dxa" w:w="1728"/>
          </w:tcPr>
          <w:p>
            <w:r/>
            <w:r>
              <w:rPr>
                <w:rFonts w:ascii="Times New Roman" w:hAnsi="Times New Roman"/>
                <w:color w:val="000000"/>
                <w:sz w:val="18"/>
              </w:rPr>
              <w:t>0.6624</w:t>
            </w:r>
          </w:p>
        </w:tc>
      </w:tr>
      <w:tr>
        <w:tc>
          <w:tcPr>
            <w:tcW w:type="dxa" w:w="1728"/>
          </w:tcPr>
          <w:p>
            <w:r/>
            <w:r>
              <w:rPr>
                <w:rFonts w:ascii="Times New Roman" w:hAnsi="Times New Roman"/>
                <w:color w:val="000000"/>
                <w:sz w:val="18"/>
              </w:rPr>
              <w:t>KAB-WCE</w:t>
            </w:r>
          </w:p>
        </w:tc>
        <w:tc>
          <w:tcPr>
            <w:tcW w:type="dxa" w:w="1728"/>
          </w:tcPr>
          <w:p>
            <w:r/>
            <w:r>
              <w:rPr>
                <w:rFonts w:ascii="Times New Roman" w:hAnsi="Times New Roman"/>
                <w:color w:val="000000"/>
                <w:sz w:val="18"/>
              </w:rPr>
              <w:t>High</w:t>
            </w:r>
          </w:p>
        </w:tc>
        <w:tc>
          <w:tcPr>
            <w:tcW w:type="dxa" w:w="1728"/>
          </w:tcPr>
          <w:p>
            <w:r/>
            <w:r>
              <w:rPr>
                <w:rFonts w:ascii="Times New Roman" w:hAnsi="Times New Roman"/>
                <w:color w:val="000000"/>
                <w:sz w:val="18"/>
              </w:rPr>
              <w:t>0.5707</w:t>
            </w:r>
          </w:p>
        </w:tc>
        <w:tc>
          <w:tcPr>
            <w:tcW w:type="dxa" w:w="1728"/>
          </w:tcPr>
          <w:p>
            <w:r/>
            <w:r>
              <w:rPr>
                <w:rFonts w:ascii="Times New Roman" w:hAnsi="Times New Roman"/>
                <w:color w:val="000000"/>
                <w:sz w:val="18"/>
              </w:rPr>
              <w:t>0.5707</w:t>
            </w:r>
          </w:p>
        </w:tc>
        <w:tc>
          <w:tcPr>
            <w:tcW w:type="dxa" w:w="1728"/>
          </w:tcPr>
          <w:p>
            <w:r/>
            <w:r>
              <w:rPr>
                <w:rFonts w:ascii="Times New Roman" w:hAnsi="Times New Roman"/>
                <w:color w:val="000000"/>
                <w:sz w:val="18"/>
              </w:rPr>
              <w:t>0.5707</w:t>
            </w:r>
          </w:p>
        </w:tc>
      </w:tr>
    </w:tbl>
    <w:p/>
    <w:p>
      <w:pPr>
        <w:spacing w:after="160" w:line="360" w:lineRule="auto"/>
        <w:jc w:val="both"/>
      </w:pPr>
      <w:r>
        <w:rPr>
          <w:rFonts w:ascii="Times New Roman" w:hAnsi="Times New Roman"/>
          <w:b w:val="0"/>
          <w:i w:val="0"/>
          <w:color w:val="000000"/>
          <w:sz w:val="24"/>
        </w:rPr>
        <w:t>McNemar (held-out): b = 23 (baseline correct, WCE wrong), c = 10 (baseline wrong, WCE correct), chi-square = 4.364, p = 0.0367. Counts reconcile with the matrices: baseline correct 273, WCE correct 260. AUC: baseline 0.6991, WCE 0.6971.</w:t>
      </w:r>
    </w:p>
    <w:p>
      <w:pPr>
        <w:spacing w:after="120" w:line="360" w:lineRule="auto"/>
        <w:jc w:val="left"/>
      </w:pPr>
      <w:r>
        <w:rPr>
          <w:rFonts w:ascii="Times New Roman" w:hAnsi="Times New Roman"/>
          <w:b/>
          <w:i w:val="0"/>
          <w:color w:val="000000"/>
          <w:sz w:val="26"/>
        </w:rPr>
        <w:t>R8. Transfer and Cross-Dataset Results</w:t>
      </w:r>
    </w:p>
    <w:p>
      <w:pPr>
        <w:spacing w:after="160" w:line="360" w:lineRule="auto"/>
        <w:jc w:val="both"/>
      </w:pPr>
      <w:r>
        <w:rPr>
          <w:rFonts w:ascii="Times New Roman" w:hAnsi="Times New Roman"/>
          <w:b w:val="0"/>
          <w:i w:val="0"/>
          <w:color w:val="000000"/>
          <w:sz w:val="24"/>
        </w:rPr>
        <w:t>Reported separately per leg; never pooled. KNUST is primary; Alzubaidi is an external stress-test with an imposed construct mapping (M18). The proposed model does not beat the baseline on either leg (KNUST p = 0.188, ns; Alzubaidi p = 0.0098, significantly worse). Divergence between the legs is reported as a limitation of the mapping rather than a finding about populations.</w:t>
      </w:r>
    </w:p>
    <w:p>
      <w:pPr>
        <w:spacing w:after="120" w:line="360" w:lineRule="auto"/>
        <w:jc w:val="left"/>
      </w:pPr>
      <w:r>
        <w:rPr>
          <w:rFonts w:ascii="Times New Roman" w:hAnsi="Times New Roman"/>
          <w:b/>
          <w:i w:val="0"/>
          <w:color w:val="000000"/>
          <w:sz w:val="26"/>
        </w:rPr>
        <w:t>R9. Computational Cost</w:t>
      </w:r>
    </w:p>
    <w:p>
      <w:pPr>
        <w:spacing w:after="160" w:line="360" w:lineRule="auto"/>
        <w:jc w:val="both"/>
      </w:pPr>
      <w:r>
        <w:rPr>
          <w:rFonts w:ascii="Times New Roman" w:hAnsi="Times New Roman"/>
          <w:b w:val="0"/>
          <w:i w:val="0"/>
          <w:color w:val="000000"/>
          <w:sz w:val="24"/>
        </w:rPr>
        <w:t>Mean per-fold training time (KNUST): baseline 22.4 ms, WCE 26.1 ms. The per-instance weight vector is a vectorised operation and costs microseconds; the difference is run-to-run scheduling noise and is not attributed to the weighting. No performance-per-cost claim is made.</w:t>
      </w:r>
    </w:p>
    <w:p>
      <w:pPr>
        <w:spacing w:after="120" w:line="360" w:lineRule="auto"/>
        <w:jc w:val="left"/>
      </w:pPr>
      <w:r>
        <w:rPr>
          <w:rFonts w:ascii="Times New Roman" w:hAnsi="Times New Roman"/>
          <w:b/>
          <w:i w:val="0"/>
          <w:color w:val="000000"/>
          <w:sz w:val="26"/>
        </w:rPr>
        <w:t>R10. Non-Confirmatory and Negative Results</w:t>
      </w:r>
    </w:p>
    <w:p>
      <w:pPr>
        <w:spacing w:after="160" w:line="360" w:lineRule="auto"/>
        <w:jc w:val="both"/>
      </w:pPr>
      <w:r>
        <w:rPr>
          <w:rFonts w:ascii="Times New Roman" w:hAnsi="Times New Roman"/>
          <w:b w:val="0"/>
          <w:i w:val="0"/>
          <w:color w:val="000000"/>
          <w:sz w:val="24"/>
        </w:rPr>
        <w:t>The study reports a null-to-negative primary result and a data-quality finding. First, KAB-XGBoost-WCE does not beat Baseline XGBoost on KNUST (p = 0.188) and is significantly worse on Alzubaidi (p = 0.0098); Naive Bayes significantly beats it on KNUST (p = 0.0001). The weighting's isolated ablation contribution is +0.0010. The honest conclusion is that the KAB asymmetry weighting adds no measurable value.</w:t>
      </w:r>
    </w:p>
    <w:p>
      <w:pPr>
        <w:spacing w:after="160" w:line="360" w:lineRule="auto"/>
        <w:jc w:val="both"/>
      </w:pPr>
      <w:r>
        <w:rPr>
          <w:rFonts w:ascii="Times New Roman" w:hAnsi="Times New Roman"/>
          <w:b w:val="0"/>
          <w:i w:val="0"/>
          <w:color w:val="000000"/>
          <w:sz w:val="24"/>
        </w:rPr>
        <w:t>Second, the artificial-skew test confirms the boundary condition. When the High class is downsampled to a 25% minority (n = 1556), stock scale_pos_weight gains +0.0526 over the vanilla baseline while KAB-WCE gains -0.0103. So even under genuine imbalance the KAB weighting does not help, and a simple class weight is the better tool. This is why the near-balanced primary dataset shows no benefit.</w:t>
      </w:r>
    </w:p>
    <w:p>
      <w:pPr>
        <w:spacing w:after="160" w:line="360" w:lineRule="auto"/>
        <w:jc w:val="both"/>
      </w:pPr>
      <w:r>
        <w:rPr>
          <w:rFonts w:ascii="Times New Roman" w:hAnsi="Times New Roman"/>
          <w:b w:val="0"/>
          <w:i w:val="0"/>
          <w:color w:val="000000"/>
          <w:sz w:val="24"/>
        </w:rPr>
        <w:t>Third, the Decision Tree depth curve diagnoses the pre-de-duplication leakage. On the de-duplicated KNUST data the tree scores depth 1 0.6186, depth 2 0.6167, depth 3 0.6130, unlimited 0.5749. The unlimited tree is the weakest, not the strongest: once duplicate rows are removed the memorisation advantage disappears. This is the only set of depth-curve values in the document.</w:t>
      </w:r>
    </w:p>
    <w:p>
      <w:pPr>
        <w:spacing w:after="120" w:line="360" w:lineRule="auto"/>
        <w:jc w:val="left"/>
      </w:pPr>
      <w:r>
        <w:rPr>
          <w:rFonts w:ascii="Times New Roman" w:hAnsi="Times New Roman"/>
          <w:b/>
          <w:i w:val="0"/>
          <w:color w:val="000000"/>
          <w:sz w:val="26"/>
        </w:rPr>
        <w:t>R11. Robustness and Subgroup Analysis (KNUST)</w:t>
      </w:r>
    </w:p>
    <w:p>
      <w:pPr>
        <w:spacing w:after="160" w:line="360" w:lineRule="auto"/>
        <w:jc w:val="both"/>
      </w:pPr>
      <w:r>
        <w:rPr>
          <w:rFonts w:ascii="Times New Roman" w:hAnsi="Times New Roman"/>
          <w:b w:val="0"/>
          <w:i w:val="0"/>
          <w:color w:val="000000"/>
          <w:sz w:val="24"/>
        </w:rPr>
        <w:t>Ordinal robustness. The held-out Likert features were perturbed by plus or minus one category on 10% of item cells over 20 trials. The proposed model's macro F1 moved from 0.6165 (which equals the held-out WCE macro F1 in R7, so the two reconcile) to a mean of 0.6242 (SD 0.0093), a change of -0.0077. The model is stable to one-category ordinal noise.</w:t>
      </w:r>
    </w:p>
    <w:p>
      <w:pPr>
        <w:spacing w:after="160" w:line="360" w:lineRule="auto"/>
        <w:jc w:val="both"/>
      </w:pPr>
      <w:r>
        <w:rPr>
          <w:rFonts w:ascii="Times New Roman" w:hAnsi="Times New Roman"/>
          <w:b w:val="0"/>
          <w:i w:val="0"/>
          <w:color w:val="000000"/>
          <w:sz w:val="24"/>
        </w:rPr>
        <w:t>Bootstrap. Resampling the held-out predictions 1000 times gives a mean macro F1 of 0.6161 with a 95% interval of [0.5724, 0.6624]. The wide interval includes the baseline, consistent with the null primary result.</w:t>
      </w:r>
    </w:p>
    <w:p>
      <w:pPr>
        <w:spacing w:after="160" w:line="360" w:lineRule="auto"/>
        <w:jc w:val="both"/>
      </w:pPr>
      <w:r>
        <w:rPr>
          <w:rFonts w:ascii="Times New Roman" w:hAnsi="Times New Roman"/>
          <w:b w:val="0"/>
          <w:i w:val="0"/>
          <w:color w:val="000000"/>
          <w:sz w:val="24"/>
        </w:rPr>
        <w:t>Subgroup analysis and threshold sensitivity are in Table 7. Performance is broadly similar across year of study and prior IT coursework, and the null result holds at tertile and quartile thresholds as well as at the median.</w:t>
      </w:r>
    </w:p>
    <w:p>
      <w:pPr>
        <w:spacing w:after="80" w:line="360" w:lineRule="auto"/>
        <w:jc w:val="both"/>
      </w:pPr>
      <w:r>
        <w:rPr>
          <w:rFonts w:ascii="Times New Roman" w:hAnsi="Times New Roman"/>
          <w:b w:val="0"/>
          <w:i/>
          <w:color w:val="000000"/>
          <w:sz w:val="20"/>
        </w:rPr>
        <w:t>Table 7. Subgroup macro F1 (out-of-fold) and Behaviour-score threshold sensitivity, KNUST.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Group / threshold</w:t>
            </w:r>
          </w:p>
        </w:tc>
        <w:tc>
          <w:tcPr>
            <w:tcW w:type="dxa" w:w="2160"/>
          </w:tcPr>
          <w:p>
            <w:r/>
            <w:r>
              <w:rPr>
                <w:rFonts w:ascii="Times New Roman" w:hAnsi="Times New Roman"/>
                <w:b/>
                <w:color w:val="000000"/>
                <w:sz w:val="18"/>
              </w:rPr>
              <w:t>n or share</w:t>
            </w:r>
          </w:p>
        </w:tc>
        <w:tc>
          <w:tcPr>
            <w:tcW w:type="dxa" w:w="2160"/>
          </w:tcPr>
          <w:p>
            <w:r/>
            <w:r>
              <w:rPr>
                <w:rFonts w:ascii="Times New Roman" w:hAnsi="Times New Roman"/>
                <w:b/>
                <w:color w:val="000000"/>
                <w:sz w:val="18"/>
              </w:rPr>
              <w:t>Macro F1</w:t>
            </w:r>
          </w:p>
        </w:tc>
        <w:tc>
          <w:tcPr>
            <w:tcW w:type="dxa" w:w="2160"/>
          </w:tcPr>
          <w:p>
            <w:r/>
            <w:r>
              <w:rPr>
                <w:rFonts w:ascii="Times New Roman" w:hAnsi="Times New Roman"/>
                <w:b/>
                <w:color w:val="000000"/>
                <w:sz w:val="18"/>
              </w:rPr>
              <w:t>Note</w:t>
            </w:r>
          </w:p>
        </w:tc>
      </w:tr>
      <w:tr>
        <w:tc>
          <w:tcPr>
            <w:tcW w:type="dxa" w:w="2160"/>
          </w:tcPr>
          <w:p>
            <w:r/>
            <w:r>
              <w:rPr>
                <w:rFonts w:ascii="Times New Roman" w:hAnsi="Times New Roman"/>
                <w:color w:val="000000"/>
                <w:sz w:val="18"/>
              </w:rPr>
              <w:t>Year: Year group A</w:t>
            </w:r>
          </w:p>
        </w:tc>
        <w:tc>
          <w:tcPr>
            <w:tcW w:type="dxa" w:w="2160"/>
          </w:tcPr>
          <w:p>
            <w:r/>
            <w:r>
              <w:rPr>
                <w:rFonts w:ascii="Times New Roman" w:hAnsi="Times New Roman"/>
                <w:color w:val="000000"/>
                <w:sz w:val="18"/>
              </w:rPr>
              <w:t>519</w:t>
            </w:r>
          </w:p>
        </w:tc>
        <w:tc>
          <w:tcPr>
            <w:tcW w:type="dxa" w:w="2160"/>
          </w:tcPr>
          <w:p>
            <w:r/>
            <w:r>
              <w:rPr>
                <w:rFonts w:ascii="Times New Roman" w:hAnsi="Times New Roman"/>
                <w:color w:val="000000"/>
                <w:sz w:val="18"/>
              </w:rPr>
              <w:t>0.6116</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Year: Year group B</w:t>
            </w:r>
          </w:p>
        </w:tc>
        <w:tc>
          <w:tcPr>
            <w:tcW w:type="dxa" w:w="2160"/>
          </w:tcPr>
          <w:p>
            <w:r/>
            <w:r>
              <w:rPr>
                <w:rFonts w:ascii="Times New Roman" w:hAnsi="Times New Roman"/>
                <w:color w:val="000000"/>
                <w:sz w:val="18"/>
              </w:rPr>
              <w:t>835</w:t>
            </w:r>
          </w:p>
        </w:tc>
        <w:tc>
          <w:tcPr>
            <w:tcW w:type="dxa" w:w="2160"/>
          </w:tcPr>
          <w:p>
            <w:r/>
            <w:r>
              <w:rPr>
                <w:rFonts w:ascii="Times New Roman" w:hAnsi="Times New Roman"/>
                <w:color w:val="000000"/>
                <w:sz w:val="18"/>
              </w:rPr>
              <w:t>0.6398</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Year: Year group C</w:t>
            </w:r>
          </w:p>
        </w:tc>
        <w:tc>
          <w:tcPr>
            <w:tcW w:type="dxa" w:w="2160"/>
          </w:tcPr>
          <w:p>
            <w:r/>
            <w:r>
              <w:rPr>
                <w:rFonts w:ascii="Times New Roman" w:hAnsi="Times New Roman"/>
                <w:color w:val="000000"/>
                <w:sz w:val="18"/>
              </w:rPr>
              <w:t>734</w:t>
            </w:r>
          </w:p>
        </w:tc>
        <w:tc>
          <w:tcPr>
            <w:tcW w:type="dxa" w:w="2160"/>
          </w:tcPr>
          <w:p>
            <w:r/>
            <w:r>
              <w:rPr>
                <w:rFonts w:ascii="Times New Roman" w:hAnsi="Times New Roman"/>
                <w:color w:val="000000"/>
                <w:sz w:val="18"/>
              </w:rPr>
              <w:t>0.6504</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IT: No prior IT course</w:t>
            </w:r>
          </w:p>
        </w:tc>
        <w:tc>
          <w:tcPr>
            <w:tcW w:type="dxa" w:w="2160"/>
          </w:tcPr>
          <w:p>
            <w:r/>
            <w:r>
              <w:rPr>
                <w:rFonts w:ascii="Times New Roman" w:hAnsi="Times New Roman"/>
                <w:color w:val="000000"/>
                <w:sz w:val="18"/>
              </w:rPr>
              <w:t>1497</w:t>
            </w:r>
          </w:p>
        </w:tc>
        <w:tc>
          <w:tcPr>
            <w:tcW w:type="dxa" w:w="2160"/>
          </w:tcPr>
          <w:p>
            <w:r/>
            <w:r>
              <w:rPr>
                <w:rFonts w:ascii="Times New Roman" w:hAnsi="Times New Roman"/>
                <w:color w:val="000000"/>
                <w:sz w:val="18"/>
              </w:rPr>
              <w:t>0.6325</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IT: Prior IT course</w:t>
            </w:r>
          </w:p>
        </w:tc>
        <w:tc>
          <w:tcPr>
            <w:tcW w:type="dxa" w:w="2160"/>
          </w:tcPr>
          <w:p>
            <w:r/>
            <w:r>
              <w:rPr>
                <w:rFonts w:ascii="Times New Roman" w:hAnsi="Times New Roman"/>
                <w:color w:val="000000"/>
                <w:sz w:val="18"/>
              </w:rPr>
              <w:t>591</w:t>
            </w:r>
          </w:p>
        </w:tc>
        <w:tc>
          <w:tcPr>
            <w:tcW w:type="dxa" w:w="2160"/>
          </w:tcPr>
          <w:p>
            <w:r/>
            <w:r>
              <w:rPr>
                <w:rFonts w:ascii="Times New Roman" w:hAnsi="Times New Roman"/>
                <w:color w:val="000000"/>
                <w:sz w:val="18"/>
              </w:rPr>
              <w:t>0.6340</w:t>
            </w:r>
          </w:p>
        </w:tc>
        <w:tc>
          <w:tcPr>
            <w:tcW w:type="dxa" w:w="2160"/>
          </w:tcPr>
          <w:p>
            <w:r/>
            <w:r>
              <w:rPr>
                <w:rFonts w:ascii="Times New Roman" w:hAnsi="Times New Roman"/>
                <w:color w:val="000000"/>
                <w:sz w:val="18"/>
              </w:rPr>
            </w:r>
          </w:p>
        </w:tc>
      </w:tr>
      <w:tr>
        <w:tc>
          <w:tcPr>
            <w:tcW w:type="dxa" w:w="2160"/>
          </w:tcPr>
          <w:p>
            <w:r/>
            <w:r>
              <w:rPr>
                <w:rFonts w:ascii="Times New Roman" w:hAnsi="Times New Roman"/>
                <w:color w:val="000000"/>
                <w:sz w:val="18"/>
              </w:rPr>
              <w:t>Threshold: median</w:t>
            </w:r>
          </w:p>
        </w:tc>
        <w:tc>
          <w:tcPr>
            <w:tcW w:type="dxa" w:w="2160"/>
          </w:tcPr>
          <w:p>
            <w:r/>
            <w:r>
              <w:rPr>
                <w:rFonts w:ascii="Times New Roman" w:hAnsi="Times New Roman"/>
                <w:color w:val="000000"/>
                <w:sz w:val="18"/>
              </w:rPr>
              <w:t>low 55%</w:t>
            </w:r>
          </w:p>
        </w:tc>
        <w:tc>
          <w:tcPr>
            <w:tcW w:type="dxa" w:w="2160"/>
          </w:tcPr>
          <w:p>
            <w:r/>
            <w:r>
              <w:rPr>
                <w:rFonts w:ascii="Times New Roman" w:hAnsi="Times New Roman"/>
                <w:color w:val="000000"/>
                <w:sz w:val="18"/>
              </w:rPr>
              <w:t>0.6333</w:t>
            </w:r>
          </w:p>
        </w:tc>
        <w:tc>
          <w:tcPr>
            <w:tcW w:type="dxa" w:w="2160"/>
          </w:tcPr>
          <w:p>
            <w:r/>
            <w:r>
              <w:rPr>
                <w:rFonts w:ascii="Times New Roman" w:hAnsi="Times New Roman"/>
                <w:color w:val="000000"/>
                <w:sz w:val="18"/>
              </w:rPr>
              <w:t>cut 18</w:t>
            </w:r>
          </w:p>
        </w:tc>
      </w:tr>
      <w:tr>
        <w:tc>
          <w:tcPr>
            <w:tcW w:type="dxa" w:w="2160"/>
          </w:tcPr>
          <w:p>
            <w:r/>
            <w:r>
              <w:rPr>
                <w:rFonts w:ascii="Times New Roman" w:hAnsi="Times New Roman"/>
                <w:color w:val="000000"/>
                <w:sz w:val="18"/>
              </w:rPr>
              <w:t>Threshold: tertile_top</w:t>
            </w:r>
          </w:p>
        </w:tc>
        <w:tc>
          <w:tcPr>
            <w:tcW w:type="dxa" w:w="2160"/>
          </w:tcPr>
          <w:p>
            <w:r/>
            <w:r>
              <w:rPr>
                <w:rFonts w:ascii="Times New Roman" w:hAnsi="Times New Roman"/>
                <w:color w:val="000000"/>
                <w:sz w:val="18"/>
              </w:rPr>
              <w:t>low 70%</w:t>
            </w:r>
          </w:p>
        </w:tc>
        <w:tc>
          <w:tcPr>
            <w:tcW w:type="dxa" w:w="2160"/>
          </w:tcPr>
          <w:p>
            <w:r/>
            <w:r>
              <w:rPr>
                <w:rFonts w:ascii="Times New Roman" w:hAnsi="Times New Roman"/>
                <w:color w:val="000000"/>
                <w:sz w:val="18"/>
              </w:rPr>
              <w:t>0.5993</w:t>
            </w:r>
          </w:p>
        </w:tc>
        <w:tc>
          <w:tcPr>
            <w:tcW w:type="dxa" w:w="2160"/>
          </w:tcPr>
          <w:p>
            <w:r/>
            <w:r>
              <w:rPr>
                <w:rFonts w:ascii="Times New Roman" w:hAnsi="Times New Roman"/>
                <w:color w:val="000000"/>
                <w:sz w:val="18"/>
              </w:rPr>
              <w:t>cut 20</w:t>
            </w:r>
          </w:p>
        </w:tc>
      </w:tr>
      <w:tr>
        <w:tc>
          <w:tcPr>
            <w:tcW w:type="dxa" w:w="2160"/>
          </w:tcPr>
          <w:p>
            <w:r/>
            <w:r>
              <w:rPr>
                <w:rFonts w:ascii="Times New Roman" w:hAnsi="Times New Roman"/>
                <w:color w:val="000000"/>
                <w:sz w:val="18"/>
              </w:rPr>
              <w:t>Threshold: quartile_top</w:t>
            </w:r>
          </w:p>
        </w:tc>
        <w:tc>
          <w:tcPr>
            <w:tcW w:type="dxa" w:w="2160"/>
          </w:tcPr>
          <w:p>
            <w:r/>
            <w:r>
              <w:rPr>
                <w:rFonts w:ascii="Times New Roman" w:hAnsi="Times New Roman"/>
                <w:color w:val="000000"/>
                <w:sz w:val="18"/>
              </w:rPr>
              <w:t>low 76%</w:t>
            </w:r>
          </w:p>
        </w:tc>
        <w:tc>
          <w:tcPr>
            <w:tcW w:type="dxa" w:w="2160"/>
          </w:tcPr>
          <w:p>
            <w:r/>
            <w:r>
              <w:rPr>
                <w:rFonts w:ascii="Times New Roman" w:hAnsi="Times New Roman"/>
                <w:color w:val="000000"/>
                <w:sz w:val="18"/>
              </w:rPr>
              <w:t>0.5650</w:t>
            </w:r>
          </w:p>
        </w:tc>
        <w:tc>
          <w:tcPr>
            <w:tcW w:type="dxa" w:w="2160"/>
          </w:tcPr>
          <w:p>
            <w:r/>
            <w:r>
              <w:rPr>
                <w:rFonts w:ascii="Times New Roman" w:hAnsi="Times New Roman"/>
                <w:color w:val="000000"/>
                <w:sz w:val="18"/>
              </w:rPr>
              <w:t>cut 21</w:t>
            </w:r>
          </w:p>
        </w:tc>
      </w:tr>
    </w:tbl>
    <w:p/>
    <w:p>
      <w:pPr>
        <w:spacing w:after="160" w:line="360" w:lineRule="auto"/>
        <w:jc w:val="both"/>
      </w:pPr>
      <w:r>
        <w:rPr>
          <w:rFonts w:ascii="Times New Roman" w:hAnsi="Times New Roman"/>
          <w:b w:val="0"/>
          <w:i w:val="0"/>
          <w:color w:val="000000"/>
          <w:sz w:val="24"/>
        </w:rPr>
        <w:t>Behaviour-score distribution around the median (18.0): counts at scores 16 to 20 are 16: 128, 17: 146, 18: 140, 19: 139, 20: 155. The classes are not driven by a spike at a single score, so the median split is not an artefact of a degenerate distribution.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