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jc w:val="both"/>
      </w:pPr>
    </w:p>
    <w:p>
      <w:pPr>
        <w:spacing w:line="480" w:lineRule="auto" w:after="0"/>
        <w:jc w:val="both"/>
      </w:pPr>
    </w:p>
    <w:p>
      <w:pPr>
        <w:spacing w:line="480" w:lineRule="auto" w:after="0"/>
        <w:jc w:val="both"/>
      </w:pPr>
    </w:p>
    <w:p>
      <w:pPr>
        <w:spacing w:line="480" w:lineRule="auto" w:after="0"/>
        <w:jc w:val="both"/>
      </w:pPr>
    </w:p>
    <w:p>
      <w:pPr>
        <w:spacing w:line="480" w:lineRule="auto" w:after="0"/>
        <w:jc w:val="both"/>
      </w:pPr>
    </w:p>
    <w:p>
      <w:pPr>
        <w:spacing w:line="480" w:lineRule="auto" w:after="0"/>
        <w:jc w:val="both"/>
      </w:pPr>
    </w:p>
    <w:p>
      <w:pPr>
        <w:spacing w:line="480" w:lineRule="auto" w:after="0"/>
        <w:jc w:val="both"/>
      </w:pPr>
    </w:p>
    <w:p>
      <w:pPr>
        <w:spacing w:line="480" w:lineRule="auto" w:after="0"/>
        <w:jc w:val="center"/>
      </w:pPr>
      <w:r>
        <w:rPr>
          <w:b/>
          <w:i w:val="0"/>
        </w:rPr>
        <w:t>BUHAY: Buildings-and-Bridges Unit-cost Hybrid Analytics and Yardstick for Standards-Based Start Quotation and Over-Budget Anomaly Detection via a Blueprint-Driven Hybrid Machine Learning System</w:t>
      </w:r>
    </w:p>
    <w:p>
      <w:pPr>
        <w:spacing w:line="480" w:lineRule="auto" w:after="0"/>
        <w:jc w:val="both"/>
      </w:pPr>
    </w:p>
    <w:p>
      <w:pPr>
        <w:spacing w:line="480" w:lineRule="auto" w:after="0"/>
        <w:jc w:val="both"/>
      </w:pPr>
    </w:p>
    <w:p>
      <w:pPr>
        <w:spacing w:line="480" w:lineRule="auto" w:after="0"/>
        <w:jc w:val="both"/>
      </w:pPr>
    </w:p>
    <w:p>
      <w:pPr>
        <w:spacing w:line="480" w:lineRule="auto" w:after="0"/>
        <w:jc w:val="center"/>
      </w:pPr>
      <w:r>
        <w:rPr>
          <w:b/>
          <w:i w:val="0"/>
        </w:rPr>
        <w:t>Enrique Miguel C. Buban</w:t>
      </w:r>
    </w:p>
    <w:p>
      <w:pPr>
        <w:spacing w:line="480" w:lineRule="auto" w:after="0"/>
        <w:jc w:val="center"/>
      </w:pPr>
      <w:r>
        <w:rPr>
          <w:b w:val="0"/>
          <w:i w:val="0"/>
        </w:rPr>
        <w:t>Lead Researcher</w:t>
      </w:r>
    </w:p>
    <w:p>
      <w:pPr>
        <w:spacing w:line="480" w:lineRule="auto" w:after="0"/>
        <w:jc w:val="both"/>
      </w:pPr>
    </w:p>
    <w:p>
      <w:pPr>
        <w:spacing w:line="480" w:lineRule="auto" w:after="0"/>
        <w:jc w:val="both"/>
      </w:pPr>
    </w:p>
    <w:p>
      <w:pPr>
        <w:spacing w:line="480" w:lineRule="auto" w:after="0"/>
        <w:jc w:val="both"/>
      </w:pPr>
    </w:p>
    <w:p>
      <w:pPr>
        <w:spacing w:line="480" w:lineRule="auto" w:after="0"/>
        <w:jc w:val="center"/>
      </w:pPr>
      <w:r>
        <w:rPr>
          <w:b w:val="0"/>
          <w:i w:val="0"/>
        </w:rPr>
        <w:t>Mathematical and Computational Sciences</w:t>
      </w:r>
    </w:p>
    <w:p>
      <w:pPr>
        <w:spacing w:line="480" w:lineRule="auto" w:after="0"/>
        <w:jc w:val="center"/>
      </w:pPr>
      <w:r>
        <w:rPr>
          <w:b w:val="0"/>
          <w:i w:val="0"/>
        </w:rPr>
        <w:t>2026</w:t>
      </w:r>
    </w:p>
    <w:p>
      <w:pPr>
        <w:sectPr>
          <w:pgSz w:w="12240" w:h="15840"/>
          <w:pgMar w:top="1440" w:right="1440" w:bottom="1440" w:left="1440" w:header="720" w:footer="720" w:gutter="0"/>
          <w:cols w:space="720"/>
          <w:docGrid w:linePitch="360"/>
        </w:sectPr>
      </w:pPr>
    </w:p>
    <w:p>
      <w:pPr>
        <w:spacing w:line="480" w:lineRule="auto" w:after="0"/>
        <w:jc w:val="center"/>
      </w:pPr>
      <w:r>
        <w:rPr>
          <w:b/>
          <w:i w:val="0"/>
        </w:rPr>
        <w:t>ABSTRACT</w:t>
      </w:r>
    </w:p>
    <w:tbl>
      <w:tblPr>
        <w:tblW w:type="auto" w:w="0"/>
        <w:jc w:val="center"/>
        <w:tblLook w:firstColumn="1" w:firstRow="1" w:lastColumn="0" w:lastRow="0" w:noHBand="0" w:noVBand="1" w:val="04A0"/>
      </w:tblPr>
      <w:tblGrid>
        <w:gridCol w:w="9360"/>
      </w:tblGrid>
      <w:tr>
        <w:tc>
          <w:tcPr>
            <w:tcW w:type="dxa" w:w="9360"/>
            <w:tcBorders>
              <w:top w:val="single" w:sz="8" w:color="000000"/>
              <w:left w:val="single" w:sz="8" w:color="000000"/>
              <w:bottom w:val="single" w:sz="8" w:color="000000"/>
              <w:right w:val="single" w:sz="8" w:color="000000"/>
            </w:tcBorders>
          </w:tcPr>
          <w:p>
            <w:pPr>
              <w:spacing w:line="360" w:lineRule="auto"/>
              <w:jc w:val="both"/>
            </w:pPr>
            <w:r/>
            <w:r>
              <w:rPr>
                <w:b w:val="0"/>
                <w:i w:val="0"/>
                <w:sz w:val="22"/>
              </w:rPr>
              <w:t>Public buildings and bridges are where padded prices cost the most: an overpriced classroom is a classroom another community does not get, and a bridge built below specification can fail within weeks of opening, as the ₱1.225-billion Cabagan–Santa Maria Bridge did in February 2025. The Philippines scored 32 out of 100 in the 2025 Corruption Perceptions Index, and a review of ₱545.64 billion in flood-control projects found that about one-fifth went to only 15 contractors. Existing machine-learning screens, including the road-focused CORA system, learn only from past contract prices, so they inherit whatever overpricing those prices contain and cannot say what a project should cost. This study developed BUHAY, a system that reads a building or bridge plan, performs a standards-based quantity take-off under NSCP 2015, the DPWH Standard Specifications and AASHTO LRFD, prices it with DPWH pay items, and returns a lean start quotation, a standard fair estimate and a ceiling following the indirect-cost rules of DPWH D.O. 197 s. 2016 and D.O. 30 s. 2025. A hybrid layer of Multiple Linear Regression, XGBoost, Isolation Forest and SHAP is combined with the over-budget ratio into the BUHAY Risk Index. On a 300-project simulated benchmark of Bicol Region V buildings and bridges with 36 injected overpricing cases, the standard estimate reached a mean absolute percentage error of 5.21% for buildings and 7.67% for bridges against fair awarded costs. XGBoost outperformed Multiple Linear Regression on bridges (MAPE 19.18% vs. 65.65%), while the linear model stayed competitive on buildings (13.43% vs. 13.94%). The BUHAY Risk Index flagged 94.4% of padded contracts (F1 = 0.764, AUC = 0.987), compared with 27.8% for an Isolation Forest alone, and the lean start quotation averaged 14.4% below the standard estimate for buildings while keeping code minimums. BUHAY was deployed as an installable mobile application, an Android package and a download website with an interactive project map.</w:t>
            </w:r>
          </w:p>
          <w:p>
            <w:pPr>
              <w:spacing w:line="360" w:lineRule="auto" w:before="200"/>
            </w:pPr>
            <w:r>
              <w:rPr>
                <w:b/>
                <w:i/>
                <w:sz w:val="22"/>
              </w:rPr>
              <w:t>Keywords:</w:t>
            </w:r>
            <w:r>
              <w:rPr>
                <w:b w:val="0"/>
                <w:i w:val="0"/>
                <w:sz w:val="22"/>
              </w:rPr>
              <w:t xml:space="preserve"> </w:t>
            </w:r>
            <w:r>
              <w:rPr>
                <w:b/>
                <w:i w:val="0"/>
                <w:sz w:val="22"/>
              </w:rPr>
              <w:t>Construction Cost Estimation, Quantity Take-Off, Over-Budget Detection, XGBoost, Isolation Forest, SHAP, Public Procurement Transparency, Buildings and Bridges</w:t>
            </w:r>
          </w:p>
        </w:tc>
      </w:tr>
    </w:tbl>
    <w:p>
      <w:r>
        <w:br w:type="page"/>
      </w:r>
    </w:p>
    <w:p>
      <w:pPr>
        <w:spacing w:line="480" w:lineRule="auto" w:after="0"/>
        <w:jc w:val="center"/>
      </w:pPr>
      <w:r>
        <w:rPr>
          <w:b/>
          <w:i w:val="0"/>
        </w:rPr>
        <w:t>TABLE OF CONTENTS</w:t>
      </w:r>
    </w:p>
    <w:p>
      <w:pPr>
        <w:tabs>
          <w:tab w:pos="9360" w:val="right" w:leader="dot"/>
        </w:tabs>
        <w:spacing w:line="360" w:lineRule="auto"/>
        <w:ind w:left="0"/>
      </w:pPr>
      <w:r>
        <w:rPr>
          <w:b w:val="0"/>
          <w:i w:val="0"/>
        </w:rPr>
        <w:t>ABSTRACT</w:t>
        <w:tab/>
        <w:t>i</w:t>
      </w:r>
    </w:p>
    <w:p>
      <w:pPr>
        <w:tabs>
          <w:tab w:pos="9360" w:val="right" w:leader="dot"/>
        </w:tabs>
        <w:spacing w:line="360" w:lineRule="auto"/>
        <w:ind w:left="0"/>
      </w:pPr>
      <w:r>
        <w:rPr>
          <w:b w:val="0"/>
          <w:i w:val="0"/>
        </w:rPr>
        <w:t>TABLE OF CONTENTS</w:t>
        <w:tab/>
        <w:t>ii</w:t>
      </w:r>
    </w:p>
    <w:p>
      <w:pPr>
        <w:tabs>
          <w:tab w:pos="9360" w:val="right" w:leader="dot"/>
        </w:tabs>
        <w:spacing w:line="360" w:lineRule="auto"/>
        <w:ind w:left="0"/>
      </w:pPr>
      <w:r>
        <w:rPr>
          <w:b w:val="0"/>
          <w:i w:val="0"/>
        </w:rPr>
        <w:t>LIST OF FIGURES</w:t>
        <w:tab/>
        <w:t>iv</w:t>
      </w:r>
    </w:p>
    <w:p>
      <w:pPr>
        <w:tabs>
          <w:tab w:pos="9360" w:val="right" w:leader="dot"/>
        </w:tabs>
        <w:spacing w:line="360" w:lineRule="auto"/>
        <w:ind w:left="0"/>
      </w:pPr>
      <w:r>
        <w:rPr>
          <w:b w:val="0"/>
          <w:i w:val="0"/>
        </w:rPr>
        <w:t>LIST OF TABLES</w:t>
        <w:tab/>
        <w:t>v</w:t>
      </w:r>
    </w:p>
    <w:p>
      <w:pPr>
        <w:tabs>
          <w:tab w:pos="9360" w:val="right" w:leader="dot"/>
        </w:tabs>
        <w:spacing w:line="360" w:lineRule="auto"/>
        <w:ind w:left="0"/>
      </w:pPr>
      <w:r>
        <w:rPr>
          <w:b w:val="0"/>
          <w:i w:val="0"/>
        </w:rPr>
        <w:t>LIST OF EQUATIONS</w:t>
        <w:tab/>
        <w:t>vi</w:t>
      </w:r>
    </w:p>
    <w:p>
      <w:pPr>
        <w:tabs>
          <w:tab w:pos="9360" w:val="right" w:leader="dot"/>
        </w:tabs>
        <w:spacing w:line="360" w:lineRule="auto"/>
        <w:ind w:left="0"/>
      </w:pPr>
      <w:r>
        <w:rPr>
          <w:b w:val="0"/>
          <w:i w:val="0"/>
        </w:rPr>
        <w:t>LIST OF APPENDICES</w:t>
        <w:tab/>
        <w:t>vii</w:t>
      </w:r>
    </w:p>
    <w:p>
      <w:pPr>
        <w:tabs>
          <w:tab w:pos="9360" w:val="right" w:leader="dot"/>
        </w:tabs>
        <w:spacing w:line="360" w:lineRule="auto"/>
        <w:ind w:left="0"/>
      </w:pPr>
      <w:r>
        <w:rPr>
          <w:b w:val="0"/>
          <w:i w:val="0"/>
        </w:rPr>
        <w:t>INTRODUCTION</w:t>
        <w:tab/>
        <w:t>1</w:t>
      </w:r>
    </w:p>
    <w:p>
      <w:pPr>
        <w:tabs>
          <w:tab w:pos="9360" w:val="right" w:leader="dot"/>
        </w:tabs>
        <w:spacing w:line="360" w:lineRule="auto"/>
        <w:ind w:left="720"/>
      </w:pPr>
      <w:r>
        <w:rPr>
          <w:b w:val="0"/>
          <w:i w:val="0"/>
        </w:rPr>
        <w:t>Background of the Study</w:t>
        <w:tab/>
        <w:t>1</w:t>
      </w:r>
    </w:p>
    <w:p>
      <w:pPr>
        <w:tabs>
          <w:tab w:pos="9360" w:val="right" w:leader="dot"/>
        </w:tabs>
        <w:spacing w:line="360" w:lineRule="auto"/>
        <w:ind w:left="720"/>
      </w:pPr>
      <w:r>
        <w:rPr>
          <w:b w:val="0"/>
          <w:i w:val="0"/>
        </w:rPr>
        <w:t>Research Gap and Rationale</w:t>
        <w:tab/>
        <w:t>4</w:t>
      </w:r>
    </w:p>
    <w:p>
      <w:pPr>
        <w:tabs>
          <w:tab w:pos="9360" w:val="right" w:leader="dot"/>
        </w:tabs>
        <w:spacing w:line="360" w:lineRule="auto"/>
        <w:ind w:left="720"/>
      </w:pPr>
      <w:r>
        <w:rPr>
          <w:b w:val="0"/>
          <w:i w:val="0"/>
        </w:rPr>
        <w:t>Objective of the Study</w:t>
        <w:tab/>
        <w:t>5</w:t>
      </w:r>
    </w:p>
    <w:p>
      <w:pPr>
        <w:tabs>
          <w:tab w:pos="9360" w:val="right" w:leader="dot"/>
        </w:tabs>
        <w:spacing w:line="360" w:lineRule="auto"/>
        <w:ind w:left="720"/>
      </w:pPr>
      <w:r>
        <w:rPr>
          <w:b w:val="0"/>
          <w:i w:val="0"/>
        </w:rPr>
        <w:t>Significance of the Study</w:t>
        <w:tab/>
        <w:t>6</w:t>
      </w:r>
    </w:p>
    <w:p>
      <w:pPr>
        <w:tabs>
          <w:tab w:pos="9360" w:val="right" w:leader="dot"/>
        </w:tabs>
        <w:spacing w:line="360" w:lineRule="auto"/>
        <w:ind w:left="720"/>
      </w:pPr>
      <w:r>
        <w:rPr>
          <w:b w:val="0"/>
          <w:i w:val="0"/>
        </w:rPr>
        <w:t>Scope and Delimitation</w:t>
        <w:tab/>
        <w:t>7</w:t>
      </w:r>
    </w:p>
    <w:p>
      <w:pPr>
        <w:tabs>
          <w:tab w:pos="9360" w:val="right" w:leader="dot"/>
        </w:tabs>
        <w:spacing w:line="360" w:lineRule="auto"/>
        <w:ind w:left="720"/>
      </w:pPr>
      <w:r>
        <w:rPr>
          <w:b w:val="0"/>
          <w:i w:val="0"/>
        </w:rPr>
        <w:t>Definition of Terms</w:t>
        <w:tab/>
        <w:t>8</w:t>
      </w:r>
    </w:p>
    <w:p>
      <w:pPr>
        <w:tabs>
          <w:tab w:pos="9360" w:val="right" w:leader="dot"/>
        </w:tabs>
        <w:spacing w:line="360" w:lineRule="auto"/>
        <w:ind w:left="0"/>
      </w:pPr>
      <w:r>
        <w:rPr>
          <w:b w:val="0"/>
          <w:i w:val="0"/>
        </w:rPr>
        <w:t>FRAMEWORK</w:t>
        <w:tab/>
        <w:t>11</w:t>
      </w:r>
    </w:p>
    <w:p>
      <w:pPr>
        <w:tabs>
          <w:tab w:pos="9360" w:val="right" w:leader="dot"/>
        </w:tabs>
        <w:spacing w:line="360" w:lineRule="auto"/>
        <w:ind w:left="720"/>
      </w:pPr>
      <w:r>
        <w:rPr>
          <w:b w:val="0"/>
          <w:i w:val="0"/>
        </w:rPr>
        <w:t>Theoretical Framework</w:t>
        <w:tab/>
        <w:t>11</w:t>
      </w:r>
    </w:p>
    <w:p>
      <w:pPr>
        <w:tabs>
          <w:tab w:pos="9360" w:val="right" w:leader="dot"/>
        </w:tabs>
        <w:spacing w:line="360" w:lineRule="auto"/>
        <w:ind w:left="720"/>
      </w:pPr>
      <w:r>
        <w:rPr>
          <w:b w:val="0"/>
          <w:i w:val="0"/>
        </w:rPr>
        <w:t>Conceptual Framework</w:t>
        <w:tab/>
        <w:t>13</w:t>
      </w:r>
    </w:p>
    <w:p>
      <w:pPr>
        <w:tabs>
          <w:tab w:pos="9360" w:val="right" w:leader="dot"/>
        </w:tabs>
        <w:spacing w:line="360" w:lineRule="auto"/>
        <w:ind w:left="720"/>
      </w:pPr>
      <w:r>
        <w:rPr>
          <w:b w:val="0"/>
          <w:i w:val="0"/>
        </w:rPr>
        <w:t>Mathematical Framework</w:t>
        <w:tab/>
        <w:t>14</w:t>
      </w:r>
    </w:p>
    <w:p>
      <w:pPr>
        <w:tabs>
          <w:tab w:pos="9360" w:val="right" w:leader="dot"/>
        </w:tabs>
        <w:spacing w:line="360" w:lineRule="auto"/>
        <w:ind w:left="1440"/>
      </w:pPr>
      <w:r>
        <w:rPr>
          <w:b w:val="0"/>
          <w:i w:val="0"/>
        </w:rPr>
        <w:t>Plan Acquisition and Variable Extraction</w:t>
        <w:tab/>
        <w:t>15</w:t>
      </w:r>
    </w:p>
    <w:p>
      <w:pPr>
        <w:tabs>
          <w:tab w:pos="9360" w:val="right" w:leader="dot"/>
        </w:tabs>
        <w:spacing w:line="360" w:lineRule="auto"/>
        <w:ind w:left="1440"/>
      </w:pPr>
      <w:r>
        <w:rPr>
          <w:b w:val="0"/>
          <w:i w:val="0"/>
        </w:rPr>
        <w:t>Standards Codification and Price Book</w:t>
        <w:tab/>
        <w:t>17</w:t>
      </w:r>
    </w:p>
    <w:p>
      <w:pPr>
        <w:tabs>
          <w:tab w:pos="9360" w:val="right" w:leader="dot"/>
        </w:tabs>
        <w:spacing w:line="360" w:lineRule="auto"/>
        <w:ind w:left="1440"/>
      </w:pPr>
      <w:r>
        <w:rPr>
          <w:b w:val="0"/>
          <w:i w:val="0"/>
        </w:rPr>
        <w:t>Quantity Take-Off and Quotation Engine</w:t>
        <w:tab/>
        <w:t>18</w:t>
      </w:r>
    </w:p>
    <w:p>
      <w:pPr>
        <w:tabs>
          <w:tab w:pos="9360" w:val="right" w:leader="dot"/>
        </w:tabs>
        <w:spacing w:line="360" w:lineRule="auto"/>
        <w:ind w:left="1440"/>
      </w:pPr>
      <w:r>
        <w:rPr>
          <w:b w:val="0"/>
          <w:i w:val="0"/>
        </w:rPr>
        <w:t>Simulated Benchmark Dataset (SBD-300)</w:t>
        <w:tab/>
        <w:t>20</w:t>
      </w:r>
    </w:p>
    <w:p>
      <w:pPr>
        <w:tabs>
          <w:tab w:pos="9360" w:val="right" w:leader="dot"/>
        </w:tabs>
        <w:spacing w:line="360" w:lineRule="auto"/>
        <w:ind w:left="1440"/>
      </w:pPr>
      <w:r>
        <w:rPr>
          <w:b w:val="0"/>
          <w:i w:val="0"/>
        </w:rPr>
        <w:t>Model Development</w:t>
        <w:tab/>
        <w:t>21</w:t>
      </w:r>
    </w:p>
    <w:p>
      <w:pPr>
        <w:tabs>
          <w:tab w:pos="9360" w:val="right" w:leader="dot"/>
        </w:tabs>
        <w:spacing w:line="360" w:lineRule="auto"/>
        <w:ind w:left="1440"/>
      </w:pPr>
      <w:r>
        <w:rPr>
          <w:b w:val="0"/>
          <w:i w:val="0"/>
        </w:rPr>
        <w:t>Model Validation</w:t>
        <w:tab/>
        <w:t>24</w:t>
      </w:r>
    </w:p>
    <w:p>
      <w:pPr>
        <w:tabs>
          <w:tab w:pos="9360" w:val="right" w:leader="dot"/>
        </w:tabs>
        <w:spacing w:line="360" w:lineRule="auto"/>
        <w:ind w:left="1440"/>
      </w:pPr>
      <w:r>
        <w:rPr>
          <w:b w:val="0"/>
          <w:i w:val="0"/>
        </w:rPr>
        <w:t>3D Visualization</w:t>
        <w:tab/>
        <w:t>25</w:t>
      </w:r>
    </w:p>
    <w:p>
      <w:pPr>
        <w:tabs>
          <w:tab w:pos="9360" w:val="right" w:leader="dot"/>
        </w:tabs>
        <w:spacing w:line="360" w:lineRule="auto"/>
        <w:ind w:left="1440"/>
      </w:pPr>
      <w:r>
        <w:rPr>
          <w:b w:val="0"/>
          <w:i w:val="0"/>
        </w:rPr>
        <w:t>App and Website Development</w:t>
        <w:tab/>
        <w:t>25</w:t>
      </w:r>
    </w:p>
    <w:p>
      <w:pPr>
        <w:tabs>
          <w:tab w:pos="9360" w:val="right" w:leader="dot"/>
        </w:tabs>
        <w:spacing w:line="360" w:lineRule="auto"/>
        <w:ind w:left="0"/>
      </w:pPr>
      <w:r>
        <w:rPr>
          <w:b w:val="0"/>
          <w:i w:val="0"/>
        </w:rPr>
        <w:t>FINDINGS</w:t>
        <w:tab/>
        <w:t>26</w:t>
      </w:r>
    </w:p>
    <w:p>
      <w:pPr>
        <w:tabs>
          <w:tab w:pos="9360" w:val="right" w:leader="dot"/>
        </w:tabs>
        <w:spacing w:line="360" w:lineRule="auto"/>
        <w:ind w:left="720"/>
      </w:pPr>
      <w:r>
        <w:rPr>
          <w:b w:val="0"/>
          <w:i w:val="0"/>
        </w:rPr>
        <w:t>Plan Variables and Derived Indicators Extracted from Building and Bridge Plans</w:t>
        <w:tab/>
        <w:t>26</w:t>
      </w:r>
    </w:p>
    <w:p>
      <w:pPr>
        <w:tabs>
          <w:tab w:pos="9360" w:val="right" w:leader="dot"/>
        </w:tabs>
        <w:spacing w:line="360" w:lineRule="auto"/>
        <w:ind w:left="1440"/>
      </w:pPr>
      <w:r>
        <w:rPr>
          <w:b w:val="0"/>
          <w:i w:val="0"/>
        </w:rPr>
        <w:t>a.) Physical Properties</w:t>
        <w:tab/>
        <w:t>26</w:t>
      </w:r>
    </w:p>
    <w:p>
      <w:pPr>
        <w:tabs>
          <w:tab w:pos="9360" w:val="right" w:leader="dot"/>
        </w:tabs>
        <w:spacing w:line="360" w:lineRule="auto"/>
        <w:ind w:left="1440"/>
      </w:pPr>
      <w:r>
        <w:rPr>
          <w:b w:val="0"/>
          <w:i w:val="0"/>
        </w:rPr>
        <w:t>b.) Structural System and Foundation</w:t>
        <w:tab/>
        <w:t>27</w:t>
      </w:r>
    </w:p>
    <w:p>
      <w:pPr>
        <w:tabs>
          <w:tab w:pos="9360" w:val="right" w:leader="dot"/>
        </w:tabs>
        <w:spacing w:line="360" w:lineRule="auto"/>
        <w:ind w:left="1440"/>
      </w:pPr>
      <w:r>
        <w:rPr>
          <w:b w:val="0"/>
          <w:i w:val="0"/>
        </w:rPr>
        <w:t>c.) Location, Price Year and Project Budget</w:t>
        <w:tab/>
        <w:t>28</w:t>
      </w:r>
    </w:p>
    <w:p>
      <w:pPr>
        <w:tabs>
          <w:tab w:pos="9360" w:val="right" w:leader="dot"/>
        </w:tabs>
        <w:spacing w:line="360" w:lineRule="auto"/>
        <w:ind w:left="720"/>
      </w:pPr>
      <w:r>
        <w:rPr>
          <w:b w:val="0"/>
          <w:i w:val="0"/>
        </w:rPr>
        <w:t>Accuracy of the Standards-Based Quantity Take-Off Engine</w:t>
        <w:tab/>
        <w:t>28</w:t>
      </w:r>
    </w:p>
    <w:p>
      <w:pPr>
        <w:tabs>
          <w:tab w:pos="9360" w:val="right" w:leader="dot"/>
        </w:tabs>
        <w:spacing w:line="360" w:lineRule="auto"/>
        <w:ind w:left="1440"/>
      </w:pPr>
      <w:r>
        <w:rPr>
          <w:b w:val="0"/>
          <w:i w:val="0"/>
        </w:rPr>
        <w:t>a.) Lean Start Quotation, Standard Fair Estimate and Ceiling</w:t>
        <w:tab/>
        <w:t>29</w:t>
      </w:r>
    </w:p>
    <w:p>
      <w:pPr>
        <w:tabs>
          <w:tab w:pos="9360" w:val="right" w:leader="dot"/>
        </w:tabs>
        <w:spacing w:line="360" w:lineRule="auto"/>
        <w:ind w:left="1440"/>
      </w:pPr>
      <w:r>
        <w:rPr>
          <w:b w:val="0"/>
          <w:i w:val="0"/>
        </w:rPr>
        <w:t>b.) Accuracy against Fair Awarded Costs</w:t>
        <w:tab/>
        <w:t>30</w:t>
      </w:r>
    </w:p>
    <w:p>
      <w:pPr>
        <w:tabs>
          <w:tab w:pos="9360" w:val="right" w:leader="dot"/>
        </w:tabs>
        <w:spacing w:line="360" w:lineRule="auto"/>
        <w:ind w:left="720"/>
      </w:pPr>
      <w:r>
        <w:rPr>
          <w:b w:val="0"/>
          <w:i w:val="0"/>
        </w:rPr>
        <w:t>Development of Machine Learning Models to Predict Construction Cost</w:t>
        <w:tab/>
        <w:t>31</w:t>
      </w:r>
    </w:p>
    <w:p>
      <w:pPr>
        <w:tabs>
          <w:tab w:pos="9360" w:val="right" w:leader="dot"/>
        </w:tabs>
        <w:spacing w:line="360" w:lineRule="auto"/>
        <w:ind w:left="1440"/>
      </w:pPr>
      <w:r>
        <w:rPr>
          <w:b w:val="0"/>
          <w:i w:val="0"/>
        </w:rPr>
        <w:t>a.) Multiple Linear Regression</w:t>
        <w:tab/>
        <w:t>32</w:t>
      </w:r>
    </w:p>
    <w:p>
      <w:pPr>
        <w:tabs>
          <w:tab w:pos="9360" w:val="right" w:leader="dot"/>
        </w:tabs>
        <w:spacing w:line="360" w:lineRule="auto"/>
        <w:ind w:left="1440"/>
      </w:pPr>
      <w:r>
        <w:rPr>
          <w:b w:val="0"/>
          <w:i w:val="0"/>
        </w:rPr>
        <w:t>b.) Extreme Gradient Boosting</w:t>
        <w:tab/>
        <w:t>35</w:t>
      </w:r>
    </w:p>
    <w:p>
      <w:pPr>
        <w:tabs>
          <w:tab w:pos="9360" w:val="right" w:leader="dot"/>
        </w:tabs>
        <w:spacing w:line="360" w:lineRule="auto"/>
        <w:ind w:left="720"/>
      </w:pPr>
      <w:r>
        <w:rPr>
          <w:b w:val="0"/>
          <w:i w:val="0"/>
        </w:rPr>
        <w:t>Detection of Over-Budgeted Contracts</w:t>
        <w:tab/>
        <w:t>38</w:t>
      </w:r>
    </w:p>
    <w:p>
      <w:pPr>
        <w:tabs>
          <w:tab w:pos="9360" w:val="right" w:leader="dot"/>
        </w:tabs>
        <w:spacing w:line="360" w:lineRule="auto"/>
        <w:ind w:left="720"/>
      </w:pPr>
      <w:r>
        <w:rPr>
          <w:b w:val="0"/>
          <w:i w:val="0"/>
        </w:rPr>
        <w:t>Deployment of BUHAY as a Mobile Application and Download Website</w:t>
        <w:tab/>
        <w:t>40</w:t>
      </w:r>
    </w:p>
    <w:p>
      <w:pPr>
        <w:tabs>
          <w:tab w:pos="9360" w:val="right" w:leader="dot"/>
        </w:tabs>
        <w:spacing w:line="360" w:lineRule="auto"/>
        <w:ind w:left="1440"/>
      </w:pPr>
      <w:r>
        <w:rPr>
          <w:b w:val="0"/>
          <w:i w:val="0"/>
        </w:rPr>
        <w:t>a.) Mobile Application</w:t>
        <w:tab/>
        <w:t>41</w:t>
      </w:r>
    </w:p>
    <w:p>
      <w:pPr>
        <w:tabs>
          <w:tab w:pos="9360" w:val="right" w:leader="dot"/>
        </w:tabs>
        <w:spacing w:line="360" w:lineRule="auto"/>
        <w:ind w:left="1440"/>
      </w:pPr>
      <w:r>
        <w:rPr>
          <w:b w:val="0"/>
          <w:i w:val="0"/>
        </w:rPr>
        <w:t>b.) Download Website with Interactive Map</w:t>
        <w:tab/>
        <w:t>50</w:t>
      </w:r>
    </w:p>
    <w:p>
      <w:pPr>
        <w:tabs>
          <w:tab w:pos="9360" w:val="right" w:leader="dot"/>
        </w:tabs>
        <w:spacing w:line="360" w:lineRule="auto"/>
        <w:ind w:left="1440"/>
      </w:pPr>
      <w:r>
        <w:rPr>
          <w:b w:val="0"/>
          <w:i w:val="0"/>
        </w:rPr>
        <w:t>c.) Parametric 3D Visualization and SHAP Explanations</w:t>
        <w:tab/>
        <w:t>52</w:t>
      </w:r>
    </w:p>
    <w:p>
      <w:pPr>
        <w:tabs>
          <w:tab w:pos="9360" w:val="right" w:leader="dot"/>
        </w:tabs>
        <w:spacing w:line="360" w:lineRule="auto"/>
        <w:ind w:left="0"/>
      </w:pPr>
      <w:r>
        <w:rPr>
          <w:b w:val="0"/>
          <w:i w:val="0"/>
        </w:rPr>
        <w:t>CONCLUSION</w:t>
        <w:tab/>
        <w:t>54</w:t>
      </w:r>
    </w:p>
    <w:p>
      <w:pPr>
        <w:tabs>
          <w:tab w:pos="9360" w:val="right" w:leader="dot"/>
        </w:tabs>
        <w:spacing w:line="360" w:lineRule="auto"/>
        <w:ind w:left="0"/>
      </w:pPr>
      <w:r>
        <w:rPr>
          <w:b w:val="0"/>
          <w:i w:val="0"/>
        </w:rPr>
        <w:t>RECOMMENDATIONS</w:t>
        <w:tab/>
        <w:t>55</w:t>
      </w:r>
    </w:p>
    <w:p>
      <w:pPr>
        <w:tabs>
          <w:tab w:pos="9360" w:val="right" w:leader="dot"/>
        </w:tabs>
        <w:spacing w:line="360" w:lineRule="auto"/>
        <w:ind w:left="0"/>
      </w:pPr>
      <w:r>
        <w:rPr>
          <w:b w:val="0"/>
          <w:i w:val="0"/>
        </w:rPr>
        <w:t>REFERENCES</w:t>
        <w:tab/>
        <w:t>56</w:t>
      </w:r>
    </w:p>
    <w:p>
      <w:pPr>
        <w:tabs>
          <w:tab w:pos="9360" w:val="right" w:leader="dot"/>
        </w:tabs>
        <w:spacing w:line="360" w:lineRule="auto"/>
        <w:ind w:left="0"/>
      </w:pPr>
      <w:r>
        <w:rPr>
          <w:b w:val="0"/>
          <w:i w:val="0"/>
        </w:rPr>
        <w:t>APPENDICES</w:t>
        <w:tab/>
        <w:t>61</w:t>
      </w:r>
    </w:p>
    <w:p>
      <w:r>
        <w:br w:type="page"/>
      </w:r>
    </w:p>
    <w:p>
      <w:pPr>
        <w:spacing w:line="480" w:lineRule="auto" w:after="0"/>
        <w:jc w:val="center"/>
      </w:pPr>
      <w:r>
        <w:rPr>
          <w:b/>
          <w:i w:val="0"/>
        </w:rPr>
        <w:t>LIST OF FIGURES</w:t>
      </w:r>
    </w:p>
    <w:p>
      <w:pPr>
        <w:tabs>
          <w:tab w:pos="9360" w:val="right" w:leader="dot"/>
        </w:tabs>
        <w:spacing w:line="360" w:lineRule="auto"/>
        <w:ind w:left="0"/>
      </w:pPr>
      <w:r>
        <w:rPr>
          <w:b w:val="0"/>
          <w:i w:val="0"/>
        </w:rPr>
        <w:t>Figure 1. Theoretical Paradigm</w:t>
        <w:tab/>
        <w:t>12</w:t>
      </w:r>
    </w:p>
    <w:p>
      <w:pPr>
        <w:tabs>
          <w:tab w:pos="9360" w:val="right" w:leader="dot"/>
        </w:tabs>
        <w:spacing w:line="360" w:lineRule="auto"/>
        <w:ind w:left="0"/>
      </w:pPr>
      <w:r>
        <w:rPr>
          <w:b w:val="0"/>
          <w:i w:val="0"/>
        </w:rPr>
        <w:t>Figure 2. Conceptual Paradigm</w:t>
        <w:tab/>
        <w:t>14</w:t>
      </w:r>
    </w:p>
    <w:p>
      <w:pPr>
        <w:tabs>
          <w:tab w:pos="9360" w:val="right" w:leader="dot"/>
        </w:tabs>
        <w:spacing w:line="360" w:lineRule="auto"/>
        <w:ind w:left="0"/>
      </w:pPr>
      <w:r>
        <w:rPr>
          <w:b w:val="0"/>
          <w:i w:val="0"/>
        </w:rPr>
        <w:t>Figure 3. Methodological Paradigm</w:t>
        <w:tab/>
        <w:t>15</w:t>
      </w:r>
    </w:p>
    <w:p>
      <w:pPr>
        <w:tabs>
          <w:tab w:pos="9360" w:val="right" w:leader="dot"/>
        </w:tabs>
        <w:spacing w:line="360" w:lineRule="auto"/>
        <w:ind w:left="0"/>
      </w:pPr>
      <w:r>
        <w:rPr>
          <w:b w:val="0"/>
          <w:i w:val="0"/>
        </w:rPr>
        <w:t>Figure 4. Model Integration Framework</w:t>
        <w:tab/>
        <w:t>24</w:t>
      </w:r>
    </w:p>
    <w:p>
      <w:pPr>
        <w:tabs>
          <w:tab w:pos="9360" w:val="right" w:leader="dot"/>
        </w:tabs>
        <w:spacing w:line="360" w:lineRule="auto"/>
        <w:ind w:left="0"/>
      </w:pPr>
      <w:r>
        <w:rPr>
          <w:b w:val="0"/>
          <w:i w:val="0"/>
        </w:rPr>
        <w:t>Figure 5. System Architecture of BUHAY</w:t>
        <w:tab/>
        <w:t>26</w:t>
      </w:r>
    </w:p>
    <w:p>
      <w:pPr>
        <w:tabs>
          <w:tab w:pos="9360" w:val="right" w:leader="dot"/>
        </w:tabs>
        <w:spacing w:line="360" w:lineRule="auto"/>
        <w:ind w:left="0"/>
      </w:pPr>
      <w:r>
        <w:rPr>
          <w:b w:val="0"/>
          <w:i w:val="0"/>
        </w:rPr>
        <w:t>Figure 6. Distribution of the Over-Budget Ratio for Injected and Non-Injected Projects</w:t>
        <w:tab/>
        <w:t>31</w:t>
      </w:r>
    </w:p>
    <w:p>
      <w:pPr>
        <w:tabs>
          <w:tab w:pos="9360" w:val="right" w:leader="dot"/>
        </w:tabs>
        <w:spacing w:line="360" w:lineRule="auto"/>
        <w:ind w:left="0"/>
      </w:pPr>
      <w:r>
        <w:rPr>
          <w:b w:val="0"/>
          <w:i w:val="0"/>
        </w:rPr>
        <w:t>Figure 7. Global SHAP Values of the XGBoost Building Model</w:t>
        <w:tab/>
        <w:t>37</w:t>
      </w:r>
    </w:p>
    <w:p>
      <w:pPr>
        <w:tabs>
          <w:tab w:pos="9360" w:val="right" w:leader="dot"/>
        </w:tabs>
        <w:spacing w:line="360" w:lineRule="auto"/>
        <w:ind w:left="0"/>
      </w:pPr>
      <w:r>
        <w:rPr>
          <w:b w:val="0"/>
          <w:i w:val="0"/>
        </w:rPr>
        <w:t>Figure 8. Global SHAP Values of the XGBoost Bridge Model</w:t>
        <w:tab/>
        <w:t>37</w:t>
      </w:r>
    </w:p>
    <w:p>
      <w:pPr>
        <w:tabs>
          <w:tab w:pos="9360" w:val="right" w:leader="dot"/>
        </w:tabs>
        <w:spacing w:line="360" w:lineRule="auto"/>
        <w:ind w:left="0"/>
      </w:pPr>
      <w:r>
        <w:rPr>
          <w:b w:val="0"/>
          <w:i w:val="0"/>
        </w:rPr>
        <w:t>Figure 9. ROC Curves of the Screening Signals, All 300 Projects</w:t>
        <w:tab/>
        <w:t>39</w:t>
      </w:r>
    </w:p>
    <w:p>
      <w:pPr>
        <w:tabs>
          <w:tab w:pos="9360" w:val="right" w:leader="dot"/>
        </w:tabs>
        <w:spacing w:line="360" w:lineRule="auto"/>
        <w:ind w:left="0"/>
      </w:pPr>
      <w:r>
        <w:rPr>
          <w:b w:val="0"/>
          <w:i w:val="0"/>
        </w:rPr>
        <w:t>Figure 10. Home Screen of the BUHAY Application</w:t>
        <w:tab/>
        <w:t>41</w:t>
      </w:r>
    </w:p>
    <w:p>
      <w:pPr>
        <w:tabs>
          <w:tab w:pos="9360" w:val="right" w:leader="dot"/>
        </w:tabs>
        <w:spacing w:line="360" w:lineRule="auto"/>
        <w:ind w:left="0"/>
      </w:pPr>
      <w:r>
        <w:rPr>
          <w:b w:val="0"/>
          <w:i w:val="0"/>
        </w:rPr>
        <w:t>Figure 11. Quote Screen with the Three Quotation Tiers and the ABC</w:t>
        <w:tab/>
        <w:t>42</w:t>
      </w:r>
    </w:p>
    <w:p>
      <w:pPr>
        <w:tabs>
          <w:tab w:pos="9360" w:val="right" w:leader="dot"/>
        </w:tabs>
        <w:spacing w:line="360" w:lineRule="auto"/>
        <w:ind w:left="0"/>
      </w:pPr>
      <w:r>
        <w:rPr>
          <w:b w:val="0"/>
          <w:i w:val="0"/>
        </w:rPr>
        <w:t>Figure 12. Bill of Quantities Generated from the Plan</w:t>
        <w:tab/>
        <w:t>43</w:t>
      </w:r>
    </w:p>
    <w:p>
      <w:pPr>
        <w:tabs>
          <w:tab w:pos="9360" w:val="right" w:leader="dot"/>
        </w:tabs>
        <w:spacing w:line="360" w:lineRule="auto"/>
        <w:ind w:left="0"/>
      </w:pPr>
      <w:r>
        <w:rPr>
          <w:b w:val="0"/>
          <w:i w:val="0"/>
        </w:rPr>
        <w:t>Figure 13. Plan Panel after Importing the Sample DXF Floor Plan</w:t>
        <w:tab/>
        <w:t>44</w:t>
      </w:r>
    </w:p>
    <w:p>
      <w:pPr>
        <w:tabs>
          <w:tab w:pos="9360" w:val="right" w:leader="dot"/>
        </w:tabs>
        <w:spacing w:line="360" w:lineRule="auto"/>
        <w:ind w:left="0"/>
      </w:pPr>
      <w:r>
        <w:rPr>
          <w:b w:val="0"/>
          <w:i w:val="0"/>
        </w:rPr>
        <w:t>Figure 14. Check Screen Screening a Padded Contract</w:t>
        <w:tab/>
        <w:t>46</w:t>
      </w:r>
    </w:p>
    <w:p>
      <w:pPr>
        <w:tabs>
          <w:tab w:pos="9360" w:val="right" w:leader="dot"/>
        </w:tabs>
        <w:spacing w:line="360" w:lineRule="auto"/>
        <w:ind w:left="0"/>
      </w:pPr>
      <w:r>
        <w:rPr>
          <w:b w:val="0"/>
          <w:i w:val="0"/>
        </w:rPr>
        <w:t>Figure 15. Line-Item Check of a Contractor's Bill of Quantities</w:t>
        <w:tab/>
        <w:t>47</w:t>
      </w:r>
    </w:p>
    <w:p>
      <w:pPr>
        <w:tabs>
          <w:tab w:pos="9360" w:val="right" w:leader="dot"/>
        </w:tabs>
        <w:spacing w:line="360" w:lineRule="auto"/>
        <w:ind w:left="0"/>
      </w:pPr>
      <w:r>
        <w:rPr>
          <w:b w:val="0"/>
          <w:i w:val="0"/>
        </w:rPr>
        <w:t>Figure 16. Project Map of the BUHAY Application</w:t>
        <w:tab/>
        <w:t>48</w:t>
      </w:r>
    </w:p>
    <w:p>
      <w:pPr>
        <w:tabs>
          <w:tab w:pos="9360" w:val="right" w:leader="dot"/>
        </w:tabs>
        <w:spacing w:line="360" w:lineRule="auto"/>
        <w:ind w:left="0"/>
      </w:pPr>
      <w:r>
        <w:rPr>
          <w:b w:val="0"/>
          <w:i w:val="0"/>
        </w:rPr>
        <w:t>Figure 17. Library Screen with Reference Plans and the Unit Price Book</w:t>
        <w:tab/>
        <w:t>49</w:t>
      </w:r>
    </w:p>
    <w:p>
      <w:pPr>
        <w:tabs>
          <w:tab w:pos="9360" w:val="right" w:leader="dot"/>
        </w:tabs>
        <w:spacing w:line="360" w:lineRule="auto"/>
        <w:ind w:left="0"/>
      </w:pPr>
      <w:r>
        <w:rPr>
          <w:b w:val="0"/>
          <w:i w:val="0"/>
        </w:rPr>
        <w:t>Figure 18. Download Website of BUHAY</w:t>
        <w:tab/>
        <w:t>50</w:t>
      </w:r>
    </w:p>
    <w:p>
      <w:pPr>
        <w:tabs>
          <w:tab w:pos="9360" w:val="right" w:leader="dot"/>
        </w:tabs>
        <w:spacing w:line="360" w:lineRule="auto"/>
        <w:ind w:left="0"/>
      </w:pPr>
      <w:r>
        <w:rPr>
          <w:b w:val="0"/>
          <w:i w:val="0"/>
        </w:rPr>
        <w:t>Figure 19. Interactive Project Map on the Website</w:t>
        <w:tab/>
        <w:t>51</w:t>
      </w:r>
    </w:p>
    <w:p>
      <w:pPr>
        <w:tabs>
          <w:tab w:pos="9360" w:val="right" w:leader="dot"/>
        </w:tabs>
        <w:spacing w:line="360" w:lineRule="auto"/>
        <w:ind w:left="0"/>
      </w:pPr>
      <w:r>
        <w:rPr>
          <w:b w:val="0"/>
          <w:i w:val="0"/>
        </w:rPr>
        <w:t>Figure 20. Download Section of the Website</w:t>
        <w:tab/>
        <w:t>52</w:t>
      </w:r>
    </w:p>
    <w:p>
      <w:pPr>
        <w:tabs>
          <w:tab w:pos="9360" w:val="right" w:leader="dot"/>
        </w:tabs>
        <w:spacing w:line="360" w:lineRule="auto"/>
        <w:ind w:left="0"/>
      </w:pPr>
      <w:r>
        <w:rPr>
          <w:b w:val="0"/>
          <w:i w:val="0"/>
        </w:rPr>
        <w:t>Figure 21. Parametric 3D Model of a 2-Storey 4-Classroom School Building</w:t>
        <w:tab/>
        <w:t>52</w:t>
      </w:r>
    </w:p>
    <w:p>
      <w:pPr>
        <w:tabs>
          <w:tab w:pos="9360" w:val="right" w:leader="dot"/>
        </w:tabs>
        <w:spacing w:line="360" w:lineRule="auto"/>
        <w:ind w:left="0"/>
      </w:pPr>
      <w:r>
        <w:rPr>
          <w:b w:val="0"/>
          <w:i w:val="0"/>
        </w:rPr>
        <w:t>Figure 22. Parametric 3D Model of a Three-Span RCDG Bridge</w:t>
        <w:tab/>
        <w:t>53</w:t>
      </w:r>
    </w:p>
    <w:p>
      <w:pPr>
        <w:tabs>
          <w:tab w:pos="9360" w:val="right" w:leader="dot"/>
        </w:tabs>
        <w:spacing w:line="360" w:lineRule="auto"/>
        <w:ind w:left="0"/>
      </w:pPr>
      <w:r>
        <w:rPr>
          <w:b w:val="0"/>
          <w:i w:val="0"/>
        </w:rPr>
        <w:t>Figure 23. Parametric 3D Model of a 50 m Steel Truss Bridge</w:t>
        <w:tab/>
        <w:t>53</w:t>
      </w:r>
    </w:p>
    <w:p>
      <w:r>
        <w:br w:type="page"/>
      </w:r>
    </w:p>
    <w:p>
      <w:pPr>
        <w:spacing w:line="480" w:lineRule="auto" w:after="0"/>
        <w:jc w:val="center"/>
      </w:pPr>
      <w:r>
        <w:rPr>
          <w:b/>
          <w:i w:val="0"/>
        </w:rPr>
        <w:t>LIST OF TABLES</w:t>
      </w:r>
    </w:p>
    <w:p>
      <w:pPr>
        <w:tabs>
          <w:tab w:pos="9360" w:val="right" w:leader="dot"/>
        </w:tabs>
        <w:spacing w:line="360" w:lineRule="auto"/>
        <w:ind w:left="0"/>
      </w:pPr>
      <w:r>
        <w:rPr>
          <w:b w:val="0"/>
          <w:i w:val="0"/>
        </w:rPr>
        <w:t>Table 1. Plan Variables Extracted by BUHAY</w:t>
        <w:tab/>
        <w:t>15</w:t>
      </w:r>
    </w:p>
    <w:p>
      <w:pPr>
        <w:tabs>
          <w:tab w:pos="9360" w:val="right" w:leader="dot"/>
        </w:tabs>
        <w:spacing w:line="360" w:lineRule="auto"/>
        <w:ind w:left="0"/>
      </w:pPr>
      <w:r>
        <w:rPr>
          <w:b w:val="0"/>
          <w:i w:val="0"/>
        </w:rPr>
        <w:t>Table 2. Location Factors and Yearly Cost Index</w:t>
        <w:tab/>
        <w:t>16</w:t>
      </w:r>
    </w:p>
    <w:p>
      <w:pPr>
        <w:tabs>
          <w:tab w:pos="9360" w:val="right" w:leader="dot"/>
        </w:tabs>
        <w:spacing w:line="360" w:lineRule="auto"/>
        <w:ind w:left="0"/>
      </w:pPr>
      <w:r>
        <w:rPr>
          <w:b w:val="0"/>
          <w:i w:val="0"/>
        </w:rPr>
        <w:t>Table 3. Selected Pay Items and Direct Unit Costs in the BUHAY Price Book</w:t>
        <w:tab/>
        <w:t>17</w:t>
      </w:r>
    </w:p>
    <w:p>
      <w:pPr>
        <w:tabs>
          <w:tab w:pos="9360" w:val="right" w:leader="dot"/>
        </w:tabs>
        <w:spacing w:line="360" w:lineRule="auto"/>
        <w:ind w:left="0"/>
      </w:pPr>
      <w:r>
        <w:rPr>
          <w:b w:val="0"/>
          <w:i w:val="0"/>
        </w:rPr>
        <w:t>Table 4. Indirect Cost Brackets under DPWH D.O. 197 s. 2016 and D.O. 30 s. 2025</w:t>
        <w:tab/>
        <w:t>18</w:t>
      </w:r>
    </w:p>
    <w:p>
      <w:pPr>
        <w:tabs>
          <w:tab w:pos="9360" w:val="right" w:leader="dot"/>
        </w:tabs>
        <w:spacing w:line="360" w:lineRule="auto"/>
        <w:ind w:left="0"/>
      </w:pPr>
      <w:r>
        <w:rPr>
          <w:b w:val="0"/>
          <w:i w:val="0"/>
        </w:rPr>
        <w:t>Table 5. Quotation Tier Settings</w:t>
        <w:tab/>
        <w:t>20</w:t>
      </w:r>
    </w:p>
    <w:p>
      <w:pPr>
        <w:tabs>
          <w:tab w:pos="9360" w:val="right" w:leader="dot"/>
        </w:tabs>
        <w:spacing w:line="360" w:lineRule="auto"/>
        <w:ind w:left="0"/>
      </w:pPr>
      <w:r>
        <w:rPr>
          <w:b w:val="0"/>
          <w:i w:val="0"/>
        </w:rPr>
        <w:t>Table 6. Simulation Parameters of the SBD-300 Benchmark</w:t>
        <w:tab/>
        <w:t>21</w:t>
      </w:r>
    </w:p>
    <w:p>
      <w:pPr>
        <w:tabs>
          <w:tab w:pos="9360" w:val="right" w:leader="dot"/>
        </w:tabs>
        <w:spacing w:line="360" w:lineRule="auto"/>
        <w:ind w:left="0"/>
      </w:pPr>
      <w:r>
        <w:rPr>
          <w:b w:val="0"/>
          <w:i w:val="0"/>
        </w:rPr>
        <w:t>Table 7. XGBoost Hyperparameter Search and Selected Values</w:t>
        <w:tab/>
        <w:t>22</w:t>
      </w:r>
    </w:p>
    <w:p>
      <w:pPr>
        <w:tabs>
          <w:tab w:pos="9360" w:val="right" w:leader="dot"/>
        </w:tabs>
        <w:spacing w:line="360" w:lineRule="auto"/>
        <w:ind w:left="0"/>
      </w:pPr>
      <w:r>
        <w:rPr>
          <w:b w:val="0"/>
          <w:i w:val="0"/>
        </w:rPr>
        <w:t>Table 8. Descriptive Statistics of the Physical Properties of Buildings (n = 160)</w:t>
        <w:tab/>
        <w:t>26</w:t>
      </w:r>
    </w:p>
    <w:p>
      <w:pPr>
        <w:tabs>
          <w:tab w:pos="9360" w:val="right" w:leader="dot"/>
        </w:tabs>
        <w:spacing w:line="360" w:lineRule="auto"/>
        <w:ind w:left="0"/>
      </w:pPr>
      <w:r>
        <w:rPr>
          <w:b w:val="0"/>
          <w:i w:val="0"/>
        </w:rPr>
        <w:t>Table 9. Descriptive Statistics of the Physical Properties of Bridges (n = 140)</w:t>
        <w:tab/>
        <w:t>27</w:t>
      </w:r>
    </w:p>
    <w:p>
      <w:pPr>
        <w:tabs>
          <w:tab w:pos="9360" w:val="right" w:leader="dot"/>
        </w:tabs>
        <w:spacing w:line="360" w:lineRule="auto"/>
        <w:ind w:left="0"/>
      </w:pPr>
      <w:r>
        <w:rPr>
          <w:b w:val="0"/>
          <w:i w:val="0"/>
        </w:rPr>
        <w:t>Table 10. Structural System and Foundation Composition of the Benchmark</w:t>
        <w:tab/>
        <w:t>27</w:t>
      </w:r>
    </w:p>
    <w:p>
      <w:pPr>
        <w:tabs>
          <w:tab w:pos="9360" w:val="right" w:leader="dot"/>
        </w:tabs>
        <w:spacing w:line="360" w:lineRule="auto"/>
        <w:ind w:left="0"/>
      </w:pPr>
      <w:r>
        <w:rPr>
          <w:b w:val="0"/>
          <w:i w:val="0"/>
        </w:rPr>
        <w:t>Table 11. Project Budget Characteristics of the Benchmark</w:t>
        <w:tab/>
        <w:t>28</w:t>
      </w:r>
    </w:p>
    <w:p>
      <w:pPr>
        <w:tabs>
          <w:tab w:pos="9360" w:val="right" w:leader="dot"/>
        </w:tabs>
        <w:spacing w:line="360" w:lineRule="auto"/>
        <w:ind w:left="0"/>
      </w:pPr>
      <w:r>
        <w:rPr>
          <w:b w:val="0"/>
          <w:i w:val="0"/>
        </w:rPr>
        <w:t>Table 12. Quotations of the Reference Plans (Albay, 2025 Prices)</w:t>
        <w:tab/>
        <w:t>29</w:t>
      </w:r>
    </w:p>
    <w:p>
      <w:pPr>
        <w:tabs>
          <w:tab w:pos="9360" w:val="right" w:leader="dot"/>
        </w:tabs>
        <w:spacing w:line="360" w:lineRule="auto"/>
        <w:ind w:left="0"/>
      </w:pPr>
      <w:r>
        <w:rPr>
          <w:b w:val="0"/>
          <w:i w:val="0"/>
        </w:rPr>
        <w:t>Table 13. Accuracy of the Standards-Based Estimate against Fair Awarded Costs</w:t>
        <w:tab/>
        <w:t>30</w:t>
      </w:r>
    </w:p>
    <w:p>
      <w:pPr>
        <w:tabs>
          <w:tab w:pos="9360" w:val="right" w:leader="dot"/>
        </w:tabs>
        <w:spacing w:line="360" w:lineRule="auto"/>
        <w:ind w:left="0"/>
      </w:pPr>
      <w:r>
        <w:rPr>
          <w:b w:val="0"/>
          <w:i w:val="0"/>
        </w:rPr>
        <w:t>Table 14. Variance Inflation Factor of the Building Predictors</w:t>
        <w:tab/>
        <w:t>32</w:t>
      </w:r>
    </w:p>
    <w:p>
      <w:pPr>
        <w:tabs>
          <w:tab w:pos="9360" w:val="right" w:leader="dot"/>
        </w:tabs>
        <w:spacing w:line="360" w:lineRule="auto"/>
        <w:ind w:left="0"/>
      </w:pPr>
      <w:r>
        <w:rPr>
          <w:b w:val="0"/>
          <w:i w:val="0"/>
        </w:rPr>
        <w:t>Table 15. Variance Inflation Factor of the Bridge Predictors, Full and Reduced Models</w:t>
        <w:tab/>
        <w:t>32</w:t>
      </w:r>
    </w:p>
    <w:p>
      <w:pPr>
        <w:tabs>
          <w:tab w:pos="9360" w:val="right" w:leader="dot"/>
        </w:tabs>
        <w:spacing w:line="360" w:lineRule="auto"/>
        <w:ind w:left="0"/>
      </w:pPr>
      <w:r>
        <w:rPr>
          <w:b w:val="0"/>
          <w:i w:val="0"/>
        </w:rPr>
        <w:t>Table 16. Ordinary Least Squares Results for Buildings</w:t>
        <w:tab/>
        <w:t>33</w:t>
      </w:r>
    </w:p>
    <w:p>
      <w:pPr>
        <w:tabs>
          <w:tab w:pos="9360" w:val="right" w:leader="dot"/>
        </w:tabs>
        <w:spacing w:line="360" w:lineRule="auto"/>
        <w:ind w:left="0"/>
      </w:pPr>
      <w:r>
        <w:rPr>
          <w:b w:val="0"/>
          <w:i w:val="0"/>
        </w:rPr>
        <w:t>Table 17. Ordinary Least Squares Results for Bridges</w:t>
        <w:tab/>
        <w:t>33</w:t>
      </w:r>
    </w:p>
    <w:p>
      <w:pPr>
        <w:tabs>
          <w:tab w:pos="9360" w:val="right" w:leader="dot"/>
        </w:tabs>
        <w:spacing w:line="360" w:lineRule="auto"/>
        <w:ind w:left="0"/>
      </w:pPr>
      <w:r>
        <w:rPr>
          <w:b w:val="0"/>
          <w:i w:val="0"/>
        </w:rPr>
        <w:t>Table 18. Performance of the Multiple Linear Regression Models under LOOCV</w:t>
        <w:tab/>
        <w:t>34</w:t>
      </w:r>
    </w:p>
    <w:p>
      <w:pPr>
        <w:tabs>
          <w:tab w:pos="9360" w:val="right" w:leader="dot"/>
        </w:tabs>
        <w:spacing w:line="360" w:lineRule="auto"/>
        <w:ind w:left="0"/>
      </w:pPr>
      <w:r>
        <w:rPr>
          <w:b w:val="0"/>
          <w:i w:val="0"/>
        </w:rPr>
        <w:t>Table 19. XGBoost Feature Importance (Gain Share)</w:t>
        <w:tab/>
        <w:t>35</w:t>
      </w:r>
    </w:p>
    <w:p>
      <w:pPr>
        <w:tabs>
          <w:tab w:pos="9360" w:val="right" w:leader="dot"/>
        </w:tabs>
        <w:spacing w:line="360" w:lineRule="auto"/>
        <w:ind w:left="0"/>
      </w:pPr>
      <w:r>
        <w:rPr>
          <w:b w:val="0"/>
          <w:i w:val="0"/>
        </w:rPr>
        <w:t>Table 20. Performance of the XGBoost Models under LOOCV</w:t>
        <w:tab/>
        <w:t>35</w:t>
      </w:r>
    </w:p>
    <w:p>
      <w:pPr>
        <w:tabs>
          <w:tab w:pos="9360" w:val="right" w:leader="dot"/>
        </w:tabs>
        <w:spacing w:line="360" w:lineRule="auto"/>
        <w:ind w:left="0"/>
      </w:pPr>
      <w:r>
        <w:rPr>
          <w:b w:val="0"/>
          <w:i w:val="0"/>
        </w:rPr>
        <w:t>Table 21. Comparison of Multiple Linear Regression and XGBoost</w:t>
        <w:tab/>
        <w:t>36</w:t>
      </w:r>
    </w:p>
    <w:p>
      <w:pPr>
        <w:tabs>
          <w:tab w:pos="9360" w:val="right" w:leader="dot"/>
        </w:tabs>
        <w:spacing w:line="360" w:lineRule="auto"/>
        <w:ind w:left="0"/>
      </w:pPr>
      <w:r>
        <w:rPr>
          <w:b w:val="0"/>
          <w:i w:val="0"/>
        </w:rPr>
        <w:t>Table 22. Detection Performance against Injected Overpricing</w:t>
        <w:tab/>
        <w:t>38</w:t>
      </w:r>
    </w:p>
    <w:p>
      <w:pPr>
        <w:tabs>
          <w:tab w:pos="9360" w:val="right" w:leader="dot"/>
        </w:tabs>
        <w:spacing w:line="360" w:lineRule="auto"/>
        <w:ind w:left="0"/>
      </w:pPr>
      <w:r>
        <w:rPr>
          <w:b w:val="0"/>
          <w:i w:val="0"/>
        </w:rPr>
        <w:t>Table 23. Highest-Risk Contracts Flagged by BUHAY</w:t>
        <w:tab/>
        <w:t>40</w:t>
      </w:r>
    </w:p>
    <w:p>
      <w:r>
        <w:br w:type="page"/>
      </w:r>
    </w:p>
    <w:p>
      <w:pPr>
        <w:spacing w:line="480" w:lineRule="auto" w:after="0"/>
        <w:jc w:val="center"/>
      </w:pPr>
      <w:r>
        <w:rPr>
          <w:b/>
          <w:i w:val="0"/>
        </w:rPr>
        <w:t>LIST OF EQUATIONS</w:t>
      </w:r>
    </w:p>
    <w:p>
      <w:pPr>
        <w:tabs>
          <w:tab w:pos="9360" w:val="right" w:leader="dot"/>
        </w:tabs>
        <w:spacing w:line="360" w:lineRule="auto"/>
        <w:ind w:left="0"/>
      </w:pPr>
      <w:r>
        <w:rPr>
          <w:b w:val="0"/>
          <w:i w:val="0"/>
        </w:rPr>
        <w:t>Equation 1. Isolated Footing Size</w:t>
        <w:tab/>
        <w:t>18</w:t>
      </w:r>
    </w:p>
    <w:p>
      <w:pPr>
        <w:tabs>
          <w:tab w:pos="9360" w:val="right" w:leader="dot"/>
        </w:tabs>
        <w:spacing w:line="360" w:lineRule="auto"/>
        <w:ind w:left="0"/>
      </w:pPr>
      <w:r>
        <w:rPr>
          <w:b w:val="0"/>
          <w:i w:val="0"/>
        </w:rPr>
        <w:t>Equation 2. Reinforcing Steel Mass</w:t>
        <w:tab/>
        <w:t>18</w:t>
      </w:r>
    </w:p>
    <w:p>
      <w:pPr>
        <w:tabs>
          <w:tab w:pos="9360" w:val="right" w:leader="dot"/>
        </w:tabs>
        <w:spacing w:line="360" w:lineRule="auto"/>
        <w:ind w:left="0"/>
      </w:pPr>
      <w:r>
        <w:rPr>
          <w:b w:val="0"/>
          <w:i w:val="0"/>
        </w:rPr>
        <w:t>Equation 3. Estimated Direct Cost</w:t>
        <w:tab/>
        <w:t>19</w:t>
      </w:r>
    </w:p>
    <w:p>
      <w:pPr>
        <w:tabs>
          <w:tab w:pos="9360" w:val="right" w:leader="dot"/>
        </w:tabs>
        <w:spacing w:line="360" w:lineRule="auto"/>
        <w:ind w:left="0"/>
      </w:pPr>
      <w:r>
        <w:rPr>
          <w:b w:val="0"/>
          <w:i w:val="0"/>
        </w:rPr>
        <w:t>Equation 4. Approved Budget for the Contract</w:t>
        <w:tab/>
        <w:t>20</w:t>
      </w:r>
    </w:p>
    <w:p>
      <w:pPr>
        <w:tabs>
          <w:tab w:pos="9360" w:val="right" w:leader="dot"/>
        </w:tabs>
        <w:spacing w:line="360" w:lineRule="auto"/>
        <w:ind w:left="0"/>
      </w:pPr>
      <w:r>
        <w:rPr>
          <w:b w:val="0"/>
          <w:i w:val="0"/>
        </w:rPr>
        <w:t>Equation 5. Over-Budget Ratio</w:t>
        <w:tab/>
        <w:t>20</w:t>
      </w:r>
    </w:p>
    <w:p>
      <w:pPr>
        <w:tabs>
          <w:tab w:pos="9360" w:val="right" w:leader="dot"/>
        </w:tabs>
        <w:spacing w:line="360" w:lineRule="auto"/>
        <w:ind w:left="0"/>
      </w:pPr>
      <w:r>
        <w:rPr>
          <w:b w:val="0"/>
          <w:i w:val="0"/>
        </w:rPr>
        <w:t>Equation 6. Simulated Awarded Cost</w:t>
        <w:tab/>
        <w:t>21</w:t>
      </w:r>
    </w:p>
    <w:p>
      <w:pPr>
        <w:tabs>
          <w:tab w:pos="9360" w:val="right" w:leader="dot"/>
        </w:tabs>
        <w:spacing w:line="360" w:lineRule="auto"/>
        <w:ind w:left="0"/>
      </w:pPr>
      <w:r>
        <w:rPr>
          <w:b w:val="0"/>
          <w:i w:val="0"/>
        </w:rPr>
        <w:t>Equation 7. Multiple Linear Regression Formula</w:t>
        <w:tab/>
        <w:t>21</w:t>
      </w:r>
    </w:p>
    <w:p>
      <w:pPr>
        <w:tabs>
          <w:tab w:pos="9360" w:val="right" w:leader="dot"/>
        </w:tabs>
        <w:spacing w:line="360" w:lineRule="auto"/>
        <w:ind w:left="0"/>
      </w:pPr>
      <w:r>
        <w:rPr>
          <w:b w:val="0"/>
          <w:i w:val="0"/>
        </w:rPr>
        <w:t>Equation 8. Variance Inflation Factor</w:t>
        <w:tab/>
        <w:t>22</w:t>
      </w:r>
    </w:p>
    <w:p>
      <w:pPr>
        <w:tabs>
          <w:tab w:pos="9360" w:val="right" w:leader="dot"/>
        </w:tabs>
        <w:spacing w:line="360" w:lineRule="auto"/>
        <w:ind w:left="0"/>
      </w:pPr>
      <w:r>
        <w:rPr>
          <w:b w:val="0"/>
          <w:i w:val="0"/>
        </w:rPr>
        <w:t>Equation 9. XGBoost Additive Model and Regularized Objective</w:t>
        <w:tab/>
        <w:t>22</w:t>
      </w:r>
    </w:p>
    <w:p>
      <w:pPr>
        <w:tabs>
          <w:tab w:pos="9360" w:val="right" w:leader="dot"/>
        </w:tabs>
        <w:spacing w:line="360" w:lineRule="auto"/>
        <w:ind w:left="0"/>
      </w:pPr>
      <w:r>
        <w:rPr>
          <w:b w:val="0"/>
          <w:i w:val="0"/>
        </w:rPr>
        <w:t>Equation 10. Isolation Forest Anomaly Score</w:t>
        <w:tab/>
        <w:t>23</w:t>
      </w:r>
    </w:p>
    <w:p>
      <w:pPr>
        <w:tabs>
          <w:tab w:pos="9360" w:val="right" w:leader="dot"/>
        </w:tabs>
        <w:spacing w:line="360" w:lineRule="auto"/>
        <w:ind w:left="0"/>
      </w:pPr>
      <w:r>
        <w:rPr>
          <w:b w:val="0"/>
          <w:i w:val="0"/>
        </w:rPr>
        <w:t>Equation 11. SHAP Additive Feature Attribution</w:t>
        <w:tab/>
        <w:t>23</w:t>
      </w:r>
    </w:p>
    <w:p>
      <w:pPr>
        <w:tabs>
          <w:tab w:pos="9360" w:val="right" w:leader="dot"/>
        </w:tabs>
        <w:spacing w:line="360" w:lineRule="auto"/>
        <w:ind w:left="0"/>
      </w:pPr>
      <w:r>
        <w:rPr>
          <w:b w:val="0"/>
          <w:i w:val="0"/>
        </w:rPr>
        <w:t>Equation 12. BUHAY Risk Index</w:t>
        <w:tab/>
        <w:t>23</w:t>
      </w:r>
    </w:p>
    <w:p>
      <w:pPr>
        <w:tabs>
          <w:tab w:pos="9360" w:val="right" w:leader="dot"/>
        </w:tabs>
        <w:spacing w:line="360" w:lineRule="auto"/>
        <w:ind w:left="0"/>
      </w:pPr>
      <w:r>
        <w:rPr>
          <w:b w:val="0"/>
          <w:i w:val="0"/>
        </w:rPr>
        <w:t>Equation 13. BUHAY Risk Index Component Scores</w:t>
        <w:tab/>
        <w:t>23</w:t>
      </w:r>
    </w:p>
    <w:p>
      <w:pPr>
        <w:tabs>
          <w:tab w:pos="9360" w:val="right" w:leader="dot"/>
        </w:tabs>
        <w:spacing w:line="360" w:lineRule="auto"/>
        <w:ind w:left="0"/>
      </w:pPr>
      <w:r>
        <w:rPr>
          <w:b w:val="0"/>
          <w:i w:val="0"/>
        </w:rPr>
        <w:t>Equation 14. Root Mean Square Error</w:t>
        <w:tab/>
        <w:t>24</w:t>
      </w:r>
    </w:p>
    <w:p>
      <w:pPr>
        <w:tabs>
          <w:tab w:pos="9360" w:val="right" w:leader="dot"/>
        </w:tabs>
        <w:spacing w:line="360" w:lineRule="auto"/>
        <w:ind w:left="0"/>
      </w:pPr>
      <w:r>
        <w:rPr>
          <w:b w:val="0"/>
          <w:i w:val="0"/>
        </w:rPr>
        <w:t>Equation 15. Coefficient of Determination</w:t>
        <w:tab/>
        <w:t>24</w:t>
      </w:r>
    </w:p>
    <w:p>
      <w:pPr>
        <w:tabs>
          <w:tab w:pos="9360" w:val="right" w:leader="dot"/>
        </w:tabs>
        <w:spacing w:line="360" w:lineRule="auto"/>
        <w:ind w:left="0"/>
      </w:pPr>
      <w:r>
        <w:rPr>
          <w:b w:val="0"/>
          <w:i w:val="0"/>
        </w:rPr>
        <w:t>Equation 16. Mean Absolute Percentage Error</w:t>
        <w:tab/>
        <w:t>24</w:t>
      </w:r>
    </w:p>
    <w:p>
      <w:pPr>
        <w:tabs>
          <w:tab w:pos="9360" w:val="right" w:leader="dot"/>
        </w:tabs>
        <w:spacing w:line="360" w:lineRule="auto"/>
        <w:ind w:left="0"/>
      </w:pPr>
      <w:r>
        <w:rPr>
          <w:b w:val="0"/>
          <w:i w:val="0"/>
        </w:rPr>
        <w:t>Equation 17. Precision, Recall and F1-Score</w:t>
        <w:tab/>
        <w:t>25</w:t>
      </w:r>
    </w:p>
    <w:p>
      <w:r>
        <w:br w:type="page"/>
      </w:r>
    </w:p>
    <w:p>
      <w:pPr>
        <w:spacing w:line="480" w:lineRule="auto" w:after="0"/>
        <w:jc w:val="center"/>
      </w:pPr>
      <w:r>
        <w:rPr>
          <w:b/>
          <w:i w:val="0"/>
        </w:rPr>
        <w:t>LIST OF APPENDICES</w:t>
      </w:r>
    </w:p>
    <w:p>
      <w:pPr>
        <w:tabs>
          <w:tab w:pos="9360" w:val="right" w:leader="dot"/>
        </w:tabs>
        <w:spacing w:line="360" w:lineRule="auto"/>
        <w:ind w:left="0"/>
      </w:pPr>
      <w:r>
        <w:rPr>
          <w:b w:val="0"/>
          <w:i w:val="0"/>
        </w:rPr>
        <w:t>Appendix A. Sample Records of the Simulated Benchmark Dataset (SBD-300)</w:t>
        <w:tab/>
        <w:t>61</w:t>
      </w:r>
    </w:p>
    <w:p>
      <w:pPr>
        <w:tabs>
          <w:tab w:pos="9360" w:val="right" w:leader="dot"/>
        </w:tabs>
        <w:spacing w:line="360" w:lineRule="auto"/>
        <w:ind w:left="0"/>
      </w:pPr>
      <w:r>
        <w:rPr>
          <w:b w:val="0"/>
          <w:i w:val="0"/>
        </w:rPr>
        <w:t>Appendix B. BUHAY Unit Price Book</w:t>
        <w:tab/>
        <w:t>62</w:t>
      </w:r>
    </w:p>
    <w:p>
      <w:pPr>
        <w:tabs>
          <w:tab w:pos="9360" w:val="right" w:leader="dot"/>
        </w:tabs>
        <w:spacing w:line="360" w:lineRule="auto"/>
        <w:ind w:left="0"/>
      </w:pPr>
      <w:r>
        <w:rPr>
          <w:b w:val="0"/>
          <w:i w:val="0"/>
        </w:rPr>
        <w:t>Appendix C. Bill of Quantities of a 2-Storey 4-Classroom School Building</w:t>
        <w:tab/>
        <w:t>64</w:t>
      </w:r>
    </w:p>
    <w:p>
      <w:pPr>
        <w:tabs>
          <w:tab w:pos="9360" w:val="right" w:leader="dot"/>
        </w:tabs>
        <w:spacing w:line="360" w:lineRule="auto"/>
        <w:ind w:left="0"/>
      </w:pPr>
      <w:r>
        <w:rPr>
          <w:b w:val="0"/>
          <w:i w:val="0"/>
        </w:rPr>
        <w:t>Appendix D. Cost Summary of a Three-Span RCDG Bridge</w:t>
        <w:tab/>
        <w:t>65</w:t>
      </w:r>
    </w:p>
    <w:p>
      <w:pPr>
        <w:tabs>
          <w:tab w:pos="9360" w:val="right" w:leader="dot"/>
        </w:tabs>
        <w:spacing w:line="360" w:lineRule="auto"/>
        <w:ind w:left="0"/>
      </w:pPr>
      <w:r>
        <w:rPr>
          <w:b w:val="0"/>
          <w:i w:val="0"/>
        </w:rPr>
        <w:t>Appendix E. Snippets of Methodology (Quantity Take-Off Engine)</w:t>
        <w:tab/>
        <w:t>66</w:t>
      </w:r>
    </w:p>
    <w:p>
      <w:pPr>
        <w:tabs>
          <w:tab w:pos="9360" w:val="right" w:leader="dot"/>
        </w:tabs>
        <w:spacing w:line="360" w:lineRule="auto"/>
        <w:ind w:left="0"/>
      </w:pPr>
      <w:r>
        <w:rPr>
          <w:b w:val="0"/>
          <w:i w:val="0"/>
        </w:rPr>
        <w:t>Appendix F. Snippets of Methodology (Model Training)</w:t>
        <w:tab/>
        <w:t>67</w:t>
      </w:r>
    </w:p>
    <w:p>
      <w:pPr>
        <w:tabs>
          <w:tab w:pos="9360" w:val="right" w:leader="dot"/>
        </w:tabs>
        <w:spacing w:line="360" w:lineRule="auto"/>
        <w:ind w:left="0"/>
      </w:pPr>
      <w:r>
        <w:rPr>
          <w:b w:val="0"/>
          <w:i w:val="0"/>
        </w:rPr>
        <w:t>Appendix G. Multiple Linear Regression: Actual vs. Predicted Cost</w:t>
        <w:tab/>
        <w:t>68</w:t>
      </w:r>
    </w:p>
    <w:p>
      <w:pPr>
        <w:tabs>
          <w:tab w:pos="9360" w:val="right" w:leader="dot"/>
        </w:tabs>
        <w:spacing w:line="360" w:lineRule="auto"/>
        <w:ind w:left="0"/>
      </w:pPr>
      <w:r>
        <w:rPr>
          <w:b w:val="0"/>
          <w:i w:val="0"/>
        </w:rPr>
        <w:t>Appendix H. Extreme Gradient Boosting: Actual vs. Predicted Cost</w:t>
        <w:tab/>
        <w:t>69</w:t>
      </w:r>
    </w:p>
    <w:p>
      <w:pPr>
        <w:tabs>
          <w:tab w:pos="9360" w:val="right" w:leader="dot"/>
        </w:tabs>
        <w:spacing w:line="360" w:lineRule="auto"/>
        <w:ind w:left="0"/>
      </w:pPr>
      <w:r>
        <w:rPr>
          <w:b w:val="0"/>
          <w:i w:val="0"/>
        </w:rPr>
        <w:t>Appendix I. Isolation Forest: Cost Residual vs. Anomaly Score</w:t>
        <w:tab/>
        <w:t>70</w:t>
      </w:r>
    </w:p>
    <w:p>
      <w:pPr>
        <w:tabs>
          <w:tab w:pos="9360" w:val="right" w:leader="dot"/>
        </w:tabs>
        <w:spacing w:line="360" w:lineRule="auto"/>
        <w:ind w:left="0"/>
      </w:pPr>
      <w:r>
        <w:rPr>
          <w:b w:val="0"/>
          <w:i w:val="0"/>
        </w:rPr>
        <w:t>Appendix J. User Guide of the BUHAY Application</w:t>
        <w:tab/>
        <w:t>71</w:t>
      </w:r>
    </w:p>
    <w:p>
      <w:pPr>
        <w:sectPr>
          <w:headerReference w:type="default" r:id="rId9"/>
          <w:pgSz w:w="12240" w:h="15840"/>
          <w:pgMar w:top="1440" w:right="1440" w:bottom="1440" w:left="1440" w:header="720" w:footer="720" w:gutter="0"/>
          <w:cols w:space="720"/>
          <w:docGrid w:linePitch="360"/>
          <w:pgNumType w:fmt="lowerRoman" w:start="1"/>
        </w:sectPr>
      </w:pPr>
    </w:p>
    <w:p>
      <w:pPr>
        <w:keepNext/>
        <w:spacing w:line="480" w:lineRule="auto" w:after="0"/>
        <w:jc w:val="center"/>
      </w:pPr>
      <w:r>
        <w:rPr>
          <w:b/>
          <w:i w:val="0"/>
        </w:rPr>
        <w:t>INTRODUCTION</w:t>
      </w:r>
    </w:p>
    <w:p>
      <w:pPr>
        <w:keepNext/>
        <w:spacing w:line="480" w:lineRule="auto" w:after="0"/>
        <w:jc w:val="left"/>
      </w:pPr>
      <w:r>
        <w:rPr>
          <w:b/>
          <w:i w:val="0"/>
        </w:rPr>
        <w:t>Background of the Study</w:t>
      </w:r>
    </w:p>
    <w:p>
      <w:pPr>
        <w:spacing w:line="480" w:lineRule="auto" w:after="0"/>
        <w:ind w:firstLine="720"/>
        <w:jc w:val="both"/>
      </w:pPr>
      <w:r>
        <w:rPr>
          <w:b w:val="0"/>
          <w:i w:val="0"/>
        </w:rPr>
        <w:t>A building can pass inspection on paper and still cost the public far more than it should. Across the world, construction is consistently ranked among the sectors most exposed to corruption, and the Infrastructure Transparency Initiative estimates that 10% to 30% of investment in publicly funded infrastructure is lost to corruption, mismanagement and inefficiency (CoST, n.d.; Kenny, 2007). Large, one-off public projects are especially vulnerable because the client, the designer and the contractor hold very different information about what the work really requires (Locatelli et al., 2017), and cost estimates for public works are often shaped by strategic misrepresentation rather than honest error (Flyvbjerg et al., 2002). For this reason, procurement oversight has moved toward red-flag indicators that can be computed from contract data at scale instead of case by case (Fazekas &amp; Tóth, 2016; OECD, 2016).</w:t>
      </w:r>
    </w:p>
    <w:p>
      <w:pPr>
        <w:spacing w:line="480" w:lineRule="auto" w:after="0"/>
        <w:ind w:firstLine="720"/>
        <w:jc w:val="both"/>
      </w:pPr>
      <w:r>
        <w:rPr>
          <w:b w:val="0"/>
          <w:i w:val="0"/>
        </w:rPr>
        <w:t>The Philippines shows the same pattern. Its score in the 2025 Corruption Perceptions Index fell to 32 out of 100, ranking 120th of 182 countries and the lowest since the current scoring method was adopted (Transparency International, 2026; Philstar, 2026). The decline followed a year dominated by public works. In August 2025 the President reported that flood-control projects implemented from July 2022 to May 2025 totalled ₱545.64 billion and that about 20% of this amount went to only 15 contractors (DZRH News, 2025; Philippine Center for Investigative Journalism [PCIJ], 2025). Executive Order No. 94, s. 2025 then created the Independent Commission for Infrastructure to investigate anomalies and misuse of funds in flood-control and other infrastructure projects (Interaksyon, 2025). Overpricing does not always come from hidden deals; sometimes it sits in the arithmetic of the budget itself. In its 2022 audit of Cebu City, the Commission on Audit found the Cebu City Medical Center building overstated by about ₱62.64 million, partly because value-added tax was computed at 12% instead of the 5% prescribed by DPWH Department Order No. 197, s. 2016 (Cebu Daily News, 2023).</w:t>
      </w:r>
    </w:p>
    <w:p>
      <w:pPr>
        <w:spacing w:line="480" w:lineRule="auto" w:after="0"/>
        <w:ind w:firstLine="720"/>
        <w:jc w:val="both"/>
      </w:pPr>
      <w:r>
        <w:rPr>
          <w:b w:val="0"/>
          <w:i w:val="0"/>
        </w:rPr>
        <w:t>Buildings and bridges carry a particular weight in this problem. School buildings, health stations and evacuation centers are the facilities communities rely on during typhoons, and bridges are the links that keep them reachable. When the ₱1.225-billion Cabagan–Santa Maria Bridge in Isabela partially collapsed on 27 February 2025, less than a month after its official completion, investigators were asked to look into possible corruption alongside questions of design and overloading (Philstar, 2025). For buildings, every peso of padding is a classroom or a clinic room that is not built. Yet the estimate behind every public project, the program of works and the Detailed Unit Price Analysis that produce the Approved Budget for the Contract (ABC), is prepared project by project inside the implementing office, and outside reviewers such as local officials, auditors, journalists and citizens rarely have the means to rebuild an estimate from the plans.</w:t>
      </w:r>
    </w:p>
    <w:p>
      <w:pPr>
        <w:spacing w:line="480" w:lineRule="auto" w:after="0"/>
        <w:ind w:firstLine="720"/>
        <w:jc w:val="both"/>
      </w:pPr>
      <w:r>
        <w:rPr>
          <w:b w:val="0"/>
          <w:i w:val="0"/>
        </w:rPr>
        <w:t>Bicol Region V faces these concerns directly. The region lies in NSCP Seismic Zone 4 and in the path of frequent typhoons, so its public works program builds many school buildings, evacuation centers, health facilities and bridges. Earlier work on Bicol road contracts documented Commission on Audit findings on DPWH-Bicol projects worth ₱13 billion with lapses, and a 2025 Senate hearing that questioned farm-to-market road projects priced 68% above benchmark (Buban, 2026). These findings show that cost checks against an independent estimate are needed, but that they currently happen late, one project at a time, and mostly after funds have been released.</w:t>
      </w:r>
    </w:p>
    <w:p>
      <w:pPr>
        <w:spacing w:line="480" w:lineRule="auto" w:after="0"/>
        <w:ind w:firstLine="720"/>
        <w:jc w:val="both"/>
      </w:pPr>
      <w:r>
        <w:rPr>
          <w:b w:val="0"/>
          <w:i w:val="0"/>
        </w:rPr>
        <w:t>Machine learning has opened a way to screen many contracts at once. Regression has long been used for early cost estimates of construction projects (Mahamid, 2011), and recent reviews show tree ensembles and other parametric models becoming the standard tools for construction cost prediction (Elmousalami, 2020). Larocque et al. (2025) applied explainable machine learning to 11,646 road contracts, while Coffie and Cudjoe (2024) paired Extreme Gradient Boosting (XGBoost) with Shapley additive explanations (SHAP) to predict construction cost overruns. For anomaly detection, Isolation Forest isolates unusual records without requiring labelled fraud cases (Liu et al., 2008). Locally, the CORA system combined Multiple Linear Regression, XGBoost and Isolation Forest on 90 completed DPWH road contracts in Bicol, reaching an R</w:t>
      </w:r>
      <w:r>
        <w:rPr>
          <w:b w:val="0"/>
          <w:i w:val="0"/>
          <w:vertAlign w:val="superscript"/>
        </w:rPr>
        <w:t>2</w:t>
      </w:r>
      <w:r>
        <w:rPr>
          <w:b w:val="0"/>
          <w:i w:val="0"/>
        </w:rPr>
        <w:t xml:space="preserve"> of 0.8723 and a MAPE of 29.20% and flagging three contracts for review (Buban, 2026).</w:t>
      </w:r>
    </w:p>
    <w:p>
      <w:pPr>
        <w:spacing w:line="480" w:lineRule="auto" w:after="0"/>
        <w:ind w:firstLine="720"/>
        <w:jc w:val="both"/>
      </w:pPr>
      <w:r>
        <w:rPr>
          <w:b w:val="0"/>
          <w:i w:val="0"/>
        </w:rPr>
        <w:t xml:space="preserve">These tools, however, share one blind spot: they learn what similar projects </w:t>
      </w:r>
      <w:r>
        <w:rPr>
          <w:b w:val="0"/>
          <w:i/>
        </w:rPr>
        <w:t>have</w:t>
      </w:r>
      <w:r>
        <w:rPr>
          <w:b w:val="0"/>
          <w:i w:val="0"/>
        </w:rPr>
        <w:t xml:space="preserve"> cost, not what a project </w:t>
      </w:r>
      <w:r>
        <w:rPr>
          <w:b w:val="0"/>
          <w:i/>
        </w:rPr>
        <w:t>should</w:t>
      </w:r>
      <w:r>
        <w:rPr>
          <w:b w:val="0"/>
          <w:i w:val="0"/>
        </w:rPr>
        <w:t xml:space="preserve"> cost. If past prices are padded, the model learns the padding. They also cannot give a contractor, a local government or a citizen a defensible starting price for a new building or bridge. Cost engineering has long answered the second question with bottom-up, "should-cost" estimates built from quantities and unit rates (U.S. Government Accountability Office [GAO], 2020), and the DPWH already prices projects this way through its pay items and Detailed Unit Price Analysis. What is missing is an independent, open tool that does this from the plan, under the same standards, and then uses machine learning as a second opinion rather than as the only reference.</w:t>
      </w:r>
    </w:p>
    <w:p>
      <w:pPr>
        <w:spacing w:line="480" w:lineRule="auto" w:after="0"/>
        <w:ind w:firstLine="720"/>
        <w:jc w:val="both"/>
      </w:pPr>
      <w:r>
        <w:rPr>
          <w:b w:val="0"/>
          <w:i w:val="0"/>
        </w:rPr>
        <w:t xml:space="preserve">To close that gap, this study develops BUHAY (Buildings-and-Bridges Unit-cost Hybrid Analytics and Yardstick). Given the plan of a public building or bridge, BUHAY performs a parametric quantity take-off following the National Structural Code of the Philippines (NSCP) 2015, the DPWH Standard Specifications, the AASHTO LRFD Bridge Design Specifications and the National Building Code, prices the bill of quantities with DPWH pay items, and builds an ABC in three tiers: a lean start quotation, a standard fair estimate and a ceiling. When a contract amount is entered, the system compares it with the ceiling, with an XGBoost estimate learned from past projects, and with an Isolation Forest score, and combines the three into the BUHAY Risk Index. The name </w:t>
      </w:r>
      <w:r>
        <w:rPr>
          <w:b w:val="0"/>
          <w:i/>
        </w:rPr>
        <w:t>buhay</w:t>
      </w:r>
      <w:r>
        <w:rPr>
          <w:b w:val="0"/>
          <w:i w:val="0"/>
        </w:rPr>
        <w:t>, Filipino for "life", reflects both the research brought to life as a working application and the lives that depend on honest public infrastructure. Like CORA, BUHAY is a screening layer: a flag calls for review and is never treated as proof of wrongdoing.</w:t>
      </w:r>
    </w:p>
    <w:p>
      <w:pPr>
        <w:keepNext/>
        <w:spacing w:line="480" w:lineRule="auto" w:after="0"/>
        <w:jc w:val="left"/>
      </w:pPr>
      <w:r>
        <w:rPr>
          <w:b/>
          <w:i w:val="0"/>
        </w:rPr>
        <w:t>Research Gap and Rationale</w:t>
      </w:r>
    </w:p>
    <w:p>
      <w:pPr>
        <w:spacing w:line="480" w:lineRule="auto" w:after="0"/>
        <w:ind w:firstLine="720"/>
        <w:jc w:val="both"/>
      </w:pPr>
      <w:r>
        <w:rPr>
          <w:b w:val="0"/>
          <w:i w:val="0"/>
        </w:rPr>
        <w:t xml:space="preserve">Four gaps motivate this study. First, there is a </w:t>
      </w:r>
      <w:r>
        <w:rPr>
          <w:b/>
          <w:i w:val="0"/>
        </w:rPr>
        <w:t>scope gap</w:t>
      </w:r>
      <w:r>
        <w:rPr>
          <w:b w:val="0"/>
          <w:i w:val="0"/>
        </w:rPr>
        <w:t>. Local cost-screening research has focused on roads, and CORA itself recommended extending the approach to buildings, bridges and other project types (Buban, 2026). Buildings and bridges have very different cost structures from pavements: vertical structural frames, masonry and finishes, mechanical, electrical, plumbing and fire protection works, piles, girders and substructures. A road model cannot price them.</w:t>
      </w:r>
    </w:p>
    <w:p>
      <w:pPr>
        <w:spacing w:line="480" w:lineRule="auto" w:after="0"/>
        <w:ind w:firstLine="720"/>
        <w:jc w:val="both"/>
      </w:pPr>
      <w:r>
        <w:rPr>
          <w:b w:val="0"/>
          <w:i w:val="0"/>
        </w:rPr>
        <w:t xml:space="preserve">Second, there is a </w:t>
      </w:r>
      <w:r>
        <w:rPr>
          <w:b/>
          <w:i w:val="0"/>
        </w:rPr>
        <w:t>reference gap</w:t>
      </w:r>
      <w:r>
        <w:rPr>
          <w:b w:val="0"/>
          <w:i w:val="0"/>
        </w:rPr>
        <w:t>. Data-driven models are top-down. They estimate cost from what comparable contracts were awarded for, so they are only as clean as their training data and they cannot produce an itemized quotation. Bottom-up estimates based on standards are the professional norm for fair pricing (GAO, 2020), but no open tool in the Philippines generates one from a plan and puts it beside a machine-learning check.</w:t>
      </w:r>
    </w:p>
    <w:p>
      <w:pPr>
        <w:spacing w:line="480" w:lineRule="auto" w:after="0"/>
        <w:ind w:firstLine="720"/>
        <w:jc w:val="both"/>
      </w:pPr>
      <w:r>
        <w:rPr>
          <w:b w:val="0"/>
          <w:i w:val="0"/>
        </w:rPr>
        <w:t xml:space="preserve">Third, there is a </w:t>
      </w:r>
      <w:r>
        <w:rPr>
          <w:b/>
          <w:i w:val="0"/>
        </w:rPr>
        <w:t>validation gap</w:t>
      </w:r>
      <w:r>
        <w:rPr>
          <w:b w:val="0"/>
          <w:i w:val="0"/>
        </w:rPr>
        <w:t>. Anomaly detectors in procurement are rarely tested against cases whose truth is known. CORA could report which contracts Isolation Forest flagged but not how many padded contracts it missed, and it recommended validating the flags (Buban, 2026). Without known positives, precision and recall cannot be measured.</w:t>
      </w:r>
    </w:p>
    <w:p>
      <w:pPr>
        <w:spacing w:line="480" w:lineRule="auto" w:after="0"/>
        <w:ind w:firstLine="720"/>
        <w:jc w:val="both"/>
      </w:pPr>
      <w:r>
        <w:rPr>
          <w:b w:val="0"/>
          <w:i w:val="0"/>
        </w:rPr>
        <w:t xml:space="preserve">Fourth, there is an </w:t>
      </w:r>
      <w:r>
        <w:rPr>
          <w:b/>
          <w:i w:val="0"/>
        </w:rPr>
        <w:t>access gap</w:t>
      </w:r>
      <w:r>
        <w:rPr>
          <w:b w:val="0"/>
          <w:i w:val="0"/>
        </w:rPr>
        <w:t>. Most models stay in notebooks or desktop dashboards. The people closest to a project, such as barangay and municipal officials, school heads, auditors and reporters, need a tool on their phones that works with a plan and a contract amount and that explains its answer in plain terms.</w:t>
      </w:r>
    </w:p>
    <w:p>
      <w:pPr>
        <w:spacing w:line="480" w:lineRule="auto" w:after="0"/>
        <w:ind w:firstLine="720"/>
        <w:jc w:val="both"/>
      </w:pPr>
      <w:r>
        <w:rPr>
          <w:b w:val="0"/>
          <w:i w:val="0"/>
        </w:rPr>
        <w:t>BUHAY addresses these gaps by (1) covering public buildings and bridges, (2) pairing a standards-based yardstick with machine learning so that each checks the other, (3) validating detection on a benchmark in which overpricing was injected deliberately and is therefore known, and (4) delivering the system as an installable mobile application and a download website with a project map.</w:t>
      </w:r>
    </w:p>
    <w:p>
      <w:pPr>
        <w:keepNext/>
        <w:spacing w:line="480" w:lineRule="auto" w:after="0"/>
        <w:jc w:val="left"/>
      </w:pPr>
      <w:r>
        <w:rPr>
          <w:b/>
          <w:i w:val="0"/>
        </w:rPr>
        <w:t>Objective of the Study</w:t>
      </w:r>
    </w:p>
    <w:p>
      <w:pPr>
        <w:spacing w:line="480" w:lineRule="auto" w:after="0"/>
        <w:ind w:firstLine="720"/>
        <w:jc w:val="both"/>
      </w:pPr>
      <w:r>
        <w:rPr>
          <w:b w:val="0"/>
          <w:i w:val="0"/>
        </w:rPr>
        <w:t>This study aimed to develop BUHAY, a blueprint-driven quantity take-off and hybrid machine-learning system that produces standards-based start quotations and detects over-budgeted public buildings and bridges in Bicol Region V. Specifically, it sought to answer the following research questions:</w:t>
      </w:r>
    </w:p>
    <w:p>
      <w:pPr>
        <w:tabs>
          <w:tab w:pos="1080" w:val="left"/>
        </w:tabs>
        <w:spacing w:line="480" w:lineRule="auto"/>
        <w:ind w:left="1080" w:hanging="360"/>
        <w:jc w:val="both"/>
      </w:pPr>
      <w:r>
        <w:rPr>
          <w:b w:val="0"/>
          <w:i w:val="0"/>
        </w:rPr>
        <w:t>1.</w:t>
        <w:tab/>
        <w:t>What plan variables and derived indicators can be extracted from building and bridge plans and engineering standards to estimate construction cost, in terms of: (a) physical properties; (b) structural system and foundation; and (c) location and price year?</w:t>
      </w:r>
    </w:p>
    <w:p>
      <w:pPr>
        <w:tabs>
          <w:tab w:pos="1080" w:val="left"/>
        </w:tabs>
        <w:spacing w:line="480" w:lineRule="auto"/>
        <w:ind w:left="1080" w:hanging="360"/>
        <w:jc w:val="both"/>
      </w:pPr>
      <w:r>
        <w:rPr>
          <w:b w:val="0"/>
          <w:i w:val="0"/>
        </w:rPr>
        <w:t>2.</w:t>
        <w:tab/>
        <w:t>How accurately does the standards-based quantity take-off engine estimate the construction cost of public buildings and bridges, in terms of: (a) the lean start quotation, standard fair estimate and ceiling; and (b) the mean absolute percentage error and coefficient of determination against fair awarded costs?</w:t>
      </w:r>
    </w:p>
    <w:p>
      <w:pPr>
        <w:tabs>
          <w:tab w:pos="1080" w:val="left"/>
        </w:tabs>
        <w:spacing w:line="480" w:lineRule="auto"/>
        <w:ind w:left="1080" w:hanging="360"/>
        <w:jc w:val="both"/>
      </w:pPr>
      <w:r>
        <w:rPr>
          <w:b w:val="0"/>
          <w:i w:val="0"/>
        </w:rPr>
        <w:t>3.</w:t>
        <w:tab/>
        <w:t>How do (a) Multiple Linear Regression and (b) Extreme Gradient Boosting perform in predicting the construction cost of buildings and bridges, in terms of R</w:t>
      </w:r>
      <w:r>
        <w:rPr>
          <w:b w:val="0"/>
          <w:i w:val="0"/>
          <w:vertAlign w:val="superscript"/>
        </w:rPr>
        <w:t>2</w:t>
      </w:r>
      <w:r>
        <w:rPr>
          <w:b w:val="0"/>
          <w:i w:val="0"/>
        </w:rPr>
        <w:t>, root mean square error and mean absolute percentage error under leave-one-out cross-validation?</w:t>
      </w:r>
    </w:p>
    <w:p>
      <w:pPr>
        <w:tabs>
          <w:tab w:pos="1080" w:val="left"/>
        </w:tabs>
        <w:spacing w:line="480" w:lineRule="auto"/>
        <w:ind w:left="1080" w:hanging="360"/>
        <w:jc w:val="both"/>
      </w:pPr>
      <w:r>
        <w:rPr>
          <w:b w:val="0"/>
          <w:i w:val="0"/>
        </w:rPr>
        <w:t>4.</w:t>
        <w:tab/>
        <w:t>How effectively do (a) the over-budget ratio, (b) the XGBoost cost residual, (c) the Isolation Forest, and (d) the hybrid BUHAY Risk Index detect over-budgeted contracts, in terms of precision, recall, F1-score and area under the ROC curve?</w:t>
      </w:r>
    </w:p>
    <w:p>
      <w:pPr>
        <w:tabs>
          <w:tab w:pos="1080" w:val="left"/>
        </w:tabs>
        <w:spacing w:line="480" w:lineRule="auto"/>
        <w:ind w:left="1080" w:hanging="360"/>
        <w:jc w:val="both"/>
      </w:pPr>
      <w:r>
        <w:rPr>
          <w:b w:val="0"/>
          <w:i w:val="0"/>
        </w:rPr>
        <w:t>5.</w:t>
        <w:tab/>
        <w:t>How can the system be deployed as (a) a mobile application, (b) a download website with an interactive project map, and (c) an explainable interface with parametric 3D models and SHAP explanations?</w:t>
      </w:r>
    </w:p>
    <w:p>
      <w:pPr>
        <w:keepNext/>
        <w:spacing w:line="480" w:lineRule="auto" w:after="0"/>
        <w:jc w:val="left"/>
      </w:pPr>
      <w:r>
        <w:rPr>
          <w:b/>
          <w:i w:val="0"/>
        </w:rPr>
        <w:t>Significance of the Study</w:t>
      </w:r>
    </w:p>
    <w:p>
      <w:pPr>
        <w:spacing w:line="480" w:lineRule="auto" w:after="0"/>
        <w:ind w:firstLine="720"/>
        <w:jc w:val="both"/>
      </w:pPr>
      <w:r>
        <w:rPr>
          <w:b w:val="0"/>
          <w:i w:val="0"/>
        </w:rPr>
        <w:t>This study supports transparent and accountable spending on public buildings and bridges in Bicol by giving anyone with a plan an itemized, standards-based price and a fast way to see whether a contract amount is defensible. It extends its benefits to the following:</w:t>
      </w:r>
    </w:p>
    <w:p>
      <w:pPr>
        <w:spacing w:line="480" w:lineRule="auto" w:after="0"/>
        <w:ind w:firstLine="720"/>
        <w:jc w:val="both"/>
      </w:pPr>
      <w:r>
        <w:rPr>
          <w:b/>
          <w:i w:val="0"/>
        </w:rPr>
        <w:t>DPWH and Implementing Offices.</w:t>
      </w:r>
      <w:r>
        <w:rPr>
          <w:b w:val="0"/>
          <w:i w:val="0"/>
        </w:rPr>
        <w:t xml:space="preserve"> District engineering offices can cross-check programs of works and ABCs against an independent take-off before bidding, and catch errors such as wrong markups or VAT rates early.</w:t>
      </w:r>
    </w:p>
    <w:p>
      <w:pPr>
        <w:spacing w:line="480" w:lineRule="auto" w:after="0"/>
        <w:ind w:firstLine="720"/>
        <w:jc w:val="both"/>
      </w:pPr>
      <w:r>
        <w:rPr>
          <w:b/>
          <w:i w:val="0"/>
        </w:rPr>
        <w:t>Government Auditing and Investigating Bodies.</w:t>
      </w:r>
      <w:r>
        <w:rPr>
          <w:b w:val="0"/>
          <w:i w:val="0"/>
        </w:rPr>
        <w:t xml:space="preserve"> The Commission on Audit, the Office of the Ombudsman and the Independent Commission for Infrastructure can rank contracts by risk and focus field inspections on the projects that need them most.</w:t>
      </w:r>
    </w:p>
    <w:p>
      <w:pPr>
        <w:spacing w:line="480" w:lineRule="auto" w:after="0"/>
        <w:ind w:firstLine="720"/>
        <w:jc w:val="both"/>
      </w:pPr>
      <w:r>
        <w:rPr>
          <w:b/>
          <w:i w:val="0"/>
        </w:rPr>
        <w:t>Local Government Units, DepEd and DOH Facility Owners.</w:t>
      </w:r>
      <w:r>
        <w:rPr>
          <w:b w:val="0"/>
          <w:i w:val="0"/>
        </w:rPr>
        <w:t xml:space="preserve"> Offices that request school buildings, health stations and evacuation centers obtain a start quotation to plan budgets and to question estimates that exceed the ceiling.</w:t>
      </w:r>
    </w:p>
    <w:p>
      <w:pPr>
        <w:spacing w:line="480" w:lineRule="auto" w:after="0"/>
        <w:ind w:firstLine="720"/>
        <w:jc w:val="both"/>
      </w:pPr>
      <w:r>
        <w:rPr>
          <w:b/>
          <w:i w:val="0"/>
        </w:rPr>
        <w:t>Contractors.</w:t>
      </w:r>
      <w:r>
        <w:rPr>
          <w:b w:val="0"/>
          <w:i w:val="0"/>
        </w:rPr>
        <w:t xml:space="preserve"> Honest contractors gain a public reference that rewards fair bids and helps them defend their pricing.</w:t>
      </w:r>
    </w:p>
    <w:p>
      <w:pPr>
        <w:spacing w:line="480" w:lineRule="auto" w:after="0"/>
        <w:ind w:firstLine="720"/>
        <w:jc w:val="both"/>
      </w:pPr>
      <w:r>
        <w:rPr>
          <w:b/>
          <w:i w:val="0"/>
        </w:rPr>
        <w:t>Filipino Taxpayers, Civil Society and Media.</w:t>
      </w:r>
      <w:r>
        <w:rPr>
          <w:b w:val="0"/>
          <w:i w:val="0"/>
        </w:rPr>
        <w:t xml:space="preserve"> Citizens and journalists can check a project on their phones, see the bill of quantities behind a price and view flagged projects on a map.</w:t>
      </w:r>
    </w:p>
    <w:p>
      <w:pPr>
        <w:spacing w:line="480" w:lineRule="auto" w:after="0"/>
        <w:ind w:firstLine="720"/>
        <w:jc w:val="both"/>
      </w:pPr>
      <w:r>
        <w:rPr>
          <w:b/>
          <w:i w:val="0"/>
        </w:rPr>
        <w:t>SDG 16.5, 16.6 and 16.10 Alignment.</w:t>
      </w:r>
      <w:r>
        <w:rPr>
          <w:b w:val="0"/>
          <w:i w:val="0"/>
        </w:rPr>
        <w:t xml:space="preserve"> The system targets corruption and bribery in public contracting, supports effective, accountable and transparent institutions, and widens public access to cost information (United Nations, 2015).</w:t>
      </w:r>
    </w:p>
    <w:p>
      <w:pPr>
        <w:spacing w:line="480" w:lineRule="auto" w:after="0"/>
        <w:ind w:firstLine="720"/>
        <w:jc w:val="both"/>
      </w:pPr>
      <w:r>
        <w:rPr>
          <w:b/>
          <w:i w:val="0"/>
        </w:rPr>
        <w:t>SDG 9.1 and 11.5 Alignment.</w:t>
      </w:r>
      <w:r>
        <w:rPr>
          <w:b w:val="0"/>
          <w:i w:val="0"/>
        </w:rPr>
        <w:t xml:space="preserve"> Fair pricing protects the quality of resilient infrastructure and of the facilities that reduce disaster losses in a typhoon- and earthquake-prone region.</w:t>
      </w:r>
    </w:p>
    <w:p>
      <w:pPr>
        <w:spacing w:line="480" w:lineRule="auto" w:after="0"/>
        <w:ind w:firstLine="720"/>
        <w:jc w:val="both"/>
      </w:pPr>
      <w:r>
        <w:rPr>
          <w:b/>
          <w:i w:val="0"/>
        </w:rPr>
        <w:t>SDG 12.7 and 4.a Alignment.</w:t>
      </w:r>
      <w:r>
        <w:rPr>
          <w:b w:val="0"/>
          <w:i w:val="0"/>
        </w:rPr>
        <w:t xml:space="preserve"> The lean, code-compliant start quotation supports sustainable public procurement under Republic Act No. 12009 and stretches school-building funds to more classrooms.</w:t>
      </w:r>
    </w:p>
    <w:p>
      <w:pPr>
        <w:spacing w:line="480" w:lineRule="auto" w:after="0"/>
        <w:ind w:firstLine="720"/>
        <w:jc w:val="both"/>
      </w:pPr>
      <w:r>
        <w:rPr>
          <w:b/>
          <w:i w:val="0"/>
        </w:rPr>
        <w:t>Academe and Future Researchers.</w:t>
      </w:r>
      <w:r>
        <w:rPr>
          <w:b w:val="0"/>
          <w:i w:val="0"/>
        </w:rPr>
        <w:t xml:space="preserve"> The study contributes a reproducible pipeline, a benchmark with known overpricing and an open price book that future work can validate with actual contract records and extend to other project types.</w:t>
      </w:r>
    </w:p>
    <w:p>
      <w:pPr>
        <w:keepNext/>
        <w:spacing w:line="480" w:lineRule="auto" w:after="0"/>
        <w:jc w:val="left"/>
      </w:pPr>
      <w:r>
        <w:rPr>
          <w:b/>
          <w:i w:val="0"/>
        </w:rPr>
        <w:t>Scope and Delimitation</w:t>
      </w:r>
    </w:p>
    <w:p>
      <w:pPr>
        <w:spacing w:line="480" w:lineRule="auto" w:after="0"/>
        <w:ind w:firstLine="720"/>
        <w:jc w:val="both"/>
      </w:pPr>
      <w:r>
        <w:rPr>
          <w:b w:val="0"/>
          <w:i w:val="0"/>
        </w:rPr>
        <w:t>This study covers public buildings and bridges in the six provinces of Bicol Region V (Albay, Camarines Norte, Camarines Sur, Catanduanes, Masbate and Sorsogon) with price years from 2022 to 2026. Buildings include school buildings, government offices, health facilities, multi-purpose halls and evacuation centers, dormitories and public markets built as reinforced-concrete frames of up to six storeys; taller buildings are priced indicatively. Bridges include reinforced-concrete box culverts, reinforced-concrete deck girder (RCDG), prestressed concrete girder (PSCG) and steel truss bridges on spread footings, driven precast piles or bored piles.</w:t>
      </w:r>
    </w:p>
    <w:p>
      <w:pPr>
        <w:spacing w:line="480" w:lineRule="auto" w:after="0"/>
        <w:ind w:firstLine="720"/>
        <w:jc w:val="both"/>
      </w:pPr>
      <w:r>
        <w:rPr>
          <w:b w:val="0"/>
          <w:i w:val="0"/>
        </w:rPr>
        <w:t>Roads (covered by CORA), flood-control structures, water supply systems, ports, land acquisition, right-of-way, design and supervision fees, furniture and equipment are excluded. Unit costs are indicative direct costs for 2025 based in Albay, adjusted by province location factors and a yearly cost index, and are meant to be replaced by the implementing office's current Detailed Unit Price Analysis or regional price data. Plan input accepts dimensions, reference plans and two-dimensional DXF outlines; building information models and scanned drawings are not parsed.</w:t>
      </w:r>
    </w:p>
    <w:p>
      <w:pPr>
        <w:spacing w:line="480" w:lineRule="auto" w:after="0"/>
        <w:ind w:firstLine="720"/>
        <w:jc w:val="both"/>
      </w:pPr>
      <w:r>
        <w:rPr>
          <w:b w:val="0"/>
          <w:i w:val="0"/>
        </w:rPr>
        <w:t>Because machine-readable plans and itemized bills of quantities for awarded DPWH buildings and bridges are not publicly available in bulk, the models were trained and the detectors validated on a 300-project simulated benchmark (SBD-300). Each simulated project carries hidden site and market variation that the plan-level estimate cannot see, and 12% of projects carry injected overpricing whose size is known. The reported accuracy and detection figures therefore describe performance under the stated simulation assumptions and must be re-validated on actual contracts before operational use. Lastly, BUHAY is a screening tool: it does not replace the Commission on Audit, the Office of the Ombudsman, the Independent Commission for Infrastructure or any official audit procedure, and a flag is not evidence of irregularity, error or fraud.</w:t>
      </w:r>
    </w:p>
    <w:p>
      <w:pPr>
        <w:keepNext/>
        <w:spacing w:line="480" w:lineRule="auto" w:after="0"/>
        <w:jc w:val="left"/>
      </w:pPr>
      <w:r>
        <w:rPr>
          <w:b/>
          <w:i w:val="0"/>
        </w:rPr>
        <w:t>Definition of Terms</w:t>
      </w:r>
    </w:p>
    <w:p>
      <w:pPr>
        <w:spacing w:line="480" w:lineRule="auto" w:after="0"/>
        <w:ind w:firstLine="720"/>
        <w:jc w:val="both"/>
      </w:pPr>
      <w:r>
        <w:rPr>
          <w:b w:val="0"/>
          <w:i w:val="0"/>
        </w:rPr>
        <w:t>The following terms are defined conceptually and operationally to ensure a common understanding of the key concepts used in this study:</w:t>
      </w:r>
    </w:p>
    <w:p>
      <w:pPr>
        <w:spacing w:line="480" w:lineRule="auto" w:after="0"/>
        <w:ind w:firstLine="720"/>
        <w:jc w:val="both"/>
      </w:pPr>
      <w:r>
        <w:rPr>
          <w:b/>
          <w:i/>
        </w:rPr>
        <w:t>Approved Budget for the Contract (ABC).</w:t>
      </w:r>
      <w:r>
        <w:rPr>
          <w:b w:val="0"/>
          <w:i w:val="0"/>
        </w:rPr>
        <w:t xml:space="preserve"> The ceiling price a procuring entity sets for a contract. In this study, it is the estimated direct cost plus OCM, profit and VAT computed under DPWH D.O. 197 s. 2016 and D.O. 30 s. 2025, produced for each quotation tier.</w:t>
      </w:r>
    </w:p>
    <w:p>
      <w:pPr>
        <w:spacing w:line="480" w:lineRule="auto" w:after="0"/>
        <w:ind w:firstLine="720"/>
        <w:jc w:val="both"/>
      </w:pPr>
      <w:r>
        <w:rPr>
          <w:b/>
          <w:i/>
        </w:rPr>
        <w:t>Anomaly Score.</w:t>
      </w:r>
      <w:r>
        <w:rPr>
          <w:b w:val="0"/>
          <w:i w:val="0"/>
        </w:rPr>
        <w:t xml:space="preserve"> A value from 0 to 1 produced by the Isolation Forest; the higher the score, the easier a contract is to isolate from the others and the more unusual it is.</w:t>
      </w:r>
    </w:p>
    <w:p>
      <w:pPr>
        <w:spacing w:line="480" w:lineRule="auto" w:after="0"/>
        <w:ind w:firstLine="720"/>
        <w:jc w:val="both"/>
      </w:pPr>
      <w:r>
        <w:rPr>
          <w:b/>
          <w:i/>
        </w:rPr>
        <w:t>BUHAY Risk Index (BRI).</w:t>
      </w:r>
      <w:r>
        <w:rPr>
          <w:b w:val="0"/>
          <w:i w:val="0"/>
        </w:rPr>
        <w:t xml:space="preserve"> A score from 0 to 100 that combines the over-budget ratio, the XGBoost cost residual and the anomaly score. A BRI of 30 or more is a high-risk flag; 20 to 30 calls for review.</w:t>
      </w:r>
    </w:p>
    <w:p>
      <w:pPr>
        <w:spacing w:line="480" w:lineRule="auto" w:after="0"/>
        <w:ind w:firstLine="720"/>
        <w:jc w:val="both"/>
      </w:pPr>
      <w:r>
        <w:rPr>
          <w:b/>
          <w:i/>
        </w:rPr>
        <w:t>Ceiling Estimate.</w:t>
      </w:r>
      <w:r>
        <w:rPr>
          <w:b w:val="0"/>
          <w:i w:val="0"/>
        </w:rPr>
        <w:t xml:space="preserve"> The highest price that can still be defended for a plan, computed with upper-bound reinforcement, premium finishes and a scope contingency. Amounts above it are flagged as over budget.</w:t>
      </w:r>
    </w:p>
    <w:p>
      <w:pPr>
        <w:spacing w:line="480" w:lineRule="auto" w:after="0"/>
        <w:ind w:firstLine="720"/>
        <w:jc w:val="both"/>
      </w:pPr>
      <w:r>
        <w:rPr>
          <w:b/>
          <w:i/>
        </w:rPr>
        <w:t>Detailed Unit Price Analysis (DUPA).</w:t>
      </w:r>
      <w:r>
        <w:rPr>
          <w:b w:val="0"/>
          <w:i w:val="0"/>
        </w:rPr>
        <w:t xml:space="preserve"> The DPWH breakdown of the material, labor and equipment cost of one unit of a pay item. The BUHAY price book holds the resulting direct unit costs.</w:t>
      </w:r>
    </w:p>
    <w:p>
      <w:pPr>
        <w:spacing w:line="480" w:lineRule="auto" w:after="0"/>
        <w:ind w:firstLine="720"/>
        <w:jc w:val="both"/>
      </w:pPr>
      <w:r>
        <w:rPr>
          <w:b/>
          <w:i/>
        </w:rPr>
        <w:t>Estimated Direct Cost (EDC).</w:t>
      </w:r>
      <w:r>
        <w:rPr>
          <w:b w:val="0"/>
          <w:i w:val="0"/>
        </w:rPr>
        <w:t xml:space="preserve"> The sum of all pay-item quantities times their unit costs, adjusted for location and price year, before indirect costs.</w:t>
      </w:r>
    </w:p>
    <w:p>
      <w:pPr>
        <w:spacing w:line="480" w:lineRule="auto" w:after="0"/>
        <w:ind w:firstLine="720"/>
        <w:jc w:val="both"/>
      </w:pPr>
      <w:r>
        <w:rPr>
          <w:b/>
          <w:i/>
        </w:rPr>
        <w:t>Extreme Gradient Boosting (XGBoost).</w:t>
      </w:r>
      <w:r>
        <w:rPr>
          <w:b w:val="0"/>
          <w:i w:val="0"/>
        </w:rPr>
        <w:t xml:space="preserve"> A gradient-boosted tree algorithm used as the primary data-driven cost model, trained on the logarithm of awarded cost from plan features (Chen &amp; Guestrin, 2016).</w:t>
      </w:r>
    </w:p>
    <w:p>
      <w:pPr>
        <w:spacing w:line="480" w:lineRule="auto" w:after="0"/>
        <w:ind w:firstLine="720"/>
        <w:jc w:val="both"/>
      </w:pPr>
      <w:r>
        <w:rPr>
          <w:b/>
          <w:i/>
        </w:rPr>
        <w:t>Isolation Forest.</w:t>
      </w:r>
      <w:r>
        <w:rPr>
          <w:b w:val="0"/>
          <w:i w:val="0"/>
        </w:rPr>
        <w:t xml:space="preserve"> An unsupervised algorithm that isolates records through random splits and scores unusual records by their short average path length, without labelled examples (Liu et al., 2008).</w:t>
      </w:r>
    </w:p>
    <w:p>
      <w:pPr>
        <w:spacing w:line="480" w:lineRule="auto" w:after="0"/>
        <w:ind w:firstLine="720"/>
        <w:jc w:val="both"/>
      </w:pPr>
      <w:r>
        <w:rPr>
          <w:b/>
          <w:i/>
        </w:rPr>
        <w:t>Lean Start Quotation.</w:t>
      </w:r>
      <w:r>
        <w:rPr>
          <w:b w:val="0"/>
          <w:i w:val="0"/>
        </w:rPr>
        <w:t xml:space="preserve"> The lowest code-compliant price of a plan, computed with code-minimum reinforcement and basic finishes while keeping all NSCP, DPWH and PD 1096 requirements; the recommended starting price.</w:t>
      </w:r>
    </w:p>
    <w:p>
      <w:pPr>
        <w:spacing w:line="480" w:lineRule="auto" w:after="0"/>
        <w:ind w:firstLine="720"/>
        <w:jc w:val="both"/>
      </w:pPr>
      <w:r>
        <w:rPr>
          <w:b/>
          <w:i/>
        </w:rPr>
        <w:t>Leave-One-Out Cross-Validation (LOOCV).</w:t>
      </w:r>
      <w:r>
        <w:rPr>
          <w:b w:val="0"/>
          <w:i w:val="0"/>
        </w:rPr>
        <w:t xml:space="preserve"> A validation method in which each project is predicted by a model trained on all other projects, used here to measure prediction error on unseen projects.</w:t>
      </w:r>
    </w:p>
    <w:p>
      <w:pPr>
        <w:spacing w:line="480" w:lineRule="auto" w:after="0"/>
        <w:ind w:firstLine="720"/>
        <w:jc w:val="both"/>
      </w:pPr>
      <w:r>
        <w:rPr>
          <w:b/>
          <w:i/>
        </w:rPr>
        <w:t>Multiple Linear Regression (MLR).</w:t>
      </w:r>
      <w:r>
        <w:rPr>
          <w:b w:val="0"/>
          <w:i w:val="0"/>
        </w:rPr>
        <w:t xml:space="preserve"> A statistical model that expresses awarded cost as a weighted sum of plan features; the interpretable baseline of this study.</w:t>
      </w:r>
    </w:p>
    <w:p>
      <w:pPr>
        <w:spacing w:line="480" w:lineRule="auto" w:after="0"/>
        <w:ind w:firstLine="720"/>
        <w:jc w:val="both"/>
      </w:pPr>
      <w:r>
        <w:rPr>
          <w:b/>
          <w:i/>
        </w:rPr>
        <w:t>Over-Budget Ratio (OBR).</w:t>
      </w:r>
      <w:r>
        <w:rPr>
          <w:b w:val="0"/>
          <w:i w:val="0"/>
        </w:rPr>
        <w:t xml:space="preserve"> The contract amount divided by the BUHAY standard fair estimate. A ratio of 1.00 means the contract equals the standard estimate.</w:t>
      </w:r>
    </w:p>
    <w:p>
      <w:pPr>
        <w:spacing w:line="480" w:lineRule="auto" w:after="0"/>
        <w:ind w:firstLine="720"/>
        <w:jc w:val="both"/>
      </w:pPr>
      <w:r>
        <w:rPr>
          <w:b/>
          <w:i/>
        </w:rPr>
        <w:t>Parametric 3D Visualization.</w:t>
      </w:r>
      <w:r>
        <w:rPr>
          <w:b w:val="0"/>
          <w:i w:val="0"/>
        </w:rPr>
        <w:t xml:space="preserve"> A 3D model generated directly from the plan variables and the engine's geometry, tinted by the screening result.</w:t>
      </w:r>
    </w:p>
    <w:p>
      <w:pPr>
        <w:spacing w:line="480" w:lineRule="auto" w:after="0"/>
        <w:ind w:firstLine="720"/>
        <w:jc w:val="both"/>
      </w:pPr>
      <w:r>
        <w:rPr>
          <w:b/>
          <w:i/>
        </w:rPr>
        <w:t>Plan (Blueprint).</w:t>
      </w:r>
      <w:r>
        <w:rPr>
          <w:b w:val="0"/>
          <w:i w:val="0"/>
        </w:rPr>
        <w:t xml:space="preserve"> The architectural and engineering drawings of a building or bridge. Operationally, the set of plan variables in Table 1, entered by the user, taken from a reference plan or read from a DXF file.</w:t>
      </w:r>
    </w:p>
    <w:p>
      <w:pPr>
        <w:spacing w:line="480" w:lineRule="auto" w:after="0"/>
        <w:ind w:firstLine="720"/>
        <w:jc w:val="both"/>
      </w:pPr>
      <w:r>
        <w:rPr>
          <w:b/>
          <w:i/>
        </w:rPr>
        <w:t>Price Book.</w:t>
      </w:r>
      <w:r>
        <w:rPr>
          <w:b w:val="0"/>
          <w:i w:val="0"/>
        </w:rPr>
        <w:t xml:space="preserve"> The table of DPWH pay items and their direct unit costs used by the engine, editable by the user.</w:t>
      </w:r>
    </w:p>
    <w:p>
      <w:pPr>
        <w:spacing w:line="480" w:lineRule="auto" w:after="0"/>
        <w:ind w:firstLine="720"/>
        <w:jc w:val="both"/>
      </w:pPr>
      <w:r>
        <w:rPr>
          <w:b/>
          <w:i/>
        </w:rPr>
        <w:t>Progressive Web Application (PWA).</w:t>
      </w:r>
      <w:r>
        <w:rPr>
          <w:b w:val="0"/>
          <w:i w:val="0"/>
        </w:rPr>
        <w:t xml:space="preserve"> A web application that can be installed on a phone or computer and works offline; the form in which BUHAY is delivered.</w:t>
      </w:r>
    </w:p>
    <w:p>
      <w:pPr>
        <w:spacing w:line="480" w:lineRule="auto" w:after="0"/>
        <w:ind w:firstLine="720"/>
        <w:jc w:val="both"/>
      </w:pPr>
      <w:r>
        <w:rPr>
          <w:b/>
          <w:i/>
        </w:rPr>
        <w:t>Quantity Take-Off (QTO).</w:t>
      </w:r>
      <w:r>
        <w:rPr>
          <w:b w:val="0"/>
          <w:i w:val="0"/>
        </w:rPr>
        <w:t xml:space="preserve"> The measurement of work quantities, such as cubic meters of concrete and kilograms of reinforcing steel, from a plan. In BUHAY it is computed parametrically from the plan variables using engineering standards.</w:t>
      </w:r>
    </w:p>
    <w:p>
      <w:pPr>
        <w:spacing w:line="480" w:lineRule="auto" w:after="0"/>
        <w:ind w:firstLine="720"/>
        <w:jc w:val="both"/>
      </w:pPr>
      <w:r>
        <w:rPr>
          <w:b/>
          <w:i/>
        </w:rPr>
        <w:t>Reference Plan.</w:t>
      </w:r>
      <w:r>
        <w:rPr>
          <w:b w:val="0"/>
          <w:i w:val="0"/>
        </w:rPr>
        <w:t xml:space="preserve"> One of 19 typical configurations of DPWH-implemented buildings and bridges stored in the application as a starting point, the "previous plans" library.</w:t>
      </w:r>
    </w:p>
    <w:p>
      <w:pPr>
        <w:spacing w:line="480" w:lineRule="auto" w:after="0"/>
        <w:ind w:firstLine="720"/>
        <w:jc w:val="both"/>
      </w:pPr>
      <w:r>
        <w:rPr>
          <w:b/>
          <w:i/>
        </w:rPr>
        <w:t>SHAP (SHapley Additive exPlanations).</w:t>
      </w:r>
      <w:r>
        <w:rPr>
          <w:b w:val="0"/>
          <w:i w:val="0"/>
        </w:rPr>
        <w:t xml:space="preserve"> A method that splits each model prediction into the contributions of its input features, shown in the application as the reasons behind the expected cost (Lundberg &amp; Lee, 2017).</w:t>
      </w:r>
    </w:p>
    <w:p>
      <w:pPr>
        <w:spacing w:line="480" w:lineRule="auto" w:after="0"/>
        <w:ind w:firstLine="720"/>
        <w:jc w:val="both"/>
      </w:pPr>
      <w:r>
        <w:rPr>
          <w:b/>
          <w:i/>
        </w:rPr>
        <w:t>Simulated Benchmark Dataset (SBD-300).</w:t>
      </w:r>
      <w:r>
        <w:rPr>
          <w:b w:val="0"/>
          <w:i w:val="0"/>
        </w:rPr>
        <w:t xml:space="preserve"> The 300 simulated projects (160 buildings, 140 bridges) used to train and validate the models, with known true costs and 36 injected overpricing cases.</w:t>
      </w:r>
    </w:p>
    <w:p>
      <w:pPr>
        <w:spacing w:line="480" w:lineRule="auto" w:after="0"/>
        <w:ind w:firstLine="720"/>
        <w:jc w:val="both"/>
      </w:pPr>
      <w:r>
        <w:rPr>
          <w:b/>
          <w:i/>
        </w:rPr>
        <w:t>Standard Fair Estimate.</w:t>
      </w:r>
      <w:r>
        <w:rPr>
          <w:b w:val="0"/>
          <w:i w:val="0"/>
        </w:rPr>
        <w:t xml:space="preserve"> The ABC of a plan computed with typical DPWH design intensities and standard finishes; the reference for the over-budget ratio.</w:t>
      </w:r>
    </w:p>
    <w:p>
      <w:pPr>
        <w:keepNext/>
        <w:spacing w:line="480" w:lineRule="auto" w:after="0"/>
        <w:jc w:val="center"/>
      </w:pPr>
      <w:r>
        <w:rPr>
          <w:b/>
          <w:i w:val="0"/>
        </w:rPr>
        <w:t>FRAMEWORK</w:t>
      </w:r>
    </w:p>
    <w:p>
      <w:pPr>
        <w:keepNext/>
        <w:spacing w:line="480" w:lineRule="auto" w:after="0"/>
        <w:jc w:val="left"/>
      </w:pPr>
      <w:r>
        <w:rPr>
          <w:b/>
          <w:i w:val="0"/>
        </w:rPr>
        <w:t>Theoretical Framework</w:t>
      </w:r>
    </w:p>
    <w:p>
      <w:pPr>
        <w:spacing w:line="480" w:lineRule="auto" w:after="0"/>
        <w:ind w:firstLine="720"/>
        <w:jc w:val="both"/>
      </w:pPr>
      <w:r>
        <w:rPr>
          <w:b w:val="0"/>
          <w:i w:val="0"/>
        </w:rPr>
        <w:t>The theoretical framework rests on four theories that explain how a fair price can be established, how deviations from it arise, how a model can learn expected cost from data, and how its predictions can be explained. Each contributes a component of BUHAY.</w:t>
      </w:r>
    </w:p>
    <w:p>
      <w:pPr>
        <w:spacing w:line="480" w:lineRule="auto" w:after="0"/>
        <w:ind w:firstLine="720"/>
        <w:jc w:val="both"/>
      </w:pPr>
      <w:r>
        <w:rPr>
          <w:b/>
          <w:i/>
        </w:rPr>
        <w:t>Agency Theory</w:t>
      </w:r>
      <w:r>
        <w:rPr>
          <w:b w:val="0"/>
          <w:i w:val="0"/>
        </w:rPr>
        <w:t>, formulated by Jensen and Meckling (1976), describes the relationship between a principal who delegates work and an agent whose interests and information differ. In public construction, the public and the oversight bodies are the principals, while implementing offices and contractors are the agents who know more about the true quantities and costs. The resulting information asymmetry is what padding exploits. In this study, the gap between a contract amount and an independent standards-based estimate, the over-budget ratio, is the measurable form of that asymmetry, and a large gap triggers review rather than accusation.</w:t>
      </w:r>
    </w:p>
    <w:p>
      <w:pPr>
        <w:spacing w:line="480" w:lineRule="auto" w:after="0"/>
        <w:ind w:firstLine="720"/>
        <w:jc w:val="both"/>
      </w:pPr>
      <w:r>
        <w:rPr>
          <w:b/>
          <w:i/>
        </w:rPr>
        <w:t>Should-Cost (Engineering Cost Estimating) Theory</w:t>
      </w:r>
      <w:r>
        <w:rPr>
          <w:b w:val="0"/>
          <w:i w:val="0"/>
        </w:rPr>
        <w:t xml:space="preserve"> holds that a fair price for a defined scope can be built bottom-up from the quantities of work and the unit cost of each item, plus justified indirect costs (GAO, 2020). Flyvbjerg et al. (2002) showed that public works estimates drift from such fundamentals when incentives reward misrepresentation. In this study, the theory grounds the quantity take-off engine: quantities come from the plan through NSCP, DPWH and AASHTO rules, and the ABC follows the DPWH indirect-cost structure, producing the lean, standard and ceiling tiers that serve as the yardstick.</w:t>
      </w:r>
    </w:p>
    <w:p>
      <w:pPr>
        <w:spacing w:line="480" w:lineRule="auto" w:after="0"/>
        <w:ind w:firstLine="720"/>
        <w:jc w:val="both"/>
      </w:pPr>
      <w:r>
        <w:rPr>
          <w:b/>
          <w:i/>
        </w:rPr>
        <w:t>Statistical Learning Theory</w:t>
      </w:r>
      <w:r>
        <w:rPr>
          <w:b w:val="0"/>
          <w:i w:val="0"/>
        </w:rPr>
        <w:t>, developed by Vapnik (1998), treats prediction as learning a function from a finite sample and judges it by its error on unseen cases. It guides the data-driven layer: Multiple Linear Regression serves as an interpretable baseline, XGBoost learns non-linear patterns, and leave-one-out cross-validation measures generalization error. Isolation Forest applies the same learning view to anomalies, which are few and different and therefore easy to isolate (Liu et al., 2008).</w:t>
      </w:r>
    </w:p>
    <w:p>
      <w:pPr>
        <w:spacing w:line="480" w:lineRule="auto" w:after="0"/>
        <w:ind w:firstLine="720"/>
        <w:jc w:val="both"/>
      </w:pPr>
      <w:r>
        <w:rPr>
          <w:b/>
          <w:i/>
        </w:rPr>
        <w:t>Cooperative Game Theory</w:t>
      </w:r>
      <w:r>
        <w:rPr>
          <w:b w:val="0"/>
          <w:i w:val="0"/>
        </w:rPr>
        <w:t xml:space="preserve"> provides the Shapley value, which divides a coalition's payout among its members in proportion to their contribution (Shapley, 1953). Lundberg and Lee (2017) adapted it into SHAP, where each feature is a player and the predicted cost is the payout. In this study, SHAP shows auditors which plan features drove the expected cost of a project, so that a flag can be explained. Together these theories support the development of BUHAY, as shown in Figure 1.</w:t>
      </w:r>
    </w:p>
    <w:p>
      <w:pPr>
        <w:keepNext/>
        <w:spacing w:line="240" w:lineRule="auto" w:after="0" w:before="120"/>
        <w:jc w:val="left"/>
      </w:pPr>
      <w:r>
        <w:rPr>
          <w:b/>
          <w:i w:val="0"/>
        </w:rPr>
        <w:t>Figure 1.</w:t>
      </w:r>
    </w:p>
    <w:p>
      <w:pPr>
        <w:keepNext/>
        <w:spacing w:line="240" w:lineRule="auto" w:after="0"/>
        <w:jc w:val="left"/>
      </w:pPr>
      <w:r>
        <w:rPr>
          <w:b w:val="0"/>
          <w:i/>
        </w:rPr>
        <w:t>Theoretical Paradigm</w:t>
      </w:r>
    </w:p>
    <w:p>
      <w:pPr>
        <w:spacing w:line="240" w:lineRule="auto" w:after="200"/>
        <w:jc w:val="center"/>
      </w:pPr>
      <w:r>
        <w:drawing>
          <wp:inline xmlns:a="http://schemas.openxmlformats.org/drawingml/2006/main" xmlns:pic="http://schemas.openxmlformats.org/drawingml/2006/picture">
            <wp:extent cx="5852160" cy="2319454"/>
            <wp:docPr id="1" name="Picture 1"/>
            <wp:cNvGraphicFramePr>
              <a:graphicFrameLocks noChangeAspect="1"/>
            </wp:cNvGraphicFramePr>
            <a:graphic>
              <a:graphicData uri="http://schemas.openxmlformats.org/drawingml/2006/picture">
                <pic:pic>
                  <pic:nvPicPr>
                    <pic:cNvPr id="0" name="diagram_theoretical.png"/>
                    <pic:cNvPicPr/>
                  </pic:nvPicPr>
                  <pic:blipFill>
                    <a:blip r:embed="rId11"/>
                    <a:stretch>
                      <a:fillRect/>
                    </a:stretch>
                  </pic:blipFill>
                  <pic:spPr>
                    <a:xfrm>
                      <a:off x="0" y="0"/>
                      <a:ext cx="5852160" cy="2319454"/>
                    </a:xfrm>
                    <a:prstGeom prst="rect"/>
                  </pic:spPr>
                </pic:pic>
              </a:graphicData>
            </a:graphic>
          </wp:inline>
        </w:drawing>
      </w:r>
    </w:p>
    <w:p>
      <w:pPr>
        <w:keepNext/>
        <w:spacing w:line="480" w:lineRule="auto" w:after="0"/>
        <w:jc w:val="left"/>
      </w:pPr>
      <w:r>
        <w:rPr>
          <w:b/>
          <w:i w:val="0"/>
        </w:rPr>
        <w:t>Conceptual Framework</w:t>
      </w:r>
    </w:p>
    <w:p>
      <w:pPr>
        <w:spacing w:line="480" w:lineRule="auto" w:after="0"/>
        <w:ind w:firstLine="720"/>
        <w:jc w:val="both"/>
      </w:pPr>
      <w:r>
        <w:rPr>
          <w:b w:val="0"/>
          <w:i w:val="0"/>
        </w:rPr>
        <w:t>This study was anchored on the Input-Process-Output-Feedback model, which shows how plans, standards and data are transformed into quotations and flags. The model fits the study because it makes explicit which inputs come from the plan, which from the standards and which from historical data, and how the outputs are fed back to improve the system.</w:t>
      </w:r>
    </w:p>
    <w:p>
      <w:pPr>
        <w:spacing w:line="480" w:lineRule="auto" w:after="0"/>
        <w:ind w:firstLine="720"/>
        <w:jc w:val="both"/>
      </w:pPr>
      <w:r>
        <w:rPr>
          <w:b w:val="0"/>
          <w:i w:val="0"/>
        </w:rPr>
        <w:t xml:space="preserve">The </w:t>
      </w:r>
      <w:r>
        <w:rPr>
          <w:b/>
          <w:i w:val="0"/>
        </w:rPr>
        <w:t>input</w:t>
      </w:r>
      <w:r>
        <w:rPr>
          <w:b w:val="0"/>
          <w:i w:val="0"/>
        </w:rPr>
        <w:t xml:space="preserve"> consists of building and bridge plans, whether reference plans, DXF floor plans or dimensions typed by the user; the plan variables they contain; the DPWH pay items and unit costs in the BUHAY price book; the engineering standards that turn plans into quantities; and the contract amounts of past projects used to train the models.</w:t>
      </w:r>
    </w:p>
    <w:p>
      <w:pPr>
        <w:spacing w:line="480" w:lineRule="auto" w:after="0"/>
        <w:ind w:firstLine="720"/>
        <w:jc w:val="both"/>
      </w:pPr>
      <w:r>
        <w:rPr>
          <w:b w:val="0"/>
          <w:i w:val="0"/>
        </w:rPr>
        <w:t xml:space="preserve">The </w:t>
      </w:r>
      <w:r>
        <w:rPr>
          <w:b/>
          <w:i w:val="0"/>
        </w:rPr>
        <w:t>process</w:t>
      </w:r>
      <w:r>
        <w:rPr>
          <w:b w:val="0"/>
          <w:i w:val="0"/>
        </w:rPr>
        <w:t xml:space="preserve"> begins with the parametric quantity take-off, which converts plan variables into concrete, reinforcing steel, formwork, masonry, roofing, finishes, piles and girders. Quantities are priced into an estimated direct cost and an ABC in three tiers. In parallel, Multiple Linear Regression and XGBoost estimate the expected cost from past projects, Isolation Forest scores how unusual a contract is, SHAP explains the expected cost, and the BUHAY Risk Index combines the signals.</w:t>
      </w:r>
    </w:p>
    <w:p>
      <w:pPr>
        <w:spacing w:line="480" w:lineRule="auto" w:after="0"/>
        <w:ind w:firstLine="720"/>
        <w:jc w:val="both"/>
      </w:pPr>
      <w:r>
        <w:rPr>
          <w:b w:val="0"/>
          <w:i w:val="0"/>
        </w:rPr>
        <w:t xml:space="preserve">The </w:t>
      </w:r>
      <w:r>
        <w:rPr>
          <w:b/>
          <w:i w:val="0"/>
        </w:rPr>
        <w:t>output</w:t>
      </w:r>
      <w:r>
        <w:rPr>
          <w:b w:val="0"/>
          <w:i w:val="0"/>
        </w:rPr>
        <w:t xml:space="preserve"> includes the lean start quotation, standard fair estimate and ceiling with a full bill of quantities; over-budget flags with their risk index, drivers and line-item variances; validated accuracy and detection metrics; and the deployed mobile application, offline package and download website with a project map. The </w:t>
      </w:r>
      <w:r>
        <w:rPr>
          <w:b/>
          <w:i w:val="0"/>
        </w:rPr>
        <w:t>feedback</w:t>
      </w:r>
      <w:r>
        <w:rPr>
          <w:b w:val="0"/>
          <w:i w:val="0"/>
        </w:rPr>
        <w:t xml:space="preserve"> loop returns residuals, confirmed flags, user updates to the price book and saved checks to refine the price book, thresholds and models.</w:t>
      </w:r>
    </w:p>
    <w:p>
      <w:pPr>
        <w:keepNext/>
        <w:spacing w:line="240" w:lineRule="auto" w:after="0" w:before="120"/>
        <w:jc w:val="left"/>
      </w:pPr>
      <w:r>
        <w:rPr>
          <w:b/>
          <w:i w:val="0"/>
        </w:rPr>
        <w:t>Figure 2.</w:t>
      </w:r>
    </w:p>
    <w:p>
      <w:pPr>
        <w:keepNext/>
        <w:spacing w:line="240" w:lineRule="auto" w:after="0"/>
        <w:jc w:val="left"/>
      </w:pPr>
      <w:r>
        <w:rPr>
          <w:b w:val="0"/>
          <w:i/>
        </w:rPr>
        <w:t>Conceptual Paradigm</w:t>
      </w:r>
    </w:p>
    <w:p>
      <w:pPr>
        <w:spacing w:line="240" w:lineRule="auto" w:after="200"/>
        <w:jc w:val="center"/>
      </w:pPr>
      <w:r>
        <w:drawing>
          <wp:inline xmlns:a="http://schemas.openxmlformats.org/drawingml/2006/main" xmlns:pic="http://schemas.openxmlformats.org/drawingml/2006/picture">
            <wp:extent cx="5852160" cy="2197109"/>
            <wp:docPr id="2" name="Picture 2"/>
            <wp:cNvGraphicFramePr>
              <a:graphicFrameLocks noChangeAspect="1"/>
            </wp:cNvGraphicFramePr>
            <a:graphic>
              <a:graphicData uri="http://schemas.openxmlformats.org/drawingml/2006/picture">
                <pic:pic>
                  <pic:nvPicPr>
                    <pic:cNvPr id="0" name="diagram_conceptual.png"/>
                    <pic:cNvPicPr/>
                  </pic:nvPicPr>
                  <pic:blipFill>
                    <a:blip r:embed="rId12"/>
                    <a:stretch>
                      <a:fillRect/>
                    </a:stretch>
                  </pic:blipFill>
                  <pic:spPr>
                    <a:xfrm>
                      <a:off x="0" y="0"/>
                      <a:ext cx="5852160" cy="2197109"/>
                    </a:xfrm>
                    <a:prstGeom prst="rect"/>
                  </pic:spPr>
                </pic:pic>
              </a:graphicData>
            </a:graphic>
          </wp:inline>
        </w:drawing>
      </w:r>
    </w:p>
    <w:p>
      <w:pPr>
        <w:keepNext/>
        <w:spacing w:line="480" w:lineRule="auto" w:after="0"/>
        <w:jc w:val="left"/>
      </w:pPr>
      <w:r>
        <w:rPr>
          <w:b/>
          <w:i w:val="0"/>
        </w:rPr>
        <w:t>Mathematical Framework</w:t>
      </w:r>
    </w:p>
    <w:p>
      <w:pPr>
        <w:spacing w:line="480" w:lineRule="auto" w:after="0"/>
        <w:ind w:firstLine="720"/>
        <w:jc w:val="both"/>
      </w:pPr>
      <w:r>
        <w:rPr>
          <w:b w:val="0"/>
          <w:i w:val="0"/>
        </w:rPr>
        <w:t>This study used a quantitative developmental research design combined with a simulation-based computational experiment. The developmental part designed and built the quantity take-off engine, the hybrid models and the application. The experimental part generated a benchmark of 300 projects in which the true cost and the presence and size of overpricing are known, so that estimation accuracy and detection performance could be measured directly. Model performance was measured through leave-one-out cross-validation (LOOCV) and reported as R</w:t>
      </w:r>
      <w:r>
        <w:rPr>
          <w:b w:val="0"/>
          <w:i w:val="0"/>
          <w:vertAlign w:val="superscript"/>
        </w:rPr>
        <w:t>2</w:t>
      </w:r>
      <w:r>
        <w:rPr>
          <w:b w:val="0"/>
          <w:i w:val="0"/>
        </w:rPr>
        <w:t>, RMSE and MAPE, while detection was reported as precision, recall, F1-score and the area under the ROC curve (AUC).</w:t>
      </w:r>
    </w:p>
    <w:p>
      <w:pPr>
        <w:spacing w:line="480" w:lineRule="auto" w:after="0"/>
        <w:ind w:firstLine="720"/>
        <w:jc w:val="both"/>
      </w:pPr>
      <w:r>
        <w:rPr>
          <w:b w:val="0"/>
          <w:i w:val="0"/>
        </w:rPr>
        <w:t>The system was developed in Python 3 with pandas, NumPy, scikit-learn, statsmodels, XGBoost, SHAP and matplotlib (Pedregosa et al., 2011; Seabold &amp; Perktold, 2010; Chen &amp; Guestrin, 2016; Lundberg &amp; Lee, 2017), and in JavaScript with the Leaflet mapping library for the application. The methods are as follows: Plan Acquisition, Standards Codification, Quantity Take-Off and Quotation, Simulated Benchmark Generation, Model Development, Model Validation, Explanation and Risk Scoring, and App and Website Development.</w:t>
      </w:r>
    </w:p>
    <w:p>
      <w:pPr>
        <w:keepNext/>
        <w:spacing w:line="240" w:lineRule="auto" w:after="0" w:before="120"/>
        <w:jc w:val="left"/>
      </w:pPr>
      <w:r>
        <w:rPr>
          <w:b/>
          <w:i w:val="0"/>
        </w:rPr>
        <w:t>Figure 3.</w:t>
      </w:r>
    </w:p>
    <w:p>
      <w:pPr>
        <w:keepNext/>
        <w:spacing w:line="240" w:lineRule="auto" w:after="0"/>
        <w:jc w:val="left"/>
      </w:pPr>
      <w:r>
        <w:rPr>
          <w:b w:val="0"/>
          <w:i/>
        </w:rPr>
        <w:t>Methodological Paradigm</w:t>
      </w:r>
    </w:p>
    <w:p>
      <w:pPr>
        <w:spacing w:line="240" w:lineRule="auto" w:after="200"/>
        <w:jc w:val="center"/>
      </w:pPr>
      <w:r>
        <w:drawing>
          <wp:inline xmlns:a="http://schemas.openxmlformats.org/drawingml/2006/main" xmlns:pic="http://schemas.openxmlformats.org/drawingml/2006/picture">
            <wp:extent cx="5852160" cy="1498724"/>
            <wp:docPr id="3" name="Picture 3"/>
            <wp:cNvGraphicFramePr>
              <a:graphicFrameLocks noChangeAspect="1"/>
            </wp:cNvGraphicFramePr>
            <a:graphic>
              <a:graphicData uri="http://schemas.openxmlformats.org/drawingml/2006/picture">
                <pic:pic>
                  <pic:nvPicPr>
                    <pic:cNvPr id="0" name="diagram_method.png"/>
                    <pic:cNvPicPr/>
                  </pic:nvPicPr>
                  <pic:blipFill>
                    <a:blip r:embed="rId13"/>
                    <a:stretch>
                      <a:fillRect/>
                    </a:stretch>
                  </pic:blipFill>
                  <pic:spPr>
                    <a:xfrm>
                      <a:off x="0" y="0"/>
                      <a:ext cx="5852160" cy="1498724"/>
                    </a:xfrm>
                    <a:prstGeom prst="rect"/>
                  </pic:spPr>
                </pic:pic>
              </a:graphicData>
            </a:graphic>
          </wp:inline>
        </w:drawing>
      </w:r>
    </w:p>
    <w:p>
      <w:pPr>
        <w:keepNext/>
        <w:spacing w:line="480" w:lineRule="auto" w:after="0"/>
        <w:ind w:left="720"/>
        <w:jc w:val="left"/>
      </w:pPr>
      <w:r>
        <w:rPr>
          <w:b/>
          <w:i w:val="0"/>
        </w:rPr>
        <w:t>Plan Acquisition and Variable Extraction</w:t>
      </w:r>
    </w:p>
    <w:p>
      <w:pPr>
        <w:spacing w:line="480" w:lineRule="auto" w:after="0"/>
        <w:ind w:firstLine="720"/>
        <w:jc w:val="both"/>
      </w:pPr>
      <w:r>
        <w:rPr>
          <w:b w:val="0"/>
          <w:i w:val="0"/>
        </w:rPr>
        <w:t>BUHAY accepts a plan through three routes. A user can start from one of 19 reference plans, which are typical configurations of DPWH-implemented facilities such as one- to four-storey school buildings, health stations, evacuation centers, offices, markets, box culverts and girder and truss bridges; import a floor plan in DXF format; or type the dimensions. For DXF files, the largest closed polyline is read as the building outline, its area is computed with the shoelace formula and its perimeter from the vertex distances, and lines on layers named like WALL or PARTITION are measured as interior walls, halved when walls are drawn with two lines. Drawing units are read from the $INSUNITS header or inferred from the drawing extent. Table 1 lists the plan variables used.</w:t>
      </w:r>
    </w:p>
    <w:p>
      <w:pPr>
        <w:keepNext/>
        <w:spacing w:line="240" w:lineRule="auto" w:after="0" w:before="120"/>
        <w:jc w:val="left"/>
      </w:pPr>
      <w:r>
        <w:rPr>
          <w:b/>
          <w:i w:val="0"/>
        </w:rPr>
        <w:t>Table 1.</w:t>
      </w:r>
    </w:p>
    <w:p>
      <w:pPr>
        <w:keepNext/>
        <w:spacing w:line="240" w:lineRule="auto" w:after="0"/>
        <w:jc w:val="left"/>
      </w:pPr>
      <w:r>
        <w:rPr>
          <w:b w:val="0"/>
          <w:i/>
        </w:rPr>
        <w:t>Plan Variables Extracted by BUHAY</w:t>
      </w:r>
    </w:p>
    <w:tbl>
      <w:tblPr>
        <w:tblW w:type="auto" w:w="0"/>
        <w:jc w:val="center"/>
        <w:tblLayout w:type="fixed"/>
        <w:tblLook w:firstColumn="1" w:firstRow="1" w:lastColumn="0" w:lastRow="0" w:noHBand="0" w:noVBand="1" w:val="04A0"/>
        <w:tblLayout w:type="fixed"/>
      </w:tblPr>
      <w:tblGrid>
        <w:gridCol w:w="3456"/>
        <w:gridCol w:w="1296"/>
        <w:gridCol w:w="1440"/>
        <w:gridCol w:w="3168"/>
      </w:tblGrid>
      <w:tr>
        <w:tc>
          <w:tcPr>
            <w:tcW w:type="dxa" w:w="3456"/>
            <w:tcBorders>
              <w:top w:val="single" w:sz="12" w:color="000000"/>
              <w:bottom w:val="single" w:sz="8" w:color="000000"/>
            </w:tcBorders>
          </w:tcPr>
          <w:p>
            <w:pPr>
              <w:spacing w:line="240" w:lineRule="auto" w:before="40" w:after="40"/>
              <w:jc w:val="center"/>
            </w:pPr>
            <w:r/>
            <w:r>
              <w:rPr>
                <w:b/>
                <w:i w:val="0"/>
                <w:sz w:val="20"/>
              </w:rPr>
              <w:t>VARIABLE</w:t>
            </w:r>
          </w:p>
        </w:tc>
        <w:tc>
          <w:tcPr>
            <w:tcW w:type="dxa" w:w="1296"/>
            <w:tcBorders>
              <w:top w:val="single" w:sz="12" w:color="000000"/>
              <w:bottom w:val="single" w:sz="8" w:color="000000"/>
            </w:tcBorders>
          </w:tcPr>
          <w:p>
            <w:pPr>
              <w:spacing w:line="240" w:lineRule="auto" w:before="40" w:after="40"/>
              <w:jc w:val="center"/>
            </w:pPr>
            <w:r/>
            <w:r>
              <w:rPr>
                <w:b/>
                <w:i w:val="0"/>
                <w:sz w:val="20"/>
              </w:rPr>
              <w:t>ASSET</w:t>
            </w:r>
          </w:p>
        </w:tc>
        <w:tc>
          <w:tcPr>
            <w:tcW w:type="dxa" w:w="1440"/>
            <w:tcBorders>
              <w:top w:val="single" w:sz="12" w:color="000000"/>
              <w:bottom w:val="single" w:sz="8" w:color="000000"/>
            </w:tcBorders>
          </w:tcPr>
          <w:p>
            <w:pPr>
              <w:spacing w:line="240" w:lineRule="auto" w:before="40" w:after="40"/>
              <w:jc w:val="center"/>
            </w:pPr>
            <w:r/>
            <w:r>
              <w:rPr>
                <w:b/>
                <w:i w:val="0"/>
                <w:sz w:val="20"/>
              </w:rPr>
              <w:t>UNIT</w:t>
            </w:r>
          </w:p>
        </w:tc>
        <w:tc>
          <w:tcPr>
            <w:tcW w:type="dxa" w:w="3168"/>
            <w:tcBorders>
              <w:top w:val="single" w:sz="12" w:color="000000"/>
              <w:bottom w:val="single" w:sz="8" w:color="000000"/>
            </w:tcBorders>
          </w:tcPr>
          <w:p>
            <w:pPr>
              <w:spacing w:line="240" w:lineRule="auto" w:before="40" w:after="40"/>
              <w:jc w:val="center"/>
            </w:pPr>
            <w:r/>
            <w:r>
              <w:rPr>
                <w:b/>
                <w:i w:val="0"/>
                <w:sz w:val="20"/>
              </w:rPr>
              <w:t>SOURCE IN PLAN</w:t>
            </w:r>
          </w:p>
        </w:tc>
      </w:tr>
      <w:tr>
        <w:tc>
          <w:tcPr>
            <w:tcW w:type="dxa" w:w="3456"/>
            <w:shd w:val="clear" w:color="auto" w:fill="EFEFEF"/>
          </w:tcPr>
          <w:p>
            <w:pPr>
              <w:spacing w:line="240" w:lineRule="auto" w:before="40" w:after="40"/>
              <w:jc w:val="left"/>
            </w:pPr>
            <w:r/>
            <w:r>
              <w:rPr>
                <w:b w:val="0"/>
                <w:i/>
                <w:sz w:val="20"/>
              </w:rPr>
              <w:t>Length, width, footprint, perimeter</w:t>
            </w:r>
          </w:p>
        </w:tc>
        <w:tc>
          <w:tcPr>
            <w:tcW w:type="dxa" w:w="1296"/>
            <w:shd w:val="clear" w:color="auto" w:fill="EFEFEF"/>
          </w:tcPr>
          <w:p>
            <w:pPr>
              <w:spacing w:line="240" w:lineRule="auto" w:before="40" w:after="40"/>
              <w:jc w:val="center"/>
            </w:pPr>
            <w:r/>
            <w:r>
              <w:rPr>
                <w:b w:val="0"/>
                <w:i w:val="0"/>
                <w:sz w:val="20"/>
              </w:rPr>
              <w:t>Building</w:t>
            </w:r>
          </w:p>
        </w:tc>
        <w:tc>
          <w:tcPr>
            <w:tcW w:type="dxa" w:w="1440"/>
            <w:shd w:val="clear" w:color="auto" w:fill="EFEFEF"/>
          </w:tcPr>
          <w:p>
            <w:pPr>
              <w:spacing w:line="240" w:lineRule="auto" w:before="40" w:after="40"/>
              <w:jc w:val="center"/>
            </w:pPr>
            <w:r/>
            <w:r>
              <w:rPr>
                <w:b w:val="0"/>
                <w:i w:val="0"/>
                <w:sz w:val="20"/>
              </w:rPr>
              <w:t>m, m²</w:t>
            </w:r>
          </w:p>
        </w:tc>
        <w:tc>
          <w:tcPr>
            <w:tcW w:type="dxa" w:w="3168"/>
            <w:shd w:val="clear" w:color="auto" w:fill="EFEFEF"/>
          </w:tcPr>
          <w:p>
            <w:pPr>
              <w:spacing w:line="240" w:lineRule="auto" w:before="40" w:after="40"/>
              <w:jc w:val="center"/>
            </w:pPr>
            <w:r/>
            <w:r>
              <w:rPr>
                <w:b w:val="0"/>
                <w:i w:val="0"/>
                <w:sz w:val="20"/>
              </w:rPr>
              <w:t>Floor plan / DXF outline</w:t>
            </w:r>
          </w:p>
        </w:tc>
      </w:tr>
      <w:tr>
        <w:tc>
          <w:tcPr>
            <w:tcW w:type="dxa" w:w="3456"/>
          </w:tcPr>
          <w:p>
            <w:pPr>
              <w:spacing w:line="240" w:lineRule="auto" w:before="40" w:after="40"/>
              <w:jc w:val="left"/>
            </w:pPr>
            <w:r/>
            <w:r>
              <w:rPr>
                <w:b w:val="0"/>
                <w:i/>
                <w:sz w:val="20"/>
              </w:rPr>
              <w:t>Number of storeys, floor-to-floor height</w:t>
            </w:r>
          </w:p>
        </w:tc>
        <w:tc>
          <w:tcPr>
            <w:tcW w:type="dxa" w:w="1296"/>
          </w:tcPr>
          <w:p>
            <w:pPr>
              <w:spacing w:line="240" w:lineRule="auto" w:before="40" w:after="40"/>
              <w:jc w:val="center"/>
            </w:pPr>
            <w:r/>
            <w:r>
              <w:rPr>
                <w:b w:val="0"/>
                <w:i w:val="0"/>
                <w:sz w:val="20"/>
              </w:rPr>
              <w:t>Building</w:t>
            </w:r>
          </w:p>
        </w:tc>
        <w:tc>
          <w:tcPr>
            <w:tcW w:type="dxa" w:w="1440"/>
          </w:tcPr>
          <w:p>
            <w:pPr>
              <w:spacing w:line="240" w:lineRule="auto" w:before="40" w:after="40"/>
              <w:jc w:val="center"/>
            </w:pPr>
            <w:r/>
            <w:r>
              <w:rPr>
                <w:b w:val="0"/>
                <w:i w:val="0"/>
                <w:sz w:val="20"/>
              </w:rPr>
              <w:t>–, m</w:t>
            </w:r>
          </w:p>
        </w:tc>
        <w:tc>
          <w:tcPr>
            <w:tcW w:type="dxa" w:w="3168"/>
          </w:tcPr>
          <w:p>
            <w:pPr>
              <w:spacing w:line="240" w:lineRule="auto" w:before="40" w:after="40"/>
              <w:jc w:val="center"/>
            </w:pPr>
            <w:r/>
            <w:r>
              <w:rPr>
                <w:b w:val="0"/>
                <w:i w:val="0"/>
                <w:sz w:val="20"/>
              </w:rPr>
              <w:t>Sections, elevations</w:t>
            </w:r>
          </w:p>
        </w:tc>
      </w:tr>
      <w:tr>
        <w:tc>
          <w:tcPr>
            <w:tcW w:type="dxa" w:w="3456"/>
            <w:shd w:val="clear" w:color="auto" w:fill="EFEFEF"/>
          </w:tcPr>
          <w:p>
            <w:pPr>
              <w:spacing w:line="240" w:lineRule="auto" w:before="40" w:after="40"/>
              <w:jc w:val="left"/>
            </w:pPr>
            <w:r/>
            <w:r>
              <w:rPr>
                <w:b w:val="0"/>
                <w:i/>
                <w:sz w:val="20"/>
              </w:rPr>
              <w:t>Column spacing (both directions)</w:t>
            </w:r>
          </w:p>
        </w:tc>
        <w:tc>
          <w:tcPr>
            <w:tcW w:type="dxa" w:w="1296"/>
            <w:shd w:val="clear" w:color="auto" w:fill="EFEFEF"/>
          </w:tcPr>
          <w:p>
            <w:pPr>
              <w:spacing w:line="240" w:lineRule="auto" w:before="40" w:after="40"/>
              <w:jc w:val="center"/>
            </w:pPr>
            <w:r/>
            <w:r>
              <w:rPr>
                <w:b w:val="0"/>
                <w:i w:val="0"/>
                <w:sz w:val="20"/>
              </w:rPr>
              <w:t>Building</w:t>
            </w:r>
          </w:p>
        </w:tc>
        <w:tc>
          <w:tcPr>
            <w:tcW w:type="dxa" w:w="1440"/>
            <w:shd w:val="clear" w:color="auto" w:fill="EFEFEF"/>
          </w:tcPr>
          <w:p>
            <w:pPr>
              <w:spacing w:line="240" w:lineRule="auto" w:before="40" w:after="40"/>
              <w:jc w:val="center"/>
            </w:pPr>
            <w:r/>
            <w:r>
              <w:rPr>
                <w:b w:val="0"/>
                <w:i w:val="0"/>
                <w:sz w:val="20"/>
              </w:rPr>
              <w:t>m</w:t>
            </w:r>
          </w:p>
        </w:tc>
        <w:tc>
          <w:tcPr>
            <w:tcW w:type="dxa" w:w="3168"/>
            <w:shd w:val="clear" w:color="auto" w:fill="EFEFEF"/>
          </w:tcPr>
          <w:p>
            <w:pPr>
              <w:spacing w:line="240" w:lineRule="auto" w:before="40" w:after="40"/>
              <w:jc w:val="center"/>
            </w:pPr>
            <w:r/>
            <w:r>
              <w:rPr>
                <w:b w:val="0"/>
                <w:i w:val="0"/>
                <w:sz w:val="20"/>
              </w:rPr>
              <w:t>Structural grid</w:t>
            </w:r>
          </w:p>
        </w:tc>
      </w:tr>
      <w:tr>
        <w:tc>
          <w:tcPr>
            <w:tcW w:type="dxa" w:w="3456"/>
          </w:tcPr>
          <w:p>
            <w:pPr>
              <w:spacing w:line="240" w:lineRule="auto" w:before="40" w:after="40"/>
              <w:jc w:val="left"/>
            </w:pPr>
            <w:r/>
            <w:r>
              <w:rPr>
                <w:b w:val="0"/>
                <w:i/>
                <w:sz w:val="20"/>
              </w:rPr>
              <w:t>Facility type, roof system</w:t>
            </w:r>
          </w:p>
        </w:tc>
        <w:tc>
          <w:tcPr>
            <w:tcW w:type="dxa" w:w="1296"/>
          </w:tcPr>
          <w:p>
            <w:pPr>
              <w:spacing w:line="240" w:lineRule="auto" w:before="40" w:after="40"/>
              <w:jc w:val="center"/>
            </w:pPr>
            <w:r/>
            <w:r>
              <w:rPr>
                <w:b w:val="0"/>
                <w:i w:val="0"/>
                <w:sz w:val="20"/>
              </w:rPr>
              <w:t>Building</w:t>
            </w:r>
          </w:p>
        </w:tc>
        <w:tc>
          <w:tcPr>
            <w:tcW w:type="dxa" w:w="1440"/>
          </w:tcPr>
          <w:p>
            <w:pPr>
              <w:spacing w:line="240" w:lineRule="auto" w:before="40" w:after="40"/>
              <w:jc w:val="center"/>
            </w:pPr>
            <w:r/>
            <w:r>
              <w:rPr>
                <w:b w:val="0"/>
                <w:i w:val="0"/>
                <w:sz w:val="20"/>
              </w:rPr>
              <w:t>category</w:t>
            </w:r>
          </w:p>
        </w:tc>
        <w:tc>
          <w:tcPr>
            <w:tcW w:type="dxa" w:w="3168"/>
          </w:tcPr>
          <w:p>
            <w:pPr>
              <w:spacing w:line="240" w:lineRule="auto" w:before="40" w:after="40"/>
              <w:jc w:val="center"/>
            </w:pPr>
            <w:r/>
            <w:r>
              <w:rPr>
                <w:b w:val="0"/>
                <w:i w:val="0"/>
                <w:sz w:val="20"/>
              </w:rPr>
              <w:t>Title block, roof framing plan</w:t>
            </w:r>
          </w:p>
        </w:tc>
      </w:tr>
      <w:tr>
        <w:tc>
          <w:tcPr>
            <w:tcW w:type="dxa" w:w="3456"/>
            <w:shd w:val="clear" w:color="auto" w:fill="EFEFEF"/>
          </w:tcPr>
          <w:p>
            <w:pPr>
              <w:spacing w:line="240" w:lineRule="auto" w:before="40" w:after="40"/>
              <w:jc w:val="left"/>
            </w:pPr>
            <w:r/>
            <w:r>
              <w:rPr>
                <w:b w:val="0"/>
                <w:i/>
                <w:sz w:val="20"/>
              </w:rPr>
              <w:t>Allowable soil bearing, seismic zone</w:t>
            </w:r>
          </w:p>
        </w:tc>
        <w:tc>
          <w:tcPr>
            <w:tcW w:type="dxa" w:w="1296"/>
            <w:shd w:val="clear" w:color="auto" w:fill="EFEFEF"/>
          </w:tcPr>
          <w:p>
            <w:pPr>
              <w:spacing w:line="240" w:lineRule="auto" w:before="40" w:after="40"/>
              <w:jc w:val="center"/>
            </w:pPr>
            <w:r/>
            <w:r>
              <w:rPr>
                <w:b w:val="0"/>
                <w:i w:val="0"/>
                <w:sz w:val="20"/>
              </w:rPr>
              <w:t>Building</w:t>
            </w:r>
          </w:p>
        </w:tc>
        <w:tc>
          <w:tcPr>
            <w:tcW w:type="dxa" w:w="1440"/>
            <w:shd w:val="clear" w:color="auto" w:fill="EFEFEF"/>
          </w:tcPr>
          <w:p>
            <w:pPr>
              <w:spacing w:line="240" w:lineRule="auto" w:before="40" w:after="40"/>
              <w:jc w:val="center"/>
            </w:pPr>
            <w:r/>
            <w:r>
              <w:rPr>
                <w:b w:val="0"/>
                <w:i w:val="0"/>
                <w:sz w:val="20"/>
              </w:rPr>
              <w:t>kPa, zone</w:t>
            </w:r>
          </w:p>
        </w:tc>
        <w:tc>
          <w:tcPr>
            <w:tcW w:type="dxa" w:w="3168"/>
            <w:shd w:val="clear" w:color="auto" w:fill="EFEFEF"/>
          </w:tcPr>
          <w:p>
            <w:pPr>
              <w:spacing w:line="240" w:lineRule="auto" w:before="40" w:after="40"/>
              <w:jc w:val="center"/>
            </w:pPr>
            <w:r/>
            <w:r>
              <w:rPr>
                <w:b w:val="0"/>
                <w:i w:val="0"/>
                <w:sz w:val="20"/>
              </w:rPr>
              <w:t>Geotechnical report, NSCP map</w:t>
            </w:r>
          </w:p>
        </w:tc>
      </w:tr>
      <w:tr>
        <w:tc>
          <w:tcPr>
            <w:tcW w:type="dxa" w:w="3456"/>
          </w:tcPr>
          <w:p>
            <w:pPr>
              <w:spacing w:line="240" w:lineRule="auto" w:before="40" w:after="40"/>
              <w:jc w:val="left"/>
            </w:pPr>
            <w:r/>
            <w:r>
              <w:rPr>
                <w:b w:val="0"/>
                <w:i/>
                <w:sz w:val="20"/>
              </w:rPr>
              <w:t>Interior wall length</w:t>
            </w:r>
          </w:p>
        </w:tc>
        <w:tc>
          <w:tcPr>
            <w:tcW w:type="dxa" w:w="1296"/>
          </w:tcPr>
          <w:p>
            <w:pPr>
              <w:spacing w:line="240" w:lineRule="auto" w:before="40" w:after="40"/>
              <w:jc w:val="center"/>
            </w:pPr>
            <w:r/>
            <w:r>
              <w:rPr>
                <w:b w:val="0"/>
                <w:i w:val="0"/>
                <w:sz w:val="20"/>
              </w:rPr>
              <w:t>Building</w:t>
            </w:r>
          </w:p>
        </w:tc>
        <w:tc>
          <w:tcPr>
            <w:tcW w:type="dxa" w:w="1440"/>
          </w:tcPr>
          <w:p>
            <w:pPr>
              <w:spacing w:line="240" w:lineRule="auto" w:before="40" w:after="40"/>
              <w:jc w:val="center"/>
            </w:pPr>
            <w:r/>
            <w:r>
              <w:rPr>
                <w:b w:val="0"/>
                <w:i w:val="0"/>
                <w:sz w:val="20"/>
              </w:rPr>
              <w:t>m</w:t>
            </w:r>
          </w:p>
        </w:tc>
        <w:tc>
          <w:tcPr>
            <w:tcW w:type="dxa" w:w="3168"/>
          </w:tcPr>
          <w:p>
            <w:pPr>
              <w:spacing w:line="240" w:lineRule="auto" w:before="40" w:after="40"/>
              <w:jc w:val="center"/>
            </w:pPr>
            <w:r/>
            <w:r>
              <w:rPr>
                <w:b w:val="0"/>
                <w:i w:val="0"/>
                <w:sz w:val="20"/>
              </w:rPr>
              <w:t>Floor plan / DXF wall layers</w:t>
            </w:r>
          </w:p>
        </w:tc>
      </w:tr>
      <w:tr>
        <w:tc>
          <w:tcPr>
            <w:tcW w:type="dxa" w:w="3456"/>
            <w:shd w:val="clear" w:color="auto" w:fill="EFEFEF"/>
          </w:tcPr>
          <w:p>
            <w:pPr>
              <w:spacing w:line="240" w:lineRule="auto" w:before="40" w:after="40"/>
              <w:jc w:val="left"/>
            </w:pPr>
            <w:r/>
            <w:r>
              <w:rPr>
                <w:b w:val="0"/>
                <w:i/>
                <w:sz w:val="20"/>
              </w:rPr>
              <w:t>Total length, number of spans</w:t>
            </w:r>
          </w:p>
        </w:tc>
        <w:tc>
          <w:tcPr>
            <w:tcW w:type="dxa" w:w="1296"/>
            <w:shd w:val="clear" w:color="auto" w:fill="EFEFEF"/>
          </w:tcPr>
          <w:p>
            <w:pPr>
              <w:spacing w:line="240" w:lineRule="auto" w:before="40" w:after="40"/>
              <w:jc w:val="center"/>
            </w:pPr>
            <w:r/>
            <w:r>
              <w:rPr>
                <w:b w:val="0"/>
                <w:i w:val="0"/>
                <w:sz w:val="20"/>
              </w:rPr>
              <w:t>Bridge</w:t>
            </w:r>
          </w:p>
        </w:tc>
        <w:tc>
          <w:tcPr>
            <w:tcW w:type="dxa" w:w="1440"/>
            <w:shd w:val="clear" w:color="auto" w:fill="EFEFEF"/>
          </w:tcPr>
          <w:p>
            <w:pPr>
              <w:spacing w:line="240" w:lineRule="auto" w:before="40" w:after="40"/>
              <w:jc w:val="center"/>
            </w:pPr>
            <w:r/>
            <w:r>
              <w:rPr>
                <w:b w:val="0"/>
                <w:i w:val="0"/>
                <w:sz w:val="20"/>
              </w:rPr>
              <w:t>m, –</w:t>
            </w:r>
          </w:p>
        </w:tc>
        <w:tc>
          <w:tcPr>
            <w:tcW w:type="dxa" w:w="3168"/>
            <w:shd w:val="clear" w:color="auto" w:fill="EFEFEF"/>
          </w:tcPr>
          <w:p>
            <w:pPr>
              <w:spacing w:line="240" w:lineRule="auto" w:before="40" w:after="40"/>
              <w:jc w:val="center"/>
            </w:pPr>
            <w:r/>
            <w:r>
              <w:rPr>
                <w:b w:val="0"/>
                <w:i w:val="0"/>
                <w:sz w:val="20"/>
              </w:rPr>
              <w:t>General plan and elevation</w:t>
            </w:r>
          </w:p>
        </w:tc>
      </w:tr>
      <w:tr>
        <w:tc>
          <w:tcPr>
            <w:tcW w:type="dxa" w:w="3456"/>
          </w:tcPr>
          <w:p>
            <w:pPr>
              <w:spacing w:line="240" w:lineRule="auto" w:before="40" w:after="40"/>
              <w:jc w:val="left"/>
            </w:pPr>
            <w:r/>
            <w:r>
              <w:rPr>
                <w:b w:val="0"/>
                <w:i/>
                <w:sz w:val="20"/>
              </w:rPr>
              <w:t>Carriageway and sidewalk widths</w:t>
            </w:r>
          </w:p>
        </w:tc>
        <w:tc>
          <w:tcPr>
            <w:tcW w:type="dxa" w:w="1296"/>
          </w:tcPr>
          <w:p>
            <w:pPr>
              <w:spacing w:line="240" w:lineRule="auto" w:before="40" w:after="40"/>
              <w:jc w:val="center"/>
            </w:pPr>
            <w:r/>
            <w:r>
              <w:rPr>
                <w:b w:val="0"/>
                <w:i w:val="0"/>
                <w:sz w:val="20"/>
              </w:rPr>
              <w:t>Bridge</w:t>
            </w:r>
          </w:p>
        </w:tc>
        <w:tc>
          <w:tcPr>
            <w:tcW w:type="dxa" w:w="1440"/>
          </w:tcPr>
          <w:p>
            <w:pPr>
              <w:spacing w:line="240" w:lineRule="auto" w:before="40" w:after="40"/>
              <w:jc w:val="center"/>
            </w:pPr>
            <w:r/>
            <w:r>
              <w:rPr>
                <w:b w:val="0"/>
                <w:i w:val="0"/>
                <w:sz w:val="20"/>
              </w:rPr>
              <w:t>m</w:t>
            </w:r>
          </w:p>
        </w:tc>
        <w:tc>
          <w:tcPr>
            <w:tcW w:type="dxa" w:w="3168"/>
          </w:tcPr>
          <w:p>
            <w:pPr>
              <w:spacing w:line="240" w:lineRule="auto" w:before="40" w:after="40"/>
              <w:jc w:val="center"/>
            </w:pPr>
            <w:r/>
            <w:r>
              <w:rPr>
                <w:b w:val="0"/>
                <w:i w:val="0"/>
                <w:sz w:val="20"/>
              </w:rPr>
              <w:t>Typical deck section</w:t>
            </w:r>
          </w:p>
        </w:tc>
      </w:tr>
      <w:tr>
        <w:tc>
          <w:tcPr>
            <w:tcW w:type="dxa" w:w="3456"/>
            <w:shd w:val="clear" w:color="auto" w:fill="EFEFEF"/>
          </w:tcPr>
          <w:p>
            <w:pPr>
              <w:spacing w:line="240" w:lineRule="auto" w:before="40" w:after="40"/>
              <w:jc w:val="left"/>
            </w:pPr>
            <w:r/>
            <w:r>
              <w:rPr>
                <w:b w:val="0"/>
                <w:i/>
                <w:sz w:val="20"/>
              </w:rPr>
              <w:t>Pier and abutment heights</w:t>
            </w:r>
          </w:p>
        </w:tc>
        <w:tc>
          <w:tcPr>
            <w:tcW w:type="dxa" w:w="1296"/>
            <w:shd w:val="clear" w:color="auto" w:fill="EFEFEF"/>
          </w:tcPr>
          <w:p>
            <w:pPr>
              <w:spacing w:line="240" w:lineRule="auto" w:before="40" w:after="40"/>
              <w:jc w:val="center"/>
            </w:pPr>
            <w:r/>
            <w:r>
              <w:rPr>
                <w:b w:val="0"/>
                <w:i w:val="0"/>
                <w:sz w:val="20"/>
              </w:rPr>
              <w:t>Bridge</w:t>
            </w:r>
          </w:p>
        </w:tc>
        <w:tc>
          <w:tcPr>
            <w:tcW w:type="dxa" w:w="1440"/>
            <w:shd w:val="clear" w:color="auto" w:fill="EFEFEF"/>
          </w:tcPr>
          <w:p>
            <w:pPr>
              <w:spacing w:line="240" w:lineRule="auto" w:before="40" w:after="40"/>
              <w:jc w:val="center"/>
            </w:pPr>
            <w:r/>
            <w:r>
              <w:rPr>
                <w:b w:val="0"/>
                <w:i w:val="0"/>
                <w:sz w:val="20"/>
              </w:rPr>
              <w:t>m</w:t>
            </w:r>
          </w:p>
        </w:tc>
        <w:tc>
          <w:tcPr>
            <w:tcW w:type="dxa" w:w="3168"/>
            <w:shd w:val="clear" w:color="auto" w:fill="EFEFEF"/>
          </w:tcPr>
          <w:p>
            <w:pPr>
              <w:spacing w:line="240" w:lineRule="auto" w:before="40" w:after="40"/>
              <w:jc w:val="center"/>
            </w:pPr>
            <w:r/>
            <w:r>
              <w:rPr>
                <w:b w:val="0"/>
                <w:i w:val="0"/>
                <w:sz w:val="20"/>
              </w:rPr>
              <w:t>Substructure details</w:t>
            </w:r>
          </w:p>
        </w:tc>
      </w:tr>
      <w:tr>
        <w:tc>
          <w:tcPr>
            <w:tcW w:type="dxa" w:w="3456"/>
          </w:tcPr>
          <w:p>
            <w:pPr>
              <w:spacing w:line="240" w:lineRule="auto" w:before="40" w:after="40"/>
              <w:jc w:val="left"/>
            </w:pPr>
            <w:r/>
            <w:r>
              <w:rPr>
                <w:b w:val="0"/>
                <w:i/>
                <w:sz w:val="20"/>
              </w:rPr>
              <w:t>Superstructure and foundation type, pile length</w:t>
            </w:r>
          </w:p>
        </w:tc>
        <w:tc>
          <w:tcPr>
            <w:tcW w:type="dxa" w:w="1296"/>
          </w:tcPr>
          <w:p>
            <w:pPr>
              <w:spacing w:line="240" w:lineRule="auto" w:before="40" w:after="40"/>
              <w:jc w:val="center"/>
            </w:pPr>
            <w:r/>
            <w:r>
              <w:rPr>
                <w:b w:val="0"/>
                <w:i w:val="0"/>
                <w:sz w:val="20"/>
              </w:rPr>
              <w:t>Bridge</w:t>
            </w:r>
          </w:p>
        </w:tc>
        <w:tc>
          <w:tcPr>
            <w:tcW w:type="dxa" w:w="1440"/>
          </w:tcPr>
          <w:p>
            <w:pPr>
              <w:spacing w:line="240" w:lineRule="auto" w:before="40" w:after="40"/>
              <w:jc w:val="center"/>
            </w:pPr>
            <w:r/>
            <w:r>
              <w:rPr>
                <w:b w:val="0"/>
                <w:i w:val="0"/>
                <w:sz w:val="20"/>
              </w:rPr>
              <w:t>category, m</w:t>
            </w:r>
          </w:p>
        </w:tc>
        <w:tc>
          <w:tcPr>
            <w:tcW w:type="dxa" w:w="3168"/>
          </w:tcPr>
          <w:p>
            <w:pPr>
              <w:spacing w:line="240" w:lineRule="auto" w:before="40" w:after="40"/>
              <w:jc w:val="center"/>
            </w:pPr>
            <w:r/>
            <w:r>
              <w:rPr>
                <w:b w:val="0"/>
                <w:i w:val="0"/>
                <w:sz w:val="20"/>
              </w:rPr>
              <w:t>General notes, pile schedule</w:t>
            </w:r>
          </w:p>
        </w:tc>
      </w:tr>
      <w:tr>
        <w:tc>
          <w:tcPr>
            <w:tcW w:type="dxa" w:w="3456"/>
            <w:shd w:val="clear" w:color="auto" w:fill="EFEFEF"/>
            <w:tcBorders>
              <w:bottom w:val="single" w:sz="12" w:color="000000"/>
            </w:tcBorders>
          </w:tcPr>
          <w:p>
            <w:pPr>
              <w:spacing w:line="240" w:lineRule="auto" w:before="40" w:after="40"/>
              <w:jc w:val="left"/>
            </w:pPr>
            <w:r/>
            <w:r>
              <w:rPr>
                <w:b w:val="0"/>
                <w:i/>
                <w:sz w:val="20"/>
              </w:rPr>
              <w:t>Province and price year</w:t>
            </w:r>
          </w:p>
        </w:tc>
        <w:tc>
          <w:tcPr>
            <w:tcW w:type="dxa" w:w="1296"/>
            <w:shd w:val="clear" w:color="auto" w:fill="EFEFEF"/>
            <w:tcBorders>
              <w:bottom w:val="single" w:sz="12" w:color="000000"/>
            </w:tcBorders>
          </w:tcPr>
          <w:p>
            <w:pPr>
              <w:spacing w:line="240" w:lineRule="auto" w:before="40" w:after="40"/>
              <w:jc w:val="center"/>
            </w:pPr>
            <w:r/>
            <w:r>
              <w:rPr>
                <w:b w:val="0"/>
                <w:i w:val="0"/>
                <w:sz w:val="20"/>
              </w:rPr>
              <w:t>Both</w:t>
            </w:r>
          </w:p>
        </w:tc>
        <w:tc>
          <w:tcPr>
            <w:tcW w:type="dxa" w:w="1440"/>
            <w:shd w:val="clear" w:color="auto" w:fill="EFEFEF"/>
            <w:tcBorders>
              <w:bottom w:val="single" w:sz="12" w:color="000000"/>
            </w:tcBorders>
          </w:tcPr>
          <w:p>
            <w:pPr>
              <w:spacing w:line="240" w:lineRule="auto" w:before="40" w:after="40"/>
              <w:jc w:val="center"/>
            </w:pPr>
            <w:r/>
            <w:r>
              <w:rPr>
                <w:b w:val="0"/>
                <w:i w:val="0"/>
                <w:sz w:val="20"/>
              </w:rPr>
              <w:t>category, year</w:t>
            </w:r>
          </w:p>
        </w:tc>
        <w:tc>
          <w:tcPr>
            <w:tcW w:type="dxa" w:w="3168"/>
            <w:shd w:val="clear" w:color="auto" w:fill="EFEFEF"/>
            <w:tcBorders>
              <w:bottom w:val="single" w:sz="12" w:color="000000"/>
            </w:tcBorders>
          </w:tcPr>
          <w:p>
            <w:pPr>
              <w:spacing w:line="240" w:lineRule="auto" w:before="40" w:after="40"/>
              <w:jc w:val="center"/>
            </w:pPr>
            <w:r/>
            <w:r>
              <w:rPr>
                <w:b w:val="0"/>
                <w:i w:val="0"/>
                <w:sz w:val="20"/>
              </w:rPr>
              <w:t>Project location, program year</w:t>
            </w:r>
          </w:p>
        </w:tc>
      </w:tr>
    </w:tbl>
    <w:p>
      <w:pPr>
        <w:spacing w:line="240" w:lineRule="auto" w:after="80"/>
      </w:pPr>
    </w:p>
    <w:p>
      <w:pPr>
        <w:spacing w:line="480" w:lineRule="auto" w:after="0"/>
        <w:ind w:firstLine="720"/>
        <w:jc w:val="both"/>
      </w:pPr>
      <w:r>
        <w:rPr>
          <w:b w:val="0"/>
          <w:i w:val="0"/>
        </w:rPr>
        <w:t>Derived indicators were then computed. For buildings, gross floor area (GFA) is footprint area times the number of storeys and the structural span is the larger bay dimension. For bridges, deck width is the carriageway plus both sidewalks plus 0.60 m of railing and curb, deck area is total length times deck width, and span length is total length divided by the number of spans. Categorical systems were encoded as ordinal indices: facility type by MEPF intensity (evacuation center 1 to health facility 6), superstructure by structural complexity (box culvert 1 to steel truss 4) and foundation by depth (spread footing 1 to bored pile 3). A location factor captures freight and barge premiums on island provinces, and a cost index brings each price year to 2025 levels (Table 2).</w:t>
      </w:r>
    </w:p>
    <w:p>
      <w:pPr>
        <w:keepNext/>
        <w:spacing w:line="240" w:lineRule="auto" w:after="0" w:before="120"/>
        <w:jc w:val="left"/>
      </w:pPr>
      <w:r>
        <w:rPr>
          <w:b/>
          <w:i w:val="0"/>
        </w:rPr>
        <w:t>Table 2.</w:t>
      </w:r>
    </w:p>
    <w:p>
      <w:pPr>
        <w:keepNext/>
        <w:spacing w:line="240" w:lineRule="auto" w:after="0"/>
        <w:jc w:val="left"/>
      </w:pPr>
      <w:r>
        <w:rPr>
          <w:b w:val="0"/>
          <w:i/>
        </w:rPr>
        <w:t>Location Factors and Yearly Cost Index</w:t>
      </w:r>
    </w:p>
    <w:tbl>
      <w:tblPr>
        <w:tblW w:type="auto" w:w="0"/>
        <w:jc w:val="center"/>
        <w:tblLayout w:type="fixed"/>
        <w:tblLook w:firstColumn="1" w:firstRow="1" w:lastColumn="0" w:lastRow="0" w:noHBand="0" w:noVBand="1" w:val="04A0"/>
        <w:tblLayout w:type="fixed"/>
      </w:tblPr>
      <w:tblGrid>
        <w:gridCol w:w="2592"/>
        <w:gridCol w:w="2015"/>
        <w:gridCol w:w="2015"/>
        <w:gridCol w:w="2015"/>
      </w:tblGrid>
      <w:tr>
        <w:tc>
          <w:tcPr>
            <w:tcW w:type="dxa" w:w="2592"/>
            <w:tcBorders>
              <w:top w:val="single" w:sz="12" w:color="000000"/>
              <w:bottom w:val="single" w:sz="8" w:color="000000"/>
            </w:tcBorders>
          </w:tcPr>
          <w:p>
            <w:pPr>
              <w:spacing w:line="240" w:lineRule="auto" w:before="40" w:after="40"/>
              <w:jc w:val="center"/>
            </w:pPr>
            <w:r/>
            <w:r>
              <w:rPr>
                <w:b/>
                <w:i w:val="0"/>
                <w:sz w:val="20"/>
              </w:rPr>
              <w:t>PROVINCE</w:t>
            </w:r>
          </w:p>
        </w:tc>
        <w:tc>
          <w:tcPr>
            <w:tcW w:type="dxa" w:w="2016"/>
            <w:tcBorders>
              <w:top w:val="single" w:sz="12" w:color="000000"/>
              <w:bottom w:val="single" w:sz="8" w:color="000000"/>
            </w:tcBorders>
          </w:tcPr>
          <w:p>
            <w:pPr>
              <w:spacing w:line="240" w:lineRule="auto" w:before="40" w:after="40"/>
              <w:jc w:val="center"/>
            </w:pPr>
            <w:r/>
            <w:r>
              <w:rPr>
                <w:b/>
                <w:i w:val="0"/>
                <w:sz w:val="20"/>
              </w:rPr>
              <w:t>LOCATION FACTOR</w:t>
            </w:r>
          </w:p>
        </w:tc>
        <w:tc>
          <w:tcPr>
            <w:tcW w:type="dxa" w:w="2016"/>
            <w:tcBorders>
              <w:top w:val="single" w:sz="12" w:color="000000"/>
              <w:bottom w:val="single" w:sz="8" w:color="000000"/>
            </w:tcBorders>
          </w:tcPr>
          <w:p>
            <w:pPr>
              <w:spacing w:line="240" w:lineRule="auto" w:before="40" w:after="40"/>
              <w:jc w:val="center"/>
            </w:pPr>
            <w:r/>
            <w:r>
              <w:rPr>
                <w:b/>
                <w:i w:val="0"/>
                <w:sz w:val="20"/>
              </w:rPr>
              <w:t>PRICE YEAR</w:t>
            </w:r>
          </w:p>
        </w:tc>
        <w:tc>
          <w:tcPr>
            <w:tcW w:type="dxa" w:w="2016"/>
            <w:tcBorders>
              <w:top w:val="single" w:sz="12" w:color="000000"/>
              <w:bottom w:val="single" w:sz="8" w:color="000000"/>
            </w:tcBorders>
          </w:tcPr>
          <w:p>
            <w:pPr>
              <w:spacing w:line="240" w:lineRule="auto" w:before="40" w:after="40"/>
              <w:jc w:val="center"/>
            </w:pPr>
            <w:r/>
            <w:r>
              <w:rPr>
                <w:b/>
                <w:i w:val="0"/>
                <w:sz w:val="20"/>
              </w:rPr>
              <w:t>COST INDEX</w:t>
            </w:r>
          </w:p>
        </w:tc>
      </w:tr>
      <w:tr>
        <w:tc>
          <w:tcPr>
            <w:tcW w:type="dxa" w:w="2592"/>
            <w:shd w:val="clear" w:color="auto" w:fill="EFEFEF"/>
          </w:tcPr>
          <w:p>
            <w:pPr>
              <w:spacing w:line="240" w:lineRule="auto" w:before="40" w:after="40"/>
              <w:jc w:val="left"/>
            </w:pPr>
            <w:r/>
            <w:r>
              <w:rPr>
                <w:b w:val="0"/>
                <w:i/>
                <w:sz w:val="20"/>
              </w:rPr>
              <w:t>Albay (base)</w:t>
            </w:r>
          </w:p>
        </w:tc>
        <w:tc>
          <w:tcPr>
            <w:tcW w:type="dxa" w:w="2016"/>
            <w:shd w:val="clear" w:color="auto" w:fill="EFEFEF"/>
          </w:tcPr>
          <w:p>
            <w:pPr>
              <w:spacing w:line="240" w:lineRule="auto" w:before="40" w:after="40"/>
              <w:jc w:val="center"/>
            </w:pPr>
            <w:r/>
            <w:r>
              <w:rPr>
                <w:b w:val="0"/>
                <w:i w:val="0"/>
                <w:sz w:val="20"/>
              </w:rPr>
              <w:t>1.00</w:t>
            </w:r>
          </w:p>
        </w:tc>
        <w:tc>
          <w:tcPr>
            <w:tcW w:type="dxa" w:w="2016"/>
            <w:shd w:val="clear" w:color="auto" w:fill="EFEFEF"/>
          </w:tcPr>
          <w:p>
            <w:pPr>
              <w:spacing w:line="240" w:lineRule="auto" w:before="40" w:after="40"/>
              <w:jc w:val="center"/>
            </w:pPr>
            <w:r/>
            <w:r>
              <w:rPr>
                <w:b w:val="0"/>
                <w:i w:val="0"/>
                <w:sz w:val="20"/>
              </w:rPr>
              <w:t>2022</w:t>
            </w:r>
          </w:p>
        </w:tc>
        <w:tc>
          <w:tcPr>
            <w:tcW w:type="dxa" w:w="2016"/>
            <w:shd w:val="clear" w:color="auto" w:fill="EFEFEF"/>
          </w:tcPr>
          <w:p>
            <w:pPr>
              <w:spacing w:line="240" w:lineRule="auto" w:before="40" w:after="40"/>
              <w:jc w:val="center"/>
            </w:pPr>
            <w:r/>
            <w:r>
              <w:rPr>
                <w:b w:val="0"/>
                <w:i w:val="0"/>
                <w:sz w:val="20"/>
              </w:rPr>
              <w:t>0.90</w:t>
            </w:r>
          </w:p>
        </w:tc>
      </w:tr>
      <w:tr>
        <w:tc>
          <w:tcPr>
            <w:tcW w:type="dxa" w:w="2592"/>
          </w:tcPr>
          <w:p>
            <w:pPr>
              <w:spacing w:line="240" w:lineRule="auto" w:before="40" w:after="40"/>
              <w:jc w:val="left"/>
            </w:pPr>
            <w:r/>
            <w:r>
              <w:rPr>
                <w:b w:val="0"/>
                <w:i/>
                <w:sz w:val="20"/>
              </w:rPr>
              <w:t>Camarines Sur</w:t>
            </w:r>
          </w:p>
        </w:tc>
        <w:tc>
          <w:tcPr>
            <w:tcW w:type="dxa" w:w="2016"/>
          </w:tcPr>
          <w:p>
            <w:pPr>
              <w:spacing w:line="240" w:lineRule="auto" w:before="40" w:after="40"/>
              <w:jc w:val="center"/>
            </w:pPr>
            <w:r/>
            <w:r>
              <w:rPr>
                <w:b w:val="0"/>
                <w:i w:val="0"/>
                <w:sz w:val="20"/>
              </w:rPr>
              <w:t>1.00</w:t>
            </w:r>
          </w:p>
        </w:tc>
        <w:tc>
          <w:tcPr>
            <w:tcW w:type="dxa" w:w="2016"/>
          </w:tcPr>
          <w:p>
            <w:pPr>
              <w:spacing w:line="240" w:lineRule="auto" w:before="40" w:after="40"/>
              <w:jc w:val="center"/>
            </w:pPr>
            <w:r/>
            <w:r>
              <w:rPr>
                <w:b w:val="0"/>
                <w:i w:val="0"/>
                <w:sz w:val="20"/>
              </w:rPr>
              <w:t>2023</w:t>
            </w:r>
          </w:p>
        </w:tc>
        <w:tc>
          <w:tcPr>
            <w:tcW w:type="dxa" w:w="2016"/>
          </w:tcPr>
          <w:p>
            <w:pPr>
              <w:spacing w:line="240" w:lineRule="auto" w:before="40" w:after="40"/>
              <w:jc w:val="center"/>
            </w:pPr>
            <w:r/>
            <w:r>
              <w:rPr>
                <w:b w:val="0"/>
                <w:i w:val="0"/>
                <w:sz w:val="20"/>
              </w:rPr>
              <w:t>0.94</w:t>
            </w:r>
          </w:p>
        </w:tc>
      </w:tr>
      <w:tr>
        <w:tc>
          <w:tcPr>
            <w:tcW w:type="dxa" w:w="2592"/>
            <w:shd w:val="clear" w:color="auto" w:fill="EFEFEF"/>
          </w:tcPr>
          <w:p>
            <w:pPr>
              <w:spacing w:line="240" w:lineRule="auto" w:before="40" w:after="40"/>
              <w:jc w:val="left"/>
            </w:pPr>
            <w:r/>
            <w:r>
              <w:rPr>
                <w:b w:val="0"/>
                <w:i/>
                <w:sz w:val="20"/>
              </w:rPr>
              <w:t>Camarines Norte</w:t>
            </w:r>
          </w:p>
        </w:tc>
        <w:tc>
          <w:tcPr>
            <w:tcW w:type="dxa" w:w="2016"/>
            <w:shd w:val="clear" w:color="auto" w:fill="EFEFEF"/>
          </w:tcPr>
          <w:p>
            <w:pPr>
              <w:spacing w:line="240" w:lineRule="auto" w:before="40" w:after="40"/>
              <w:jc w:val="center"/>
            </w:pPr>
            <w:r/>
            <w:r>
              <w:rPr>
                <w:b w:val="0"/>
                <w:i w:val="0"/>
                <w:sz w:val="20"/>
              </w:rPr>
              <w:t>1.03</w:t>
            </w:r>
          </w:p>
        </w:tc>
        <w:tc>
          <w:tcPr>
            <w:tcW w:type="dxa" w:w="2016"/>
            <w:shd w:val="clear" w:color="auto" w:fill="EFEFEF"/>
          </w:tcPr>
          <w:p>
            <w:pPr>
              <w:spacing w:line="240" w:lineRule="auto" w:before="40" w:after="40"/>
              <w:jc w:val="center"/>
            </w:pPr>
            <w:r/>
            <w:r>
              <w:rPr>
                <w:b w:val="0"/>
                <w:i w:val="0"/>
                <w:sz w:val="20"/>
              </w:rPr>
              <w:t>2024</w:t>
            </w:r>
          </w:p>
        </w:tc>
        <w:tc>
          <w:tcPr>
            <w:tcW w:type="dxa" w:w="2016"/>
            <w:shd w:val="clear" w:color="auto" w:fill="EFEFEF"/>
          </w:tcPr>
          <w:p>
            <w:pPr>
              <w:spacing w:line="240" w:lineRule="auto" w:before="40" w:after="40"/>
              <w:jc w:val="center"/>
            </w:pPr>
            <w:r/>
            <w:r>
              <w:rPr>
                <w:b w:val="0"/>
                <w:i w:val="0"/>
                <w:sz w:val="20"/>
              </w:rPr>
              <w:t>0.97</w:t>
            </w:r>
          </w:p>
        </w:tc>
      </w:tr>
      <w:tr>
        <w:tc>
          <w:tcPr>
            <w:tcW w:type="dxa" w:w="2592"/>
          </w:tcPr>
          <w:p>
            <w:pPr>
              <w:spacing w:line="240" w:lineRule="auto" w:before="40" w:after="40"/>
              <w:jc w:val="left"/>
            </w:pPr>
            <w:r/>
            <w:r>
              <w:rPr>
                <w:b w:val="0"/>
                <w:i/>
                <w:sz w:val="20"/>
              </w:rPr>
              <w:t>Sorsogon</w:t>
            </w:r>
          </w:p>
        </w:tc>
        <w:tc>
          <w:tcPr>
            <w:tcW w:type="dxa" w:w="2016"/>
          </w:tcPr>
          <w:p>
            <w:pPr>
              <w:spacing w:line="240" w:lineRule="auto" w:before="40" w:after="40"/>
              <w:jc w:val="center"/>
            </w:pPr>
            <w:r/>
            <w:r>
              <w:rPr>
                <w:b w:val="0"/>
                <w:i w:val="0"/>
                <w:sz w:val="20"/>
              </w:rPr>
              <w:t>1.03</w:t>
            </w:r>
          </w:p>
        </w:tc>
        <w:tc>
          <w:tcPr>
            <w:tcW w:type="dxa" w:w="2016"/>
          </w:tcPr>
          <w:p>
            <w:pPr>
              <w:spacing w:line="240" w:lineRule="auto" w:before="40" w:after="40"/>
              <w:jc w:val="center"/>
            </w:pPr>
            <w:r/>
            <w:r>
              <w:rPr>
                <w:b w:val="0"/>
                <w:i w:val="0"/>
                <w:sz w:val="20"/>
              </w:rPr>
              <w:t>2025 (base)</w:t>
            </w:r>
          </w:p>
        </w:tc>
        <w:tc>
          <w:tcPr>
            <w:tcW w:type="dxa" w:w="2016"/>
          </w:tcPr>
          <w:p>
            <w:pPr>
              <w:spacing w:line="240" w:lineRule="auto" w:before="40" w:after="40"/>
              <w:jc w:val="center"/>
            </w:pPr>
            <w:r/>
            <w:r>
              <w:rPr>
                <w:b w:val="0"/>
                <w:i w:val="0"/>
                <w:sz w:val="20"/>
              </w:rPr>
              <w:t>1.00</w:t>
            </w:r>
          </w:p>
        </w:tc>
      </w:tr>
      <w:tr>
        <w:tc>
          <w:tcPr>
            <w:tcW w:type="dxa" w:w="2592"/>
            <w:shd w:val="clear" w:color="auto" w:fill="EFEFEF"/>
          </w:tcPr>
          <w:p>
            <w:pPr>
              <w:spacing w:line="240" w:lineRule="auto" w:before="40" w:after="40"/>
              <w:jc w:val="left"/>
            </w:pPr>
            <w:r/>
            <w:r>
              <w:rPr>
                <w:b w:val="0"/>
                <w:i/>
                <w:sz w:val="20"/>
              </w:rPr>
              <w:t>Masbate</w:t>
            </w:r>
          </w:p>
        </w:tc>
        <w:tc>
          <w:tcPr>
            <w:tcW w:type="dxa" w:w="2016"/>
            <w:shd w:val="clear" w:color="auto" w:fill="EFEFEF"/>
          </w:tcPr>
          <w:p>
            <w:pPr>
              <w:spacing w:line="240" w:lineRule="auto" w:before="40" w:after="40"/>
              <w:jc w:val="center"/>
            </w:pPr>
            <w:r/>
            <w:r>
              <w:rPr>
                <w:b w:val="0"/>
                <w:i w:val="0"/>
                <w:sz w:val="20"/>
              </w:rPr>
              <w:t>1.10</w:t>
            </w:r>
          </w:p>
        </w:tc>
        <w:tc>
          <w:tcPr>
            <w:tcW w:type="dxa" w:w="2016"/>
            <w:shd w:val="clear" w:color="auto" w:fill="EFEFEF"/>
          </w:tcPr>
          <w:p>
            <w:pPr>
              <w:spacing w:line="240" w:lineRule="auto" w:before="40" w:after="40"/>
              <w:jc w:val="center"/>
            </w:pPr>
            <w:r/>
            <w:r>
              <w:rPr>
                <w:b w:val="0"/>
                <w:i w:val="0"/>
                <w:sz w:val="20"/>
              </w:rPr>
              <w:t>2026</w:t>
            </w:r>
          </w:p>
        </w:tc>
        <w:tc>
          <w:tcPr>
            <w:tcW w:type="dxa" w:w="2016"/>
            <w:shd w:val="clear" w:color="auto" w:fill="EFEFEF"/>
          </w:tcPr>
          <w:p>
            <w:pPr>
              <w:spacing w:line="240" w:lineRule="auto" w:before="40" w:after="40"/>
              <w:jc w:val="center"/>
            </w:pPr>
            <w:r/>
            <w:r>
              <w:rPr>
                <w:b w:val="0"/>
                <w:i w:val="0"/>
                <w:sz w:val="20"/>
              </w:rPr>
              <w:t>1.03</w:t>
            </w:r>
          </w:p>
        </w:tc>
      </w:tr>
      <w:tr>
        <w:tc>
          <w:tcPr>
            <w:tcW w:type="dxa" w:w="2592"/>
            <w:tcBorders>
              <w:bottom w:val="single" w:sz="12" w:color="000000"/>
            </w:tcBorders>
          </w:tcPr>
          <w:p>
            <w:pPr>
              <w:spacing w:line="240" w:lineRule="auto" w:before="40" w:after="40"/>
              <w:jc w:val="left"/>
            </w:pPr>
            <w:r/>
            <w:r>
              <w:rPr>
                <w:b w:val="0"/>
                <w:i/>
                <w:sz w:val="20"/>
              </w:rPr>
              <w:t>Catanduanes</w:t>
            </w:r>
          </w:p>
        </w:tc>
        <w:tc>
          <w:tcPr>
            <w:tcW w:type="dxa" w:w="2016"/>
            <w:tcBorders>
              <w:bottom w:val="single" w:sz="12" w:color="000000"/>
            </w:tcBorders>
          </w:tcPr>
          <w:p>
            <w:pPr>
              <w:spacing w:line="240" w:lineRule="auto" w:before="40" w:after="40"/>
              <w:jc w:val="center"/>
            </w:pPr>
            <w:r/>
            <w:r>
              <w:rPr>
                <w:b w:val="0"/>
                <w:i w:val="0"/>
                <w:sz w:val="20"/>
              </w:rPr>
              <w:t>1.12</w:t>
            </w:r>
          </w:p>
        </w:tc>
        <w:tc>
          <w:tcPr>
            <w:tcW w:type="dxa" w:w="2016"/>
            <w:tcBorders>
              <w:bottom w:val="single" w:sz="12" w:color="000000"/>
            </w:tcBorders>
          </w:tcPr>
          <w:p>
            <w:pPr>
              <w:spacing w:line="240" w:lineRule="auto" w:before="40" w:after="40"/>
              <w:jc w:val="center"/>
            </w:pPr>
            <w:r/>
            <w:r>
              <w:rPr>
                <w:b w:val="0"/>
                <w:i w:val="0"/>
                <w:sz w:val="20"/>
              </w:rPr>
              <w:t>–</w:t>
            </w:r>
          </w:p>
        </w:tc>
        <w:tc>
          <w:tcPr>
            <w:tcW w:type="dxa" w:w="2016"/>
            <w:tcBorders>
              <w:bottom w:val="single" w:sz="12" w:color="000000"/>
            </w:tcBorders>
          </w:tcPr>
          <w:p>
            <w:pPr>
              <w:spacing w:line="240" w:lineRule="auto" w:before="40" w:after="40"/>
              <w:jc w:val="center"/>
            </w:pPr>
            <w:r/>
            <w:r>
              <w:rPr>
                <w:b w:val="0"/>
                <w:i w:val="0"/>
                <w:sz w:val="20"/>
              </w:rPr>
              <w:t>–</w:t>
            </w:r>
          </w:p>
        </w:tc>
      </w:tr>
    </w:tbl>
    <w:p>
      <w:pPr>
        <w:spacing w:line="240" w:lineRule="auto" w:after="80"/>
      </w:pPr>
    </w:p>
    <w:p>
      <w:pPr>
        <w:keepNext/>
        <w:spacing w:line="480" w:lineRule="auto" w:after="0"/>
        <w:ind w:left="720"/>
        <w:jc w:val="left"/>
      </w:pPr>
      <w:r>
        <w:rPr>
          <w:b/>
          <w:i w:val="0"/>
        </w:rPr>
        <w:t>Standards Codification and Price Book</w:t>
      </w:r>
    </w:p>
    <w:p>
      <w:pPr>
        <w:spacing w:line="480" w:lineRule="auto" w:after="0"/>
        <w:ind w:firstLine="720"/>
        <w:jc w:val="both"/>
      </w:pPr>
      <w:r>
        <w:rPr>
          <w:b w:val="0"/>
          <w:i w:val="0"/>
        </w:rPr>
        <w:t>The engineering standards were codified as take-off rules, and the unit costs as a price book keyed to DPWH pay items: Volume III (2019) item numbers for building works, adopted through D.O. No. 42, s. 2021, and Volume II (2013) item numbers for bridge works. Each rate is a direct cost covering materials, labor and equipment for Bicol in 2025, and every rate can be edited in the application so that implementing offices can load their own Detailed Unit Price Analysis. Table 3 shows selected entries; the full price book is in Appendix B.</w:t>
      </w:r>
    </w:p>
    <w:p>
      <w:pPr>
        <w:keepNext/>
        <w:spacing w:line="240" w:lineRule="auto" w:after="0" w:before="120"/>
        <w:jc w:val="left"/>
      </w:pPr>
      <w:r>
        <w:rPr>
          <w:b/>
          <w:i w:val="0"/>
        </w:rPr>
        <w:t>Table 3.</w:t>
      </w:r>
    </w:p>
    <w:p>
      <w:pPr>
        <w:keepNext/>
        <w:spacing w:line="240" w:lineRule="auto" w:after="0"/>
        <w:jc w:val="left"/>
      </w:pPr>
      <w:r>
        <w:rPr>
          <w:b w:val="0"/>
          <w:i/>
        </w:rPr>
        <w:t>Selected Pay Items and Direct Unit Costs in the BUHAY Price Book</w:t>
      </w:r>
    </w:p>
    <w:tbl>
      <w:tblPr>
        <w:tblW w:type="auto" w:w="0"/>
        <w:jc w:val="center"/>
        <w:tblLayout w:type="fixed"/>
        <w:tblLook w:firstColumn="1" w:firstRow="1" w:lastColumn="0" w:lastRow="0" w:noHBand="0" w:noVBand="1" w:val="04A0"/>
        <w:tblLayout w:type="fixed"/>
      </w:tblPr>
      <w:tblGrid>
        <w:gridCol w:w="1296"/>
        <w:gridCol w:w="5616"/>
        <w:gridCol w:w="864"/>
        <w:gridCol w:w="1296"/>
      </w:tblGrid>
      <w:tr>
        <w:tc>
          <w:tcPr>
            <w:tcW w:type="dxa" w:w="1296"/>
            <w:tcBorders>
              <w:top w:val="single" w:sz="12" w:color="000000"/>
              <w:bottom w:val="single" w:sz="8" w:color="000000"/>
            </w:tcBorders>
          </w:tcPr>
          <w:p>
            <w:pPr>
              <w:spacing w:line="240" w:lineRule="auto" w:before="40" w:after="40"/>
              <w:jc w:val="center"/>
            </w:pPr>
            <w:r/>
            <w:r>
              <w:rPr>
                <w:b/>
                <w:i w:val="0"/>
                <w:sz w:val="18"/>
              </w:rPr>
              <w:t>PAY ITEM</w:t>
            </w:r>
          </w:p>
        </w:tc>
        <w:tc>
          <w:tcPr>
            <w:tcW w:type="dxa" w:w="5616"/>
            <w:tcBorders>
              <w:top w:val="single" w:sz="12" w:color="000000"/>
              <w:bottom w:val="single" w:sz="8" w:color="000000"/>
            </w:tcBorders>
          </w:tcPr>
          <w:p>
            <w:pPr>
              <w:spacing w:line="240" w:lineRule="auto" w:before="40" w:after="40"/>
              <w:jc w:val="center"/>
            </w:pPr>
            <w:r/>
            <w:r>
              <w:rPr>
                <w:b/>
                <w:i w:val="0"/>
                <w:sz w:val="18"/>
              </w:rPr>
              <w:t>DESCRIPTION</w:t>
            </w:r>
          </w:p>
        </w:tc>
        <w:tc>
          <w:tcPr>
            <w:tcW w:type="dxa" w:w="864"/>
            <w:tcBorders>
              <w:top w:val="single" w:sz="12" w:color="000000"/>
              <w:bottom w:val="single" w:sz="8" w:color="000000"/>
            </w:tcBorders>
          </w:tcPr>
          <w:p>
            <w:pPr>
              <w:spacing w:line="240" w:lineRule="auto" w:before="40" w:after="40"/>
              <w:jc w:val="center"/>
            </w:pPr>
            <w:r/>
            <w:r>
              <w:rPr>
                <w:b/>
                <w:i w:val="0"/>
                <w:sz w:val="18"/>
              </w:rPr>
              <w:t>UNIT</w:t>
            </w:r>
          </w:p>
        </w:tc>
        <w:tc>
          <w:tcPr>
            <w:tcW w:type="dxa" w:w="1296"/>
            <w:tcBorders>
              <w:top w:val="single" w:sz="12" w:color="000000"/>
              <w:bottom w:val="single" w:sz="8" w:color="000000"/>
            </w:tcBorders>
          </w:tcPr>
          <w:p>
            <w:pPr>
              <w:spacing w:line="240" w:lineRule="auto" w:before="40" w:after="40"/>
              <w:jc w:val="center"/>
            </w:pPr>
            <w:r/>
            <w:r>
              <w:rPr>
                <w:b/>
                <w:i w:val="0"/>
                <w:sz w:val="18"/>
              </w:rPr>
              <w:t>RATE (₱)</w:t>
            </w:r>
          </w:p>
        </w:tc>
      </w:tr>
      <w:tr>
        <w:tc>
          <w:tcPr>
            <w:tcW w:type="dxa" w:w="1296"/>
            <w:shd w:val="clear" w:color="auto" w:fill="EFEFEF"/>
          </w:tcPr>
          <w:p>
            <w:pPr>
              <w:spacing w:line="240" w:lineRule="auto" w:before="40" w:after="40"/>
              <w:jc w:val="left"/>
            </w:pPr>
            <w:r/>
            <w:r>
              <w:rPr>
                <w:b w:val="0"/>
                <w:i w:val="0"/>
                <w:sz w:val="18"/>
              </w:rPr>
              <w:t>900 (1)c</w:t>
            </w:r>
          </w:p>
        </w:tc>
        <w:tc>
          <w:tcPr>
            <w:tcW w:type="dxa" w:w="5616"/>
            <w:shd w:val="clear" w:color="auto" w:fill="EFEFEF"/>
          </w:tcPr>
          <w:p>
            <w:pPr>
              <w:spacing w:line="240" w:lineRule="auto" w:before="40" w:after="40"/>
              <w:jc w:val="left"/>
            </w:pPr>
            <w:r/>
            <w:r>
              <w:rPr>
                <w:b w:val="0"/>
                <w:i w:val="0"/>
                <w:sz w:val="18"/>
              </w:rPr>
              <w:t>Structural concrete, fc′ 20.7 MPa (3000 psi), 28 days</w:t>
            </w:r>
          </w:p>
        </w:tc>
        <w:tc>
          <w:tcPr>
            <w:tcW w:type="dxa" w:w="864"/>
            <w:shd w:val="clear" w:color="auto" w:fill="EFEFEF"/>
          </w:tcPr>
          <w:p>
            <w:pPr>
              <w:spacing w:line="240" w:lineRule="auto" w:before="40" w:after="40"/>
              <w:jc w:val="center"/>
            </w:pPr>
            <w:r/>
            <w:r>
              <w:rPr>
                <w:b w:val="0"/>
                <w:i w:val="0"/>
                <w:sz w:val="18"/>
              </w:rPr>
              <w:t>m³</w:t>
            </w:r>
          </w:p>
        </w:tc>
        <w:tc>
          <w:tcPr>
            <w:tcW w:type="dxa" w:w="1296"/>
            <w:shd w:val="clear" w:color="auto" w:fill="EFEFEF"/>
          </w:tcPr>
          <w:p>
            <w:pPr>
              <w:spacing w:line="240" w:lineRule="auto" w:before="40" w:after="40"/>
              <w:jc w:val="right"/>
            </w:pPr>
            <w:r/>
            <w:r>
              <w:rPr>
                <w:b w:val="0"/>
                <w:i w:val="0"/>
                <w:sz w:val="18"/>
              </w:rPr>
              <w:t>7,900</w:t>
            </w:r>
          </w:p>
        </w:tc>
      </w:tr>
      <w:tr>
        <w:tc>
          <w:tcPr>
            <w:tcW w:type="dxa" w:w="1296"/>
          </w:tcPr>
          <w:p>
            <w:pPr>
              <w:spacing w:line="240" w:lineRule="auto" w:before="40" w:after="40"/>
              <w:jc w:val="left"/>
            </w:pPr>
            <w:r/>
            <w:r>
              <w:rPr>
                <w:b w:val="0"/>
                <w:i w:val="0"/>
                <w:sz w:val="18"/>
              </w:rPr>
              <w:t>902 (1)</w:t>
            </w:r>
          </w:p>
        </w:tc>
        <w:tc>
          <w:tcPr>
            <w:tcW w:type="dxa" w:w="5616"/>
          </w:tcPr>
          <w:p>
            <w:pPr>
              <w:spacing w:line="240" w:lineRule="auto" w:before="40" w:after="40"/>
              <w:jc w:val="left"/>
            </w:pPr>
            <w:r/>
            <w:r>
              <w:rPr>
                <w:b w:val="0"/>
                <w:i w:val="0"/>
                <w:sz w:val="18"/>
              </w:rPr>
              <w:t>Reinforcing steel bars, deformed, Gr. 40/60, incl. tie wire</w:t>
            </w:r>
          </w:p>
        </w:tc>
        <w:tc>
          <w:tcPr>
            <w:tcW w:type="dxa" w:w="864"/>
          </w:tcPr>
          <w:p>
            <w:pPr>
              <w:spacing w:line="240" w:lineRule="auto" w:before="40" w:after="40"/>
              <w:jc w:val="center"/>
            </w:pPr>
            <w:r/>
            <w:r>
              <w:rPr>
                <w:b w:val="0"/>
                <w:i w:val="0"/>
                <w:sz w:val="18"/>
              </w:rPr>
              <w:t>kg</w:t>
            </w:r>
          </w:p>
        </w:tc>
        <w:tc>
          <w:tcPr>
            <w:tcW w:type="dxa" w:w="1296"/>
          </w:tcPr>
          <w:p>
            <w:pPr>
              <w:spacing w:line="240" w:lineRule="auto" w:before="40" w:after="40"/>
              <w:jc w:val="right"/>
            </w:pPr>
            <w:r/>
            <w:r>
              <w:rPr>
                <w:b w:val="0"/>
                <w:i w:val="0"/>
                <w:sz w:val="18"/>
              </w:rPr>
              <w:t>82</w:t>
            </w:r>
          </w:p>
        </w:tc>
      </w:tr>
      <w:tr>
        <w:tc>
          <w:tcPr>
            <w:tcW w:type="dxa" w:w="1296"/>
            <w:shd w:val="clear" w:color="auto" w:fill="EFEFEF"/>
          </w:tcPr>
          <w:p>
            <w:pPr>
              <w:spacing w:line="240" w:lineRule="auto" w:before="40" w:after="40"/>
              <w:jc w:val="left"/>
            </w:pPr>
            <w:r/>
            <w:r>
              <w:rPr>
                <w:b w:val="0"/>
                <w:i w:val="0"/>
                <w:sz w:val="18"/>
              </w:rPr>
              <w:t>903 (2)</w:t>
            </w:r>
          </w:p>
        </w:tc>
        <w:tc>
          <w:tcPr>
            <w:tcW w:type="dxa" w:w="5616"/>
            <w:shd w:val="clear" w:color="auto" w:fill="EFEFEF"/>
          </w:tcPr>
          <w:p>
            <w:pPr>
              <w:spacing w:line="240" w:lineRule="auto" w:before="40" w:after="40"/>
              <w:jc w:val="left"/>
            </w:pPr>
            <w:r/>
            <w:r>
              <w:rPr>
                <w:b w:val="0"/>
                <w:i w:val="0"/>
                <w:sz w:val="18"/>
              </w:rPr>
              <w:t>Formworks and falseworks</w:t>
            </w:r>
          </w:p>
        </w:tc>
        <w:tc>
          <w:tcPr>
            <w:tcW w:type="dxa" w:w="864"/>
            <w:shd w:val="clear" w:color="auto" w:fill="EFEFEF"/>
          </w:tcPr>
          <w:p>
            <w:pPr>
              <w:spacing w:line="240" w:lineRule="auto" w:before="40" w:after="40"/>
              <w:jc w:val="center"/>
            </w:pPr>
            <w:r/>
            <w:r>
              <w:rPr>
                <w:b w:val="0"/>
                <w:i w:val="0"/>
                <w:sz w:val="18"/>
              </w:rPr>
              <w:t>m²</w:t>
            </w:r>
          </w:p>
        </w:tc>
        <w:tc>
          <w:tcPr>
            <w:tcW w:type="dxa" w:w="1296"/>
            <w:shd w:val="clear" w:color="auto" w:fill="EFEFEF"/>
          </w:tcPr>
          <w:p>
            <w:pPr>
              <w:spacing w:line="240" w:lineRule="auto" w:before="40" w:after="40"/>
              <w:jc w:val="right"/>
            </w:pPr>
            <w:r/>
            <w:r>
              <w:rPr>
                <w:b w:val="0"/>
                <w:i w:val="0"/>
                <w:sz w:val="18"/>
              </w:rPr>
              <w:t>850</w:t>
            </w:r>
          </w:p>
        </w:tc>
      </w:tr>
      <w:tr>
        <w:tc>
          <w:tcPr>
            <w:tcW w:type="dxa" w:w="1296"/>
          </w:tcPr>
          <w:p>
            <w:pPr>
              <w:spacing w:line="240" w:lineRule="auto" w:before="40" w:after="40"/>
              <w:jc w:val="left"/>
            </w:pPr>
            <w:r/>
            <w:r>
              <w:rPr>
                <w:b w:val="0"/>
                <w:i w:val="0"/>
                <w:sz w:val="18"/>
              </w:rPr>
              <w:t>1046 (3)</w:t>
            </w:r>
          </w:p>
        </w:tc>
        <w:tc>
          <w:tcPr>
            <w:tcW w:type="dxa" w:w="5616"/>
          </w:tcPr>
          <w:p>
            <w:pPr>
              <w:spacing w:line="240" w:lineRule="auto" w:before="40" w:after="40"/>
              <w:jc w:val="left"/>
            </w:pPr>
            <w:r/>
            <w:r>
              <w:rPr>
                <w:b w:val="0"/>
                <w:i w:val="0"/>
                <w:sz w:val="18"/>
              </w:rPr>
              <w:t>CHB masonry 150 mm, reinforced &amp; grouted (exterior)</w:t>
            </w:r>
          </w:p>
        </w:tc>
        <w:tc>
          <w:tcPr>
            <w:tcW w:type="dxa" w:w="864"/>
          </w:tcPr>
          <w:p>
            <w:pPr>
              <w:spacing w:line="240" w:lineRule="auto" w:before="40" w:after="40"/>
              <w:jc w:val="center"/>
            </w:pPr>
            <w:r/>
            <w:r>
              <w:rPr>
                <w:b w:val="0"/>
                <w:i w:val="0"/>
                <w:sz w:val="18"/>
              </w:rPr>
              <w:t>m²</w:t>
            </w:r>
          </w:p>
        </w:tc>
        <w:tc>
          <w:tcPr>
            <w:tcW w:type="dxa" w:w="1296"/>
          </w:tcPr>
          <w:p>
            <w:pPr>
              <w:spacing w:line="240" w:lineRule="auto" w:before="40" w:after="40"/>
              <w:jc w:val="right"/>
            </w:pPr>
            <w:r/>
            <w:r>
              <w:rPr>
                <w:b w:val="0"/>
                <w:i w:val="0"/>
                <w:sz w:val="18"/>
              </w:rPr>
              <w:t>1,080</w:t>
            </w:r>
          </w:p>
        </w:tc>
      </w:tr>
      <w:tr>
        <w:tc>
          <w:tcPr>
            <w:tcW w:type="dxa" w:w="1296"/>
            <w:shd w:val="clear" w:color="auto" w:fill="EFEFEF"/>
          </w:tcPr>
          <w:p>
            <w:pPr>
              <w:spacing w:line="240" w:lineRule="auto" w:before="40" w:after="40"/>
              <w:jc w:val="left"/>
            </w:pPr>
            <w:r/>
            <w:r>
              <w:rPr>
                <w:b w:val="0"/>
                <w:i w:val="0"/>
                <w:sz w:val="18"/>
              </w:rPr>
              <w:t>1046 (2)</w:t>
            </w:r>
          </w:p>
        </w:tc>
        <w:tc>
          <w:tcPr>
            <w:tcW w:type="dxa" w:w="5616"/>
            <w:shd w:val="clear" w:color="auto" w:fill="EFEFEF"/>
          </w:tcPr>
          <w:p>
            <w:pPr>
              <w:spacing w:line="240" w:lineRule="auto" w:before="40" w:after="40"/>
              <w:jc w:val="left"/>
            </w:pPr>
            <w:r/>
            <w:r>
              <w:rPr>
                <w:b w:val="0"/>
                <w:i w:val="0"/>
                <w:sz w:val="18"/>
              </w:rPr>
              <w:t>CHB masonry 100 mm (partitions)</w:t>
            </w:r>
          </w:p>
        </w:tc>
        <w:tc>
          <w:tcPr>
            <w:tcW w:type="dxa" w:w="864"/>
            <w:shd w:val="clear" w:color="auto" w:fill="EFEFEF"/>
          </w:tcPr>
          <w:p>
            <w:pPr>
              <w:spacing w:line="240" w:lineRule="auto" w:before="40" w:after="40"/>
              <w:jc w:val="center"/>
            </w:pPr>
            <w:r/>
            <w:r>
              <w:rPr>
                <w:b w:val="0"/>
                <w:i w:val="0"/>
                <w:sz w:val="18"/>
              </w:rPr>
              <w:t>m²</w:t>
            </w:r>
          </w:p>
        </w:tc>
        <w:tc>
          <w:tcPr>
            <w:tcW w:type="dxa" w:w="1296"/>
            <w:shd w:val="clear" w:color="auto" w:fill="EFEFEF"/>
          </w:tcPr>
          <w:p>
            <w:pPr>
              <w:spacing w:line="240" w:lineRule="auto" w:before="40" w:after="40"/>
              <w:jc w:val="right"/>
            </w:pPr>
            <w:r/>
            <w:r>
              <w:rPr>
                <w:b w:val="0"/>
                <w:i w:val="0"/>
                <w:sz w:val="18"/>
              </w:rPr>
              <w:t>880</w:t>
            </w:r>
          </w:p>
        </w:tc>
      </w:tr>
      <w:tr>
        <w:tc>
          <w:tcPr>
            <w:tcW w:type="dxa" w:w="1296"/>
          </w:tcPr>
          <w:p>
            <w:pPr>
              <w:spacing w:line="240" w:lineRule="auto" w:before="40" w:after="40"/>
              <w:jc w:val="left"/>
            </w:pPr>
            <w:r/>
            <w:r>
              <w:rPr>
                <w:b w:val="0"/>
                <w:i w:val="0"/>
                <w:sz w:val="18"/>
              </w:rPr>
              <w:t>1027 (1)</w:t>
            </w:r>
          </w:p>
        </w:tc>
        <w:tc>
          <w:tcPr>
            <w:tcW w:type="dxa" w:w="5616"/>
          </w:tcPr>
          <w:p>
            <w:pPr>
              <w:spacing w:line="240" w:lineRule="auto" w:before="40" w:after="40"/>
              <w:jc w:val="left"/>
            </w:pPr>
            <w:r/>
            <w:r>
              <w:rPr>
                <w:b w:val="0"/>
                <w:i w:val="0"/>
                <w:sz w:val="18"/>
              </w:rPr>
              <w:t>Cement plaster finish</w:t>
            </w:r>
          </w:p>
        </w:tc>
        <w:tc>
          <w:tcPr>
            <w:tcW w:type="dxa" w:w="864"/>
          </w:tcPr>
          <w:p>
            <w:pPr>
              <w:spacing w:line="240" w:lineRule="auto" w:before="40" w:after="40"/>
              <w:jc w:val="center"/>
            </w:pPr>
            <w:r/>
            <w:r>
              <w:rPr>
                <w:b w:val="0"/>
                <w:i w:val="0"/>
                <w:sz w:val="18"/>
              </w:rPr>
              <w:t>m²</w:t>
            </w:r>
          </w:p>
        </w:tc>
        <w:tc>
          <w:tcPr>
            <w:tcW w:type="dxa" w:w="1296"/>
          </w:tcPr>
          <w:p>
            <w:pPr>
              <w:spacing w:line="240" w:lineRule="auto" w:before="40" w:after="40"/>
              <w:jc w:val="right"/>
            </w:pPr>
            <w:r/>
            <w:r>
              <w:rPr>
                <w:b w:val="0"/>
                <w:i w:val="0"/>
                <w:sz w:val="18"/>
              </w:rPr>
              <w:t>360</w:t>
            </w:r>
          </w:p>
        </w:tc>
      </w:tr>
      <w:tr>
        <w:tc>
          <w:tcPr>
            <w:tcW w:type="dxa" w:w="1296"/>
            <w:shd w:val="clear" w:color="auto" w:fill="EFEFEF"/>
          </w:tcPr>
          <w:p>
            <w:pPr>
              <w:spacing w:line="240" w:lineRule="auto" w:before="40" w:after="40"/>
              <w:jc w:val="left"/>
            </w:pPr>
            <w:r/>
            <w:r>
              <w:rPr>
                <w:b w:val="0"/>
                <w:i w:val="0"/>
                <w:sz w:val="18"/>
              </w:rPr>
              <w:t>1047 (3)</w:t>
            </w:r>
          </w:p>
        </w:tc>
        <w:tc>
          <w:tcPr>
            <w:tcW w:type="dxa" w:w="5616"/>
            <w:shd w:val="clear" w:color="auto" w:fill="EFEFEF"/>
          </w:tcPr>
          <w:p>
            <w:pPr>
              <w:spacing w:line="240" w:lineRule="auto" w:before="40" w:after="40"/>
              <w:jc w:val="left"/>
            </w:pPr>
            <w:r/>
            <w:r>
              <w:rPr>
                <w:b w:val="0"/>
                <w:i w:val="0"/>
                <w:sz w:val="18"/>
              </w:rPr>
              <w:t>Structural steel trusses &amp; purlins, fabricated &amp; installed</w:t>
            </w:r>
          </w:p>
        </w:tc>
        <w:tc>
          <w:tcPr>
            <w:tcW w:type="dxa" w:w="864"/>
            <w:shd w:val="clear" w:color="auto" w:fill="EFEFEF"/>
          </w:tcPr>
          <w:p>
            <w:pPr>
              <w:spacing w:line="240" w:lineRule="auto" w:before="40" w:after="40"/>
              <w:jc w:val="center"/>
            </w:pPr>
            <w:r/>
            <w:r>
              <w:rPr>
                <w:b w:val="0"/>
                <w:i w:val="0"/>
                <w:sz w:val="18"/>
              </w:rPr>
              <w:t>kg</w:t>
            </w:r>
          </w:p>
        </w:tc>
        <w:tc>
          <w:tcPr>
            <w:tcW w:type="dxa" w:w="1296"/>
            <w:shd w:val="clear" w:color="auto" w:fill="EFEFEF"/>
          </w:tcPr>
          <w:p>
            <w:pPr>
              <w:spacing w:line="240" w:lineRule="auto" w:before="40" w:after="40"/>
              <w:jc w:val="right"/>
            </w:pPr>
            <w:r/>
            <w:r>
              <w:rPr>
                <w:b w:val="0"/>
                <w:i w:val="0"/>
                <w:sz w:val="18"/>
              </w:rPr>
              <w:t>140</w:t>
            </w:r>
          </w:p>
        </w:tc>
      </w:tr>
      <w:tr>
        <w:tc>
          <w:tcPr>
            <w:tcW w:type="dxa" w:w="1296"/>
          </w:tcPr>
          <w:p>
            <w:pPr>
              <w:spacing w:line="240" w:lineRule="auto" w:before="40" w:after="40"/>
              <w:jc w:val="left"/>
            </w:pPr>
            <w:r/>
            <w:r>
              <w:rPr>
                <w:b w:val="0"/>
                <w:i w:val="0"/>
                <w:sz w:val="18"/>
              </w:rPr>
              <w:t>1013 (2)</w:t>
            </w:r>
          </w:p>
        </w:tc>
        <w:tc>
          <w:tcPr>
            <w:tcW w:type="dxa" w:w="5616"/>
          </w:tcPr>
          <w:p>
            <w:pPr>
              <w:spacing w:line="240" w:lineRule="auto" w:before="40" w:after="40"/>
              <w:jc w:val="left"/>
            </w:pPr>
            <w:r/>
            <w:r>
              <w:rPr>
                <w:b w:val="0"/>
                <w:i w:val="0"/>
                <w:sz w:val="18"/>
              </w:rPr>
              <w:t>Pre-painted long-span metal roofing 0.50 mm, incl. accessories</w:t>
            </w:r>
          </w:p>
        </w:tc>
        <w:tc>
          <w:tcPr>
            <w:tcW w:type="dxa" w:w="864"/>
          </w:tcPr>
          <w:p>
            <w:pPr>
              <w:spacing w:line="240" w:lineRule="auto" w:before="40" w:after="40"/>
              <w:jc w:val="center"/>
            </w:pPr>
            <w:r/>
            <w:r>
              <w:rPr>
                <w:b w:val="0"/>
                <w:i w:val="0"/>
                <w:sz w:val="18"/>
              </w:rPr>
              <w:t>m²</w:t>
            </w:r>
          </w:p>
        </w:tc>
        <w:tc>
          <w:tcPr>
            <w:tcW w:type="dxa" w:w="1296"/>
          </w:tcPr>
          <w:p>
            <w:pPr>
              <w:spacing w:line="240" w:lineRule="auto" w:before="40" w:after="40"/>
              <w:jc w:val="right"/>
            </w:pPr>
            <w:r/>
            <w:r>
              <w:rPr>
                <w:b w:val="0"/>
                <w:i w:val="0"/>
                <w:sz w:val="18"/>
              </w:rPr>
              <w:t>760</w:t>
            </w:r>
          </w:p>
        </w:tc>
      </w:tr>
      <w:tr>
        <w:tc>
          <w:tcPr>
            <w:tcW w:type="dxa" w:w="1296"/>
            <w:shd w:val="clear" w:color="auto" w:fill="EFEFEF"/>
          </w:tcPr>
          <w:p>
            <w:pPr>
              <w:spacing w:line="240" w:lineRule="auto" w:before="40" w:after="40"/>
              <w:jc w:val="left"/>
            </w:pPr>
            <w:r/>
            <w:r>
              <w:rPr>
                <w:b w:val="0"/>
                <w:i w:val="0"/>
                <w:sz w:val="18"/>
              </w:rPr>
              <w:t>1018 (2)</w:t>
            </w:r>
          </w:p>
        </w:tc>
        <w:tc>
          <w:tcPr>
            <w:tcW w:type="dxa" w:w="5616"/>
            <w:shd w:val="clear" w:color="auto" w:fill="EFEFEF"/>
          </w:tcPr>
          <w:p>
            <w:pPr>
              <w:spacing w:line="240" w:lineRule="auto" w:before="40" w:after="40"/>
              <w:jc w:val="left"/>
            </w:pPr>
            <w:r/>
            <w:r>
              <w:rPr>
                <w:b w:val="0"/>
                <w:i w:val="0"/>
                <w:sz w:val="18"/>
              </w:rPr>
              <w:t>Ceramic floor tiles 600 × 600 mm</w:t>
            </w:r>
          </w:p>
        </w:tc>
        <w:tc>
          <w:tcPr>
            <w:tcW w:type="dxa" w:w="864"/>
            <w:shd w:val="clear" w:color="auto" w:fill="EFEFEF"/>
          </w:tcPr>
          <w:p>
            <w:pPr>
              <w:spacing w:line="240" w:lineRule="auto" w:before="40" w:after="40"/>
              <w:jc w:val="center"/>
            </w:pPr>
            <w:r/>
            <w:r>
              <w:rPr>
                <w:b w:val="0"/>
                <w:i w:val="0"/>
                <w:sz w:val="18"/>
              </w:rPr>
              <w:t>m²</w:t>
            </w:r>
          </w:p>
        </w:tc>
        <w:tc>
          <w:tcPr>
            <w:tcW w:type="dxa" w:w="1296"/>
            <w:shd w:val="clear" w:color="auto" w:fill="EFEFEF"/>
          </w:tcPr>
          <w:p>
            <w:pPr>
              <w:spacing w:line="240" w:lineRule="auto" w:before="40" w:after="40"/>
              <w:jc w:val="right"/>
            </w:pPr>
            <w:r/>
            <w:r>
              <w:rPr>
                <w:b w:val="0"/>
                <w:i w:val="0"/>
                <w:sz w:val="18"/>
              </w:rPr>
              <w:t>1,180</w:t>
            </w:r>
          </w:p>
        </w:tc>
      </w:tr>
      <w:tr>
        <w:tc>
          <w:tcPr>
            <w:tcW w:type="dxa" w:w="1296"/>
          </w:tcPr>
          <w:p>
            <w:pPr>
              <w:spacing w:line="240" w:lineRule="auto" w:before="40" w:after="40"/>
              <w:jc w:val="left"/>
            </w:pPr>
            <w:r/>
            <w:r>
              <w:rPr>
                <w:b w:val="0"/>
                <w:i w:val="0"/>
                <w:sz w:val="18"/>
              </w:rPr>
              <w:t>1008 (1)</w:t>
            </w:r>
          </w:p>
        </w:tc>
        <w:tc>
          <w:tcPr>
            <w:tcW w:type="dxa" w:w="5616"/>
          </w:tcPr>
          <w:p>
            <w:pPr>
              <w:spacing w:line="240" w:lineRule="auto" w:before="40" w:after="40"/>
              <w:jc w:val="left"/>
            </w:pPr>
            <w:r/>
            <w:r>
              <w:rPr>
                <w:b w:val="0"/>
                <w:i w:val="0"/>
                <w:sz w:val="18"/>
              </w:rPr>
              <w:t>Aluminum-framed glass windows</w:t>
            </w:r>
          </w:p>
        </w:tc>
        <w:tc>
          <w:tcPr>
            <w:tcW w:type="dxa" w:w="864"/>
          </w:tcPr>
          <w:p>
            <w:pPr>
              <w:spacing w:line="240" w:lineRule="auto" w:before="40" w:after="40"/>
              <w:jc w:val="center"/>
            </w:pPr>
            <w:r/>
            <w:r>
              <w:rPr>
                <w:b w:val="0"/>
                <w:i w:val="0"/>
                <w:sz w:val="18"/>
              </w:rPr>
              <w:t>m²</w:t>
            </w:r>
          </w:p>
        </w:tc>
        <w:tc>
          <w:tcPr>
            <w:tcW w:type="dxa" w:w="1296"/>
          </w:tcPr>
          <w:p>
            <w:pPr>
              <w:spacing w:line="240" w:lineRule="auto" w:before="40" w:after="40"/>
              <w:jc w:val="right"/>
            </w:pPr>
            <w:r/>
            <w:r>
              <w:rPr>
                <w:b w:val="0"/>
                <w:i w:val="0"/>
                <w:sz w:val="18"/>
              </w:rPr>
              <w:t>6,200</w:t>
            </w:r>
          </w:p>
        </w:tc>
      </w:tr>
      <w:tr>
        <w:tc>
          <w:tcPr>
            <w:tcW w:type="dxa" w:w="1296"/>
            <w:shd w:val="clear" w:color="auto" w:fill="EFEFEF"/>
          </w:tcPr>
          <w:p>
            <w:pPr>
              <w:spacing w:line="240" w:lineRule="auto" w:before="40" w:after="40"/>
              <w:jc w:val="left"/>
            </w:pPr>
            <w:r/>
            <w:r>
              <w:rPr>
                <w:b w:val="0"/>
                <w:i w:val="0"/>
                <w:sz w:val="18"/>
              </w:rPr>
              <w:t>1010</w:t>
            </w:r>
          </w:p>
        </w:tc>
        <w:tc>
          <w:tcPr>
            <w:tcW w:type="dxa" w:w="5616"/>
            <w:shd w:val="clear" w:color="auto" w:fill="EFEFEF"/>
          </w:tcPr>
          <w:p>
            <w:pPr>
              <w:spacing w:line="240" w:lineRule="auto" w:before="40" w:after="40"/>
              <w:jc w:val="left"/>
            </w:pPr>
            <w:r/>
            <w:r>
              <w:rPr>
                <w:b w:val="0"/>
                <w:i w:val="0"/>
                <w:sz w:val="18"/>
              </w:rPr>
              <w:t>Doors complete with jamb &amp; hardware</w:t>
            </w:r>
          </w:p>
        </w:tc>
        <w:tc>
          <w:tcPr>
            <w:tcW w:type="dxa" w:w="864"/>
            <w:shd w:val="clear" w:color="auto" w:fill="EFEFEF"/>
          </w:tcPr>
          <w:p>
            <w:pPr>
              <w:spacing w:line="240" w:lineRule="auto" w:before="40" w:after="40"/>
              <w:jc w:val="center"/>
            </w:pPr>
            <w:r/>
            <w:r>
              <w:rPr>
                <w:b w:val="0"/>
                <w:i w:val="0"/>
                <w:sz w:val="18"/>
              </w:rPr>
              <w:t>set</w:t>
            </w:r>
          </w:p>
        </w:tc>
        <w:tc>
          <w:tcPr>
            <w:tcW w:type="dxa" w:w="1296"/>
            <w:shd w:val="clear" w:color="auto" w:fill="EFEFEF"/>
          </w:tcPr>
          <w:p>
            <w:pPr>
              <w:spacing w:line="240" w:lineRule="auto" w:before="40" w:after="40"/>
              <w:jc w:val="right"/>
            </w:pPr>
            <w:r/>
            <w:r>
              <w:rPr>
                <w:b w:val="0"/>
                <w:i w:val="0"/>
                <w:sz w:val="18"/>
              </w:rPr>
              <w:t>13,500</w:t>
            </w:r>
          </w:p>
        </w:tc>
      </w:tr>
      <w:tr>
        <w:tc>
          <w:tcPr>
            <w:tcW w:type="dxa" w:w="1296"/>
          </w:tcPr>
          <w:p>
            <w:pPr>
              <w:spacing w:line="240" w:lineRule="auto" w:before="40" w:after="40"/>
              <w:jc w:val="left"/>
            </w:pPr>
            <w:r/>
            <w:r>
              <w:rPr>
                <w:b w:val="0"/>
                <w:i w:val="0"/>
                <w:sz w:val="18"/>
              </w:rPr>
              <w:t>803 (1)a</w:t>
            </w:r>
          </w:p>
        </w:tc>
        <w:tc>
          <w:tcPr>
            <w:tcW w:type="dxa" w:w="5616"/>
          </w:tcPr>
          <w:p>
            <w:pPr>
              <w:spacing w:line="240" w:lineRule="auto" w:before="40" w:after="40"/>
              <w:jc w:val="left"/>
            </w:pPr>
            <w:r/>
            <w:r>
              <w:rPr>
                <w:b w:val="0"/>
                <w:i w:val="0"/>
                <w:sz w:val="18"/>
              </w:rPr>
              <w:t>Structure excavation, common soil</w:t>
            </w:r>
          </w:p>
        </w:tc>
        <w:tc>
          <w:tcPr>
            <w:tcW w:type="dxa" w:w="864"/>
          </w:tcPr>
          <w:p>
            <w:pPr>
              <w:spacing w:line="240" w:lineRule="auto" w:before="40" w:after="40"/>
              <w:jc w:val="center"/>
            </w:pPr>
            <w:r/>
            <w:r>
              <w:rPr>
                <w:b w:val="0"/>
                <w:i w:val="0"/>
                <w:sz w:val="18"/>
              </w:rPr>
              <w:t>m³</w:t>
            </w:r>
          </w:p>
        </w:tc>
        <w:tc>
          <w:tcPr>
            <w:tcW w:type="dxa" w:w="1296"/>
          </w:tcPr>
          <w:p>
            <w:pPr>
              <w:spacing w:line="240" w:lineRule="auto" w:before="40" w:after="40"/>
              <w:jc w:val="right"/>
            </w:pPr>
            <w:r/>
            <w:r>
              <w:rPr>
                <w:b w:val="0"/>
                <w:i w:val="0"/>
                <w:sz w:val="18"/>
              </w:rPr>
              <w:t>380</w:t>
            </w:r>
          </w:p>
        </w:tc>
      </w:tr>
      <w:tr>
        <w:tc>
          <w:tcPr>
            <w:tcW w:type="dxa" w:w="1296"/>
            <w:shd w:val="clear" w:color="auto" w:fill="EFEFEF"/>
          </w:tcPr>
          <w:p>
            <w:pPr>
              <w:spacing w:line="240" w:lineRule="auto" w:before="40" w:after="40"/>
              <w:jc w:val="left"/>
            </w:pPr>
            <w:r/>
            <w:r>
              <w:rPr>
                <w:b w:val="0"/>
                <w:i w:val="0"/>
                <w:sz w:val="18"/>
              </w:rPr>
              <w:t>405 (1)a</w:t>
            </w:r>
          </w:p>
        </w:tc>
        <w:tc>
          <w:tcPr>
            <w:tcW w:type="dxa" w:w="5616"/>
            <w:shd w:val="clear" w:color="auto" w:fill="EFEFEF"/>
          </w:tcPr>
          <w:p>
            <w:pPr>
              <w:spacing w:line="240" w:lineRule="auto" w:before="40" w:after="40"/>
              <w:jc w:val="left"/>
            </w:pPr>
            <w:r/>
            <w:r>
              <w:rPr>
                <w:b w:val="0"/>
                <w:i w:val="0"/>
                <w:sz w:val="18"/>
              </w:rPr>
              <w:t>Structural concrete Class A — deck &amp; girders, incl. forms</w:t>
            </w:r>
          </w:p>
        </w:tc>
        <w:tc>
          <w:tcPr>
            <w:tcW w:type="dxa" w:w="864"/>
            <w:shd w:val="clear" w:color="auto" w:fill="EFEFEF"/>
          </w:tcPr>
          <w:p>
            <w:pPr>
              <w:spacing w:line="240" w:lineRule="auto" w:before="40" w:after="40"/>
              <w:jc w:val="center"/>
            </w:pPr>
            <w:r/>
            <w:r>
              <w:rPr>
                <w:b w:val="0"/>
                <w:i w:val="0"/>
                <w:sz w:val="18"/>
              </w:rPr>
              <w:t>m³</w:t>
            </w:r>
          </w:p>
        </w:tc>
        <w:tc>
          <w:tcPr>
            <w:tcW w:type="dxa" w:w="1296"/>
            <w:shd w:val="clear" w:color="auto" w:fill="EFEFEF"/>
          </w:tcPr>
          <w:p>
            <w:pPr>
              <w:spacing w:line="240" w:lineRule="auto" w:before="40" w:after="40"/>
              <w:jc w:val="right"/>
            </w:pPr>
            <w:r/>
            <w:r>
              <w:rPr>
                <w:b w:val="0"/>
                <w:i w:val="0"/>
                <w:sz w:val="18"/>
              </w:rPr>
              <w:t>13,500</w:t>
            </w:r>
          </w:p>
        </w:tc>
      </w:tr>
      <w:tr>
        <w:tc>
          <w:tcPr>
            <w:tcW w:type="dxa" w:w="1296"/>
          </w:tcPr>
          <w:p>
            <w:pPr>
              <w:spacing w:line="240" w:lineRule="auto" w:before="40" w:after="40"/>
              <w:jc w:val="left"/>
            </w:pPr>
            <w:r/>
            <w:r>
              <w:rPr>
                <w:b w:val="0"/>
                <w:i w:val="0"/>
                <w:sz w:val="18"/>
              </w:rPr>
              <w:t>405 (1)b</w:t>
            </w:r>
          </w:p>
        </w:tc>
        <w:tc>
          <w:tcPr>
            <w:tcW w:type="dxa" w:w="5616"/>
          </w:tcPr>
          <w:p>
            <w:pPr>
              <w:spacing w:line="240" w:lineRule="auto" w:before="40" w:after="40"/>
              <w:jc w:val="left"/>
            </w:pPr>
            <w:r/>
            <w:r>
              <w:rPr>
                <w:b w:val="0"/>
                <w:i w:val="0"/>
                <w:sz w:val="18"/>
              </w:rPr>
              <w:t>Structural concrete Class A — abutments, piers, walls, incl. forms</w:t>
            </w:r>
          </w:p>
        </w:tc>
        <w:tc>
          <w:tcPr>
            <w:tcW w:type="dxa" w:w="864"/>
          </w:tcPr>
          <w:p>
            <w:pPr>
              <w:spacing w:line="240" w:lineRule="auto" w:before="40" w:after="40"/>
              <w:jc w:val="center"/>
            </w:pPr>
            <w:r/>
            <w:r>
              <w:rPr>
                <w:b w:val="0"/>
                <w:i w:val="0"/>
                <w:sz w:val="18"/>
              </w:rPr>
              <w:t>m³</w:t>
            </w:r>
          </w:p>
        </w:tc>
        <w:tc>
          <w:tcPr>
            <w:tcW w:type="dxa" w:w="1296"/>
          </w:tcPr>
          <w:p>
            <w:pPr>
              <w:spacing w:line="240" w:lineRule="auto" w:before="40" w:after="40"/>
              <w:jc w:val="right"/>
            </w:pPr>
            <w:r/>
            <w:r>
              <w:rPr>
                <w:b w:val="0"/>
                <w:i w:val="0"/>
                <w:sz w:val="18"/>
              </w:rPr>
              <w:t>11,200</w:t>
            </w:r>
          </w:p>
        </w:tc>
      </w:tr>
      <w:tr>
        <w:tc>
          <w:tcPr>
            <w:tcW w:type="dxa" w:w="1296"/>
            <w:shd w:val="clear" w:color="auto" w:fill="EFEFEF"/>
          </w:tcPr>
          <w:p>
            <w:pPr>
              <w:spacing w:line="240" w:lineRule="auto" w:before="40" w:after="40"/>
              <w:jc w:val="left"/>
            </w:pPr>
            <w:r/>
            <w:r>
              <w:rPr>
                <w:b w:val="0"/>
                <w:i w:val="0"/>
                <w:sz w:val="18"/>
              </w:rPr>
              <w:t>405 (1)c</w:t>
            </w:r>
          </w:p>
        </w:tc>
        <w:tc>
          <w:tcPr>
            <w:tcW w:type="dxa" w:w="5616"/>
            <w:shd w:val="clear" w:color="auto" w:fill="EFEFEF"/>
          </w:tcPr>
          <w:p>
            <w:pPr>
              <w:spacing w:line="240" w:lineRule="auto" w:before="40" w:after="40"/>
              <w:jc w:val="left"/>
            </w:pPr>
            <w:r/>
            <w:r>
              <w:rPr>
                <w:b w:val="0"/>
                <w:i w:val="0"/>
                <w:sz w:val="18"/>
              </w:rPr>
              <w:t>Structural concrete Class A — footings, pile caps, approach slabs</w:t>
            </w:r>
          </w:p>
        </w:tc>
        <w:tc>
          <w:tcPr>
            <w:tcW w:type="dxa" w:w="864"/>
            <w:shd w:val="clear" w:color="auto" w:fill="EFEFEF"/>
          </w:tcPr>
          <w:p>
            <w:pPr>
              <w:spacing w:line="240" w:lineRule="auto" w:before="40" w:after="40"/>
              <w:jc w:val="center"/>
            </w:pPr>
            <w:r/>
            <w:r>
              <w:rPr>
                <w:b w:val="0"/>
                <w:i w:val="0"/>
                <w:sz w:val="18"/>
              </w:rPr>
              <w:t>m³</w:t>
            </w:r>
          </w:p>
        </w:tc>
        <w:tc>
          <w:tcPr>
            <w:tcW w:type="dxa" w:w="1296"/>
            <w:shd w:val="clear" w:color="auto" w:fill="EFEFEF"/>
          </w:tcPr>
          <w:p>
            <w:pPr>
              <w:spacing w:line="240" w:lineRule="auto" w:before="40" w:after="40"/>
              <w:jc w:val="right"/>
            </w:pPr>
            <w:r/>
            <w:r>
              <w:rPr>
                <w:b w:val="0"/>
                <w:i w:val="0"/>
                <w:sz w:val="18"/>
              </w:rPr>
              <w:t>9,400</w:t>
            </w:r>
          </w:p>
        </w:tc>
      </w:tr>
      <w:tr>
        <w:tc>
          <w:tcPr>
            <w:tcW w:type="dxa" w:w="1296"/>
          </w:tcPr>
          <w:p>
            <w:pPr>
              <w:spacing w:line="240" w:lineRule="auto" w:before="40" w:after="40"/>
              <w:jc w:val="left"/>
            </w:pPr>
            <w:r/>
            <w:r>
              <w:rPr>
                <w:b w:val="0"/>
                <w:i w:val="0"/>
                <w:sz w:val="18"/>
              </w:rPr>
              <w:t>404 (1)</w:t>
            </w:r>
          </w:p>
        </w:tc>
        <w:tc>
          <w:tcPr>
            <w:tcW w:type="dxa" w:w="5616"/>
          </w:tcPr>
          <w:p>
            <w:pPr>
              <w:spacing w:line="240" w:lineRule="auto" w:before="40" w:after="40"/>
              <w:jc w:val="left"/>
            </w:pPr>
            <w:r/>
            <w:r>
              <w:rPr>
                <w:b w:val="0"/>
                <w:i w:val="0"/>
                <w:sz w:val="18"/>
              </w:rPr>
              <w:t>Reinforcing steel Gr. 60, incl. tie wire</w:t>
            </w:r>
          </w:p>
        </w:tc>
        <w:tc>
          <w:tcPr>
            <w:tcW w:type="dxa" w:w="864"/>
          </w:tcPr>
          <w:p>
            <w:pPr>
              <w:spacing w:line="240" w:lineRule="auto" w:before="40" w:after="40"/>
              <w:jc w:val="center"/>
            </w:pPr>
            <w:r/>
            <w:r>
              <w:rPr>
                <w:b w:val="0"/>
                <w:i w:val="0"/>
                <w:sz w:val="18"/>
              </w:rPr>
              <w:t>kg</w:t>
            </w:r>
          </w:p>
        </w:tc>
        <w:tc>
          <w:tcPr>
            <w:tcW w:type="dxa" w:w="1296"/>
          </w:tcPr>
          <w:p>
            <w:pPr>
              <w:spacing w:line="240" w:lineRule="auto" w:before="40" w:after="40"/>
              <w:jc w:val="right"/>
            </w:pPr>
            <w:r/>
            <w:r>
              <w:rPr>
                <w:b w:val="0"/>
                <w:i w:val="0"/>
                <w:sz w:val="18"/>
              </w:rPr>
              <w:t>84</w:t>
            </w:r>
          </w:p>
        </w:tc>
      </w:tr>
      <w:tr>
        <w:tc>
          <w:tcPr>
            <w:tcW w:type="dxa" w:w="1296"/>
            <w:shd w:val="clear" w:color="auto" w:fill="EFEFEF"/>
          </w:tcPr>
          <w:p>
            <w:pPr>
              <w:spacing w:line="240" w:lineRule="auto" w:before="40" w:after="40"/>
              <w:jc w:val="left"/>
            </w:pPr>
            <w:r/>
            <w:r>
              <w:rPr>
                <w:b w:val="0"/>
                <w:i w:val="0"/>
                <w:sz w:val="18"/>
              </w:rPr>
              <w:t>406 (1)b</w:t>
            </w:r>
          </w:p>
        </w:tc>
        <w:tc>
          <w:tcPr>
            <w:tcW w:type="dxa" w:w="5616"/>
            <w:shd w:val="clear" w:color="auto" w:fill="EFEFEF"/>
          </w:tcPr>
          <w:p>
            <w:pPr>
              <w:spacing w:line="240" w:lineRule="auto" w:before="40" w:after="40"/>
              <w:jc w:val="left"/>
            </w:pPr>
            <w:r/>
            <w:r>
              <w:rPr>
                <w:b w:val="0"/>
                <w:i w:val="0"/>
                <w:sz w:val="18"/>
              </w:rPr>
              <w:t>Precast PSC girder AASHTO Type IV — supply, fabricate, launch</w:t>
            </w:r>
          </w:p>
        </w:tc>
        <w:tc>
          <w:tcPr>
            <w:tcW w:type="dxa" w:w="864"/>
            <w:shd w:val="clear" w:color="auto" w:fill="EFEFEF"/>
          </w:tcPr>
          <w:p>
            <w:pPr>
              <w:spacing w:line="240" w:lineRule="auto" w:before="40" w:after="40"/>
              <w:jc w:val="center"/>
            </w:pPr>
            <w:r/>
            <w:r>
              <w:rPr>
                <w:b w:val="0"/>
                <w:i w:val="0"/>
                <w:sz w:val="18"/>
              </w:rPr>
              <w:t>m</w:t>
            </w:r>
          </w:p>
        </w:tc>
        <w:tc>
          <w:tcPr>
            <w:tcW w:type="dxa" w:w="1296"/>
            <w:shd w:val="clear" w:color="auto" w:fill="EFEFEF"/>
          </w:tcPr>
          <w:p>
            <w:pPr>
              <w:spacing w:line="240" w:lineRule="auto" w:before="40" w:after="40"/>
              <w:jc w:val="right"/>
            </w:pPr>
            <w:r/>
            <w:r>
              <w:rPr>
                <w:b w:val="0"/>
                <w:i w:val="0"/>
                <w:sz w:val="18"/>
              </w:rPr>
              <w:t>42,000</w:t>
            </w:r>
          </w:p>
        </w:tc>
      </w:tr>
      <w:tr>
        <w:tc>
          <w:tcPr>
            <w:tcW w:type="dxa" w:w="1296"/>
          </w:tcPr>
          <w:p>
            <w:pPr>
              <w:spacing w:line="240" w:lineRule="auto" w:before="40" w:after="40"/>
              <w:jc w:val="left"/>
            </w:pPr>
            <w:r/>
            <w:r>
              <w:rPr>
                <w:b w:val="0"/>
                <w:i w:val="0"/>
                <w:sz w:val="18"/>
              </w:rPr>
              <w:t>403 (1)</w:t>
            </w:r>
          </w:p>
        </w:tc>
        <w:tc>
          <w:tcPr>
            <w:tcW w:type="dxa" w:w="5616"/>
          </w:tcPr>
          <w:p>
            <w:pPr>
              <w:spacing w:line="240" w:lineRule="auto" w:before="40" w:after="40"/>
              <w:jc w:val="left"/>
            </w:pPr>
            <w:r/>
            <w:r>
              <w:rPr>
                <w:b w:val="0"/>
                <w:i w:val="0"/>
                <w:sz w:val="18"/>
              </w:rPr>
              <w:t>Structural steel, fabricated, painted &amp; erected</w:t>
            </w:r>
          </w:p>
        </w:tc>
        <w:tc>
          <w:tcPr>
            <w:tcW w:type="dxa" w:w="864"/>
          </w:tcPr>
          <w:p>
            <w:pPr>
              <w:spacing w:line="240" w:lineRule="auto" w:before="40" w:after="40"/>
              <w:jc w:val="center"/>
            </w:pPr>
            <w:r/>
            <w:r>
              <w:rPr>
                <w:b w:val="0"/>
                <w:i w:val="0"/>
                <w:sz w:val="18"/>
              </w:rPr>
              <w:t>kg</w:t>
            </w:r>
          </w:p>
        </w:tc>
        <w:tc>
          <w:tcPr>
            <w:tcW w:type="dxa" w:w="1296"/>
          </w:tcPr>
          <w:p>
            <w:pPr>
              <w:spacing w:line="240" w:lineRule="auto" w:before="40" w:after="40"/>
              <w:jc w:val="right"/>
            </w:pPr>
            <w:r/>
            <w:r>
              <w:rPr>
                <w:b w:val="0"/>
                <w:i w:val="0"/>
                <w:sz w:val="18"/>
              </w:rPr>
              <w:t>210</w:t>
            </w:r>
          </w:p>
        </w:tc>
      </w:tr>
      <w:tr>
        <w:tc>
          <w:tcPr>
            <w:tcW w:type="dxa" w:w="1296"/>
            <w:shd w:val="clear" w:color="auto" w:fill="EFEFEF"/>
          </w:tcPr>
          <w:p>
            <w:pPr>
              <w:spacing w:line="240" w:lineRule="auto" w:before="40" w:after="40"/>
              <w:jc w:val="left"/>
            </w:pPr>
            <w:r/>
            <w:r>
              <w:rPr>
                <w:b w:val="0"/>
                <w:i w:val="0"/>
                <w:sz w:val="18"/>
              </w:rPr>
              <w:t>400 (11)</w:t>
            </w:r>
          </w:p>
        </w:tc>
        <w:tc>
          <w:tcPr>
            <w:tcW w:type="dxa" w:w="5616"/>
            <w:shd w:val="clear" w:color="auto" w:fill="EFEFEF"/>
          </w:tcPr>
          <w:p>
            <w:pPr>
              <w:spacing w:line="240" w:lineRule="auto" w:before="40" w:after="40"/>
              <w:jc w:val="left"/>
            </w:pPr>
            <w:r/>
            <w:r>
              <w:rPr>
                <w:b w:val="0"/>
                <w:i w:val="0"/>
                <w:sz w:val="18"/>
              </w:rPr>
              <w:t>Precast RC piles 450 × 450 mm, furnished &amp; driven</w:t>
            </w:r>
          </w:p>
        </w:tc>
        <w:tc>
          <w:tcPr>
            <w:tcW w:type="dxa" w:w="864"/>
            <w:shd w:val="clear" w:color="auto" w:fill="EFEFEF"/>
          </w:tcPr>
          <w:p>
            <w:pPr>
              <w:spacing w:line="240" w:lineRule="auto" w:before="40" w:after="40"/>
              <w:jc w:val="center"/>
            </w:pPr>
            <w:r/>
            <w:r>
              <w:rPr>
                <w:b w:val="0"/>
                <w:i w:val="0"/>
                <w:sz w:val="18"/>
              </w:rPr>
              <w:t>m</w:t>
            </w:r>
          </w:p>
        </w:tc>
        <w:tc>
          <w:tcPr>
            <w:tcW w:type="dxa" w:w="1296"/>
            <w:shd w:val="clear" w:color="auto" w:fill="EFEFEF"/>
          </w:tcPr>
          <w:p>
            <w:pPr>
              <w:spacing w:line="240" w:lineRule="auto" w:before="40" w:after="40"/>
              <w:jc w:val="right"/>
            </w:pPr>
            <w:r/>
            <w:r>
              <w:rPr>
                <w:b w:val="0"/>
                <w:i w:val="0"/>
                <w:sz w:val="18"/>
              </w:rPr>
              <w:t>11,500</w:t>
            </w:r>
          </w:p>
        </w:tc>
      </w:tr>
      <w:tr>
        <w:tc>
          <w:tcPr>
            <w:tcW w:type="dxa" w:w="1296"/>
          </w:tcPr>
          <w:p>
            <w:pPr>
              <w:spacing w:line="240" w:lineRule="auto" w:before="40" w:after="40"/>
              <w:jc w:val="left"/>
            </w:pPr>
            <w:r/>
            <w:r>
              <w:rPr>
                <w:b w:val="0"/>
                <w:i w:val="0"/>
                <w:sz w:val="18"/>
              </w:rPr>
              <w:t>400 (17)</w:t>
            </w:r>
          </w:p>
        </w:tc>
        <w:tc>
          <w:tcPr>
            <w:tcW w:type="dxa" w:w="5616"/>
          </w:tcPr>
          <w:p>
            <w:pPr>
              <w:spacing w:line="240" w:lineRule="auto" w:before="40" w:after="40"/>
              <w:jc w:val="left"/>
            </w:pPr>
            <w:r/>
            <w:r>
              <w:rPr>
                <w:b w:val="0"/>
                <w:i w:val="0"/>
                <w:sz w:val="18"/>
              </w:rPr>
              <w:t>Bored piles 1.0 m Ø, drilling incl. temporary casing</w:t>
            </w:r>
          </w:p>
        </w:tc>
        <w:tc>
          <w:tcPr>
            <w:tcW w:type="dxa" w:w="864"/>
          </w:tcPr>
          <w:p>
            <w:pPr>
              <w:spacing w:line="240" w:lineRule="auto" w:before="40" w:after="40"/>
              <w:jc w:val="center"/>
            </w:pPr>
            <w:r/>
            <w:r>
              <w:rPr>
                <w:b w:val="0"/>
                <w:i w:val="0"/>
                <w:sz w:val="18"/>
              </w:rPr>
              <w:t>m</w:t>
            </w:r>
          </w:p>
        </w:tc>
        <w:tc>
          <w:tcPr>
            <w:tcW w:type="dxa" w:w="1296"/>
          </w:tcPr>
          <w:p>
            <w:pPr>
              <w:spacing w:line="240" w:lineRule="auto" w:before="40" w:after="40"/>
              <w:jc w:val="right"/>
            </w:pPr>
            <w:r/>
            <w:r>
              <w:rPr>
                <w:b w:val="0"/>
                <w:i w:val="0"/>
                <w:sz w:val="18"/>
              </w:rPr>
              <w:t>28,000</w:t>
            </w:r>
          </w:p>
        </w:tc>
      </w:tr>
      <w:tr>
        <w:tc>
          <w:tcPr>
            <w:tcW w:type="dxa" w:w="1296"/>
            <w:shd w:val="clear" w:color="auto" w:fill="EFEFEF"/>
          </w:tcPr>
          <w:p>
            <w:pPr>
              <w:spacing w:line="240" w:lineRule="auto" w:before="40" w:after="40"/>
              <w:jc w:val="left"/>
            </w:pPr>
            <w:r/>
            <w:r>
              <w:rPr>
                <w:b w:val="0"/>
                <w:i w:val="0"/>
                <w:sz w:val="18"/>
              </w:rPr>
              <w:t>412 (1)</w:t>
            </w:r>
          </w:p>
        </w:tc>
        <w:tc>
          <w:tcPr>
            <w:tcW w:type="dxa" w:w="5616"/>
            <w:shd w:val="clear" w:color="auto" w:fill="EFEFEF"/>
          </w:tcPr>
          <w:p>
            <w:pPr>
              <w:spacing w:line="240" w:lineRule="auto" w:before="40" w:after="40"/>
              <w:jc w:val="left"/>
            </w:pPr>
            <w:r/>
            <w:r>
              <w:rPr>
                <w:b w:val="0"/>
                <w:i w:val="0"/>
                <w:sz w:val="18"/>
              </w:rPr>
              <w:t>Elastomeric bearing pads</w:t>
            </w:r>
          </w:p>
        </w:tc>
        <w:tc>
          <w:tcPr>
            <w:tcW w:type="dxa" w:w="864"/>
            <w:shd w:val="clear" w:color="auto" w:fill="EFEFEF"/>
          </w:tcPr>
          <w:p>
            <w:pPr>
              <w:spacing w:line="240" w:lineRule="auto" w:before="40" w:after="40"/>
              <w:jc w:val="center"/>
            </w:pPr>
            <w:r/>
            <w:r>
              <w:rPr>
                <w:b w:val="0"/>
                <w:i w:val="0"/>
                <w:sz w:val="18"/>
              </w:rPr>
              <w:t>pc</w:t>
            </w:r>
          </w:p>
        </w:tc>
        <w:tc>
          <w:tcPr>
            <w:tcW w:type="dxa" w:w="1296"/>
            <w:shd w:val="clear" w:color="auto" w:fill="EFEFEF"/>
          </w:tcPr>
          <w:p>
            <w:pPr>
              <w:spacing w:line="240" w:lineRule="auto" w:before="40" w:after="40"/>
              <w:jc w:val="right"/>
            </w:pPr>
            <w:r/>
            <w:r>
              <w:rPr>
                <w:b w:val="0"/>
                <w:i w:val="0"/>
                <w:sz w:val="18"/>
              </w:rPr>
              <w:t>16,500</w:t>
            </w:r>
          </w:p>
        </w:tc>
      </w:tr>
      <w:tr>
        <w:tc>
          <w:tcPr>
            <w:tcW w:type="dxa" w:w="1296"/>
            <w:tcBorders>
              <w:bottom w:val="single" w:sz="12" w:color="000000"/>
            </w:tcBorders>
          </w:tcPr>
          <w:p>
            <w:pPr>
              <w:spacing w:line="240" w:lineRule="auto" w:before="40" w:after="40"/>
              <w:jc w:val="left"/>
            </w:pPr>
            <w:r/>
            <w:r>
              <w:rPr>
                <w:b w:val="0"/>
                <w:i w:val="0"/>
                <w:sz w:val="18"/>
              </w:rPr>
              <w:t>505 (2)</w:t>
            </w:r>
          </w:p>
        </w:tc>
        <w:tc>
          <w:tcPr>
            <w:tcW w:type="dxa" w:w="5616"/>
            <w:tcBorders>
              <w:bottom w:val="single" w:sz="12" w:color="000000"/>
            </w:tcBorders>
          </w:tcPr>
          <w:p>
            <w:pPr>
              <w:spacing w:line="240" w:lineRule="auto" w:before="40" w:after="40"/>
              <w:jc w:val="left"/>
            </w:pPr>
            <w:r/>
            <w:r>
              <w:rPr>
                <w:b w:val="0"/>
                <w:i w:val="0"/>
                <w:sz w:val="18"/>
              </w:rPr>
              <w:t>Grouted riprap, Class A (slope protection)</w:t>
            </w:r>
          </w:p>
        </w:tc>
        <w:tc>
          <w:tcPr>
            <w:tcW w:type="dxa" w:w="864"/>
            <w:tcBorders>
              <w:bottom w:val="single" w:sz="12" w:color="000000"/>
            </w:tcBorders>
          </w:tcPr>
          <w:p>
            <w:pPr>
              <w:spacing w:line="240" w:lineRule="auto" w:before="40" w:after="40"/>
              <w:jc w:val="center"/>
            </w:pPr>
            <w:r/>
            <w:r>
              <w:rPr>
                <w:b w:val="0"/>
                <w:i w:val="0"/>
                <w:sz w:val="18"/>
              </w:rPr>
              <w:t>m³</w:t>
            </w:r>
          </w:p>
        </w:tc>
        <w:tc>
          <w:tcPr>
            <w:tcW w:type="dxa" w:w="1296"/>
            <w:tcBorders>
              <w:bottom w:val="single" w:sz="12" w:color="000000"/>
            </w:tcBorders>
          </w:tcPr>
          <w:p>
            <w:pPr>
              <w:spacing w:line="240" w:lineRule="auto" w:before="40" w:after="40"/>
              <w:jc w:val="right"/>
            </w:pPr>
            <w:r/>
            <w:r>
              <w:rPr>
                <w:b w:val="0"/>
                <w:i w:val="0"/>
                <w:sz w:val="18"/>
              </w:rPr>
              <w:t>3,100</w:t>
            </w:r>
          </w:p>
        </w:tc>
      </w:tr>
    </w:tbl>
    <w:p>
      <w:pPr>
        <w:spacing w:line="240" w:lineRule="auto" w:after="80"/>
      </w:pPr>
    </w:p>
    <w:p>
      <w:pPr>
        <w:spacing w:line="480" w:lineRule="auto" w:after="0"/>
        <w:ind w:firstLine="720"/>
        <w:jc w:val="both"/>
      </w:pPr>
      <w:r>
        <w:rPr>
          <w:b w:val="0"/>
          <w:i w:val="0"/>
        </w:rPr>
        <w:t>Indirect costs follow DPWH Department Order No. 197, s. 2016, whose overhead, contingencies and miscellaneous (OCM) and profit percentages are carried into D.O. No. 30, s. 2025 for estimates from 2026. Both are applied as a share of the estimated direct cost (EDC) by bracket, and value-added tax is 5% of the sum of EDC, OCM and profit (Table 4). BUHAY also uses these caps to check submitted ABCs for excessive markups or a wrong VAT rate.</w:t>
      </w:r>
    </w:p>
    <w:p>
      <w:pPr>
        <w:keepNext/>
        <w:spacing w:line="240" w:lineRule="auto" w:after="0" w:before="120"/>
        <w:jc w:val="left"/>
      </w:pPr>
      <w:r>
        <w:rPr>
          <w:b/>
          <w:i w:val="0"/>
        </w:rPr>
        <w:t>Table 4.</w:t>
      </w:r>
    </w:p>
    <w:p>
      <w:pPr>
        <w:keepNext/>
        <w:spacing w:line="240" w:lineRule="auto" w:after="0"/>
        <w:jc w:val="left"/>
      </w:pPr>
      <w:r>
        <w:rPr>
          <w:b w:val="0"/>
          <w:i/>
        </w:rPr>
        <w:t>Indirect Cost Brackets under DPWH D.O. 197 s. 2016 and D.O. 30 s. 2025</w:t>
      </w:r>
    </w:p>
    <w:tbl>
      <w:tblPr>
        <w:tblW w:type="auto" w:w="0"/>
        <w:jc w:val="center"/>
        <w:tblLayout w:type="fixed"/>
        <w:tblLook w:firstColumn="1" w:firstRow="1" w:lastColumn="0" w:lastRow="0" w:noHBand="0" w:noVBand="1" w:val="04A0"/>
        <w:tblLayout w:type="fixed"/>
      </w:tblPr>
      <w:tblGrid>
        <w:gridCol w:w="3744"/>
        <w:gridCol w:w="2304"/>
        <w:gridCol w:w="1440"/>
        <w:gridCol w:w="1728"/>
      </w:tblGrid>
      <w:tr>
        <w:tc>
          <w:tcPr>
            <w:tcW w:type="dxa" w:w="3744"/>
            <w:tcBorders>
              <w:top w:val="single" w:sz="12" w:color="000000"/>
              <w:bottom w:val="single" w:sz="8" w:color="000000"/>
            </w:tcBorders>
          </w:tcPr>
          <w:p>
            <w:pPr>
              <w:spacing w:line="240" w:lineRule="auto" w:before="40" w:after="40"/>
              <w:jc w:val="center"/>
            </w:pPr>
            <w:r/>
            <w:r>
              <w:rPr>
                <w:b/>
                <w:i w:val="0"/>
                <w:sz w:val="20"/>
              </w:rPr>
              <w:t>ESTIMATED DIRECT COST</w:t>
            </w:r>
          </w:p>
        </w:tc>
        <w:tc>
          <w:tcPr>
            <w:tcW w:type="dxa" w:w="2304"/>
            <w:tcBorders>
              <w:top w:val="single" w:sz="12" w:color="000000"/>
              <w:bottom w:val="single" w:sz="8" w:color="000000"/>
            </w:tcBorders>
          </w:tcPr>
          <w:p>
            <w:pPr>
              <w:spacing w:line="240" w:lineRule="auto" w:before="40" w:after="40"/>
              <w:jc w:val="center"/>
            </w:pPr>
            <w:r/>
            <w:r>
              <w:rPr>
                <w:b/>
                <w:i w:val="0"/>
                <w:sz w:val="20"/>
              </w:rPr>
              <w:t>OCM</w:t>
            </w:r>
          </w:p>
        </w:tc>
        <w:tc>
          <w:tcPr>
            <w:tcW w:type="dxa" w:w="1440"/>
            <w:tcBorders>
              <w:top w:val="single" w:sz="12" w:color="000000"/>
              <w:bottom w:val="single" w:sz="8" w:color="000000"/>
            </w:tcBorders>
          </w:tcPr>
          <w:p>
            <w:pPr>
              <w:spacing w:line="240" w:lineRule="auto" w:before="40" w:after="40"/>
              <w:jc w:val="center"/>
            </w:pPr>
            <w:r/>
            <w:r>
              <w:rPr>
                <w:b/>
                <w:i w:val="0"/>
                <w:sz w:val="20"/>
              </w:rPr>
              <w:t>PROFIT</w:t>
            </w:r>
          </w:p>
        </w:tc>
        <w:tc>
          <w:tcPr>
            <w:tcW w:type="dxa" w:w="1728"/>
            <w:tcBorders>
              <w:top w:val="single" w:sz="12" w:color="000000"/>
              <w:bottom w:val="single" w:sz="8" w:color="000000"/>
            </w:tcBorders>
          </w:tcPr>
          <w:p>
            <w:pPr>
              <w:spacing w:line="240" w:lineRule="auto" w:before="40" w:after="40"/>
              <w:jc w:val="center"/>
            </w:pPr>
            <w:r/>
            <w:r>
              <w:rPr>
                <w:b/>
                <w:i w:val="0"/>
                <w:sz w:val="20"/>
              </w:rPr>
              <w:t>TOTAL MARKUP</w:t>
            </w:r>
          </w:p>
        </w:tc>
      </w:tr>
      <w:tr>
        <w:tc>
          <w:tcPr>
            <w:tcW w:type="dxa" w:w="3744"/>
            <w:shd w:val="clear" w:color="auto" w:fill="EFEFEF"/>
          </w:tcPr>
          <w:p>
            <w:pPr>
              <w:spacing w:line="240" w:lineRule="auto" w:before="40" w:after="40"/>
              <w:jc w:val="left"/>
            </w:pPr>
            <w:r/>
            <w:r>
              <w:rPr>
                <w:b w:val="0"/>
                <w:i/>
                <w:sz w:val="20"/>
              </w:rPr>
              <w:t>Up to ₱5 million</w:t>
            </w:r>
          </w:p>
        </w:tc>
        <w:tc>
          <w:tcPr>
            <w:tcW w:type="dxa" w:w="2304"/>
            <w:shd w:val="clear" w:color="auto" w:fill="EFEFEF"/>
          </w:tcPr>
          <w:p>
            <w:pPr>
              <w:spacing w:line="240" w:lineRule="auto" w:before="40" w:after="40"/>
              <w:jc w:val="center"/>
            </w:pPr>
            <w:r/>
            <w:r>
              <w:rPr>
                <w:b w:val="0"/>
                <w:i w:val="0"/>
                <w:sz w:val="20"/>
              </w:rPr>
              <w:t>15%</w:t>
            </w:r>
          </w:p>
        </w:tc>
        <w:tc>
          <w:tcPr>
            <w:tcW w:type="dxa" w:w="1440"/>
            <w:shd w:val="clear" w:color="auto" w:fill="EFEFEF"/>
          </w:tcPr>
          <w:p>
            <w:pPr>
              <w:spacing w:line="240" w:lineRule="auto" w:before="40" w:after="40"/>
              <w:jc w:val="center"/>
            </w:pPr>
            <w:r/>
            <w:r>
              <w:rPr>
                <w:b w:val="0"/>
                <w:i w:val="0"/>
                <w:sz w:val="20"/>
              </w:rPr>
              <w:t>10%</w:t>
            </w:r>
          </w:p>
        </w:tc>
        <w:tc>
          <w:tcPr>
            <w:tcW w:type="dxa" w:w="1728"/>
            <w:shd w:val="clear" w:color="auto" w:fill="EFEFEF"/>
          </w:tcPr>
          <w:p>
            <w:pPr>
              <w:spacing w:line="240" w:lineRule="auto" w:before="40" w:after="40"/>
              <w:jc w:val="center"/>
            </w:pPr>
            <w:r/>
            <w:r>
              <w:rPr>
                <w:b w:val="0"/>
                <w:i w:val="0"/>
                <w:sz w:val="20"/>
              </w:rPr>
              <w:t>25%</w:t>
            </w:r>
          </w:p>
        </w:tc>
      </w:tr>
      <w:tr>
        <w:tc>
          <w:tcPr>
            <w:tcW w:type="dxa" w:w="3744"/>
          </w:tcPr>
          <w:p>
            <w:pPr>
              <w:spacing w:line="240" w:lineRule="auto" w:before="40" w:after="40"/>
              <w:jc w:val="left"/>
            </w:pPr>
            <w:r/>
            <w:r>
              <w:rPr>
                <w:b w:val="0"/>
                <w:i/>
                <w:sz w:val="20"/>
              </w:rPr>
              <w:t>Above ₱5 million up to ₱50 million</w:t>
            </w:r>
          </w:p>
        </w:tc>
        <w:tc>
          <w:tcPr>
            <w:tcW w:type="dxa" w:w="2304"/>
          </w:tcPr>
          <w:p>
            <w:pPr>
              <w:spacing w:line="240" w:lineRule="auto" w:before="40" w:after="40"/>
              <w:jc w:val="center"/>
            </w:pPr>
            <w:r/>
            <w:r>
              <w:rPr>
                <w:b w:val="0"/>
                <w:i w:val="0"/>
                <w:sz w:val="20"/>
              </w:rPr>
              <w:t>12%</w:t>
            </w:r>
          </w:p>
        </w:tc>
        <w:tc>
          <w:tcPr>
            <w:tcW w:type="dxa" w:w="1440"/>
          </w:tcPr>
          <w:p>
            <w:pPr>
              <w:spacing w:line="240" w:lineRule="auto" w:before="40" w:after="40"/>
              <w:jc w:val="center"/>
            </w:pPr>
            <w:r/>
            <w:r>
              <w:rPr>
                <w:b w:val="0"/>
                <w:i w:val="0"/>
                <w:sz w:val="20"/>
              </w:rPr>
              <w:t>8%</w:t>
            </w:r>
          </w:p>
        </w:tc>
        <w:tc>
          <w:tcPr>
            <w:tcW w:type="dxa" w:w="1728"/>
          </w:tcPr>
          <w:p>
            <w:pPr>
              <w:spacing w:line="240" w:lineRule="auto" w:before="40" w:after="40"/>
              <w:jc w:val="center"/>
            </w:pPr>
            <w:r/>
            <w:r>
              <w:rPr>
                <w:b w:val="0"/>
                <w:i w:val="0"/>
                <w:sz w:val="20"/>
              </w:rPr>
              <w:t>20%</w:t>
            </w:r>
          </w:p>
        </w:tc>
      </w:tr>
      <w:tr>
        <w:tc>
          <w:tcPr>
            <w:tcW w:type="dxa" w:w="3744"/>
            <w:shd w:val="clear" w:color="auto" w:fill="EFEFEF"/>
          </w:tcPr>
          <w:p>
            <w:pPr>
              <w:spacing w:line="240" w:lineRule="auto" w:before="40" w:after="40"/>
              <w:jc w:val="left"/>
            </w:pPr>
            <w:r/>
            <w:r>
              <w:rPr>
                <w:b w:val="0"/>
                <w:i/>
                <w:sz w:val="20"/>
              </w:rPr>
              <w:t>Above ₱50 million up to ₱150 million</w:t>
            </w:r>
          </w:p>
        </w:tc>
        <w:tc>
          <w:tcPr>
            <w:tcW w:type="dxa" w:w="2304"/>
            <w:shd w:val="clear" w:color="auto" w:fill="EFEFEF"/>
          </w:tcPr>
          <w:p>
            <w:pPr>
              <w:spacing w:line="240" w:lineRule="auto" w:before="40" w:after="40"/>
              <w:jc w:val="center"/>
            </w:pPr>
            <w:r/>
            <w:r>
              <w:rPr>
                <w:b w:val="0"/>
                <w:i w:val="0"/>
                <w:sz w:val="20"/>
              </w:rPr>
              <w:t>10%</w:t>
            </w:r>
          </w:p>
        </w:tc>
        <w:tc>
          <w:tcPr>
            <w:tcW w:type="dxa" w:w="1440"/>
            <w:shd w:val="clear" w:color="auto" w:fill="EFEFEF"/>
          </w:tcPr>
          <w:p>
            <w:pPr>
              <w:spacing w:line="240" w:lineRule="auto" w:before="40" w:after="40"/>
              <w:jc w:val="center"/>
            </w:pPr>
            <w:r/>
            <w:r>
              <w:rPr>
                <w:b w:val="0"/>
                <w:i w:val="0"/>
                <w:sz w:val="20"/>
              </w:rPr>
              <w:t>8%</w:t>
            </w:r>
          </w:p>
        </w:tc>
        <w:tc>
          <w:tcPr>
            <w:tcW w:type="dxa" w:w="1728"/>
            <w:shd w:val="clear" w:color="auto" w:fill="EFEFEF"/>
          </w:tcPr>
          <w:p>
            <w:pPr>
              <w:spacing w:line="240" w:lineRule="auto" w:before="40" w:after="40"/>
              <w:jc w:val="center"/>
            </w:pPr>
            <w:r/>
            <w:r>
              <w:rPr>
                <w:b w:val="0"/>
                <w:i w:val="0"/>
                <w:sz w:val="20"/>
              </w:rPr>
              <w:t>18%</w:t>
            </w:r>
          </w:p>
        </w:tc>
      </w:tr>
      <w:tr>
        <w:tc>
          <w:tcPr>
            <w:tcW w:type="dxa" w:w="3744"/>
          </w:tcPr>
          <w:p>
            <w:pPr>
              <w:spacing w:line="240" w:lineRule="auto" w:before="40" w:after="40"/>
              <w:jc w:val="left"/>
            </w:pPr>
            <w:r/>
            <w:r>
              <w:rPr>
                <w:b w:val="0"/>
                <w:i/>
                <w:sz w:val="20"/>
              </w:rPr>
              <w:t>Above ₱150 million</w:t>
            </w:r>
          </w:p>
        </w:tc>
        <w:tc>
          <w:tcPr>
            <w:tcW w:type="dxa" w:w="2304"/>
          </w:tcPr>
          <w:p>
            <w:pPr>
              <w:spacing w:line="240" w:lineRule="auto" w:before="40" w:after="40"/>
              <w:jc w:val="center"/>
            </w:pPr>
            <w:r/>
            <w:r>
              <w:rPr>
                <w:b w:val="0"/>
                <w:i w:val="0"/>
                <w:sz w:val="20"/>
              </w:rPr>
              <w:t>8%</w:t>
            </w:r>
          </w:p>
        </w:tc>
        <w:tc>
          <w:tcPr>
            <w:tcW w:type="dxa" w:w="1440"/>
          </w:tcPr>
          <w:p>
            <w:pPr>
              <w:spacing w:line="240" w:lineRule="auto" w:before="40" w:after="40"/>
              <w:jc w:val="center"/>
            </w:pPr>
            <w:r/>
            <w:r>
              <w:rPr>
                <w:b w:val="0"/>
                <w:i w:val="0"/>
                <w:sz w:val="20"/>
              </w:rPr>
              <w:t>8%</w:t>
            </w:r>
          </w:p>
        </w:tc>
        <w:tc>
          <w:tcPr>
            <w:tcW w:type="dxa" w:w="1728"/>
          </w:tcPr>
          <w:p>
            <w:pPr>
              <w:spacing w:line="240" w:lineRule="auto" w:before="40" w:after="40"/>
              <w:jc w:val="center"/>
            </w:pPr>
            <w:r/>
            <w:r>
              <w:rPr>
                <w:b w:val="0"/>
                <w:i w:val="0"/>
                <w:sz w:val="20"/>
              </w:rPr>
              <w:t>16%</w:t>
            </w:r>
          </w:p>
        </w:tc>
      </w:tr>
      <w:tr>
        <w:tc>
          <w:tcPr>
            <w:tcW w:type="dxa" w:w="3744"/>
            <w:shd w:val="clear" w:color="auto" w:fill="EFEFEF"/>
            <w:tcBorders>
              <w:bottom w:val="single" w:sz="12" w:color="000000"/>
            </w:tcBorders>
          </w:tcPr>
          <w:p>
            <w:pPr>
              <w:spacing w:line="240" w:lineRule="auto" w:before="40" w:after="40"/>
              <w:jc w:val="left"/>
            </w:pPr>
            <w:r/>
            <w:r>
              <w:rPr>
                <w:b w:val="0"/>
                <w:i/>
                <w:sz w:val="20"/>
              </w:rPr>
              <w:t>Value-added tax</w:t>
            </w:r>
          </w:p>
        </w:tc>
        <w:tc>
          <w:tcPr>
            <w:tcW w:type="dxa" w:w="2304"/>
            <w:shd w:val="clear" w:color="auto" w:fill="EFEFEF"/>
            <w:tcBorders>
              <w:bottom w:val="single" w:sz="12" w:color="000000"/>
            </w:tcBorders>
          </w:tcPr>
          <w:p>
            <w:pPr>
              <w:spacing w:line="240" w:lineRule="auto" w:before="40" w:after="40"/>
              <w:jc w:val="center"/>
            </w:pPr>
            <w:r/>
            <w:r>
              <w:rPr>
                <w:b w:val="0"/>
                <w:i w:val="0"/>
                <w:sz w:val="20"/>
              </w:rPr>
              <w:t>5% of (EDC + OCM + profit)</w:t>
            </w:r>
          </w:p>
        </w:tc>
        <w:tc>
          <w:tcPr>
            <w:tcW w:type="dxa" w:w="1440"/>
            <w:shd w:val="clear" w:color="auto" w:fill="EFEFEF"/>
            <w:tcBorders>
              <w:bottom w:val="single" w:sz="12" w:color="000000"/>
            </w:tcBorders>
          </w:tcPr>
          <w:p>
            <w:pPr>
              <w:spacing w:line="240" w:lineRule="auto" w:before="40" w:after="40"/>
              <w:jc w:val="center"/>
            </w:pPr>
            <w:r/>
          </w:p>
        </w:tc>
        <w:tc>
          <w:tcPr>
            <w:tcW w:type="dxa" w:w="1728"/>
            <w:shd w:val="clear" w:color="auto" w:fill="EFEFEF"/>
            <w:tcBorders>
              <w:bottom w:val="single" w:sz="12" w:color="000000"/>
            </w:tcBorders>
          </w:tcPr>
          <w:p>
            <w:pPr>
              <w:spacing w:line="240" w:lineRule="auto" w:before="40" w:after="40"/>
              <w:jc w:val="center"/>
            </w:pPr>
            <w:r/>
          </w:p>
        </w:tc>
      </w:tr>
    </w:tbl>
    <w:p>
      <w:pPr>
        <w:spacing w:line="240" w:lineRule="auto" w:after="80"/>
      </w:pPr>
    </w:p>
    <w:p>
      <w:pPr>
        <w:keepNext/>
        <w:spacing w:line="480" w:lineRule="auto" w:after="0"/>
        <w:ind w:left="720"/>
        <w:jc w:val="left"/>
      </w:pPr>
      <w:r>
        <w:rPr>
          <w:b/>
          <w:i w:val="0"/>
        </w:rPr>
        <w:t>Quantity Take-Off and Quotation Engine</w:t>
      </w:r>
    </w:p>
    <w:p>
      <w:pPr>
        <w:spacing w:line="480" w:lineRule="auto" w:after="0"/>
        <w:ind w:firstLine="720"/>
        <w:jc w:val="both"/>
      </w:pPr>
      <w:r>
        <w:rPr>
          <w:b w:val="0"/>
          <w:i w:val="0"/>
        </w:rPr>
        <w:t>For buildings, the engine lays out the column grid from the plan dimensions and bay spacing and sizes the reinforced-concrete frame from the number of storeys. Columns are 300 mm square for up to two storeys, the NSCP 2015 minimum for special moment frames (Section 418.7.2.1), 400 mm for three to four storeys and 500 mm for five to six. Beam depth is the larger of 0.40 m and span/12, slabs are 125 mm for short spans up to 4.5 m and 150 mm beyond, and isolated footings are sized from the service load on each column and the allowable soil bearing:</w:t>
      </w:r>
    </w:p>
    <w:p>
      <w:pPr>
        <w:keepNext/>
        <w:spacing w:line="240" w:lineRule="auto" w:after="0"/>
        <w:jc w:val="right"/>
      </w:pPr>
      <w:r>
        <w:rPr>
          <w:b w:val="0"/>
          <w:i/>
        </w:rPr>
        <w:t>Eq. 1.</w:t>
      </w:r>
    </w:p>
    <w:p>
      <w:pPr>
        <w:spacing w:line="240" w:lineRule="auto" w:after="200"/>
        <w:jc w:val="center"/>
      </w:pPr>
      <w:r>
        <w:drawing>
          <wp:inline xmlns:a="http://schemas.openxmlformats.org/drawingml/2006/main" xmlns:pic="http://schemas.openxmlformats.org/drawingml/2006/picture">
            <wp:extent cx="1133854" cy="480364"/>
            <wp:docPr id="4" name="Picture 4"/>
            <wp:cNvGraphicFramePr>
              <a:graphicFrameLocks noChangeAspect="1"/>
            </wp:cNvGraphicFramePr>
            <a:graphic>
              <a:graphicData uri="http://schemas.openxmlformats.org/drawingml/2006/picture">
                <pic:pic>
                  <pic:nvPicPr>
                    <pic:cNvPr id="0" name="footing.png"/>
                    <pic:cNvPicPr/>
                  </pic:nvPicPr>
                  <pic:blipFill>
                    <a:blip r:embed="rId14"/>
                    <a:stretch>
                      <a:fillRect/>
                    </a:stretch>
                  </pic:blipFill>
                  <pic:spPr>
                    <a:xfrm>
                      <a:off x="0" y="0"/>
                      <a:ext cx="1133854" cy="480364"/>
                    </a:xfrm>
                    <a:prstGeom prst="rect"/>
                  </pic:spPr>
                </pic:pic>
              </a:graphicData>
            </a:graphic>
          </wp:inline>
        </w:drawing>
      </w:r>
    </w:p>
    <w:p>
      <w:pPr>
        <w:spacing w:line="480" w:lineRule="auto" w:after="0"/>
        <w:ind w:firstLine="720"/>
        <w:jc w:val="both"/>
      </w:pPr>
      <w:r>
        <w:rPr>
          <w:b w:val="0"/>
          <w:i w:val="0"/>
        </w:rPr>
        <w:t xml:space="preserve">where </w:t>
      </w:r>
      <w:r>
        <w:rPr>
          <w:b w:val="0"/>
          <w:i/>
        </w:rPr>
        <w:t>α</w:t>
      </w:r>
      <w:r>
        <w:rPr>
          <w:b w:val="0"/>
          <w:i w:val="0"/>
        </w:rPr>
        <w:t xml:space="preserve"> = 0.75 accounts for edge and corner columns, </w:t>
      </w:r>
      <w:r>
        <w:rPr>
          <w:b w:val="0"/>
          <w:i/>
        </w:rPr>
        <w:t>s</w:t>
      </w:r>
      <w:r>
        <w:rPr>
          <w:b w:val="0"/>
          <w:i/>
          <w:vertAlign w:val="subscript"/>
        </w:rPr>
        <w:t>x</w:t>
      </w:r>
      <w:r>
        <w:rPr>
          <w:b w:val="0"/>
          <w:i w:val="0"/>
        </w:rPr>
        <w:t xml:space="preserve"> and </w:t>
      </w:r>
      <w:r>
        <w:rPr>
          <w:b w:val="0"/>
          <w:i/>
        </w:rPr>
        <w:t>s</w:t>
      </w:r>
      <w:r>
        <w:rPr>
          <w:b w:val="0"/>
          <w:i/>
          <w:vertAlign w:val="subscript"/>
        </w:rPr>
        <w:t>y</w:t>
      </w:r>
      <w:r>
        <w:rPr>
          <w:b w:val="0"/>
          <w:i w:val="0"/>
        </w:rPr>
        <w:t xml:space="preserve"> are the bay dimensions, </w:t>
      </w:r>
      <w:r>
        <w:rPr>
          <w:b w:val="0"/>
          <w:i/>
        </w:rPr>
        <w:t>N</w:t>
      </w:r>
      <w:r>
        <w:rPr>
          <w:b w:val="0"/>
          <w:i w:val="0"/>
        </w:rPr>
        <w:t xml:space="preserve"> is the number of storeys, </w:t>
      </w:r>
      <w:r>
        <w:rPr>
          <w:b w:val="0"/>
          <w:i/>
        </w:rPr>
        <w:t>w</w:t>
      </w:r>
      <w:r>
        <w:rPr>
          <w:b w:val="0"/>
          <w:i w:val="0"/>
        </w:rPr>
        <w:t xml:space="preserve"> is the service load per floor (10.0 to 13.0 kPa by facility type) and </w:t>
      </w:r>
      <w:r>
        <w:rPr>
          <w:b w:val="0"/>
          <w:i/>
        </w:rPr>
        <w:t>q</w:t>
      </w:r>
      <w:r>
        <w:rPr>
          <w:b w:val="0"/>
          <w:i/>
          <w:vertAlign w:val="subscript"/>
        </w:rPr>
        <w:t>a</w:t>
      </w:r>
      <w:r>
        <w:rPr>
          <w:b w:val="0"/>
          <w:i w:val="0"/>
        </w:rPr>
        <w:t xml:space="preserve"> is the allowable bearing pressure. Reinforcing steel is computed from element volumes and intensities:</w:t>
      </w:r>
    </w:p>
    <w:p>
      <w:pPr>
        <w:keepNext/>
        <w:spacing w:line="240" w:lineRule="auto" w:after="0"/>
        <w:jc w:val="right"/>
      </w:pPr>
      <w:r>
        <w:rPr>
          <w:b w:val="0"/>
          <w:i/>
        </w:rPr>
        <w:t>Eq. 2.</w:t>
      </w:r>
    </w:p>
    <w:p>
      <w:pPr>
        <w:spacing w:line="240" w:lineRule="auto" w:after="200"/>
        <w:jc w:val="center"/>
      </w:pPr>
      <w:r>
        <w:drawing>
          <wp:inline xmlns:a="http://schemas.openxmlformats.org/drawingml/2006/main" xmlns:pic="http://schemas.openxmlformats.org/drawingml/2006/picture">
            <wp:extent cx="1007057" cy="321868"/>
            <wp:docPr id="5" name="Picture 5"/>
            <wp:cNvGraphicFramePr>
              <a:graphicFrameLocks noChangeAspect="1"/>
            </wp:cNvGraphicFramePr>
            <a:graphic>
              <a:graphicData uri="http://schemas.openxmlformats.org/drawingml/2006/picture">
                <pic:pic>
                  <pic:nvPicPr>
                    <pic:cNvPr id="0" name="rebar.png"/>
                    <pic:cNvPicPr/>
                  </pic:nvPicPr>
                  <pic:blipFill>
                    <a:blip r:embed="rId15"/>
                    <a:stretch>
                      <a:fillRect/>
                    </a:stretch>
                  </pic:blipFill>
                  <pic:spPr>
                    <a:xfrm>
                      <a:off x="0" y="0"/>
                      <a:ext cx="1007057" cy="321868"/>
                    </a:xfrm>
                    <a:prstGeom prst="rect"/>
                  </pic:spPr>
                </pic:pic>
              </a:graphicData>
            </a:graphic>
          </wp:inline>
        </w:drawing>
      </w:r>
    </w:p>
    <w:p>
      <w:pPr>
        <w:spacing w:line="480" w:lineRule="auto" w:after="0"/>
        <w:ind w:firstLine="720"/>
        <w:jc w:val="both"/>
      </w:pPr>
      <w:r>
        <w:rPr>
          <w:b w:val="0"/>
          <w:i w:val="0"/>
        </w:rPr>
        <w:t xml:space="preserve">where </w:t>
      </w:r>
      <w:r>
        <w:rPr>
          <w:b w:val="0"/>
          <w:i/>
        </w:rPr>
        <w:t>ρ</w:t>
      </w:r>
      <w:r>
        <w:rPr>
          <w:b w:val="0"/>
          <w:i/>
          <w:vertAlign w:val="subscript"/>
        </w:rPr>
        <w:t>e</w:t>
      </w:r>
      <w:r>
        <w:rPr>
          <w:b w:val="0"/>
          <w:i w:val="0"/>
        </w:rPr>
        <w:t xml:space="preserve"> is the reinforcement intensity of element </w:t>
      </w:r>
      <w:r>
        <w:rPr>
          <w:b w:val="0"/>
          <w:i/>
        </w:rPr>
        <w:t>e</w:t>
      </w:r>
      <w:r>
        <w:rPr>
          <w:b w:val="0"/>
          <w:i w:val="0"/>
        </w:rPr>
        <w:t xml:space="preserve"> in kg/m³ (footings 90, columns 220, beams 190, slabs 100, stairs 100 at the standard tier), </w:t>
      </w:r>
      <w:r>
        <w:rPr>
          <w:b w:val="0"/>
          <w:i/>
        </w:rPr>
        <w:t>V</w:t>
      </w:r>
      <w:r>
        <w:rPr>
          <w:b w:val="0"/>
          <w:i/>
          <w:vertAlign w:val="subscript"/>
        </w:rPr>
        <w:t>e</w:t>
      </w:r>
      <w:r>
        <w:rPr>
          <w:b w:val="0"/>
          <w:i w:val="0"/>
        </w:rPr>
        <w:t xml:space="preserve"> is the concrete volume, </w:t>
      </w:r>
      <w:r>
        <w:rPr>
          <w:b w:val="0"/>
          <w:i/>
        </w:rPr>
        <w:t>ζ</w:t>
      </w:r>
      <w:r>
        <w:rPr>
          <w:b w:val="0"/>
          <w:i w:val="0"/>
        </w:rPr>
        <w:t xml:space="preserve"> is 1.00 for Seismic Zone 4 and 0.88 for Zone 2, and </w:t>
      </w:r>
      <w:r>
        <w:rPr>
          <w:b w:val="0"/>
          <w:i/>
        </w:rPr>
        <w:t>τ</w:t>
      </w:r>
      <w:r>
        <w:rPr>
          <w:b w:val="0"/>
          <w:i w:val="0"/>
        </w:rPr>
        <w:t xml:space="preserve"> is the tier factor in Table 5. Masonry, plaster, painting, ceilings and floor finishes follow from wall and floor areas, window area is kept at no less than 10% of floor area as required for natural light by PD 1096, roof steel is taken as 14 + 0.6</w:t>
      </w:r>
      <w:r>
        <w:rPr>
          <w:b w:val="0"/>
          <w:i/>
        </w:rPr>
        <w:t>W</w:t>
      </w:r>
      <w:r>
        <w:rPr>
          <w:b w:val="0"/>
          <w:i w:val="0"/>
        </w:rPr>
        <w:t xml:space="preserve"> kg per m² of footprint plus 5.5 kg/m² of purlins, and electrical, plumbing, fire protection and mechanical works are priced as allowances per m² of GFA by facility type, with sprinklers required for buildings of three or more storeys and for health facilities, markets and dormitories under RA 9514.</w:t>
      </w:r>
    </w:p>
    <w:p>
      <w:pPr>
        <w:spacing w:line="480" w:lineRule="auto" w:after="0"/>
        <w:ind w:firstLine="720"/>
        <w:jc w:val="both"/>
      </w:pPr>
      <w:r>
        <w:rPr>
          <w:b w:val="0"/>
          <w:i w:val="0"/>
        </w:rPr>
        <w:t>For bridges, deck slabs are 200 mm (220 mm on steel trusses). RCDG girders are spaced at about 2.1 m with depth of the larger of 0.90 m and span/13 + 0.10 m. PSCG girders are spaced at about 2.4 m and selected by span: AASHTO Type III up to 24 m, Type IV up to 32 m and bulb-tee BT-1600 beyond. Steel truss weight is (55 + 4.2</w:t>
      </w:r>
      <w:r>
        <w:rPr>
          <w:b w:val="0"/>
          <w:i/>
        </w:rPr>
        <w:t>S</w:t>
      </w:r>
      <w:r>
        <w:rPr>
          <w:b w:val="0"/>
          <w:i w:val="0"/>
        </w:rPr>
        <w:t xml:space="preserve">) kg per m² of deck for span </w:t>
      </w:r>
      <w:r>
        <w:rPr>
          <w:b w:val="0"/>
          <w:i/>
        </w:rPr>
        <w:t>S</w:t>
      </w:r>
      <w:r>
        <w:rPr>
          <w:b w:val="0"/>
          <w:i w:val="0"/>
        </w:rPr>
        <w:t>. Abutment stems are 0.50 + 0.06</w:t>
      </w:r>
      <w:r>
        <w:rPr>
          <w:b w:val="0"/>
          <w:i/>
        </w:rPr>
        <w:t>H</w:t>
      </w:r>
      <w:r>
        <w:rPr>
          <w:b w:val="0"/>
          <w:i w:val="0"/>
        </w:rPr>
        <w:t xml:space="preserve"> m thick on footings 0.55</w:t>
      </w:r>
      <w:r>
        <w:rPr>
          <w:b w:val="0"/>
          <w:i/>
        </w:rPr>
        <w:t>H</w:t>
      </w:r>
      <w:r>
        <w:rPr>
          <w:b w:val="0"/>
          <w:i w:val="0"/>
        </w:rPr>
        <w:t xml:space="preserve"> + 1.2 m wide for height </w:t>
      </w:r>
      <w:r>
        <w:rPr>
          <w:b w:val="0"/>
          <w:i/>
        </w:rPr>
        <w:t>H</w:t>
      </w:r>
      <w:r>
        <w:rPr>
          <w:b w:val="0"/>
          <w:i w:val="0"/>
        </w:rPr>
        <w:t>, piers have two or three circular columns of 1.0 to 1.2 m diameter under a coping, and pile counts follow the pile-cap footprint at 1.2 m spacing for 450 mm driven piles and 3.0 to 3.5 m for 1.0 m bored piles. Bearings, expansion joints, railings, approach slabs, slope protection, approach pavement, mobilization, occupational safety and health, traffic management and testing complete the bill of quantities.</w:t>
      </w:r>
    </w:p>
    <w:p>
      <w:pPr>
        <w:spacing w:line="480" w:lineRule="auto" w:after="0"/>
        <w:ind w:firstLine="720"/>
        <w:jc w:val="both"/>
      </w:pPr>
      <w:r>
        <w:rPr>
          <w:b w:val="0"/>
          <w:i w:val="0"/>
        </w:rPr>
        <w:t xml:space="preserve">Every quantity </w:t>
      </w:r>
      <w:r>
        <w:rPr>
          <w:b w:val="0"/>
          <w:i/>
        </w:rPr>
        <w:t>Q</w:t>
      </w:r>
      <w:r>
        <w:rPr>
          <w:b w:val="0"/>
          <w:i/>
          <w:vertAlign w:val="subscript"/>
        </w:rPr>
        <w:t>i</w:t>
      </w:r>
      <w:r>
        <w:rPr>
          <w:b w:val="0"/>
          <w:i w:val="0"/>
        </w:rPr>
        <w:t xml:space="preserve"> is multiplied by its unit rate </w:t>
      </w:r>
      <w:r>
        <w:rPr>
          <w:b w:val="0"/>
          <w:i/>
        </w:rPr>
        <w:t>r</w:t>
      </w:r>
      <w:r>
        <w:rPr>
          <w:b w:val="0"/>
          <w:i/>
          <w:vertAlign w:val="subscript"/>
        </w:rPr>
        <w:t>i</w:t>
      </w:r>
      <w:r>
        <w:rPr>
          <w:b w:val="0"/>
          <w:i w:val="0"/>
        </w:rPr>
        <w:t xml:space="preserve"> and by the location and year factors to give the estimated direct cost, which is then marked up into the ABC:</w:t>
      </w:r>
    </w:p>
    <w:p>
      <w:pPr>
        <w:keepNext/>
        <w:spacing w:line="240" w:lineRule="auto" w:after="0"/>
        <w:jc w:val="right"/>
      </w:pPr>
      <w:r>
        <w:rPr>
          <w:b w:val="0"/>
          <w:i/>
        </w:rPr>
        <w:t>Eq. 3.</w:t>
      </w:r>
    </w:p>
    <w:p>
      <w:pPr>
        <w:spacing w:line="240" w:lineRule="auto" w:after="200"/>
        <w:jc w:val="center"/>
      </w:pPr>
      <w:r>
        <w:drawing>
          <wp:inline xmlns:a="http://schemas.openxmlformats.org/drawingml/2006/main" xmlns:pic="http://schemas.openxmlformats.org/drawingml/2006/picture">
            <wp:extent cx="1419146" cy="395020"/>
            <wp:docPr id="6" name="Picture 6"/>
            <wp:cNvGraphicFramePr>
              <a:graphicFrameLocks noChangeAspect="1"/>
            </wp:cNvGraphicFramePr>
            <a:graphic>
              <a:graphicData uri="http://schemas.openxmlformats.org/drawingml/2006/picture">
                <pic:pic>
                  <pic:nvPicPr>
                    <pic:cNvPr id="0" name="edc.png"/>
                    <pic:cNvPicPr/>
                  </pic:nvPicPr>
                  <pic:blipFill>
                    <a:blip r:embed="rId16"/>
                    <a:stretch>
                      <a:fillRect/>
                    </a:stretch>
                  </pic:blipFill>
                  <pic:spPr>
                    <a:xfrm>
                      <a:off x="0" y="0"/>
                      <a:ext cx="1419146" cy="395020"/>
                    </a:xfrm>
                    <a:prstGeom prst="rect"/>
                  </pic:spPr>
                </pic:pic>
              </a:graphicData>
            </a:graphic>
          </wp:inline>
        </w:drawing>
      </w:r>
    </w:p>
    <w:p>
      <w:pPr>
        <w:keepNext/>
        <w:spacing w:line="240" w:lineRule="auto" w:after="0"/>
        <w:jc w:val="right"/>
      </w:pPr>
      <w:r>
        <w:rPr>
          <w:b w:val="0"/>
          <w:i/>
        </w:rPr>
        <w:t>Eq. 4.</w:t>
      </w:r>
    </w:p>
    <w:p>
      <w:pPr>
        <w:spacing w:line="240" w:lineRule="auto" w:after="200"/>
        <w:jc w:val="center"/>
      </w:pPr>
      <w:r>
        <w:drawing>
          <wp:inline xmlns:a="http://schemas.openxmlformats.org/drawingml/2006/main" xmlns:pic="http://schemas.openxmlformats.org/drawingml/2006/picture">
            <wp:extent cx="1965346" cy="241401"/>
            <wp:docPr id="7" name="Picture 7"/>
            <wp:cNvGraphicFramePr>
              <a:graphicFrameLocks noChangeAspect="1"/>
            </wp:cNvGraphicFramePr>
            <a:graphic>
              <a:graphicData uri="http://schemas.openxmlformats.org/drawingml/2006/picture">
                <pic:pic>
                  <pic:nvPicPr>
                    <pic:cNvPr id="0" name="abc.png"/>
                    <pic:cNvPicPr/>
                  </pic:nvPicPr>
                  <pic:blipFill>
                    <a:blip r:embed="rId17"/>
                    <a:stretch>
                      <a:fillRect/>
                    </a:stretch>
                  </pic:blipFill>
                  <pic:spPr>
                    <a:xfrm>
                      <a:off x="0" y="0"/>
                      <a:ext cx="1965346" cy="241401"/>
                    </a:xfrm>
                    <a:prstGeom prst="rect"/>
                  </pic:spPr>
                </pic:pic>
              </a:graphicData>
            </a:graphic>
          </wp:inline>
        </w:drawing>
      </w:r>
    </w:p>
    <w:p>
      <w:pPr>
        <w:spacing w:line="480" w:lineRule="auto" w:after="0"/>
        <w:ind w:firstLine="720"/>
        <w:jc w:val="both"/>
      </w:pPr>
      <w:r>
        <w:rPr>
          <w:b w:val="0"/>
          <w:i w:val="0"/>
        </w:rPr>
        <w:t xml:space="preserve">where </w:t>
      </w:r>
      <w:r>
        <w:rPr>
          <w:b w:val="0"/>
          <w:i/>
        </w:rPr>
        <w:t>o</w:t>
      </w:r>
      <w:r>
        <w:rPr>
          <w:b w:val="0"/>
          <w:i w:val="0"/>
        </w:rPr>
        <w:t xml:space="preserve"> and </w:t>
      </w:r>
      <w:r>
        <w:rPr>
          <w:b w:val="0"/>
          <w:i/>
        </w:rPr>
        <w:t>π</w:t>
      </w:r>
      <w:r>
        <w:rPr>
          <w:b w:val="0"/>
          <w:i w:val="0"/>
        </w:rPr>
        <w:t xml:space="preserve"> are the OCM and profit rates of the EDC bracket and </w:t>
      </w:r>
      <w:r>
        <w:rPr>
          <w:b w:val="0"/>
          <w:i/>
        </w:rPr>
        <w:t>v</w:t>
      </w:r>
      <w:r>
        <w:rPr>
          <w:b w:val="0"/>
          <w:i w:val="0"/>
        </w:rPr>
        <w:t xml:space="preserve"> is the 5% VAT rate. The engine runs three times per plan with the tier settings in Table 5. The lean tier is the </w:t>
      </w:r>
      <w:r>
        <w:rPr>
          <w:b/>
          <w:i w:val="0"/>
        </w:rPr>
        <w:t>start quotation</w:t>
      </w:r>
      <w:r>
        <w:rPr>
          <w:b w:val="0"/>
          <w:i w:val="0"/>
        </w:rPr>
        <w:t>: it keeps every code requirement but uses code-minimum reinforcement and basic finishes. The ceiling tier is the highest price that can still be defended for the scope.</w:t>
      </w:r>
    </w:p>
    <w:p>
      <w:pPr>
        <w:keepNext/>
        <w:spacing w:line="240" w:lineRule="auto" w:after="0" w:before="120"/>
        <w:jc w:val="left"/>
      </w:pPr>
      <w:r>
        <w:rPr>
          <w:b/>
          <w:i w:val="0"/>
        </w:rPr>
        <w:t>Table 5.</w:t>
      </w:r>
    </w:p>
    <w:p>
      <w:pPr>
        <w:keepNext/>
        <w:spacing w:line="240" w:lineRule="auto" w:after="0"/>
        <w:jc w:val="left"/>
      </w:pPr>
      <w:r>
        <w:rPr>
          <w:b w:val="0"/>
          <w:i/>
        </w:rPr>
        <w:t>Quotation Tier Settings</w:t>
      </w:r>
    </w:p>
    <w:tbl>
      <w:tblPr>
        <w:tblW w:type="auto" w:w="0"/>
        <w:jc w:val="center"/>
        <w:tblLayout w:type="fixed"/>
        <w:tblLook w:firstColumn="1" w:firstRow="1" w:lastColumn="0" w:lastRow="0" w:noHBand="0" w:noVBand="1" w:val="04A0"/>
        <w:tblLayout w:type="fixed"/>
      </w:tblPr>
      <w:tblGrid>
        <w:gridCol w:w="2592"/>
        <w:gridCol w:w="2304"/>
        <w:gridCol w:w="2448"/>
        <w:gridCol w:w="2015"/>
      </w:tblGrid>
      <w:tr>
        <w:tc>
          <w:tcPr>
            <w:tcW w:type="dxa" w:w="2592"/>
            <w:tcBorders>
              <w:top w:val="single" w:sz="12" w:color="000000"/>
              <w:bottom w:val="single" w:sz="8" w:color="000000"/>
            </w:tcBorders>
          </w:tcPr>
          <w:p>
            <w:pPr>
              <w:spacing w:line="240" w:lineRule="auto" w:before="40" w:after="40"/>
              <w:jc w:val="center"/>
            </w:pPr>
            <w:r/>
            <w:r>
              <w:rPr>
                <w:b/>
                <w:i w:val="0"/>
                <w:sz w:val="20"/>
              </w:rPr>
              <w:t>SETTING</w:t>
            </w:r>
          </w:p>
        </w:tc>
        <w:tc>
          <w:tcPr>
            <w:tcW w:type="dxa" w:w="2304"/>
            <w:tcBorders>
              <w:top w:val="single" w:sz="12" w:color="000000"/>
              <w:bottom w:val="single" w:sz="8" w:color="000000"/>
            </w:tcBorders>
          </w:tcPr>
          <w:p>
            <w:pPr>
              <w:spacing w:line="240" w:lineRule="auto" w:before="40" w:after="40"/>
              <w:jc w:val="center"/>
            </w:pPr>
            <w:r/>
            <w:r>
              <w:rPr>
                <w:b/>
                <w:i w:val="0"/>
                <w:sz w:val="20"/>
              </w:rPr>
              <w:t>LEAN (START QUOTATION)</w:t>
            </w:r>
          </w:p>
        </w:tc>
        <w:tc>
          <w:tcPr>
            <w:tcW w:type="dxa" w:w="2448"/>
            <w:tcBorders>
              <w:top w:val="single" w:sz="12" w:color="000000"/>
              <w:bottom w:val="single" w:sz="8" w:color="000000"/>
            </w:tcBorders>
          </w:tcPr>
          <w:p>
            <w:pPr>
              <w:spacing w:line="240" w:lineRule="auto" w:before="40" w:after="40"/>
              <w:jc w:val="center"/>
            </w:pPr>
            <w:r/>
            <w:r>
              <w:rPr>
                <w:b/>
                <w:i w:val="0"/>
                <w:sz w:val="20"/>
              </w:rPr>
              <w:t>STANDARD (FAIR ESTIMATE)</w:t>
            </w:r>
          </w:p>
        </w:tc>
        <w:tc>
          <w:tcPr>
            <w:tcW w:type="dxa" w:w="2016"/>
            <w:tcBorders>
              <w:top w:val="single" w:sz="12" w:color="000000"/>
              <w:bottom w:val="single" w:sz="8" w:color="000000"/>
            </w:tcBorders>
          </w:tcPr>
          <w:p>
            <w:pPr>
              <w:spacing w:line="240" w:lineRule="auto" w:before="40" w:after="40"/>
              <w:jc w:val="center"/>
            </w:pPr>
            <w:r/>
            <w:r>
              <w:rPr>
                <w:b/>
                <w:i w:val="0"/>
                <w:sz w:val="20"/>
              </w:rPr>
              <w:t>CEILING</w:t>
            </w:r>
          </w:p>
        </w:tc>
      </w:tr>
      <w:tr>
        <w:tc>
          <w:tcPr>
            <w:tcW w:type="dxa" w:w="2592"/>
            <w:shd w:val="clear" w:color="auto" w:fill="EFEFEF"/>
          </w:tcPr>
          <w:p>
            <w:pPr>
              <w:spacing w:line="240" w:lineRule="auto" w:before="40" w:after="40"/>
              <w:jc w:val="left"/>
            </w:pPr>
            <w:r/>
            <w:r>
              <w:rPr>
                <w:b w:val="0"/>
                <w:i/>
                <w:sz w:val="20"/>
              </w:rPr>
              <w:t>Reinforcement factor τ</w:t>
            </w:r>
          </w:p>
        </w:tc>
        <w:tc>
          <w:tcPr>
            <w:tcW w:type="dxa" w:w="2304"/>
            <w:shd w:val="clear" w:color="auto" w:fill="EFEFEF"/>
          </w:tcPr>
          <w:p>
            <w:pPr>
              <w:spacing w:line="240" w:lineRule="auto" w:before="40" w:after="40"/>
              <w:jc w:val="center"/>
            </w:pPr>
            <w:r/>
            <w:r>
              <w:rPr>
                <w:b w:val="0"/>
                <w:i w:val="0"/>
                <w:sz w:val="20"/>
              </w:rPr>
              <w:t>0.80</w:t>
            </w:r>
          </w:p>
        </w:tc>
        <w:tc>
          <w:tcPr>
            <w:tcW w:type="dxa" w:w="2448"/>
            <w:shd w:val="clear" w:color="auto" w:fill="EFEFEF"/>
          </w:tcPr>
          <w:p>
            <w:pPr>
              <w:spacing w:line="240" w:lineRule="auto" w:before="40" w:after="40"/>
              <w:jc w:val="center"/>
            </w:pPr>
            <w:r/>
            <w:r>
              <w:rPr>
                <w:b w:val="0"/>
                <w:i w:val="0"/>
                <w:sz w:val="20"/>
              </w:rPr>
              <w:t>1.00</w:t>
            </w:r>
          </w:p>
        </w:tc>
        <w:tc>
          <w:tcPr>
            <w:tcW w:type="dxa" w:w="2016"/>
            <w:shd w:val="clear" w:color="auto" w:fill="EFEFEF"/>
          </w:tcPr>
          <w:p>
            <w:pPr>
              <w:spacing w:line="240" w:lineRule="auto" w:before="40" w:after="40"/>
              <w:jc w:val="center"/>
            </w:pPr>
            <w:r/>
            <w:r>
              <w:rPr>
                <w:b w:val="0"/>
                <w:i w:val="0"/>
                <w:sz w:val="20"/>
              </w:rPr>
              <w:t>1.25</w:t>
            </w:r>
          </w:p>
        </w:tc>
      </w:tr>
      <w:tr>
        <w:tc>
          <w:tcPr>
            <w:tcW w:type="dxa" w:w="2592"/>
          </w:tcPr>
          <w:p>
            <w:pPr>
              <w:spacing w:line="240" w:lineRule="auto" w:before="40" w:after="40"/>
              <w:jc w:val="left"/>
            </w:pPr>
            <w:r/>
            <w:r>
              <w:rPr>
                <w:b w:val="0"/>
                <w:i/>
                <w:sz w:val="20"/>
              </w:rPr>
              <w:t>Structural steel factor</w:t>
            </w:r>
          </w:p>
        </w:tc>
        <w:tc>
          <w:tcPr>
            <w:tcW w:type="dxa" w:w="2304"/>
          </w:tcPr>
          <w:p>
            <w:pPr>
              <w:spacing w:line="240" w:lineRule="auto" w:before="40" w:after="40"/>
              <w:jc w:val="center"/>
            </w:pPr>
            <w:r/>
            <w:r>
              <w:rPr>
                <w:b w:val="0"/>
                <w:i w:val="0"/>
                <w:sz w:val="20"/>
              </w:rPr>
              <w:t>0.92</w:t>
            </w:r>
          </w:p>
        </w:tc>
        <w:tc>
          <w:tcPr>
            <w:tcW w:type="dxa" w:w="2448"/>
          </w:tcPr>
          <w:p>
            <w:pPr>
              <w:spacing w:line="240" w:lineRule="auto" w:before="40" w:after="40"/>
              <w:jc w:val="center"/>
            </w:pPr>
            <w:r/>
            <w:r>
              <w:rPr>
                <w:b w:val="0"/>
                <w:i w:val="0"/>
                <w:sz w:val="20"/>
              </w:rPr>
              <w:t>1.00</w:t>
            </w:r>
          </w:p>
        </w:tc>
        <w:tc>
          <w:tcPr>
            <w:tcW w:type="dxa" w:w="2016"/>
          </w:tcPr>
          <w:p>
            <w:pPr>
              <w:spacing w:line="240" w:lineRule="auto" w:before="40" w:after="40"/>
              <w:jc w:val="center"/>
            </w:pPr>
            <w:r/>
            <w:r>
              <w:rPr>
                <w:b w:val="0"/>
                <w:i w:val="0"/>
                <w:sz w:val="20"/>
              </w:rPr>
              <w:t>1.15</w:t>
            </w:r>
          </w:p>
        </w:tc>
      </w:tr>
      <w:tr>
        <w:tc>
          <w:tcPr>
            <w:tcW w:type="dxa" w:w="2592"/>
            <w:shd w:val="clear" w:color="auto" w:fill="EFEFEF"/>
          </w:tcPr>
          <w:p>
            <w:pPr>
              <w:spacing w:line="240" w:lineRule="auto" w:before="40" w:after="40"/>
              <w:jc w:val="left"/>
            </w:pPr>
            <w:r/>
            <w:r>
              <w:rPr>
                <w:b w:val="0"/>
                <w:i/>
                <w:sz w:val="20"/>
              </w:rPr>
              <w:t>Floor finish</w:t>
            </w:r>
          </w:p>
        </w:tc>
        <w:tc>
          <w:tcPr>
            <w:tcW w:type="dxa" w:w="2304"/>
            <w:shd w:val="clear" w:color="auto" w:fill="EFEFEF"/>
          </w:tcPr>
          <w:p>
            <w:pPr>
              <w:spacing w:line="240" w:lineRule="auto" w:before="40" w:after="40"/>
              <w:jc w:val="center"/>
            </w:pPr>
            <w:r/>
            <w:r>
              <w:rPr>
                <w:b w:val="0"/>
                <w:i w:val="0"/>
                <w:sz w:val="20"/>
              </w:rPr>
              <w:t>Cement topping</w:t>
            </w:r>
          </w:p>
        </w:tc>
        <w:tc>
          <w:tcPr>
            <w:tcW w:type="dxa" w:w="2448"/>
            <w:shd w:val="clear" w:color="auto" w:fill="EFEFEF"/>
          </w:tcPr>
          <w:p>
            <w:pPr>
              <w:spacing w:line="240" w:lineRule="auto" w:before="40" w:after="40"/>
              <w:jc w:val="center"/>
            </w:pPr>
            <w:r/>
            <w:r>
              <w:rPr>
                <w:b w:val="0"/>
                <w:i w:val="0"/>
                <w:sz w:val="20"/>
              </w:rPr>
              <w:t>Ceramic tiles</w:t>
            </w:r>
          </w:p>
        </w:tc>
        <w:tc>
          <w:tcPr>
            <w:tcW w:type="dxa" w:w="2016"/>
            <w:shd w:val="clear" w:color="auto" w:fill="EFEFEF"/>
          </w:tcPr>
          <w:p>
            <w:pPr>
              <w:spacing w:line="240" w:lineRule="auto" w:before="40" w:after="40"/>
              <w:jc w:val="center"/>
            </w:pPr>
            <w:r/>
            <w:r>
              <w:rPr>
                <w:b w:val="0"/>
                <w:i w:val="0"/>
                <w:sz w:val="20"/>
              </w:rPr>
              <w:t>Porcelain / granite</w:t>
            </w:r>
          </w:p>
        </w:tc>
      </w:tr>
      <w:tr>
        <w:tc>
          <w:tcPr>
            <w:tcW w:type="dxa" w:w="2592"/>
          </w:tcPr>
          <w:p>
            <w:pPr>
              <w:spacing w:line="240" w:lineRule="auto" w:before="40" w:after="40"/>
              <w:jc w:val="left"/>
            </w:pPr>
            <w:r/>
            <w:r>
              <w:rPr>
                <w:b w:val="0"/>
                <w:i/>
                <w:sz w:val="20"/>
              </w:rPr>
              <w:t>MEPF allowance factor</w:t>
            </w:r>
          </w:p>
        </w:tc>
        <w:tc>
          <w:tcPr>
            <w:tcW w:type="dxa" w:w="2304"/>
          </w:tcPr>
          <w:p>
            <w:pPr>
              <w:spacing w:line="240" w:lineRule="auto" w:before="40" w:after="40"/>
              <w:jc w:val="center"/>
            </w:pPr>
            <w:r/>
            <w:r>
              <w:rPr>
                <w:b w:val="0"/>
                <w:i w:val="0"/>
                <w:sz w:val="20"/>
              </w:rPr>
              <w:t>0.85</w:t>
            </w:r>
          </w:p>
        </w:tc>
        <w:tc>
          <w:tcPr>
            <w:tcW w:type="dxa" w:w="2448"/>
          </w:tcPr>
          <w:p>
            <w:pPr>
              <w:spacing w:line="240" w:lineRule="auto" w:before="40" w:after="40"/>
              <w:jc w:val="center"/>
            </w:pPr>
            <w:r/>
            <w:r>
              <w:rPr>
                <w:b w:val="0"/>
                <w:i w:val="0"/>
                <w:sz w:val="20"/>
              </w:rPr>
              <w:t>1.00</w:t>
            </w:r>
          </w:p>
        </w:tc>
        <w:tc>
          <w:tcPr>
            <w:tcW w:type="dxa" w:w="2016"/>
          </w:tcPr>
          <w:p>
            <w:pPr>
              <w:spacing w:line="240" w:lineRule="auto" w:before="40" w:after="40"/>
              <w:jc w:val="center"/>
            </w:pPr>
            <w:r/>
            <w:r>
              <w:rPr>
                <w:b w:val="0"/>
                <w:i w:val="0"/>
                <w:sz w:val="20"/>
              </w:rPr>
              <w:t>1.25</w:t>
            </w:r>
          </w:p>
        </w:tc>
      </w:tr>
      <w:tr>
        <w:tc>
          <w:tcPr>
            <w:tcW w:type="dxa" w:w="2592"/>
            <w:shd w:val="clear" w:color="auto" w:fill="EFEFEF"/>
          </w:tcPr>
          <w:p>
            <w:pPr>
              <w:spacing w:line="240" w:lineRule="auto" w:before="40" w:after="40"/>
              <w:jc w:val="left"/>
            </w:pPr>
            <w:r/>
            <w:r>
              <w:rPr>
                <w:b w:val="0"/>
                <w:i/>
                <w:sz w:val="20"/>
              </w:rPr>
              <w:t>Mobilization / OSH</w:t>
            </w:r>
          </w:p>
        </w:tc>
        <w:tc>
          <w:tcPr>
            <w:tcW w:type="dxa" w:w="2304"/>
            <w:shd w:val="clear" w:color="auto" w:fill="EFEFEF"/>
          </w:tcPr>
          <w:p>
            <w:pPr>
              <w:spacing w:line="240" w:lineRule="auto" w:before="40" w:after="40"/>
              <w:jc w:val="center"/>
            </w:pPr>
            <w:r/>
            <w:r>
              <w:rPr>
                <w:b w:val="0"/>
                <w:i w:val="0"/>
                <w:sz w:val="20"/>
              </w:rPr>
              <w:t>1.0% / 1.0%</w:t>
            </w:r>
          </w:p>
        </w:tc>
        <w:tc>
          <w:tcPr>
            <w:tcW w:type="dxa" w:w="2448"/>
            <w:shd w:val="clear" w:color="auto" w:fill="EFEFEF"/>
          </w:tcPr>
          <w:p>
            <w:pPr>
              <w:spacing w:line="240" w:lineRule="auto" w:before="40" w:after="40"/>
              <w:jc w:val="center"/>
            </w:pPr>
            <w:r/>
            <w:r>
              <w:rPr>
                <w:b w:val="0"/>
                <w:i w:val="0"/>
                <w:sz w:val="20"/>
              </w:rPr>
              <w:t>1.2% / 1.5%</w:t>
            </w:r>
          </w:p>
        </w:tc>
        <w:tc>
          <w:tcPr>
            <w:tcW w:type="dxa" w:w="2016"/>
            <w:shd w:val="clear" w:color="auto" w:fill="EFEFEF"/>
          </w:tcPr>
          <w:p>
            <w:pPr>
              <w:spacing w:line="240" w:lineRule="auto" w:before="40" w:after="40"/>
              <w:jc w:val="center"/>
            </w:pPr>
            <w:r/>
            <w:r>
              <w:rPr>
                <w:b w:val="0"/>
                <w:i w:val="0"/>
                <w:sz w:val="20"/>
              </w:rPr>
              <w:t>1.5% / 2.0%</w:t>
            </w:r>
          </w:p>
        </w:tc>
      </w:tr>
      <w:tr>
        <w:tc>
          <w:tcPr>
            <w:tcW w:type="dxa" w:w="2592"/>
            <w:tcBorders>
              <w:bottom w:val="single" w:sz="12" w:color="000000"/>
            </w:tcBorders>
          </w:tcPr>
          <w:p>
            <w:pPr>
              <w:spacing w:line="240" w:lineRule="auto" w:before="40" w:after="40"/>
              <w:jc w:val="left"/>
            </w:pPr>
            <w:r/>
            <w:r>
              <w:rPr>
                <w:b w:val="0"/>
                <w:i/>
                <w:sz w:val="20"/>
              </w:rPr>
              <w:t>Scope contingency</w:t>
            </w:r>
          </w:p>
        </w:tc>
        <w:tc>
          <w:tcPr>
            <w:tcW w:type="dxa" w:w="2304"/>
            <w:tcBorders>
              <w:bottom w:val="single" w:sz="12" w:color="000000"/>
            </w:tcBorders>
          </w:tcPr>
          <w:p>
            <w:pPr>
              <w:spacing w:line="240" w:lineRule="auto" w:before="40" w:after="40"/>
              <w:jc w:val="center"/>
            </w:pPr>
            <w:r/>
            <w:r>
              <w:rPr>
                <w:b w:val="0"/>
                <w:i w:val="0"/>
                <w:sz w:val="20"/>
              </w:rPr>
              <w:t>–</w:t>
            </w:r>
          </w:p>
        </w:tc>
        <w:tc>
          <w:tcPr>
            <w:tcW w:type="dxa" w:w="2448"/>
            <w:tcBorders>
              <w:bottom w:val="single" w:sz="12" w:color="000000"/>
            </w:tcBorders>
          </w:tcPr>
          <w:p>
            <w:pPr>
              <w:spacing w:line="240" w:lineRule="auto" w:before="40" w:after="40"/>
              <w:jc w:val="center"/>
            </w:pPr>
            <w:r/>
            <w:r>
              <w:rPr>
                <w:b w:val="0"/>
                <w:i w:val="0"/>
                <w:sz w:val="20"/>
              </w:rPr>
              <w:t>–</w:t>
            </w:r>
          </w:p>
        </w:tc>
        <w:tc>
          <w:tcPr>
            <w:tcW w:type="dxa" w:w="2016"/>
            <w:tcBorders>
              <w:bottom w:val="single" w:sz="12" w:color="000000"/>
            </w:tcBorders>
          </w:tcPr>
          <w:p>
            <w:pPr>
              <w:spacing w:line="240" w:lineRule="auto" w:before="40" w:after="40"/>
              <w:jc w:val="center"/>
            </w:pPr>
            <w:r/>
            <w:r>
              <w:rPr>
                <w:b w:val="0"/>
                <w:i w:val="0"/>
                <w:sz w:val="20"/>
              </w:rPr>
              <w:t>8% of works</w:t>
            </w:r>
          </w:p>
        </w:tc>
      </w:tr>
    </w:tbl>
    <w:p>
      <w:pPr>
        <w:spacing w:line="240" w:lineRule="auto" w:after="80"/>
      </w:pPr>
    </w:p>
    <w:p>
      <w:pPr>
        <w:spacing w:line="480" w:lineRule="auto" w:after="0"/>
        <w:ind w:firstLine="720"/>
        <w:jc w:val="both"/>
      </w:pPr>
      <w:r>
        <w:rPr>
          <w:b w:val="0"/>
          <w:i w:val="0"/>
        </w:rPr>
        <w:t>A contract amount is compared with the standard estimate through the over-budget ratio:</w:t>
      </w:r>
    </w:p>
    <w:p>
      <w:pPr>
        <w:keepNext/>
        <w:spacing w:line="240" w:lineRule="auto" w:after="0"/>
        <w:jc w:val="right"/>
      </w:pPr>
      <w:r>
        <w:rPr>
          <w:b w:val="0"/>
          <w:i/>
        </w:rPr>
        <w:t>Eq. 5.</w:t>
      </w:r>
    </w:p>
    <w:p>
      <w:pPr>
        <w:spacing w:line="240" w:lineRule="auto" w:after="200"/>
        <w:jc w:val="center"/>
      </w:pPr>
      <w:r>
        <w:drawing>
          <wp:inline xmlns:a="http://schemas.openxmlformats.org/drawingml/2006/main" xmlns:pic="http://schemas.openxmlformats.org/drawingml/2006/picture">
            <wp:extent cx="1009499" cy="416966"/>
            <wp:docPr id="8" name="Picture 8"/>
            <wp:cNvGraphicFramePr>
              <a:graphicFrameLocks noChangeAspect="1"/>
            </wp:cNvGraphicFramePr>
            <a:graphic>
              <a:graphicData uri="http://schemas.openxmlformats.org/drawingml/2006/picture">
                <pic:pic>
                  <pic:nvPicPr>
                    <pic:cNvPr id="0" name="obr.png"/>
                    <pic:cNvPicPr/>
                  </pic:nvPicPr>
                  <pic:blipFill>
                    <a:blip r:embed="rId18"/>
                    <a:stretch>
                      <a:fillRect/>
                    </a:stretch>
                  </pic:blipFill>
                  <pic:spPr>
                    <a:xfrm>
                      <a:off x="0" y="0"/>
                      <a:ext cx="1009499" cy="416966"/>
                    </a:xfrm>
                    <a:prstGeom prst="rect"/>
                  </pic:spPr>
                </pic:pic>
              </a:graphicData>
            </a:graphic>
          </wp:inline>
        </w:drawing>
      </w:r>
    </w:p>
    <w:p>
      <w:pPr>
        <w:spacing w:line="480" w:lineRule="auto" w:after="0"/>
        <w:ind w:firstLine="720"/>
        <w:jc w:val="both"/>
      </w:pPr>
      <w:r>
        <w:rPr>
          <w:b w:val="0"/>
          <w:i w:val="0"/>
        </w:rPr>
        <w:t>An OBR above 1.10 marks a contract for review, and an amount above the ceiling marks it as an over-budget flag.</w:t>
      </w:r>
    </w:p>
    <w:p>
      <w:pPr>
        <w:keepNext/>
        <w:spacing w:line="480" w:lineRule="auto" w:after="0"/>
        <w:ind w:left="720"/>
        <w:jc w:val="left"/>
      </w:pPr>
      <w:r>
        <w:rPr>
          <w:b/>
          <w:i w:val="0"/>
        </w:rPr>
        <w:t>Simulated Benchmark Dataset (SBD-300)</w:t>
      </w:r>
    </w:p>
    <w:p>
      <w:pPr>
        <w:spacing w:line="480" w:lineRule="auto" w:after="0"/>
        <w:ind w:firstLine="720"/>
        <w:jc w:val="both"/>
      </w:pPr>
      <w:r>
        <w:rPr>
          <w:b w:val="0"/>
          <w:i w:val="0"/>
        </w:rPr>
        <w:t>To measure accuracy and detection against a known truth, a benchmark of 160 buildings and 140 bridges was generated with a fixed random seed. Plans were sampled from realistic ranges for each facility and bridge type (Table 6), provinces were weighted toward the larger provinces, award years were drawn from 2022 to 2025, and each project was placed at a random point inside its province boundary. Each project then received a hidden reality the plan does not show: unit prices per cost category varied log-normally with a 7% standard deviation, reinforcement intensity by ±10%, concrete by ±6%, formwork by ±8%, earthworks by +5% ± 15%, MEPF by ±10%, and pile lengths by a factor of 0.95 to 1.35 reflecting geotechnical surprises. The true cost was priced by the same engine with these hidden adjustments, and the awarded amount was:</w:t>
      </w:r>
    </w:p>
    <w:p>
      <w:pPr>
        <w:keepNext/>
        <w:spacing w:line="240" w:lineRule="auto" w:after="0"/>
        <w:jc w:val="right"/>
      </w:pPr>
      <w:r>
        <w:rPr>
          <w:b w:val="0"/>
          <w:i/>
        </w:rPr>
        <w:t>Eq. 6.</w:t>
      </w:r>
    </w:p>
    <w:p>
      <w:pPr>
        <w:spacing w:line="240" w:lineRule="auto" w:after="200"/>
        <w:jc w:val="center"/>
      </w:pPr>
      <w:r>
        <w:drawing>
          <wp:inline xmlns:a="http://schemas.openxmlformats.org/drawingml/2006/main" xmlns:pic="http://schemas.openxmlformats.org/drawingml/2006/picture">
            <wp:extent cx="3104075" cy="241401"/>
            <wp:docPr id="9" name="Picture 9"/>
            <wp:cNvGraphicFramePr>
              <a:graphicFrameLocks noChangeAspect="1"/>
            </wp:cNvGraphicFramePr>
            <a:graphic>
              <a:graphicData uri="http://schemas.openxmlformats.org/drawingml/2006/picture">
                <pic:pic>
                  <pic:nvPicPr>
                    <pic:cNvPr id="0" name="sim.png"/>
                    <pic:cNvPicPr/>
                  </pic:nvPicPr>
                  <pic:blipFill>
                    <a:blip r:embed="rId19"/>
                    <a:stretch>
                      <a:fillRect/>
                    </a:stretch>
                  </pic:blipFill>
                  <pic:spPr>
                    <a:xfrm>
                      <a:off x="0" y="0"/>
                      <a:ext cx="3104075" cy="241401"/>
                    </a:xfrm>
                    <a:prstGeom prst="rect"/>
                  </pic:spPr>
                </pic:pic>
              </a:graphicData>
            </a:graphic>
          </wp:inline>
        </w:drawing>
      </w:r>
    </w:p>
    <w:p>
      <w:pPr>
        <w:spacing w:line="480" w:lineRule="auto" w:after="0"/>
        <w:ind w:firstLine="720"/>
        <w:jc w:val="both"/>
      </w:pPr>
      <w:r>
        <w:rPr>
          <w:b w:val="0"/>
          <w:i w:val="0"/>
        </w:rPr>
        <w:t xml:space="preserve">where </w:t>
      </w:r>
      <w:r>
        <w:rPr>
          <w:b w:val="0"/>
          <w:i/>
        </w:rPr>
        <w:t>η</w:t>
      </w:r>
      <w:r>
        <w:rPr>
          <w:b w:val="0"/>
          <w:i w:val="0"/>
        </w:rPr>
        <w:t xml:space="preserve"> represents bid competition and </w:t>
      </w:r>
      <w:r>
        <w:rPr>
          <w:b w:val="0"/>
          <w:i/>
        </w:rPr>
        <w:t>μ</w:t>
      </w:r>
      <w:r>
        <w:rPr>
          <w:b w:val="0"/>
          <w:i w:val="0"/>
        </w:rPr>
        <w:t xml:space="preserve"> is the markup. For 88% of projects </w:t>
      </w:r>
      <w:r>
        <w:rPr>
          <w:b w:val="0"/>
          <w:i/>
        </w:rPr>
        <w:t>μ</w:t>
      </w:r>
      <w:r>
        <w:rPr>
          <w:b w:val="0"/>
          <w:i w:val="0"/>
        </w:rPr>
        <w:t xml:space="preserve"> = 1 except for 4% aggressive low bids (</w:t>
      </w:r>
      <w:r>
        <w:rPr>
          <w:b w:val="0"/>
          <w:i/>
        </w:rPr>
        <w:t>μ</w:t>
      </w:r>
      <w:r>
        <w:rPr>
          <w:b w:val="0"/>
          <w:i w:val="0"/>
        </w:rPr>
        <w:t xml:space="preserve"> = 0.78 to 0.88). For the remaining 12%, 36 projects in all, overpricing was injected: half moderate (</w:t>
      </w:r>
      <w:r>
        <w:rPr>
          <w:b w:val="0"/>
          <w:i/>
        </w:rPr>
        <w:t>μ</w:t>
      </w:r>
      <w:r>
        <w:rPr>
          <w:b w:val="0"/>
          <w:i w:val="0"/>
        </w:rPr>
        <w:t xml:space="preserve"> = 1.20 to 1.40) and half severe (</w:t>
      </w:r>
      <w:r>
        <w:rPr>
          <w:b w:val="0"/>
          <w:i/>
        </w:rPr>
        <w:t>μ</w:t>
      </w:r>
      <w:r>
        <w:rPr>
          <w:b w:val="0"/>
          <w:i w:val="0"/>
        </w:rPr>
        <w:t xml:space="preserve"> = 1.40 to 2.10). The plan seen by the estimator is the declared plan, so the benchmark tests whether the yardstick and the models can see through realistic noise.</w:t>
      </w:r>
    </w:p>
    <w:p>
      <w:pPr>
        <w:keepNext/>
        <w:spacing w:line="240" w:lineRule="auto" w:after="0" w:before="120"/>
        <w:jc w:val="left"/>
      </w:pPr>
      <w:r>
        <w:rPr>
          <w:b/>
          <w:i w:val="0"/>
        </w:rPr>
        <w:t>Table 6.</w:t>
      </w:r>
    </w:p>
    <w:p>
      <w:pPr>
        <w:keepNext/>
        <w:spacing w:line="240" w:lineRule="auto" w:after="0"/>
        <w:jc w:val="left"/>
      </w:pPr>
      <w:r>
        <w:rPr>
          <w:b w:val="0"/>
          <w:i/>
        </w:rPr>
        <w:t>Simulation Parameters of the SBD-300 Benchmark</w:t>
      </w:r>
    </w:p>
    <w:tbl>
      <w:tblPr>
        <w:tblW w:type="auto" w:w="0"/>
        <w:jc w:val="center"/>
        <w:tblLayout w:type="fixed"/>
        <w:tblLook w:firstColumn="1" w:firstRow="1" w:lastColumn="0" w:lastRow="0" w:noHBand="0" w:noVBand="1" w:val="04A0"/>
        <w:tblLayout w:type="fixed"/>
      </w:tblPr>
      <w:tblGrid>
        <w:gridCol w:w="2304"/>
        <w:gridCol w:w="3600"/>
        <w:gridCol w:w="3456"/>
      </w:tblGrid>
      <w:tr>
        <w:tc>
          <w:tcPr>
            <w:tcW w:type="dxa" w:w="2304"/>
            <w:tcBorders>
              <w:top w:val="single" w:sz="12" w:color="000000"/>
              <w:bottom w:val="single" w:sz="8" w:color="000000"/>
            </w:tcBorders>
          </w:tcPr>
          <w:p>
            <w:pPr>
              <w:spacing w:line="240" w:lineRule="auto" w:before="40" w:after="40"/>
              <w:jc w:val="center"/>
            </w:pPr>
            <w:r/>
            <w:r>
              <w:rPr>
                <w:b/>
                <w:i w:val="0"/>
                <w:sz w:val="19"/>
              </w:rPr>
              <w:t>ELEMENT</w:t>
            </w:r>
          </w:p>
        </w:tc>
        <w:tc>
          <w:tcPr>
            <w:tcW w:type="dxa" w:w="3600"/>
            <w:tcBorders>
              <w:top w:val="single" w:sz="12" w:color="000000"/>
              <w:bottom w:val="single" w:sz="8" w:color="000000"/>
            </w:tcBorders>
          </w:tcPr>
          <w:p>
            <w:pPr>
              <w:spacing w:line="240" w:lineRule="auto" w:before="40" w:after="40"/>
              <w:jc w:val="center"/>
            </w:pPr>
            <w:r/>
            <w:r>
              <w:rPr>
                <w:b/>
                <w:i w:val="0"/>
                <w:sz w:val="19"/>
              </w:rPr>
              <w:t>BUILDINGS (n = 160)</w:t>
            </w:r>
          </w:p>
        </w:tc>
        <w:tc>
          <w:tcPr>
            <w:tcW w:type="dxa" w:w="3456"/>
            <w:tcBorders>
              <w:top w:val="single" w:sz="12" w:color="000000"/>
              <w:bottom w:val="single" w:sz="8" w:color="000000"/>
            </w:tcBorders>
          </w:tcPr>
          <w:p>
            <w:pPr>
              <w:spacing w:line="240" w:lineRule="auto" w:before="40" w:after="40"/>
              <w:jc w:val="center"/>
            </w:pPr>
            <w:r/>
            <w:r>
              <w:rPr>
                <w:b/>
                <w:i w:val="0"/>
                <w:sz w:val="19"/>
              </w:rPr>
              <w:t>BRIDGES (n = 140)</w:t>
            </w:r>
          </w:p>
        </w:tc>
      </w:tr>
      <w:tr>
        <w:tc>
          <w:tcPr>
            <w:tcW w:type="dxa" w:w="2304"/>
            <w:shd w:val="clear" w:color="auto" w:fill="EFEFEF"/>
          </w:tcPr>
          <w:p>
            <w:pPr>
              <w:spacing w:line="240" w:lineRule="auto" w:before="40" w:after="40"/>
              <w:jc w:val="left"/>
            </w:pPr>
            <w:r/>
            <w:r>
              <w:rPr>
                <w:b w:val="0"/>
                <w:i/>
                <w:sz w:val="19"/>
              </w:rPr>
              <w:t>Types</w:t>
            </w:r>
          </w:p>
        </w:tc>
        <w:tc>
          <w:tcPr>
            <w:tcW w:type="dxa" w:w="3600"/>
            <w:shd w:val="clear" w:color="auto" w:fill="EFEFEF"/>
          </w:tcPr>
          <w:p>
            <w:pPr>
              <w:spacing w:line="240" w:lineRule="auto" w:before="40" w:after="40"/>
              <w:jc w:val="center"/>
            </w:pPr>
            <w:r/>
            <w:r>
              <w:rPr>
                <w:b w:val="0"/>
                <w:i w:val="0"/>
                <w:sz w:val="19"/>
              </w:rPr>
              <w:t>School 40%, office 14%, health 12%, evacuation 16%, dormitory 6%, market 12%</w:t>
            </w:r>
          </w:p>
        </w:tc>
        <w:tc>
          <w:tcPr>
            <w:tcW w:type="dxa" w:w="3456"/>
            <w:shd w:val="clear" w:color="auto" w:fill="EFEFEF"/>
          </w:tcPr>
          <w:p>
            <w:pPr>
              <w:spacing w:line="240" w:lineRule="auto" w:before="40" w:after="40"/>
              <w:jc w:val="center"/>
            </w:pPr>
            <w:r/>
            <w:r>
              <w:rPr>
                <w:b w:val="0"/>
                <w:i w:val="0"/>
                <w:sz w:val="19"/>
              </w:rPr>
              <w:t>Box culvert 18%, RCDG 42%, PSCG 30%, steel truss 10%</w:t>
            </w:r>
          </w:p>
        </w:tc>
      </w:tr>
      <w:tr>
        <w:tc>
          <w:tcPr>
            <w:tcW w:type="dxa" w:w="2304"/>
          </w:tcPr>
          <w:p>
            <w:pPr>
              <w:spacing w:line="240" w:lineRule="auto" w:before="40" w:after="40"/>
              <w:jc w:val="left"/>
            </w:pPr>
            <w:r/>
            <w:r>
              <w:rPr>
                <w:b w:val="0"/>
                <w:i/>
                <w:sz w:val="19"/>
              </w:rPr>
              <w:t>Size</w:t>
            </w:r>
          </w:p>
        </w:tc>
        <w:tc>
          <w:tcPr>
            <w:tcW w:type="dxa" w:w="3600"/>
          </w:tcPr>
          <w:p>
            <w:pPr>
              <w:spacing w:line="240" w:lineRule="auto" w:before="40" w:after="40"/>
              <w:jc w:val="center"/>
            </w:pPr>
            <w:r/>
            <w:r>
              <w:rPr>
                <w:b w:val="0"/>
                <w:i w:val="0"/>
                <w:sz w:val="19"/>
              </w:rPr>
              <w:t>1–4 storeys; 2–5 classrooms; 10–50 m long</w:t>
            </w:r>
          </w:p>
        </w:tc>
        <w:tc>
          <w:tcPr>
            <w:tcW w:type="dxa" w:w="3456"/>
          </w:tcPr>
          <w:p>
            <w:pPr>
              <w:spacing w:line="240" w:lineRule="auto" w:before="40" w:after="40"/>
              <w:jc w:val="center"/>
            </w:pPr>
            <w:r/>
            <w:r>
              <w:rPr>
                <w:b w:val="0"/>
                <w:i w:val="0"/>
                <w:sz w:val="19"/>
              </w:rPr>
              <w:t>1–5 spans; 2–70 m spans; 4.0–13.4 m carriageway</w:t>
            </w:r>
          </w:p>
        </w:tc>
      </w:tr>
      <w:tr>
        <w:tc>
          <w:tcPr>
            <w:tcW w:type="dxa" w:w="2304"/>
            <w:shd w:val="clear" w:color="auto" w:fill="EFEFEF"/>
          </w:tcPr>
          <w:p>
            <w:pPr>
              <w:spacing w:line="240" w:lineRule="auto" w:before="40" w:after="40"/>
              <w:jc w:val="left"/>
            </w:pPr>
            <w:r/>
            <w:r>
              <w:rPr>
                <w:b w:val="0"/>
                <w:i/>
                <w:sz w:val="19"/>
              </w:rPr>
              <w:t>Hidden price variation</w:t>
            </w:r>
          </w:p>
        </w:tc>
        <w:tc>
          <w:tcPr>
            <w:tcW w:type="dxa" w:w="3600"/>
            <w:shd w:val="clear" w:color="auto" w:fill="EFEFEF"/>
          </w:tcPr>
          <w:p>
            <w:pPr>
              <w:spacing w:line="240" w:lineRule="auto" w:before="40" w:after="40"/>
              <w:jc w:val="center"/>
            </w:pPr>
            <w:r/>
            <w:r>
              <w:rPr>
                <w:b w:val="0"/>
                <w:i w:val="0"/>
                <w:sz w:val="19"/>
              </w:rPr>
              <w:t>log-normal, σ = 0.07 per cost category</w:t>
            </w:r>
          </w:p>
        </w:tc>
        <w:tc>
          <w:tcPr>
            <w:tcW w:type="dxa" w:w="3456"/>
            <w:shd w:val="clear" w:color="auto" w:fill="EFEFEF"/>
          </w:tcPr>
          <w:p>
            <w:pPr>
              <w:spacing w:line="240" w:lineRule="auto" w:before="40" w:after="40"/>
              <w:jc w:val="center"/>
            </w:pPr>
            <w:r/>
            <w:r>
              <w:rPr>
                <w:b w:val="0"/>
                <w:i w:val="0"/>
                <w:sz w:val="19"/>
              </w:rPr>
              <w:t>log-normal, σ = 0.07 per cost category</w:t>
            </w:r>
          </w:p>
        </w:tc>
      </w:tr>
      <w:tr>
        <w:tc>
          <w:tcPr>
            <w:tcW w:type="dxa" w:w="2304"/>
          </w:tcPr>
          <w:p>
            <w:pPr>
              <w:spacing w:line="240" w:lineRule="auto" w:before="40" w:after="40"/>
              <w:jc w:val="left"/>
            </w:pPr>
            <w:r/>
            <w:r>
              <w:rPr>
                <w:b w:val="0"/>
                <w:i/>
                <w:sz w:val="19"/>
              </w:rPr>
              <w:t>Hidden quantity variation</w:t>
            </w:r>
          </w:p>
        </w:tc>
        <w:tc>
          <w:tcPr>
            <w:tcW w:type="dxa" w:w="3600"/>
          </w:tcPr>
          <w:p>
            <w:pPr>
              <w:spacing w:line="240" w:lineRule="auto" w:before="40" w:after="40"/>
              <w:jc w:val="center"/>
            </w:pPr>
            <w:r/>
            <w:r>
              <w:rPr>
                <w:b w:val="0"/>
                <w:i w:val="0"/>
                <w:sz w:val="19"/>
              </w:rPr>
              <w:t>rebar ±10%, concrete ±6%, MEPF ±10%</w:t>
            </w:r>
          </w:p>
        </w:tc>
        <w:tc>
          <w:tcPr>
            <w:tcW w:type="dxa" w:w="3456"/>
          </w:tcPr>
          <w:p>
            <w:pPr>
              <w:spacing w:line="240" w:lineRule="auto" w:before="40" w:after="40"/>
              <w:jc w:val="center"/>
            </w:pPr>
            <w:r/>
            <w:r>
              <w:rPr>
                <w:b w:val="0"/>
                <w:i w:val="0"/>
                <w:sz w:val="19"/>
              </w:rPr>
              <w:t>rebar ±10%, concrete ±6%, piles ×0.95–1.35</w:t>
            </w:r>
          </w:p>
        </w:tc>
      </w:tr>
      <w:tr>
        <w:tc>
          <w:tcPr>
            <w:tcW w:type="dxa" w:w="2304"/>
            <w:shd w:val="clear" w:color="auto" w:fill="EFEFEF"/>
          </w:tcPr>
          <w:p>
            <w:pPr>
              <w:spacing w:line="240" w:lineRule="auto" w:before="40" w:after="40"/>
              <w:jc w:val="left"/>
            </w:pPr>
            <w:r/>
            <w:r>
              <w:rPr>
                <w:b w:val="0"/>
                <w:i/>
                <w:sz w:val="19"/>
              </w:rPr>
              <w:t>Bid competition</w:t>
            </w:r>
          </w:p>
        </w:tc>
        <w:tc>
          <w:tcPr>
            <w:tcW w:type="dxa" w:w="3600"/>
            <w:shd w:val="clear" w:color="auto" w:fill="EFEFEF"/>
          </w:tcPr>
          <w:p>
            <w:pPr>
              <w:spacing w:line="240" w:lineRule="auto" w:before="40" w:after="40"/>
              <w:jc w:val="center"/>
            </w:pPr>
            <w:r/>
            <w:r>
              <w:rPr>
                <w:b w:val="0"/>
                <w:i w:val="0"/>
                <w:sz w:val="19"/>
              </w:rPr>
              <w:t>e</w:t>
            </w:r>
            <w:r>
              <w:rPr>
                <w:b w:val="0"/>
                <w:i w:val="0"/>
                <w:sz w:val="19"/>
                <w:vertAlign w:val="superscript"/>
              </w:rPr>
              <w:t>η</w:t>
            </w:r>
            <w:r>
              <w:rPr>
                <w:b w:val="0"/>
                <w:i w:val="0"/>
                <w:sz w:val="19"/>
              </w:rPr>
              <w:t>, η ~ N(−0.02, 0.045²)</w:t>
            </w:r>
          </w:p>
        </w:tc>
        <w:tc>
          <w:tcPr>
            <w:tcW w:type="dxa" w:w="3456"/>
            <w:shd w:val="clear" w:color="auto" w:fill="EFEFEF"/>
          </w:tcPr>
          <w:p>
            <w:pPr>
              <w:spacing w:line="240" w:lineRule="auto" w:before="40" w:after="40"/>
              <w:jc w:val="center"/>
            </w:pPr>
            <w:r/>
            <w:r>
              <w:rPr>
                <w:b w:val="0"/>
                <w:i w:val="0"/>
                <w:sz w:val="19"/>
              </w:rPr>
              <w:t>e</w:t>
            </w:r>
            <w:r>
              <w:rPr>
                <w:b w:val="0"/>
                <w:i w:val="0"/>
                <w:sz w:val="19"/>
                <w:vertAlign w:val="superscript"/>
              </w:rPr>
              <w:t>η</w:t>
            </w:r>
            <w:r>
              <w:rPr>
                <w:b w:val="0"/>
                <w:i w:val="0"/>
                <w:sz w:val="19"/>
              </w:rPr>
              <w:t>, η ~ N(−0.02, 0.045²)</w:t>
            </w:r>
          </w:p>
        </w:tc>
      </w:tr>
      <w:tr>
        <w:tc>
          <w:tcPr>
            <w:tcW w:type="dxa" w:w="2304"/>
            <w:tcBorders>
              <w:bottom w:val="single" w:sz="12" w:color="000000"/>
            </w:tcBorders>
          </w:tcPr>
          <w:p>
            <w:pPr>
              <w:spacing w:line="240" w:lineRule="auto" w:before="40" w:after="40"/>
              <w:jc w:val="left"/>
            </w:pPr>
            <w:r/>
            <w:r>
              <w:rPr>
                <w:b w:val="0"/>
                <w:i/>
                <w:sz w:val="19"/>
              </w:rPr>
              <w:t>Injected overpricing</w:t>
            </w:r>
          </w:p>
        </w:tc>
        <w:tc>
          <w:tcPr>
            <w:tcW w:type="dxa" w:w="3600"/>
            <w:tcBorders>
              <w:bottom w:val="single" w:sz="12" w:color="000000"/>
            </w:tcBorders>
          </w:tcPr>
          <w:p>
            <w:pPr>
              <w:spacing w:line="240" w:lineRule="auto" w:before="40" w:after="40"/>
              <w:jc w:val="center"/>
            </w:pPr>
            <w:r/>
            <w:r>
              <w:rPr>
                <w:b w:val="0"/>
                <w:i w:val="0"/>
                <w:sz w:val="19"/>
              </w:rPr>
              <w:t>20 projects</w:t>
            </w:r>
          </w:p>
        </w:tc>
        <w:tc>
          <w:tcPr>
            <w:tcW w:type="dxa" w:w="3456"/>
            <w:tcBorders>
              <w:bottom w:val="single" w:sz="12" w:color="000000"/>
            </w:tcBorders>
          </w:tcPr>
          <w:p>
            <w:pPr>
              <w:spacing w:line="240" w:lineRule="auto" w:before="40" w:after="40"/>
              <w:jc w:val="center"/>
            </w:pPr>
            <w:r/>
            <w:r>
              <w:rPr>
                <w:b w:val="0"/>
                <w:i w:val="0"/>
                <w:sz w:val="19"/>
              </w:rPr>
              <w:t>16 projects</w:t>
            </w:r>
          </w:p>
        </w:tc>
      </w:tr>
    </w:tbl>
    <w:p>
      <w:pPr>
        <w:spacing w:line="240" w:lineRule="auto" w:after="80"/>
      </w:pPr>
    </w:p>
    <w:p>
      <w:pPr>
        <w:keepNext/>
        <w:spacing w:line="480" w:lineRule="auto" w:after="0"/>
        <w:ind w:left="720"/>
        <w:jc w:val="left"/>
      </w:pPr>
      <w:r>
        <w:rPr>
          <w:b/>
          <w:i w:val="0"/>
        </w:rPr>
        <w:t>Model Development</w:t>
      </w:r>
    </w:p>
    <w:p>
      <w:pPr>
        <w:spacing w:line="480" w:lineRule="auto" w:after="0"/>
        <w:ind w:firstLine="720"/>
        <w:jc w:val="both"/>
      </w:pPr>
      <w:r>
        <w:rPr>
          <w:b w:val="0"/>
          <w:i w:val="0"/>
        </w:rPr>
        <w:t>The machine-learning layer was built separately for buildings and bridges and chained so that each stage fed the next. Multiple Linear Regression served as the interpretable baseline:</w:t>
      </w:r>
    </w:p>
    <w:p>
      <w:pPr>
        <w:keepNext/>
        <w:spacing w:line="240" w:lineRule="auto" w:after="0"/>
        <w:jc w:val="right"/>
      </w:pPr>
      <w:r>
        <w:rPr>
          <w:b w:val="0"/>
          <w:i/>
        </w:rPr>
        <w:t>Eq. 7.</w:t>
      </w:r>
    </w:p>
    <w:p>
      <w:pPr>
        <w:spacing w:line="240" w:lineRule="auto" w:after="200"/>
        <w:jc w:val="center"/>
      </w:pPr>
      <w:r>
        <w:drawing>
          <wp:inline xmlns:a="http://schemas.openxmlformats.org/drawingml/2006/main" xmlns:pic="http://schemas.openxmlformats.org/drawingml/2006/picture">
            <wp:extent cx="1426465" cy="416966"/>
            <wp:docPr id="10" name="Picture 10"/>
            <wp:cNvGraphicFramePr>
              <a:graphicFrameLocks noChangeAspect="1"/>
            </wp:cNvGraphicFramePr>
            <a:graphic>
              <a:graphicData uri="http://schemas.openxmlformats.org/drawingml/2006/picture">
                <pic:pic>
                  <pic:nvPicPr>
                    <pic:cNvPr id="0" name="mlr.png"/>
                    <pic:cNvPicPr/>
                  </pic:nvPicPr>
                  <pic:blipFill>
                    <a:blip r:embed="rId20"/>
                    <a:stretch>
                      <a:fillRect/>
                    </a:stretch>
                  </pic:blipFill>
                  <pic:spPr>
                    <a:xfrm>
                      <a:off x="0" y="0"/>
                      <a:ext cx="1426465" cy="416966"/>
                    </a:xfrm>
                    <a:prstGeom prst="rect"/>
                  </pic:spPr>
                </pic:pic>
              </a:graphicData>
            </a:graphic>
          </wp:inline>
        </w:drawing>
      </w:r>
    </w:p>
    <w:p>
      <w:pPr>
        <w:spacing w:line="480" w:lineRule="auto" w:after="0"/>
        <w:ind w:firstLine="720"/>
        <w:jc w:val="both"/>
      </w:pPr>
      <w:r>
        <w:rPr>
          <w:b w:val="0"/>
          <w:i w:val="0"/>
        </w:rPr>
        <w:t xml:space="preserve">where </w:t>
      </w:r>
      <w:r>
        <w:rPr>
          <w:b w:val="0"/>
          <w:i/>
        </w:rPr>
        <w:t>y</w:t>
      </w:r>
      <w:r>
        <w:rPr>
          <w:b w:val="0"/>
          <w:i/>
          <w:vertAlign w:val="subscript"/>
        </w:rPr>
        <w:t>i</w:t>
      </w:r>
      <w:r>
        <w:rPr>
          <w:b w:val="0"/>
          <w:i w:val="0"/>
        </w:rPr>
        <w:t xml:space="preserve"> is the awarded cost of project </w:t>
      </w:r>
      <w:r>
        <w:rPr>
          <w:b w:val="0"/>
          <w:i/>
        </w:rPr>
        <w:t>i</w:t>
      </w:r>
      <w:r>
        <w:rPr>
          <w:b w:val="0"/>
          <w:i w:val="0"/>
        </w:rPr>
        <w:t xml:space="preserve">, </w:t>
      </w:r>
      <w:r>
        <w:rPr>
          <w:b w:val="0"/>
          <w:i/>
        </w:rPr>
        <w:t>x</w:t>
      </w:r>
      <w:r>
        <w:rPr>
          <w:b w:val="0"/>
          <w:i/>
          <w:vertAlign w:val="subscript"/>
        </w:rPr>
        <w:t>ik</w:t>
      </w:r>
      <w:r>
        <w:rPr>
          <w:b w:val="0"/>
          <w:i w:val="0"/>
        </w:rPr>
        <w:t xml:space="preserve"> is its </w:t>
      </w:r>
      <w:r>
        <w:rPr>
          <w:b w:val="0"/>
          <w:i/>
        </w:rPr>
        <w:t>k</w:t>
      </w:r>
      <w:r>
        <w:rPr>
          <w:b w:val="0"/>
          <w:i w:val="0"/>
        </w:rPr>
        <w:t xml:space="preserve">-th predictor, </w:t>
      </w:r>
      <w:r>
        <w:rPr>
          <w:b w:val="0"/>
          <w:i/>
        </w:rPr>
        <w:t>β</w:t>
      </w:r>
      <w:r>
        <w:rPr>
          <w:b w:val="0"/>
          <w:i/>
          <w:vertAlign w:val="subscript"/>
        </w:rPr>
        <w:t>k</w:t>
      </w:r>
      <w:r>
        <w:rPr>
          <w:b w:val="0"/>
          <w:i w:val="0"/>
        </w:rPr>
        <w:t xml:space="preserve"> the coefficients and </w:t>
      </w:r>
      <w:r>
        <w:rPr>
          <w:b w:val="0"/>
          <w:i/>
        </w:rPr>
        <w:t>ε</w:t>
      </w:r>
      <w:r>
        <w:rPr>
          <w:b w:val="0"/>
          <w:i/>
          <w:vertAlign w:val="subscript"/>
        </w:rPr>
        <w:t>i</w:t>
      </w:r>
      <w:r>
        <w:rPr>
          <w:b w:val="0"/>
          <w:i w:val="0"/>
        </w:rPr>
        <w:t xml:space="preserve"> the error. Multicollinearity was checked with the variance inflation factor, and the composite variable (deck area or footprint) and then the predictor with the highest VIF were removed until all VIFs fell at or below the conventional threshold of 10 (Kutner et al., 2004; O'Brien, 2007):</w:t>
      </w:r>
    </w:p>
    <w:p>
      <w:pPr>
        <w:keepNext/>
        <w:spacing w:line="240" w:lineRule="auto" w:after="0"/>
        <w:jc w:val="right"/>
      </w:pPr>
      <w:r>
        <w:rPr>
          <w:b w:val="0"/>
          <w:i/>
        </w:rPr>
        <w:t>Eq. 8.</w:t>
      </w:r>
    </w:p>
    <w:p>
      <w:pPr>
        <w:spacing w:line="240" w:lineRule="auto" w:after="200"/>
        <w:jc w:val="center"/>
      </w:pPr>
      <w:r>
        <w:drawing>
          <wp:inline xmlns:a="http://schemas.openxmlformats.org/drawingml/2006/main" xmlns:pic="http://schemas.openxmlformats.org/drawingml/2006/picture">
            <wp:extent cx="938784" cy="475488"/>
            <wp:docPr id="11" name="Picture 11"/>
            <wp:cNvGraphicFramePr>
              <a:graphicFrameLocks noChangeAspect="1"/>
            </wp:cNvGraphicFramePr>
            <a:graphic>
              <a:graphicData uri="http://schemas.openxmlformats.org/drawingml/2006/picture">
                <pic:pic>
                  <pic:nvPicPr>
                    <pic:cNvPr id="0" name="vif.png"/>
                    <pic:cNvPicPr/>
                  </pic:nvPicPr>
                  <pic:blipFill>
                    <a:blip r:embed="rId21"/>
                    <a:stretch>
                      <a:fillRect/>
                    </a:stretch>
                  </pic:blipFill>
                  <pic:spPr>
                    <a:xfrm>
                      <a:off x="0" y="0"/>
                      <a:ext cx="938784" cy="475488"/>
                    </a:xfrm>
                    <a:prstGeom prst="rect"/>
                  </pic:spPr>
                </pic:pic>
              </a:graphicData>
            </a:graphic>
          </wp:inline>
        </w:drawing>
      </w:r>
    </w:p>
    <w:p>
      <w:pPr>
        <w:spacing w:line="480" w:lineRule="auto" w:after="0"/>
        <w:ind w:firstLine="720"/>
        <w:jc w:val="both"/>
      </w:pPr>
      <w:r>
        <w:rPr>
          <w:b w:val="0"/>
          <w:i w:val="0"/>
        </w:rPr>
        <w:t>Extreme Gradient Boosting served as the primary cost model. It adds regression trees that each correct the previous ones and penalizes tree complexity (Chen &amp; Guestrin, 2016):</w:t>
      </w:r>
    </w:p>
    <w:p>
      <w:pPr>
        <w:keepNext/>
        <w:spacing w:line="240" w:lineRule="auto" w:after="0"/>
        <w:jc w:val="right"/>
      </w:pPr>
      <w:r>
        <w:rPr>
          <w:b w:val="0"/>
          <w:i/>
        </w:rPr>
        <w:t>Eq. 9.</w:t>
      </w:r>
    </w:p>
    <w:p>
      <w:pPr>
        <w:spacing w:line="240" w:lineRule="auto" w:after="200"/>
        <w:jc w:val="center"/>
      </w:pPr>
      <w:r>
        <w:drawing>
          <wp:inline xmlns:a="http://schemas.openxmlformats.org/drawingml/2006/main" xmlns:pic="http://schemas.openxmlformats.org/drawingml/2006/picture">
            <wp:extent cx="3818538" cy="416966"/>
            <wp:docPr id="12" name="Picture 12"/>
            <wp:cNvGraphicFramePr>
              <a:graphicFrameLocks noChangeAspect="1"/>
            </wp:cNvGraphicFramePr>
            <a:graphic>
              <a:graphicData uri="http://schemas.openxmlformats.org/drawingml/2006/picture">
                <pic:pic>
                  <pic:nvPicPr>
                    <pic:cNvPr id="0" name="xgb.png"/>
                    <pic:cNvPicPr/>
                  </pic:nvPicPr>
                  <pic:blipFill>
                    <a:blip r:embed="rId22"/>
                    <a:stretch>
                      <a:fillRect/>
                    </a:stretch>
                  </pic:blipFill>
                  <pic:spPr>
                    <a:xfrm>
                      <a:off x="0" y="0"/>
                      <a:ext cx="3818538" cy="416966"/>
                    </a:xfrm>
                    <a:prstGeom prst="rect"/>
                  </pic:spPr>
                </pic:pic>
              </a:graphicData>
            </a:graphic>
          </wp:inline>
        </w:drawing>
      </w:r>
    </w:p>
    <w:p>
      <w:pPr>
        <w:spacing w:line="480" w:lineRule="auto" w:after="0"/>
        <w:ind w:firstLine="720"/>
        <w:jc w:val="both"/>
      </w:pPr>
      <w:r>
        <w:rPr>
          <w:b w:val="0"/>
          <w:i w:val="0"/>
        </w:rPr>
        <w:t>The model was trained on the natural logarithm of cost so that small culverts and large bridges carry comparable weight, and tuned by randomized search over 40 settings of tree depth, number of trees, learning rate, L1 and L2 penalties, minimum child weight, row subsampling and column subsampling, scored by five-fold MAPE (Table 7).</w:t>
      </w:r>
    </w:p>
    <w:p>
      <w:pPr>
        <w:keepNext/>
        <w:spacing w:line="240" w:lineRule="auto" w:after="0" w:before="120"/>
        <w:jc w:val="left"/>
      </w:pPr>
      <w:r>
        <w:rPr>
          <w:b/>
          <w:i w:val="0"/>
        </w:rPr>
        <w:t>Table 7.</w:t>
      </w:r>
    </w:p>
    <w:p>
      <w:pPr>
        <w:keepNext/>
        <w:spacing w:line="240" w:lineRule="auto" w:after="0"/>
        <w:jc w:val="left"/>
      </w:pPr>
      <w:r>
        <w:rPr>
          <w:b w:val="0"/>
          <w:i/>
        </w:rPr>
        <w:t>XGBoost Hyperparameter Search and Selected Values</w:t>
      </w:r>
    </w:p>
    <w:tbl>
      <w:tblPr>
        <w:tblW w:type="auto" w:w="0"/>
        <w:jc w:val="center"/>
        <w:tblLayout w:type="fixed"/>
        <w:tblLook w:firstColumn="1" w:firstRow="1" w:lastColumn="0" w:lastRow="0" w:noHBand="0" w:noVBand="1" w:val="04A0"/>
        <w:tblLayout w:type="fixed"/>
      </w:tblPr>
      <w:tblGrid>
        <w:gridCol w:w="2448"/>
        <w:gridCol w:w="2160"/>
        <w:gridCol w:w="2304"/>
        <w:gridCol w:w="2304"/>
      </w:tblGrid>
      <w:tr>
        <w:tc>
          <w:tcPr>
            <w:tcW w:type="dxa" w:w="2448"/>
            <w:tcBorders>
              <w:top w:val="single" w:sz="12" w:color="000000"/>
              <w:bottom w:val="single" w:sz="8" w:color="000000"/>
            </w:tcBorders>
          </w:tcPr>
          <w:p>
            <w:pPr>
              <w:spacing w:line="240" w:lineRule="auto" w:before="40" w:after="40"/>
              <w:jc w:val="center"/>
            </w:pPr>
            <w:r/>
            <w:r>
              <w:rPr>
                <w:b/>
                <w:i w:val="0"/>
                <w:sz w:val="20"/>
              </w:rPr>
              <w:t>HYPERPARAMETER</w:t>
            </w:r>
          </w:p>
        </w:tc>
        <w:tc>
          <w:tcPr>
            <w:tcW w:type="dxa" w:w="2160"/>
            <w:tcBorders>
              <w:top w:val="single" w:sz="12" w:color="000000"/>
              <w:bottom w:val="single" w:sz="8" w:color="000000"/>
            </w:tcBorders>
          </w:tcPr>
          <w:p>
            <w:pPr>
              <w:spacing w:line="240" w:lineRule="auto" w:before="40" w:after="40"/>
              <w:jc w:val="center"/>
            </w:pPr>
            <w:r/>
            <w:r>
              <w:rPr>
                <w:b/>
                <w:i w:val="0"/>
                <w:sz w:val="20"/>
              </w:rPr>
              <w:t>SEARCH SPACE</w:t>
            </w:r>
          </w:p>
        </w:tc>
        <w:tc>
          <w:tcPr>
            <w:tcW w:type="dxa" w:w="2304"/>
            <w:tcBorders>
              <w:top w:val="single" w:sz="12" w:color="000000"/>
              <w:bottom w:val="single" w:sz="8" w:color="000000"/>
            </w:tcBorders>
          </w:tcPr>
          <w:p>
            <w:pPr>
              <w:spacing w:line="240" w:lineRule="auto" w:before="40" w:after="40"/>
              <w:jc w:val="center"/>
            </w:pPr>
            <w:r/>
            <w:r>
              <w:rPr>
                <w:b/>
                <w:i w:val="0"/>
                <w:sz w:val="20"/>
              </w:rPr>
              <w:t>SELECTED (BUILDINGS)</w:t>
            </w:r>
          </w:p>
        </w:tc>
        <w:tc>
          <w:tcPr>
            <w:tcW w:type="dxa" w:w="2304"/>
            <w:tcBorders>
              <w:top w:val="single" w:sz="12" w:color="000000"/>
              <w:bottom w:val="single" w:sz="8" w:color="000000"/>
            </w:tcBorders>
          </w:tcPr>
          <w:p>
            <w:pPr>
              <w:spacing w:line="240" w:lineRule="auto" w:before="40" w:after="40"/>
              <w:jc w:val="center"/>
            </w:pPr>
            <w:r/>
            <w:r>
              <w:rPr>
                <w:b/>
                <w:i w:val="0"/>
                <w:sz w:val="20"/>
              </w:rPr>
              <w:t>SELECTED (BRIDGES)</w:t>
            </w:r>
          </w:p>
        </w:tc>
      </w:tr>
      <w:tr>
        <w:tc>
          <w:tcPr>
            <w:tcW w:type="dxa" w:w="2448"/>
            <w:shd w:val="clear" w:color="auto" w:fill="EFEFEF"/>
          </w:tcPr>
          <w:p>
            <w:pPr>
              <w:spacing w:line="240" w:lineRule="auto" w:before="40" w:after="40"/>
              <w:jc w:val="left"/>
            </w:pPr>
            <w:r/>
            <w:r>
              <w:rPr>
                <w:b w:val="0"/>
                <w:i w:val="0"/>
                <w:sz w:val="20"/>
              </w:rPr>
              <w:t>max_depth</w:t>
            </w:r>
          </w:p>
        </w:tc>
        <w:tc>
          <w:tcPr>
            <w:tcW w:type="dxa" w:w="2160"/>
            <w:shd w:val="clear" w:color="auto" w:fill="EFEFEF"/>
          </w:tcPr>
          <w:p>
            <w:pPr>
              <w:spacing w:line="240" w:lineRule="auto" w:before="40" w:after="40"/>
              <w:jc w:val="center"/>
            </w:pPr>
            <w:r/>
            <w:r>
              <w:rPr>
                <w:b w:val="0"/>
                <w:i w:val="0"/>
                <w:sz w:val="20"/>
              </w:rPr>
              <w:t>2, 3, 4, 5</w:t>
            </w:r>
          </w:p>
        </w:tc>
        <w:tc>
          <w:tcPr>
            <w:tcW w:type="dxa" w:w="2304"/>
            <w:shd w:val="clear" w:color="auto" w:fill="EFEFEF"/>
          </w:tcPr>
          <w:p>
            <w:pPr>
              <w:spacing w:line="240" w:lineRule="auto" w:before="40" w:after="40"/>
              <w:jc w:val="center"/>
            </w:pPr>
            <w:r/>
            <w:r>
              <w:rPr>
                <w:b w:val="0"/>
                <w:i w:val="0"/>
                <w:sz w:val="20"/>
              </w:rPr>
              <w:t>2</w:t>
            </w:r>
          </w:p>
        </w:tc>
        <w:tc>
          <w:tcPr>
            <w:tcW w:type="dxa" w:w="2304"/>
            <w:shd w:val="clear" w:color="auto" w:fill="EFEFEF"/>
          </w:tcPr>
          <w:p>
            <w:pPr>
              <w:spacing w:line="240" w:lineRule="auto" w:before="40" w:after="40"/>
              <w:jc w:val="center"/>
            </w:pPr>
            <w:r/>
            <w:r>
              <w:rPr>
                <w:b w:val="0"/>
                <w:i w:val="0"/>
                <w:sz w:val="20"/>
              </w:rPr>
              <w:t>2</w:t>
            </w:r>
          </w:p>
        </w:tc>
      </w:tr>
      <w:tr>
        <w:tc>
          <w:tcPr>
            <w:tcW w:type="dxa" w:w="2448"/>
          </w:tcPr>
          <w:p>
            <w:pPr>
              <w:spacing w:line="240" w:lineRule="auto" w:before="40" w:after="40"/>
              <w:jc w:val="left"/>
            </w:pPr>
            <w:r/>
            <w:r>
              <w:rPr>
                <w:b w:val="0"/>
                <w:i w:val="0"/>
                <w:sz w:val="20"/>
              </w:rPr>
              <w:t>n_estimators</w:t>
            </w:r>
          </w:p>
        </w:tc>
        <w:tc>
          <w:tcPr>
            <w:tcW w:type="dxa" w:w="2160"/>
          </w:tcPr>
          <w:p>
            <w:pPr>
              <w:spacing w:line="240" w:lineRule="auto" w:before="40" w:after="40"/>
              <w:jc w:val="center"/>
            </w:pPr>
            <w:r/>
            <w:r>
              <w:rPr>
                <w:b w:val="0"/>
                <w:i w:val="0"/>
                <w:sz w:val="20"/>
              </w:rPr>
              <w:t>100–400</w:t>
            </w:r>
          </w:p>
        </w:tc>
        <w:tc>
          <w:tcPr>
            <w:tcW w:type="dxa" w:w="2304"/>
          </w:tcPr>
          <w:p>
            <w:pPr>
              <w:spacing w:line="240" w:lineRule="auto" w:before="40" w:after="40"/>
              <w:jc w:val="center"/>
            </w:pPr>
            <w:r/>
            <w:r>
              <w:rPr>
                <w:b w:val="0"/>
                <w:i w:val="0"/>
                <w:sz w:val="20"/>
              </w:rPr>
              <w:t>300</w:t>
            </w:r>
          </w:p>
        </w:tc>
        <w:tc>
          <w:tcPr>
            <w:tcW w:type="dxa" w:w="2304"/>
          </w:tcPr>
          <w:p>
            <w:pPr>
              <w:spacing w:line="240" w:lineRule="auto" w:before="40" w:after="40"/>
              <w:jc w:val="center"/>
            </w:pPr>
            <w:r/>
            <w:r>
              <w:rPr>
                <w:b w:val="0"/>
                <w:i w:val="0"/>
                <w:sz w:val="20"/>
              </w:rPr>
              <w:t>300</w:t>
            </w:r>
          </w:p>
        </w:tc>
      </w:tr>
      <w:tr>
        <w:tc>
          <w:tcPr>
            <w:tcW w:type="dxa" w:w="2448"/>
            <w:shd w:val="clear" w:color="auto" w:fill="EFEFEF"/>
          </w:tcPr>
          <w:p>
            <w:pPr>
              <w:spacing w:line="240" w:lineRule="auto" w:before="40" w:after="40"/>
              <w:jc w:val="left"/>
            </w:pPr>
            <w:r/>
            <w:r>
              <w:rPr>
                <w:b w:val="0"/>
                <w:i w:val="0"/>
                <w:sz w:val="20"/>
              </w:rPr>
              <w:t>learning_rate</w:t>
            </w:r>
          </w:p>
        </w:tc>
        <w:tc>
          <w:tcPr>
            <w:tcW w:type="dxa" w:w="2160"/>
            <w:shd w:val="clear" w:color="auto" w:fill="EFEFEF"/>
          </w:tcPr>
          <w:p>
            <w:pPr>
              <w:spacing w:line="240" w:lineRule="auto" w:before="40" w:after="40"/>
              <w:jc w:val="center"/>
            </w:pPr>
            <w:r/>
            <w:r>
              <w:rPr>
                <w:b w:val="0"/>
                <w:i w:val="0"/>
                <w:sz w:val="20"/>
              </w:rPr>
              <w:t>0.02–0.10</w:t>
            </w:r>
          </w:p>
        </w:tc>
        <w:tc>
          <w:tcPr>
            <w:tcW w:type="dxa" w:w="2304"/>
            <w:shd w:val="clear" w:color="auto" w:fill="EFEFEF"/>
          </w:tcPr>
          <w:p>
            <w:pPr>
              <w:spacing w:line="240" w:lineRule="auto" w:before="40" w:after="40"/>
              <w:jc w:val="center"/>
            </w:pPr>
            <w:r/>
            <w:r>
              <w:rPr>
                <w:b w:val="0"/>
                <w:i w:val="0"/>
                <w:sz w:val="20"/>
              </w:rPr>
              <w:t>0.05</w:t>
            </w:r>
          </w:p>
        </w:tc>
        <w:tc>
          <w:tcPr>
            <w:tcW w:type="dxa" w:w="2304"/>
            <w:shd w:val="clear" w:color="auto" w:fill="EFEFEF"/>
          </w:tcPr>
          <w:p>
            <w:pPr>
              <w:spacing w:line="240" w:lineRule="auto" w:before="40" w:after="40"/>
              <w:jc w:val="center"/>
            </w:pPr>
            <w:r/>
            <w:r>
              <w:rPr>
                <w:b w:val="0"/>
                <w:i w:val="0"/>
                <w:sz w:val="20"/>
              </w:rPr>
              <w:t>0.05</w:t>
            </w:r>
          </w:p>
        </w:tc>
      </w:tr>
      <w:tr>
        <w:tc>
          <w:tcPr>
            <w:tcW w:type="dxa" w:w="2448"/>
          </w:tcPr>
          <w:p>
            <w:pPr>
              <w:spacing w:line="240" w:lineRule="auto" w:before="40" w:after="40"/>
              <w:jc w:val="left"/>
            </w:pPr>
            <w:r/>
            <w:r>
              <w:rPr>
                <w:b w:val="0"/>
                <w:i w:val="0"/>
                <w:sz w:val="20"/>
              </w:rPr>
              <w:t>reg_alpha</w:t>
            </w:r>
          </w:p>
        </w:tc>
        <w:tc>
          <w:tcPr>
            <w:tcW w:type="dxa" w:w="2160"/>
          </w:tcPr>
          <w:p>
            <w:pPr>
              <w:spacing w:line="240" w:lineRule="auto" w:before="40" w:after="40"/>
              <w:jc w:val="center"/>
            </w:pPr>
            <w:r/>
            <w:r>
              <w:rPr>
                <w:b w:val="0"/>
                <w:i w:val="0"/>
                <w:sz w:val="20"/>
              </w:rPr>
              <w:t>0–2.0</w:t>
            </w:r>
          </w:p>
        </w:tc>
        <w:tc>
          <w:tcPr>
            <w:tcW w:type="dxa" w:w="2304"/>
          </w:tcPr>
          <w:p>
            <w:pPr>
              <w:spacing w:line="240" w:lineRule="auto" w:before="40" w:after="40"/>
              <w:jc w:val="center"/>
            </w:pPr>
            <w:r/>
            <w:r>
              <w:rPr>
                <w:b w:val="0"/>
                <w:i w:val="0"/>
                <w:sz w:val="20"/>
              </w:rPr>
              <w:t>0.2</w:t>
            </w:r>
          </w:p>
        </w:tc>
        <w:tc>
          <w:tcPr>
            <w:tcW w:type="dxa" w:w="2304"/>
          </w:tcPr>
          <w:p>
            <w:pPr>
              <w:spacing w:line="240" w:lineRule="auto" w:before="40" w:after="40"/>
              <w:jc w:val="center"/>
            </w:pPr>
            <w:r/>
            <w:r>
              <w:rPr>
                <w:b w:val="0"/>
                <w:i w:val="0"/>
                <w:sz w:val="20"/>
              </w:rPr>
              <w:t>0.2</w:t>
            </w:r>
          </w:p>
        </w:tc>
      </w:tr>
      <w:tr>
        <w:tc>
          <w:tcPr>
            <w:tcW w:type="dxa" w:w="2448"/>
            <w:shd w:val="clear" w:color="auto" w:fill="EFEFEF"/>
          </w:tcPr>
          <w:p>
            <w:pPr>
              <w:spacing w:line="240" w:lineRule="auto" w:before="40" w:after="40"/>
              <w:jc w:val="left"/>
            </w:pPr>
            <w:r/>
            <w:r>
              <w:rPr>
                <w:b w:val="0"/>
                <w:i w:val="0"/>
                <w:sz w:val="20"/>
              </w:rPr>
              <w:t>reg_lambda</w:t>
            </w:r>
          </w:p>
        </w:tc>
        <w:tc>
          <w:tcPr>
            <w:tcW w:type="dxa" w:w="2160"/>
            <w:shd w:val="clear" w:color="auto" w:fill="EFEFEF"/>
          </w:tcPr>
          <w:p>
            <w:pPr>
              <w:spacing w:line="240" w:lineRule="auto" w:before="40" w:after="40"/>
              <w:jc w:val="center"/>
            </w:pPr>
            <w:r/>
            <w:r>
              <w:rPr>
                <w:b w:val="0"/>
                <w:i w:val="0"/>
                <w:sz w:val="20"/>
              </w:rPr>
              <w:t>0.5–3.0</w:t>
            </w:r>
          </w:p>
        </w:tc>
        <w:tc>
          <w:tcPr>
            <w:tcW w:type="dxa" w:w="2304"/>
            <w:shd w:val="clear" w:color="auto" w:fill="EFEFEF"/>
          </w:tcPr>
          <w:p>
            <w:pPr>
              <w:spacing w:line="240" w:lineRule="auto" w:before="40" w:after="40"/>
              <w:jc w:val="center"/>
            </w:pPr>
            <w:r/>
            <w:r>
              <w:rPr>
                <w:b w:val="0"/>
                <w:i w:val="0"/>
                <w:sz w:val="20"/>
              </w:rPr>
              <w:t>3.0</w:t>
            </w:r>
          </w:p>
        </w:tc>
        <w:tc>
          <w:tcPr>
            <w:tcW w:type="dxa" w:w="2304"/>
            <w:shd w:val="clear" w:color="auto" w:fill="EFEFEF"/>
          </w:tcPr>
          <w:p>
            <w:pPr>
              <w:spacing w:line="240" w:lineRule="auto" w:before="40" w:after="40"/>
              <w:jc w:val="center"/>
            </w:pPr>
            <w:r/>
            <w:r>
              <w:rPr>
                <w:b w:val="0"/>
                <w:i w:val="0"/>
                <w:sz w:val="20"/>
              </w:rPr>
              <w:t>3.0</w:t>
            </w:r>
          </w:p>
        </w:tc>
      </w:tr>
      <w:tr>
        <w:tc>
          <w:tcPr>
            <w:tcW w:type="dxa" w:w="2448"/>
          </w:tcPr>
          <w:p>
            <w:pPr>
              <w:spacing w:line="240" w:lineRule="auto" w:before="40" w:after="40"/>
              <w:jc w:val="left"/>
            </w:pPr>
            <w:r/>
            <w:r>
              <w:rPr>
                <w:b w:val="0"/>
                <w:i w:val="0"/>
                <w:sz w:val="20"/>
              </w:rPr>
              <w:t>min_child_weight</w:t>
            </w:r>
          </w:p>
        </w:tc>
        <w:tc>
          <w:tcPr>
            <w:tcW w:type="dxa" w:w="2160"/>
          </w:tcPr>
          <w:p>
            <w:pPr>
              <w:spacing w:line="240" w:lineRule="auto" w:before="40" w:after="40"/>
              <w:jc w:val="center"/>
            </w:pPr>
            <w:r/>
            <w:r>
              <w:rPr>
                <w:b w:val="0"/>
                <w:i w:val="0"/>
                <w:sz w:val="20"/>
              </w:rPr>
              <w:t>1, 2, 3, 5</w:t>
            </w:r>
          </w:p>
        </w:tc>
        <w:tc>
          <w:tcPr>
            <w:tcW w:type="dxa" w:w="2304"/>
          </w:tcPr>
          <w:p>
            <w:pPr>
              <w:spacing w:line="240" w:lineRule="auto" w:before="40" w:after="40"/>
              <w:jc w:val="center"/>
            </w:pPr>
            <w:r/>
            <w:r>
              <w:rPr>
                <w:b w:val="0"/>
                <w:i w:val="0"/>
                <w:sz w:val="20"/>
              </w:rPr>
              <w:t>5</w:t>
            </w:r>
          </w:p>
        </w:tc>
        <w:tc>
          <w:tcPr>
            <w:tcW w:type="dxa" w:w="2304"/>
          </w:tcPr>
          <w:p>
            <w:pPr>
              <w:spacing w:line="240" w:lineRule="auto" w:before="40" w:after="40"/>
              <w:jc w:val="center"/>
            </w:pPr>
            <w:r/>
            <w:r>
              <w:rPr>
                <w:b w:val="0"/>
                <w:i w:val="0"/>
                <w:sz w:val="20"/>
              </w:rPr>
              <w:t>5</w:t>
            </w:r>
          </w:p>
        </w:tc>
      </w:tr>
      <w:tr>
        <w:tc>
          <w:tcPr>
            <w:tcW w:type="dxa" w:w="2448"/>
            <w:shd w:val="clear" w:color="auto" w:fill="EFEFEF"/>
          </w:tcPr>
          <w:p>
            <w:pPr>
              <w:spacing w:line="240" w:lineRule="auto" w:before="40" w:after="40"/>
              <w:jc w:val="left"/>
            </w:pPr>
            <w:r/>
            <w:r>
              <w:rPr>
                <w:b w:val="0"/>
                <w:i w:val="0"/>
                <w:sz w:val="20"/>
              </w:rPr>
              <w:t>subsample</w:t>
            </w:r>
          </w:p>
        </w:tc>
        <w:tc>
          <w:tcPr>
            <w:tcW w:type="dxa" w:w="2160"/>
            <w:shd w:val="clear" w:color="auto" w:fill="EFEFEF"/>
          </w:tcPr>
          <w:p>
            <w:pPr>
              <w:spacing w:line="240" w:lineRule="auto" w:before="40" w:after="40"/>
              <w:jc w:val="center"/>
            </w:pPr>
            <w:r/>
            <w:r>
              <w:rPr>
                <w:b w:val="0"/>
                <w:i w:val="0"/>
                <w:sz w:val="20"/>
              </w:rPr>
              <w:t>0.7–1.0</w:t>
            </w:r>
          </w:p>
        </w:tc>
        <w:tc>
          <w:tcPr>
            <w:tcW w:type="dxa" w:w="2304"/>
            <w:shd w:val="clear" w:color="auto" w:fill="EFEFEF"/>
          </w:tcPr>
          <w:p>
            <w:pPr>
              <w:spacing w:line="240" w:lineRule="auto" w:before="40" w:after="40"/>
              <w:jc w:val="center"/>
            </w:pPr>
            <w:r/>
            <w:r>
              <w:rPr>
                <w:b w:val="0"/>
                <w:i w:val="0"/>
                <w:sz w:val="20"/>
              </w:rPr>
              <w:t>0.7</w:t>
            </w:r>
          </w:p>
        </w:tc>
        <w:tc>
          <w:tcPr>
            <w:tcW w:type="dxa" w:w="2304"/>
            <w:shd w:val="clear" w:color="auto" w:fill="EFEFEF"/>
          </w:tcPr>
          <w:p>
            <w:pPr>
              <w:spacing w:line="240" w:lineRule="auto" w:before="40" w:after="40"/>
              <w:jc w:val="center"/>
            </w:pPr>
            <w:r/>
            <w:r>
              <w:rPr>
                <w:b w:val="0"/>
                <w:i w:val="0"/>
                <w:sz w:val="20"/>
              </w:rPr>
              <w:t>0.7</w:t>
            </w:r>
          </w:p>
        </w:tc>
      </w:tr>
      <w:tr>
        <w:tc>
          <w:tcPr>
            <w:tcW w:type="dxa" w:w="2448"/>
            <w:tcBorders>
              <w:bottom w:val="single" w:sz="12" w:color="000000"/>
            </w:tcBorders>
          </w:tcPr>
          <w:p>
            <w:pPr>
              <w:spacing w:line="240" w:lineRule="auto" w:before="40" w:after="40"/>
              <w:jc w:val="left"/>
            </w:pPr>
            <w:r/>
            <w:r>
              <w:rPr>
                <w:b w:val="0"/>
                <w:i w:val="0"/>
                <w:sz w:val="20"/>
              </w:rPr>
              <w:t>colsample_bytree</w:t>
            </w:r>
          </w:p>
        </w:tc>
        <w:tc>
          <w:tcPr>
            <w:tcW w:type="dxa" w:w="2160"/>
            <w:tcBorders>
              <w:bottom w:val="single" w:sz="12" w:color="000000"/>
            </w:tcBorders>
          </w:tcPr>
          <w:p>
            <w:pPr>
              <w:spacing w:line="240" w:lineRule="auto" w:before="40" w:after="40"/>
              <w:jc w:val="center"/>
            </w:pPr>
            <w:r/>
            <w:r>
              <w:rPr>
                <w:b w:val="0"/>
                <w:i w:val="0"/>
                <w:sz w:val="20"/>
              </w:rPr>
              <w:t>0.6–1.0</w:t>
            </w:r>
          </w:p>
        </w:tc>
        <w:tc>
          <w:tcPr>
            <w:tcW w:type="dxa" w:w="2304"/>
            <w:tcBorders>
              <w:bottom w:val="single" w:sz="12" w:color="000000"/>
            </w:tcBorders>
          </w:tcPr>
          <w:p>
            <w:pPr>
              <w:spacing w:line="240" w:lineRule="auto" w:before="40" w:after="40"/>
              <w:jc w:val="center"/>
            </w:pPr>
            <w:r/>
            <w:r>
              <w:rPr>
                <w:b w:val="0"/>
                <w:i w:val="0"/>
                <w:sz w:val="20"/>
              </w:rPr>
              <w:t>0.9</w:t>
            </w:r>
          </w:p>
        </w:tc>
        <w:tc>
          <w:tcPr>
            <w:tcW w:type="dxa" w:w="2304"/>
            <w:tcBorders>
              <w:bottom w:val="single" w:sz="12" w:color="000000"/>
            </w:tcBorders>
          </w:tcPr>
          <w:p>
            <w:pPr>
              <w:spacing w:line="240" w:lineRule="auto" w:before="40" w:after="40"/>
              <w:jc w:val="center"/>
            </w:pPr>
            <w:r/>
            <w:r>
              <w:rPr>
                <w:b w:val="0"/>
                <w:i w:val="0"/>
                <w:sz w:val="20"/>
              </w:rPr>
              <w:t>0.9</w:t>
            </w:r>
          </w:p>
        </w:tc>
      </w:tr>
    </w:tbl>
    <w:p>
      <w:pPr>
        <w:spacing w:line="240" w:lineRule="auto" w:after="80"/>
      </w:pPr>
    </w:p>
    <w:p>
      <w:pPr>
        <w:spacing w:line="480" w:lineRule="auto" w:after="0"/>
        <w:ind w:firstLine="720"/>
        <w:jc w:val="both"/>
      </w:pPr>
      <w:r>
        <w:rPr>
          <w:b w:val="0"/>
          <w:i w:val="0"/>
        </w:rPr>
        <w:t>Isolation Forest then screened for unusual contracts. Its inputs were the standardized plan features, the XGBoost residual ln(actual / predicted) and the log over-budget ratio, with 200 trees and a contamination of 0.10. Each record receives an anomaly score from its average path length (Liu et al., 2008):</w:t>
      </w:r>
    </w:p>
    <w:p>
      <w:pPr>
        <w:keepNext/>
        <w:spacing w:line="240" w:lineRule="auto" w:after="0"/>
        <w:jc w:val="right"/>
      </w:pPr>
      <w:r>
        <w:rPr>
          <w:b w:val="0"/>
          <w:i/>
        </w:rPr>
        <w:t>Eq. 10.</w:t>
      </w:r>
    </w:p>
    <w:p>
      <w:pPr>
        <w:spacing w:line="240" w:lineRule="auto" w:after="200"/>
        <w:jc w:val="center"/>
      </w:pPr>
      <w:r>
        <w:drawing>
          <wp:inline xmlns:a="http://schemas.openxmlformats.org/drawingml/2006/main" xmlns:pic="http://schemas.openxmlformats.org/drawingml/2006/picture">
            <wp:extent cx="3335734" cy="392582"/>
            <wp:docPr id="13" name="Picture 13"/>
            <wp:cNvGraphicFramePr>
              <a:graphicFrameLocks noChangeAspect="1"/>
            </wp:cNvGraphicFramePr>
            <a:graphic>
              <a:graphicData uri="http://schemas.openxmlformats.org/drawingml/2006/picture">
                <pic:pic>
                  <pic:nvPicPr>
                    <pic:cNvPr id="0" name="iforest.png"/>
                    <pic:cNvPicPr/>
                  </pic:nvPicPr>
                  <pic:blipFill>
                    <a:blip r:embed="rId23"/>
                    <a:stretch>
                      <a:fillRect/>
                    </a:stretch>
                  </pic:blipFill>
                  <pic:spPr>
                    <a:xfrm>
                      <a:off x="0" y="0"/>
                      <a:ext cx="3335734" cy="392582"/>
                    </a:xfrm>
                    <a:prstGeom prst="rect"/>
                  </pic:spPr>
                </pic:pic>
              </a:graphicData>
            </a:graphic>
          </wp:inline>
        </w:drawing>
      </w:r>
    </w:p>
    <w:p>
      <w:pPr>
        <w:spacing w:line="480" w:lineRule="auto" w:after="0"/>
        <w:ind w:firstLine="720"/>
        <w:jc w:val="both"/>
      </w:pPr>
      <w:r>
        <w:rPr>
          <w:b w:val="0"/>
          <w:i w:val="0"/>
        </w:rPr>
        <w:t xml:space="preserve">where </w:t>
      </w:r>
      <w:r>
        <w:rPr>
          <w:b w:val="0"/>
          <w:i/>
        </w:rPr>
        <w:t>E</w:t>
      </w:r>
      <w:r>
        <w:rPr>
          <w:b w:val="0"/>
          <w:i w:val="0"/>
        </w:rPr>
        <w:t>[</w:t>
      </w:r>
      <w:r>
        <w:rPr>
          <w:b w:val="0"/>
          <w:i/>
        </w:rPr>
        <w:t>h</w:t>
      </w:r>
      <w:r>
        <w:rPr>
          <w:b w:val="0"/>
          <w:i w:val="0"/>
        </w:rPr>
        <w:t>(</w:t>
      </w:r>
      <w:r>
        <w:rPr>
          <w:b w:val="0"/>
          <w:i/>
        </w:rPr>
        <w:t>x</w:t>
      </w:r>
      <w:r>
        <w:rPr>
          <w:b w:val="0"/>
          <w:i w:val="0"/>
        </w:rPr>
        <w:t xml:space="preserve">)] is the average path length of record </w:t>
      </w:r>
      <w:r>
        <w:rPr>
          <w:b w:val="0"/>
          <w:i/>
        </w:rPr>
        <w:t>x</w:t>
      </w:r>
      <w:r>
        <w:rPr>
          <w:b w:val="0"/>
          <w:i w:val="0"/>
        </w:rPr>
        <w:t xml:space="preserve"> across trees, </w:t>
      </w:r>
      <w:r>
        <w:rPr>
          <w:b w:val="0"/>
          <w:i/>
        </w:rPr>
        <w:t>c</w:t>
      </w:r>
      <w:r>
        <w:rPr>
          <w:b w:val="0"/>
          <w:i w:val="0"/>
        </w:rPr>
        <w:t>(</w:t>
      </w:r>
      <w:r>
        <w:rPr>
          <w:b w:val="0"/>
          <w:i/>
        </w:rPr>
        <w:t>n</w:t>
      </w:r>
      <w:r>
        <w:rPr>
          <w:b w:val="0"/>
          <w:i w:val="0"/>
        </w:rPr>
        <w:t xml:space="preserve">) is the average path length of an unsuccessful search in a tree of </w:t>
      </w:r>
      <w:r>
        <w:rPr>
          <w:b w:val="0"/>
          <w:i/>
        </w:rPr>
        <w:t>n</w:t>
      </w:r>
      <w:r>
        <w:rPr>
          <w:b w:val="0"/>
          <w:i w:val="0"/>
        </w:rPr>
        <w:t xml:space="preserve"> records and </w:t>
      </w:r>
      <w:r>
        <w:rPr>
          <w:b w:val="0"/>
          <w:i/>
        </w:rPr>
        <w:t>H</w:t>
      </w:r>
      <w:r>
        <w:rPr>
          <w:b w:val="0"/>
          <w:i w:val="0"/>
        </w:rPr>
        <w:t xml:space="preserve"> is the harmonic number. As in CORA, a statistically unusual contract was reported only if its cost was also above both the model and the standards-based estimates. SHAP values were computed on the final XGBoost model with the exact tree path-dependent algorithm (Lundberg et al., 2018), so that each prediction splits into a base value and feature contributions:</w:t>
      </w:r>
    </w:p>
    <w:p>
      <w:pPr>
        <w:keepNext/>
        <w:spacing w:line="240" w:lineRule="auto" w:after="0"/>
        <w:jc w:val="right"/>
      </w:pPr>
      <w:r>
        <w:rPr>
          <w:b w:val="0"/>
          <w:i/>
        </w:rPr>
        <w:t>Eq. 11.</w:t>
      </w:r>
    </w:p>
    <w:p>
      <w:pPr>
        <w:spacing w:line="240" w:lineRule="auto" w:after="200"/>
        <w:jc w:val="center"/>
      </w:pPr>
      <w:r>
        <w:drawing>
          <wp:inline xmlns:a="http://schemas.openxmlformats.org/drawingml/2006/main" xmlns:pic="http://schemas.openxmlformats.org/drawingml/2006/picture">
            <wp:extent cx="1189938" cy="436473"/>
            <wp:docPr id="14" name="Picture 14"/>
            <wp:cNvGraphicFramePr>
              <a:graphicFrameLocks noChangeAspect="1"/>
            </wp:cNvGraphicFramePr>
            <a:graphic>
              <a:graphicData uri="http://schemas.openxmlformats.org/drawingml/2006/picture">
                <pic:pic>
                  <pic:nvPicPr>
                    <pic:cNvPr id="0" name="shap.png"/>
                    <pic:cNvPicPr/>
                  </pic:nvPicPr>
                  <pic:blipFill>
                    <a:blip r:embed="rId24"/>
                    <a:stretch>
                      <a:fillRect/>
                    </a:stretch>
                  </pic:blipFill>
                  <pic:spPr>
                    <a:xfrm>
                      <a:off x="0" y="0"/>
                      <a:ext cx="1189938" cy="436473"/>
                    </a:xfrm>
                    <a:prstGeom prst="rect"/>
                  </pic:spPr>
                </pic:pic>
              </a:graphicData>
            </a:graphic>
          </wp:inline>
        </w:drawing>
      </w:r>
    </w:p>
    <w:p>
      <w:pPr>
        <w:spacing w:line="480" w:lineRule="auto" w:after="0"/>
        <w:ind w:firstLine="720"/>
        <w:jc w:val="both"/>
      </w:pPr>
      <w:r>
        <w:rPr>
          <w:b w:val="0"/>
          <w:i w:val="0"/>
        </w:rPr>
        <w:t>Finally, the three signals were combined into the BUHAY Risk Index, which weights the standards-based evidence most heavily because it does not depend on past prices:</w:t>
      </w:r>
    </w:p>
    <w:p>
      <w:pPr>
        <w:keepNext/>
        <w:spacing w:line="240" w:lineRule="auto" w:after="0"/>
        <w:jc w:val="right"/>
      </w:pPr>
      <w:r>
        <w:rPr>
          <w:b w:val="0"/>
          <w:i/>
        </w:rPr>
        <w:t>Eq. 12.</w:t>
      </w:r>
    </w:p>
    <w:p>
      <w:pPr>
        <w:spacing w:line="240" w:lineRule="auto" w:after="200"/>
        <w:jc w:val="center"/>
      </w:pPr>
      <w:r>
        <w:drawing>
          <wp:inline xmlns:a="http://schemas.openxmlformats.org/drawingml/2006/main" xmlns:pic="http://schemas.openxmlformats.org/drawingml/2006/picture">
            <wp:extent cx="2665165" cy="241401"/>
            <wp:docPr id="15" name="Picture 15"/>
            <wp:cNvGraphicFramePr>
              <a:graphicFrameLocks noChangeAspect="1"/>
            </wp:cNvGraphicFramePr>
            <a:graphic>
              <a:graphicData uri="http://schemas.openxmlformats.org/drawingml/2006/picture">
                <pic:pic>
                  <pic:nvPicPr>
                    <pic:cNvPr id="0" name="bri.png"/>
                    <pic:cNvPicPr/>
                  </pic:nvPicPr>
                  <pic:blipFill>
                    <a:blip r:embed="rId25"/>
                    <a:stretch>
                      <a:fillRect/>
                    </a:stretch>
                  </pic:blipFill>
                  <pic:spPr>
                    <a:xfrm>
                      <a:off x="0" y="0"/>
                      <a:ext cx="2665165" cy="241401"/>
                    </a:xfrm>
                    <a:prstGeom prst="rect"/>
                  </pic:spPr>
                </pic:pic>
              </a:graphicData>
            </a:graphic>
          </wp:inline>
        </w:drawing>
      </w:r>
    </w:p>
    <w:p>
      <w:pPr>
        <w:keepNext/>
        <w:spacing w:line="240" w:lineRule="auto" w:after="0"/>
        <w:jc w:val="right"/>
      </w:pPr>
      <w:r>
        <w:rPr>
          <w:b w:val="0"/>
          <w:i/>
        </w:rPr>
        <w:t>Eq. 13.</w:t>
      </w:r>
    </w:p>
    <w:p>
      <w:pPr>
        <w:spacing w:line="240" w:lineRule="auto" w:after="200"/>
        <w:jc w:val="center"/>
      </w:pPr>
      <w:r>
        <w:drawing>
          <wp:inline xmlns:a="http://schemas.openxmlformats.org/drawingml/2006/main" xmlns:pic="http://schemas.openxmlformats.org/drawingml/2006/picture">
            <wp:extent cx="4008730" cy="475488"/>
            <wp:docPr id="16" name="Picture 16"/>
            <wp:cNvGraphicFramePr>
              <a:graphicFrameLocks noChangeAspect="1"/>
            </wp:cNvGraphicFramePr>
            <a:graphic>
              <a:graphicData uri="http://schemas.openxmlformats.org/drawingml/2006/picture">
                <pic:pic>
                  <pic:nvPicPr>
                    <pic:cNvPr id="0" name="bri_s.png"/>
                    <pic:cNvPicPr/>
                  </pic:nvPicPr>
                  <pic:blipFill>
                    <a:blip r:embed="rId26"/>
                    <a:stretch>
                      <a:fillRect/>
                    </a:stretch>
                  </pic:blipFill>
                  <pic:spPr>
                    <a:xfrm>
                      <a:off x="0" y="0"/>
                      <a:ext cx="4008730" cy="475488"/>
                    </a:xfrm>
                    <a:prstGeom prst="rect"/>
                  </pic:spPr>
                </pic:pic>
              </a:graphicData>
            </a:graphic>
          </wp:inline>
        </w:drawing>
      </w:r>
    </w:p>
    <w:p>
      <w:pPr>
        <w:spacing w:line="480" w:lineRule="auto" w:after="0"/>
        <w:ind w:firstLine="720"/>
        <w:jc w:val="both"/>
      </w:pPr>
      <w:r>
        <w:rPr>
          <w:b w:val="0"/>
          <w:i w:val="0"/>
        </w:rPr>
        <w:t xml:space="preserve">where [·]₀¹ clips a value to the range 0 to 1, </w:t>
      </w:r>
      <w:r>
        <w:rPr>
          <w:b w:val="0"/>
          <w:i/>
        </w:rPr>
        <w:t>C</w:t>
      </w:r>
      <w:r>
        <w:rPr>
          <w:b w:val="0"/>
          <w:i w:val="0"/>
        </w:rPr>
        <w:t xml:space="preserve"> is the contract amount, </w:t>
      </w:r>
      <w:r>
        <w:rPr>
          <w:b w:val="0"/>
          <w:i/>
        </w:rPr>
        <w:t>Ĉ</w:t>
      </w:r>
      <w:r>
        <w:rPr>
          <w:b w:val="0"/>
          <w:i w:val="0"/>
        </w:rPr>
        <w:t xml:space="preserve"> is the XGBoost expected cost and </w:t>
      </w:r>
      <w:r>
        <w:rPr>
          <w:b w:val="0"/>
          <w:i/>
        </w:rPr>
        <w:t>s</w:t>
      </w:r>
      <w:r>
        <w:rPr>
          <w:b w:val="0"/>
          <w:i w:val="0"/>
        </w:rPr>
        <w:t xml:space="preserve"> is the anomaly score. A BRI of 30 or more is a high-risk flag and 20 to 30 marks a contract for review. Figure 4 shows how the components fit together.</w:t>
      </w:r>
    </w:p>
    <w:p>
      <w:pPr>
        <w:keepNext/>
        <w:spacing w:line="240" w:lineRule="auto" w:after="0" w:before="120"/>
        <w:jc w:val="left"/>
      </w:pPr>
      <w:r>
        <w:rPr>
          <w:b/>
          <w:i w:val="0"/>
        </w:rPr>
        <w:t>Figure 4.</w:t>
      </w:r>
    </w:p>
    <w:p>
      <w:pPr>
        <w:keepNext/>
        <w:spacing w:line="240" w:lineRule="auto" w:after="0"/>
        <w:jc w:val="left"/>
      </w:pPr>
      <w:r>
        <w:rPr>
          <w:b w:val="0"/>
          <w:i/>
        </w:rPr>
        <w:t>Model Integration Framework</w:t>
      </w:r>
    </w:p>
    <w:p>
      <w:pPr>
        <w:spacing w:line="240" w:lineRule="auto" w:after="200"/>
        <w:jc w:val="center"/>
      </w:pPr>
      <w:r>
        <w:drawing>
          <wp:inline xmlns:a="http://schemas.openxmlformats.org/drawingml/2006/main" xmlns:pic="http://schemas.openxmlformats.org/drawingml/2006/picture">
            <wp:extent cx="5852160" cy="1685305"/>
            <wp:docPr id="17" name="Picture 17"/>
            <wp:cNvGraphicFramePr>
              <a:graphicFrameLocks noChangeAspect="1"/>
            </wp:cNvGraphicFramePr>
            <a:graphic>
              <a:graphicData uri="http://schemas.openxmlformats.org/drawingml/2006/picture">
                <pic:pic>
                  <pic:nvPicPr>
                    <pic:cNvPr id="0" name="diagram_integration.png"/>
                    <pic:cNvPicPr/>
                  </pic:nvPicPr>
                  <pic:blipFill>
                    <a:blip r:embed="rId27"/>
                    <a:stretch>
                      <a:fillRect/>
                    </a:stretch>
                  </pic:blipFill>
                  <pic:spPr>
                    <a:xfrm>
                      <a:off x="0" y="0"/>
                      <a:ext cx="5852160" cy="1685305"/>
                    </a:xfrm>
                    <a:prstGeom prst="rect"/>
                  </pic:spPr>
                </pic:pic>
              </a:graphicData>
            </a:graphic>
          </wp:inline>
        </w:drawing>
      </w:r>
    </w:p>
    <w:p>
      <w:pPr>
        <w:keepNext/>
        <w:spacing w:line="480" w:lineRule="auto" w:after="0"/>
        <w:ind w:left="720"/>
        <w:jc w:val="left"/>
      </w:pPr>
      <w:r>
        <w:rPr>
          <w:b/>
          <w:i w:val="0"/>
        </w:rPr>
        <w:t>Model Validation</w:t>
      </w:r>
    </w:p>
    <w:p>
      <w:pPr>
        <w:spacing w:line="480" w:lineRule="auto" w:after="0"/>
        <w:ind w:firstLine="720"/>
        <w:jc w:val="both"/>
      </w:pPr>
      <w:r>
        <w:rPr>
          <w:b w:val="0"/>
          <w:i w:val="0"/>
        </w:rPr>
        <w:t>Given the moderate sample sizes, a single train-test split would give an unstable estimate, so leave-one-out cross-validation was used for both regression models (Molinaro et al., 2005): each project was held out once and predicted by a model trained on all the others. Three metrics evaluated cost prediction. RMSE gives the typical error in pesos, R</w:t>
      </w:r>
      <w:r>
        <w:rPr>
          <w:b w:val="0"/>
          <w:i w:val="0"/>
          <w:vertAlign w:val="superscript"/>
        </w:rPr>
        <w:t>2</w:t>
      </w:r>
      <w:r>
        <w:rPr>
          <w:b w:val="0"/>
          <w:i w:val="0"/>
        </w:rPr>
        <w:t xml:space="preserve"> gives the share of variance explained, and MAPE expresses error as a percentage of each project's cost so that culverts and long bridges can be compared:</w:t>
      </w:r>
    </w:p>
    <w:p>
      <w:pPr>
        <w:keepNext/>
        <w:spacing w:line="240" w:lineRule="auto" w:after="0"/>
        <w:jc w:val="right"/>
      </w:pPr>
      <w:r>
        <w:rPr>
          <w:b w:val="0"/>
          <w:i/>
        </w:rPr>
        <w:t>Eq. 14.</w:t>
      </w:r>
    </w:p>
    <w:p>
      <w:pPr>
        <w:spacing w:line="240" w:lineRule="auto" w:after="200"/>
        <w:jc w:val="center"/>
      </w:pPr>
      <w:r>
        <w:drawing>
          <wp:inline xmlns:a="http://schemas.openxmlformats.org/drawingml/2006/main" xmlns:pic="http://schemas.openxmlformats.org/drawingml/2006/picture">
            <wp:extent cx="1653234" cy="475488"/>
            <wp:docPr id="18" name="Picture 18"/>
            <wp:cNvGraphicFramePr>
              <a:graphicFrameLocks noChangeAspect="1"/>
            </wp:cNvGraphicFramePr>
            <a:graphic>
              <a:graphicData uri="http://schemas.openxmlformats.org/drawingml/2006/picture">
                <pic:pic>
                  <pic:nvPicPr>
                    <pic:cNvPr id="0" name="rmse.png"/>
                    <pic:cNvPicPr/>
                  </pic:nvPicPr>
                  <pic:blipFill>
                    <a:blip r:embed="rId28"/>
                    <a:stretch>
                      <a:fillRect/>
                    </a:stretch>
                  </pic:blipFill>
                  <pic:spPr>
                    <a:xfrm>
                      <a:off x="0" y="0"/>
                      <a:ext cx="1653234" cy="475488"/>
                    </a:xfrm>
                    <a:prstGeom prst="rect"/>
                  </pic:spPr>
                </pic:pic>
              </a:graphicData>
            </a:graphic>
          </wp:inline>
        </w:drawing>
      </w:r>
    </w:p>
    <w:p>
      <w:pPr>
        <w:keepNext/>
        <w:spacing w:line="240" w:lineRule="auto" w:after="0"/>
        <w:jc w:val="right"/>
      </w:pPr>
      <w:r>
        <w:rPr>
          <w:b w:val="0"/>
          <w:i/>
        </w:rPr>
        <w:t>Eq. 15.</w:t>
      </w:r>
    </w:p>
    <w:p>
      <w:pPr>
        <w:spacing w:line="240" w:lineRule="auto" w:after="200"/>
        <w:jc w:val="center"/>
      </w:pPr>
      <w:r>
        <w:drawing>
          <wp:inline xmlns:a="http://schemas.openxmlformats.org/drawingml/2006/main" xmlns:pic="http://schemas.openxmlformats.org/drawingml/2006/picture">
            <wp:extent cx="1316734" cy="675436"/>
            <wp:docPr id="19" name="Picture 19"/>
            <wp:cNvGraphicFramePr>
              <a:graphicFrameLocks noChangeAspect="1"/>
            </wp:cNvGraphicFramePr>
            <a:graphic>
              <a:graphicData uri="http://schemas.openxmlformats.org/drawingml/2006/picture">
                <pic:pic>
                  <pic:nvPicPr>
                    <pic:cNvPr id="0" name="r2.png"/>
                    <pic:cNvPicPr/>
                  </pic:nvPicPr>
                  <pic:blipFill>
                    <a:blip r:embed="rId29"/>
                    <a:stretch>
                      <a:fillRect/>
                    </a:stretch>
                  </pic:blipFill>
                  <pic:spPr>
                    <a:xfrm>
                      <a:off x="0" y="0"/>
                      <a:ext cx="1316734" cy="675436"/>
                    </a:xfrm>
                    <a:prstGeom prst="rect"/>
                  </pic:spPr>
                </pic:pic>
              </a:graphicData>
            </a:graphic>
          </wp:inline>
        </w:drawing>
      </w:r>
    </w:p>
    <w:p>
      <w:pPr>
        <w:keepNext/>
        <w:spacing w:line="240" w:lineRule="auto" w:after="0"/>
        <w:jc w:val="right"/>
      </w:pPr>
      <w:r>
        <w:rPr>
          <w:b w:val="0"/>
          <w:i/>
        </w:rPr>
        <w:t>Eq. 16.</w:t>
      </w:r>
    </w:p>
    <w:p>
      <w:pPr>
        <w:spacing w:line="240" w:lineRule="auto" w:after="200"/>
        <w:jc w:val="center"/>
      </w:pPr>
      <w:r>
        <w:drawing>
          <wp:inline xmlns:a="http://schemas.openxmlformats.org/drawingml/2006/main" xmlns:pic="http://schemas.openxmlformats.org/drawingml/2006/picture">
            <wp:extent cx="1819046" cy="434035"/>
            <wp:docPr id="20" name="Picture 20"/>
            <wp:cNvGraphicFramePr>
              <a:graphicFrameLocks noChangeAspect="1"/>
            </wp:cNvGraphicFramePr>
            <a:graphic>
              <a:graphicData uri="http://schemas.openxmlformats.org/drawingml/2006/picture">
                <pic:pic>
                  <pic:nvPicPr>
                    <pic:cNvPr id="0" name="mape.png"/>
                    <pic:cNvPicPr/>
                  </pic:nvPicPr>
                  <pic:blipFill>
                    <a:blip r:embed="rId30"/>
                    <a:stretch>
                      <a:fillRect/>
                    </a:stretch>
                  </pic:blipFill>
                  <pic:spPr>
                    <a:xfrm>
                      <a:off x="0" y="0"/>
                      <a:ext cx="1819046" cy="434035"/>
                    </a:xfrm>
                    <a:prstGeom prst="rect"/>
                  </pic:spPr>
                </pic:pic>
              </a:graphicData>
            </a:graphic>
          </wp:inline>
        </w:drawing>
      </w:r>
    </w:p>
    <w:p>
      <w:pPr>
        <w:spacing w:line="480" w:lineRule="auto" w:after="0"/>
        <w:ind w:firstLine="720"/>
        <w:jc w:val="both"/>
      </w:pPr>
      <w:r>
        <w:rPr>
          <w:b w:val="0"/>
          <w:i w:val="0"/>
        </w:rPr>
        <w:t>Detection was evaluated against the injected labels with precision, recall and the F1-score, and threshold-free performance with the area under the ROC curve:</w:t>
      </w:r>
    </w:p>
    <w:p>
      <w:pPr>
        <w:keepNext/>
        <w:spacing w:line="240" w:lineRule="auto" w:after="0"/>
        <w:jc w:val="right"/>
      </w:pPr>
      <w:r>
        <w:rPr>
          <w:b w:val="0"/>
          <w:i/>
        </w:rPr>
        <w:t>Eq. 17.</w:t>
      </w:r>
    </w:p>
    <w:p>
      <w:pPr>
        <w:spacing w:line="240" w:lineRule="auto" w:after="200"/>
        <w:jc w:val="center"/>
      </w:pPr>
      <w:r>
        <w:drawing>
          <wp:inline xmlns:a="http://schemas.openxmlformats.org/drawingml/2006/main" xmlns:pic="http://schemas.openxmlformats.org/drawingml/2006/picture">
            <wp:extent cx="3118712" cy="397459"/>
            <wp:docPr id="21" name="Picture 21"/>
            <wp:cNvGraphicFramePr>
              <a:graphicFrameLocks noChangeAspect="1"/>
            </wp:cNvGraphicFramePr>
            <a:graphic>
              <a:graphicData uri="http://schemas.openxmlformats.org/drawingml/2006/picture">
                <pic:pic>
                  <pic:nvPicPr>
                    <pic:cNvPr id="0" name="prf.png"/>
                    <pic:cNvPicPr/>
                  </pic:nvPicPr>
                  <pic:blipFill>
                    <a:blip r:embed="rId31"/>
                    <a:stretch>
                      <a:fillRect/>
                    </a:stretch>
                  </pic:blipFill>
                  <pic:spPr>
                    <a:xfrm>
                      <a:off x="0" y="0"/>
                      <a:ext cx="3118712" cy="397459"/>
                    </a:xfrm>
                    <a:prstGeom prst="rect"/>
                  </pic:spPr>
                </pic:pic>
              </a:graphicData>
            </a:graphic>
          </wp:inline>
        </w:drawing>
      </w:r>
    </w:p>
    <w:p>
      <w:pPr>
        <w:spacing w:line="480" w:lineRule="auto" w:after="0"/>
        <w:ind w:firstLine="720"/>
        <w:jc w:val="both"/>
      </w:pPr>
      <w:r>
        <w:rPr>
          <w:b w:val="0"/>
          <w:i w:val="0"/>
        </w:rPr>
        <w:t>Four screening rules were compared: the standards-based rule (amount above the ceiling), the model residual rule (amount more than 1.25 times the XGBoost LOOCV prediction), the CORA-style Isolation Forest flag, and the BUHAY Risk Index at 30.</w:t>
      </w:r>
    </w:p>
    <w:p>
      <w:pPr>
        <w:keepNext/>
        <w:spacing w:line="480" w:lineRule="auto" w:after="0"/>
        <w:ind w:left="720"/>
        <w:jc w:val="left"/>
      </w:pPr>
      <w:r>
        <w:rPr>
          <w:b/>
          <w:i w:val="0"/>
        </w:rPr>
        <w:t>3D Visualization</w:t>
      </w:r>
    </w:p>
    <w:p>
      <w:pPr>
        <w:spacing w:line="480" w:lineRule="auto" w:after="0"/>
        <w:ind w:firstLine="720"/>
        <w:jc w:val="both"/>
      </w:pPr>
      <w:r>
        <w:rPr>
          <w:b w:val="0"/>
          <w:i w:val="0"/>
        </w:rPr>
        <w:t>Each plan is rendered as a parametric 3D model built directly from the geometry the engine computes rather than from generic shapes, following the logic of parametric BIM dashboards. Buildings show the column grid, slabs, walls with window bands and the gable or flat roof; bridges show the deck, girder lines or truss panels, piers, abutments, railings, approaches and the waterway. The renderer uses an orthographic projection with flat shading on a 2D canvas so that it runs on low-end phones without a graphics library, and the model is tinted green, amber or red by the screening result.</w:t>
      </w:r>
    </w:p>
    <w:p>
      <w:pPr>
        <w:keepNext/>
        <w:spacing w:line="480" w:lineRule="auto" w:after="0"/>
        <w:ind w:left="720"/>
        <w:jc w:val="left"/>
      </w:pPr>
      <w:r>
        <w:rPr>
          <w:b/>
          <w:i w:val="0"/>
        </w:rPr>
        <w:t>App and Website Development</w:t>
      </w:r>
    </w:p>
    <w:p>
      <w:pPr>
        <w:spacing w:line="480" w:lineRule="auto" w:after="0"/>
        <w:ind w:firstLine="720"/>
        <w:jc w:val="both"/>
      </w:pPr>
      <w:r>
        <w:rPr>
          <w:b w:val="0"/>
          <w:i w:val="0"/>
        </w:rPr>
        <w:t>The system was delivered as a progressive web application that can be installed on Android, iOS and desktop and works offline after the first load. The cost engine is a single JavaScript file shared by the application and the Python research pipeline, so the app and the paper produce the same numbers. The trained XGBoost trees and the Isolation Forest were exported to JSON and evaluated in the browser, with exact TreeSHAP ported from the reference implementation; parity tests against Python matched XGBoost predictions within 1×10⁻⁵ in log cost, Isolation Forest scores to machine precision and SHAP values within 2×10⁻⁷. An Android package is built automatically from the same files with Capacitor through GitHub Actions, an offline ZIP package runs from a local folder, and a download website with an interactive project map is published from the same repository. Plans, saved checks and price-book edits stay on the user's device.</w:t>
      </w:r>
    </w:p>
    <w:p>
      <w:pPr>
        <w:keepNext/>
        <w:spacing w:line="240" w:lineRule="auto" w:after="0" w:before="120"/>
        <w:jc w:val="left"/>
      </w:pPr>
      <w:r>
        <w:rPr>
          <w:b/>
          <w:i w:val="0"/>
        </w:rPr>
        <w:t>Figure 5.</w:t>
      </w:r>
    </w:p>
    <w:p>
      <w:pPr>
        <w:keepNext/>
        <w:spacing w:line="240" w:lineRule="auto" w:after="0"/>
        <w:jc w:val="left"/>
      </w:pPr>
      <w:r>
        <w:rPr>
          <w:b w:val="0"/>
          <w:i/>
        </w:rPr>
        <w:t>System Architecture of BUHAY</w:t>
      </w:r>
    </w:p>
    <w:p>
      <w:pPr>
        <w:spacing w:line="240" w:lineRule="auto" w:after="200"/>
        <w:jc w:val="center"/>
      </w:pPr>
      <w:r>
        <w:drawing>
          <wp:inline xmlns:a="http://schemas.openxmlformats.org/drawingml/2006/main" xmlns:pic="http://schemas.openxmlformats.org/drawingml/2006/picture">
            <wp:extent cx="5852160" cy="1401868"/>
            <wp:docPr id="22" name="Picture 22"/>
            <wp:cNvGraphicFramePr>
              <a:graphicFrameLocks noChangeAspect="1"/>
            </wp:cNvGraphicFramePr>
            <a:graphic>
              <a:graphicData uri="http://schemas.openxmlformats.org/drawingml/2006/picture">
                <pic:pic>
                  <pic:nvPicPr>
                    <pic:cNvPr id="0" name="diagram_architecture.png"/>
                    <pic:cNvPicPr/>
                  </pic:nvPicPr>
                  <pic:blipFill>
                    <a:blip r:embed="rId32"/>
                    <a:stretch>
                      <a:fillRect/>
                    </a:stretch>
                  </pic:blipFill>
                  <pic:spPr>
                    <a:xfrm>
                      <a:off x="0" y="0"/>
                      <a:ext cx="5852160" cy="1401868"/>
                    </a:xfrm>
                    <a:prstGeom prst="rect"/>
                  </pic:spPr>
                </pic:pic>
              </a:graphicData>
            </a:graphic>
          </wp:inline>
        </w:drawing>
      </w:r>
    </w:p>
    <w:p>
      <w:pPr>
        <w:keepNext/>
        <w:spacing w:line="480" w:lineRule="auto" w:after="0"/>
        <w:jc w:val="center"/>
      </w:pPr>
      <w:r>
        <w:rPr>
          <w:b/>
          <w:i w:val="0"/>
        </w:rPr>
        <w:t>FINDINGS</w:t>
      </w:r>
    </w:p>
    <w:p>
      <w:pPr>
        <w:spacing w:line="480" w:lineRule="auto" w:after="0"/>
        <w:ind w:firstLine="720"/>
        <w:jc w:val="both"/>
      </w:pPr>
      <w:r>
        <w:rPr>
          <w:b w:val="0"/>
          <w:i w:val="0"/>
        </w:rPr>
        <w:t>This section presents the results of the study in the order of the research questions, from the plan variables and the accuracy of the standards-based engine to the machine-learning models, the detection benchmark and the deployed system.</w:t>
      </w:r>
    </w:p>
    <w:p>
      <w:pPr>
        <w:keepNext/>
        <w:spacing w:line="480" w:lineRule="auto" w:after="0"/>
        <w:jc w:val="left"/>
      </w:pPr>
      <w:r>
        <w:rPr>
          <w:b/>
          <w:i w:val="0"/>
        </w:rPr>
        <w:t>Plan Variables and Derived Indicators Extracted from Building and Bridge Plans</w:t>
      </w:r>
    </w:p>
    <w:p>
      <w:pPr>
        <w:spacing w:line="480" w:lineRule="auto" w:after="0"/>
        <w:ind w:firstLine="720"/>
        <w:jc w:val="both"/>
      </w:pPr>
      <w:r>
        <w:rPr>
          <w:b w:val="0"/>
          <w:i w:val="0"/>
        </w:rPr>
        <w:t>The first research question identified the variables that can be read from plans and standards and used to estimate cost. Nine variables describe each building and eleven describe each bridge (Table 1), grouped into physical properties, structural system and foundation, and location and price year.</w:t>
      </w:r>
    </w:p>
    <w:p>
      <w:pPr>
        <w:keepNext/>
        <w:spacing w:line="480" w:lineRule="auto" w:after="0"/>
        <w:ind w:left="720"/>
        <w:jc w:val="left"/>
      </w:pPr>
      <w:r>
        <w:rPr>
          <w:b/>
          <w:i w:val="0"/>
        </w:rPr>
        <w:t>a.) Physical Properties</w:t>
      </w:r>
    </w:p>
    <w:p>
      <w:pPr>
        <w:keepNext/>
        <w:spacing w:line="240" w:lineRule="auto" w:after="0" w:before="120"/>
        <w:jc w:val="left"/>
      </w:pPr>
      <w:r>
        <w:rPr>
          <w:b/>
          <w:i w:val="0"/>
        </w:rPr>
        <w:t>Table 8.</w:t>
      </w:r>
    </w:p>
    <w:p>
      <w:pPr>
        <w:keepNext/>
        <w:spacing w:line="240" w:lineRule="auto" w:after="0"/>
        <w:jc w:val="left"/>
      </w:pPr>
      <w:r>
        <w:rPr>
          <w:b w:val="0"/>
          <w:i/>
        </w:rPr>
        <w:t>Descriptive Statistics of the Physical Properties of Buildings (n = 160)</w:t>
      </w:r>
    </w:p>
    <w:tbl>
      <w:tblPr>
        <w:tblW w:type="auto" w:w="0"/>
        <w:jc w:val="center"/>
        <w:tblLayout w:type="fixed"/>
        <w:tblLook w:firstColumn="1" w:firstRow="1" w:lastColumn="0" w:lastRow="0" w:noHBand="0" w:noVBand="1" w:val="04A0"/>
        <w:tblLayout w:type="fixed"/>
      </w:tblPr>
      <w:tblGrid>
        <w:gridCol w:w="2448"/>
        <w:gridCol w:w="979"/>
        <w:gridCol w:w="979"/>
        <w:gridCol w:w="979"/>
        <w:gridCol w:w="979"/>
        <w:gridCol w:w="979"/>
        <w:gridCol w:w="979"/>
        <w:gridCol w:w="979"/>
      </w:tblGrid>
      <w:tr>
        <w:tc>
          <w:tcPr>
            <w:tcW w:type="dxa" w:w="2448"/>
            <w:tcBorders>
              <w:top w:val="single" w:sz="12" w:color="000000"/>
              <w:bottom w:val="single" w:sz="8" w:color="000000"/>
            </w:tcBorders>
          </w:tcPr>
          <w:p>
            <w:pPr>
              <w:spacing w:line="240" w:lineRule="auto" w:before="40" w:after="40"/>
              <w:jc w:val="center"/>
            </w:pPr>
            <w:r/>
            <w:r>
              <w:rPr>
                <w:b/>
                <w:i w:val="0"/>
                <w:sz w:val="18"/>
              </w:rPr>
              <w:t>VARIABLE</w:t>
            </w:r>
          </w:p>
        </w:tc>
        <w:tc>
          <w:tcPr>
            <w:tcW w:type="dxa" w:w="979"/>
            <w:tcBorders>
              <w:top w:val="single" w:sz="12" w:color="000000"/>
              <w:bottom w:val="single" w:sz="8" w:color="000000"/>
            </w:tcBorders>
          </w:tcPr>
          <w:p>
            <w:pPr>
              <w:spacing w:line="240" w:lineRule="auto" w:before="40" w:after="40"/>
              <w:jc w:val="center"/>
            </w:pPr>
            <w:r/>
            <w:r>
              <w:rPr>
                <w:b/>
                <w:i w:val="0"/>
                <w:sz w:val="18"/>
              </w:rPr>
              <w:t>x̄</w:t>
            </w:r>
          </w:p>
        </w:tc>
        <w:tc>
          <w:tcPr>
            <w:tcW w:type="dxa" w:w="979"/>
            <w:tcBorders>
              <w:top w:val="single" w:sz="12" w:color="000000"/>
              <w:bottom w:val="single" w:sz="8" w:color="000000"/>
            </w:tcBorders>
          </w:tcPr>
          <w:p>
            <w:pPr>
              <w:spacing w:line="240" w:lineRule="auto" w:before="40" w:after="40"/>
              <w:jc w:val="center"/>
            </w:pPr>
            <w:r/>
            <w:r>
              <w:rPr>
                <w:b/>
                <w:i w:val="0"/>
                <w:sz w:val="18"/>
              </w:rPr>
              <w:t>SD</w:t>
            </w:r>
          </w:p>
        </w:tc>
        <w:tc>
          <w:tcPr>
            <w:tcW w:type="dxa" w:w="979"/>
            <w:tcBorders>
              <w:top w:val="single" w:sz="12" w:color="000000"/>
              <w:bottom w:val="single" w:sz="8" w:color="000000"/>
            </w:tcBorders>
          </w:tcPr>
          <w:p>
            <w:pPr>
              <w:spacing w:line="240" w:lineRule="auto" w:before="40" w:after="40"/>
              <w:jc w:val="center"/>
            </w:pPr>
            <w:r/>
            <w:r>
              <w:rPr>
                <w:b/>
                <w:i w:val="0"/>
                <w:sz w:val="18"/>
              </w:rPr>
              <w:t>MIN</w:t>
            </w:r>
          </w:p>
        </w:tc>
        <w:tc>
          <w:tcPr>
            <w:tcW w:type="dxa" w:w="979"/>
            <w:tcBorders>
              <w:top w:val="single" w:sz="12" w:color="000000"/>
              <w:bottom w:val="single" w:sz="8" w:color="000000"/>
            </w:tcBorders>
          </w:tcPr>
          <w:p>
            <w:pPr>
              <w:spacing w:line="240" w:lineRule="auto" w:before="40" w:after="40"/>
              <w:jc w:val="center"/>
            </w:pPr>
            <w:r/>
            <w:r>
              <w:rPr>
                <w:b/>
                <w:i w:val="0"/>
                <w:sz w:val="18"/>
              </w:rPr>
              <w:t>25%</w:t>
            </w:r>
          </w:p>
        </w:tc>
        <w:tc>
          <w:tcPr>
            <w:tcW w:type="dxa" w:w="979"/>
            <w:tcBorders>
              <w:top w:val="single" w:sz="12" w:color="000000"/>
              <w:bottom w:val="single" w:sz="8" w:color="000000"/>
            </w:tcBorders>
          </w:tcPr>
          <w:p>
            <w:pPr>
              <w:spacing w:line="240" w:lineRule="auto" w:before="40" w:after="40"/>
              <w:jc w:val="center"/>
            </w:pPr>
            <w:r/>
            <w:r>
              <w:rPr>
                <w:b/>
                <w:i w:val="0"/>
                <w:sz w:val="18"/>
              </w:rPr>
              <w:t>50%</w:t>
            </w:r>
          </w:p>
        </w:tc>
        <w:tc>
          <w:tcPr>
            <w:tcW w:type="dxa" w:w="979"/>
            <w:tcBorders>
              <w:top w:val="single" w:sz="12" w:color="000000"/>
              <w:bottom w:val="single" w:sz="8" w:color="000000"/>
            </w:tcBorders>
          </w:tcPr>
          <w:p>
            <w:pPr>
              <w:spacing w:line="240" w:lineRule="auto" w:before="40" w:after="40"/>
              <w:jc w:val="center"/>
            </w:pPr>
            <w:r/>
            <w:r>
              <w:rPr>
                <w:b/>
                <w:i w:val="0"/>
                <w:sz w:val="18"/>
              </w:rPr>
              <w:t>75%</w:t>
            </w:r>
          </w:p>
        </w:tc>
        <w:tc>
          <w:tcPr>
            <w:tcW w:type="dxa" w:w="979"/>
            <w:tcBorders>
              <w:top w:val="single" w:sz="12" w:color="000000"/>
              <w:bottom w:val="single" w:sz="8" w:color="000000"/>
            </w:tcBorders>
          </w:tcPr>
          <w:p>
            <w:pPr>
              <w:spacing w:line="240" w:lineRule="auto" w:before="40" w:after="40"/>
              <w:jc w:val="center"/>
            </w:pPr>
            <w:r/>
            <w:r>
              <w:rPr>
                <w:b/>
                <w:i w:val="0"/>
                <w:sz w:val="18"/>
              </w:rPr>
              <w:t>MAX</w:t>
            </w:r>
          </w:p>
        </w:tc>
      </w:tr>
      <w:tr>
        <w:tc>
          <w:tcPr>
            <w:tcW w:type="dxa" w:w="2448"/>
            <w:shd w:val="clear" w:color="auto" w:fill="EFEFEF"/>
          </w:tcPr>
          <w:p>
            <w:pPr>
              <w:spacing w:line="240" w:lineRule="auto" w:before="40" w:after="40"/>
              <w:jc w:val="left"/>
            </w:pPr>
            <w:r/>
            <w:r>
              <w:rPr>
                <w:b w:val="0"/>
                <w:i/>
                <w:sz w:val="18"/>
              </w:rPr>
              <w:t>Gross Floor Area (m²)</w:t>
            </w:r>
          </w:p>
        </w:tc>
        <w:tc>
          <w:tcPr>
            <w:tcW w:type="dxa" w:w="979"/>
            <w:shd w:val="clear" w:color="auto" w:fill="EFEFEF"/>
          </w:tcPr>
          <w:p>
            <w:pPr>
              <w:spacing w:line="240" w:lineRule="auto" w:before="40" w:after="40"/>
              <w:jc w:val="center"/>
            </w:pPr>
            <w:r/>
            <w:r>
              <w:rPr>
                <w:b w:val="0"/>
                <w:i w:val="0"/>
                <w:sz w:val="18"/>
              </w:rPr>
              <w:t>672.33</w:t>
            </w:r>
          </w:p>
        </w:tc>
        <w:tc>
          <w:tcPr>
            <w:tcW w:type="dxa" w:w="979"/>
            <w:shd w:val="clear" w:color="auto" w:fill="EFEFEF"/>
          </w:tcPr>
          <w:p>
            <w:pPr>
              <w:spacing w:line="240" w:lineRule="auto" w:before="40" w:after="40"/>
              <w:jc w:val="center"/>
            </w:pPr>
            <w:r/>
            <w:r>
              <w:rPr>
                <w:b w:val="0"/>
                <w:i w:val="0"/>
                <w:sz w:val="18"/>
              </w:rPr>
              <w:t>373.44</w:t>
            </w:r>
          </w:p>
        </w:tc>
        <w:tc>
          <w:tcPr>
            <w:tcW w:type="dxa" w:w="979"/>
            <w:shd w:val="clear" w:color="auto" w:fill="EFEFEF"/>
          </w:tcPr>
          <w:p>
            <w:pPr>
              <w:spacing w:line="240" w:lineRule="auto" w:before="40" w:after="40"/>
              <w:jc w:val="center"/>
            </w:pPr>
            <w:r/>
            <w:r>
              <w:rPr>
                <w:b w:val="0"/>
                <w:i w:val="0"/>
                <w:sz w:val="18"/>
              </w:rPr>
              <w:t>116.58</w:t>
            </w:r>
          </w:p>
        </w:tc>
        <w:tc>
          <w:tcPr>
            <w:tcW w:type="dxa" w:w="979"/>
            <w:shd w:val="clear" w:color="auto" w:fill="EFEFEF"/>
          </w:tcPr>
          <w:p>
            <w:pPr>
              <w:spacing w:line="240" w:lineRule="auto" w:before="40" w:after="40"/>
              <w:jc w:val="center"/>
            </w:pPr>
            <w:r/>
            <w:r>
              <w:rPr>
                <w:b w:val="0"/>
                <w:i w:val="0"/>
                <w:sz w:val="18"/>
              </w:rPr>
              <w:t>383.30</w:t>
            </w:r>
          </w:p>
        </w:tc>
        <w:tc>
          <w:tcPr>
            <w:tcW w:type="dxa" w:w="979"/>
            <w:shd w:val="clear" w:color="auto" w:fill="EFEFEF"/>
          </w:tcPr>
          <w:p>
            <w:pPr>
              <w:spacing w:line="240" w:lineRule="auto" w:before="40" w:after="40"/>
              <w:jc w:val="center"/>
            </w:pPr>
            <w:r/>
            <w:r>
              <w:rPr>
                <w:b w:val="0"/>
                <w:i w:val="0"/>
                <w:sz w:val="18"/>
              </w:rPr>
              <w:t>614.88</w:t>
            </w:r>
          </w:p>
        </w:tc>
        <w:tc>
          <w:tcPr>
            <w:tcW w:type="dxa" w:w="979"/>
            <w:shd w:val="clear" w:color="auto" w:fill="EFEFEF"/>
          </w:tcPr>
          <w:p>
            <w:pPr>
              <w:spacing w:line="240" w:lineRule="auto" w:before="40" w:after="40"/>
              <w:jc w:val="center"/>
            </w:pPr>
            <w:r/>
            <w:r>
              <w:rPr>
                <w:b w:val="0"/>
                <w:i w:val="0"/>
                <w:sz w:val="18"/>
              </w:rPr>
              <w:t>873.00</w:t>
            </w:r>
          </w:p>
        </w:tc>
        <w:tc>
          <w:tcPr>
            <w:tcW w:type="dxa" w:w="979"/>
            <w:shd w:val="clear" w:color="auto" w:fill="EFEFEF"/>
          </w:tcPr>
          <w:p>
            <w:pPr>
              <w:spacing w:line="240" w:lineRule="auto" w:before="40" w:after="40"/>
              <w:jc w:val="center"/>
            </w:pPr>
            <w:r/>
            <w:r>
              <w:rPr>
                <w:b w:val="0"/>
                <w:i w:val="0"/>
                <w:sz w:val="18"/>
              </w:rPr>
              <w:t>1,991</w:t>
            </w:r>
          </w:p>
        </w:tc>
      </w:tr>
      <w:tr>
        <w:tc>
          <w:tcPr>
            <w:tcW w:type="dxa" w:w="2448"/>
          </w:tcPr>
          <w:p>
            <w:pPr>
              <w:spacing w:line="240" w:lineRule="auto" w:before="40" w:after="40"/>
              <w:jc w:val="left"/>
            </w:pPr>
            <w:r/>
            <w:r>
              <w:rPr>
                <w:b w:val="0"/>
                <w:i/>
                <w:sz w:val="18"/>
              </w:rPr>
              <w:t>Footprint Area (m²)</w:t>
            </w:r>
          </w:p>
        </w:tc>
        <w:tc>
          <w:tcPr>
            <w:tcW w:type="dxa" w:w="979"/>
          </w:tcPr>
          <w:p>
            <w:pPr>
              <w:spacing w:line="240" w:lineRule="auto" w:before="40" w:after="40"/>
              <w:jc w:val="center"/>
            </w:pPr>
            <w:r/>
            <w:r>
              <w:rPr>
                <w:b w:val="0"/>
                <w:i w:val="0"/>
                <w:sz w:val="18"/>
              </w:rPr>
              <w:t>381.30</w:t>
            </w:r>
          </w:p>
        </w:tc>
        <w:tc>
          <w:tcPr>
            <w:tcW w:type="dxa" w:w="979"/>
          </w:tcPr>
          <w:p>
            <w:pPr>
              <w:spacing w:line="240" w:lineRule="auto" w:before="40" w:after="40"/>
              <w:jc w:val="center"/>
            </w:pPr>
            <w:r/>
            <w:r>
              <w:rPr>
                <w:b w:val="0"/>
                <w:i w:val="0"/>
                <w:sz w:val="18"/>
              </w:rPr>
              <w:t>204.00</w:t>
            </w:r>
          </w:p>
        </w:tc>
        <w:tc>
          <w:tcPr>
            <w:tcW w:type="dxa" w:w="979"/>
          </w:tcPr>
          <w:p>
            <w:pPr>
              <w:spacing w:line="240" w:lineRule="auto" w:before="40" w:after="40"/>
              <w:jc w:val="center"/>
            </w:pPr>
            <w:r/>
            <w:r>
              <w:rPr>
                <w:b w:val="0"/>
                <w:i w:val="0"/>
                <w:sz w:val="18"/>
              </w:rPr>
              <w:t>116.58</w:t>
            </w:r>
          </w:p>
        </w:tc>
        <w:tc>
          <w:tcPr>
            <w:tcW w:type="dxa" w:w="979"/>
          </w:tcPr>
          <w:p>
            <w:pPr>
              <w:spacing w:line="240" w:lineRule="auto" w:before="40" w:after="40"/>
              <w:jc w:val="center"/>
            </w:pPr>
            <w:r/>
            <w:r>
              <w:rPr>
                <w:b w:val="0"/>
                <w:i w:val="0"/>
                <w:sz w:val="18"/>
              </w:rPr>
              <w:t>253.17</w:t>
            </w:r>
          </w:p>
        </w:tc>
        <w:tc>
          <w:tcPr>
            <w:tcW w:type="dxa" w:w="979"/>
          </w:tcPr>
          <w:p>
            <w:pPr>
              <w:spacing w:line="240" w:lineRule="auto" w:before="40" w:after="40"/>
              <w:jc w:val="center"/>
            </w:pPr>
            <w:r/>
            <w:r>
              <w:rPr>
                <w:b w:val="0"/>
                <w:i w:val="0"/>
                <w:sz w:val="18"/>
              </w:rPr>
              <w:t>349.05</w:t>
            </w:r>
          </w:p>
        </w:tc>
        <w:tc>
          <w:tcPr>
            <w:tcW w:type="dxa" w:w="979"/>
          </w:tcPr>
          <w:p>
            <w:pPr>
              <w:spacing w:line="240" w:lineRule="auto" w:before="40" w:after="40"/>
              <w:jc w:val="center"/>
            </w:pPr>
            <w:r/>
            <w:r>
              <w:rPr>
                <w:b w:val="0"/>
                <w:i w:val="0"/>
                <w:sz w:val="18"/>
              </w:rPr>
              <w:t>425.56</w:t>
            </w:r>
          </w:p>
        </w:tc>
        <w:tc>
          <w:tcPr>
            <w:tcW w:type="dxa" w:w="979"/>
          </w:tcPr>
          <w:p>
            <w:pPr>
              <w:spacing w:line="240" w:lineRule="auto" w:before="40" w:after="40"/>
              <w:jc w:val="center"/>
            </w:pPr>
            <w:r/>
            <w:r>
              <w:rPr>
                <w:b w:val="0"/>
                <w:i w:val="0"/>
                <w:sz w:val="18"/>
              </w:rPr>
              <w:t>1,380</w:t>
            </w:r>
          </w:p>
        </w:tc>
      </w:tr>
      <w:tr>
        <w:tc>
          <w:tcPr>
            <w:tcW w:type="dxa" w:w="2448"/>
            <w:shd w:val="clear" w:color="auto" w:fill="EFEFEF"/>
          </w:tcPr>
          <w:p>
            <w:pPr>
              <w:spacing w:line="240" w:lineRule="auto" w:before="40" w:after="40"/>
              <w:jc w:val="left"/>
            </w:pPr>
            <w:r/>
            <w:r>
              <w:rPr>
                <w:b w:val="0"/>
                <w:i/>
                <w:sz w:val="18"/>
              </w:rPr>
              <w:t>Storeys</w:t>
            </w:r>
          </w:p>
        </w:tc>
        <w:tc>
          <w:tcPr>
            <w:tcW w:type="dxa" w:w="979"/>
            <w:shd w:val="clear" w:color="auto" w:fill="EFEFEF"/>
          </w:tcPr>
          <w:p>
            <w:pPr>
              <w:spacing w:line="240" w:lineRule="auto" w:before="40" w:after="40"/>
              <w:jc w:val="center"/>
            </w:pPr>
            <w:r/>
            <w:r>
              <w:rPr>
                <w:b w:val="0"/>
                <w:i w:val="0"/>
                <w:sz w:val="18"/>
              </w:rPr>
              <w:t>1.89</w:t>
            </w:r>
          </w:p>
        </w:tc>
        <w:tc>
          <w:tcPr>
            <w:tcW w:type="dxa" w:w="979"/>
            <w:shd w:val="clear" w:color="auto" w:fill="EFEFEF"/>
          </w:tcPr>
          <w:p>
            <w:pPr>
              <w:spacing w:line="240" w:lineRule="auto" w:before="40" w:after="40"/>
              <w:jc w:val="center"/>
            </w:pPr>
            <w:r/>
            <w:r>
              <w:rPr>
                <w:b w:val="0"/>
                <w:i w:val="0"/>
                <w:sz w:val="18"/>
              </w:rPr>
              <w:t>0.89</w:t>
            </w:r>
          </w:p>
        </w:tc>
        <w:tc>
          <w:tcPr>
            <w:tcW w:type="dxa" w:w="979"/>
            <w:shd w:val="clear" w:color="auto" w:fill="EFEFEF"/>
          </w:tcPr>
          <w:p>
            <w:pPr>
              <w:spacing w:line="240" w:lineRule="auto" w:before="40" w:after="40"/>
              <w:jc w:val="center"/>
            </w:pPr>
            <w:r/>
            <w:r>
              <w:rPr>
                <w:b w:val="0"/>
                <w:i w:val="0"/>
                <w:sz w:val="18"/>
              </w:rPr>
              <w:t>1.00</w:t>
            </w:r>
          </w:p>
        </w:tc>
        <w:tc>
          <w:tcPr>
            <w:tcW w:type="dxa" w:w="979"/>
            <w:shd w:val="clear" w:color="auto" w:fill="EFEFEF"/>
          </w:tcPr>
          <w:p>
            <w:pPr>
              <w:spacing w:line="240" w:lineRule="auto" w:before="40" w:after="40"/>
              <w:jc w:val="center"/>
            </w:pPr>
            <w:r/>
            <w:r>
              <w:rPr>
                <w:b w:val="0"/>
                <w:i w:val="0"/>
                <w:sz w:val="18"/>
              </w:rPr>
              <w:t>1.00</w:t>
            </w:r>
          </w:p>
        </w:tc>
        <w:tc>
          <w:tcPr>
            <w:tcW w:type="dxa" w:w="979"/>
            <w:shd w:val="clear" w:color="auto" w:fill="EFEFEF"/>
          </w:tcPr>
          <w:p>
            <w:pPr>
              <w:spacing w:line="240" w:lineRule="auto" w:before="40" w:after="40"/>
              <w:jc w:val="center"/>
            </w:pPr>
            <w:r/>
            <w:r>
              <w:rPr>
                <w:b w:val="0"/>
                <w:i w:val="0"/>
                <w:sz w:val="18"/>
              </w:rPr>
              <w:t>2.00</w:t>
            </w:r>
          </w:p>
        </w:tc>
        <w:tc>
          <w:tcPr>
            <w:tcW w:type="dxa" w:w="979"/>
            <w:shd w:val="clear" w:color="auto" w:fill="EFEFEF"/>
          </w:tcPr>
          <w:p>
            <w:pPr>
              <w:spacing w:line="240" w:lineRule="auto" w:before="40" w:after="40"/>
              <w:jc w:val="center"/>
            </w:pPr>
            <w:r/>
            <w:r>
              <w:rPr>
                <w:b w:val="0"/>
                <w:i w:val="0"/>
                <w:sz w:val="18"/>
              </w:rPr>
              <w:t>2.00</w:t>
            </w:r>
          </w:p>
        </w:tc>
        <w:tc>
          <w:tcPr>
            <w:tcW w:type="dxa" w:w="979"/>
            <w:shd w:val="clear" w:color="auto" w:fill="EFEFEF"/>
          </w:tcPr>
          <w:p>
            <w:pPr>
              <w:spacing w:line="240" w:lineRule="auto" w:before="40" w:after="40"/>
              <w:jc w:val="center"/>
            </w:pPr>
            <w:r/>
            <w:r>
              <w:rPr>
                <w:b w:val="0"/>
                <w:i w:val="0"/>
                <w:sz w:val="18"/>
              </w:rPr>
              <w:t>4.00</w:t>
            </w:r>
          </w:p>
        </w:tc>
      </w:tr>
      <w:tr>
        <w:tc>
          <w:tcPr>
            <w:tcW w:type="dxa" w:w="2448"/>
          </w:tcPr>
          <w:p>
            <w:pPr>
              <w:spacing w:line="240" w:lineRule="auto" w:before="40" w:after="40"/>
              <w:jc w:val="left"/>
            </w:pPr>
            <w:r/>
            <w:r>
              <w:rPr>
                <w:b w:val="0"/>
                <w:i/>
                <w:sz w:val="18"/>
              </w:rPr>
              <w:t>Structural Span (m)</w:t>
            </w:r>
          </w:p>
        </w:tc>
        <w:tc>
          <w:tcPr>
            <w:tcW w:type="dxa" w:w="979"/>
          </w:tcPr>
          <w:p>
            <w:pPr>
              <w:spacing w:line="240" w:lineRule="auto" w:before="40" w:after="40"/>
              <w:jc w:val="center"/>
            </w:pPr>
            <w:r/>
            <w:r>
              <w:rPr>
                <w:b w:val="0"/>
                <w:i w:val="0"/>
                <w:sz w:val="18"/>
              </w:rPr>
              <w:t>6.26</w:t>
            </w:r>
          </w:p>
        </w:tc>
        <w:tc>
          <w:tcPr>
            <w:tcW w:type="dxa" w:w="979"/>
          </w:tcPr>
          <w:p>
            <w:pPr>
              <w:spacing w:line="240" w:lineRule="auto" w:before="40" w:after="40"/>
              <w:jc w:val="center"/>
            </w:pPr>
            <w:r/>
            <w:r>
              <w:rPr>
                <w:b w:val="0"/>
                <w:i w:val="0"/>
                <w:sz w:val="18"/>
              </w:rPr>
              <w:t>1.64</w:t>
            </w:r>
          </w:p>
        </w:tc>
        <w:tc>
          <w:tcPr>
            <w:tcW w:type="dxa" w:w="979"/>
          </w:tcPr>
          <w:p>
            <w:pPr>
              <w:spacing w:line="240" w:lineRule="auto" w:before="40" w:after="40"/>
              <w:jc w:val="center"/>
            </w:pPr>
            <w:r/>
            <w:r>
              <w:rPr>
                <w:b w:val="0"/>
                <w:i w:val="0"/>
                <w:sz w:val="18"/>
              </w:rPr>
              <w:t>3.67</w:t>
            </w:r>
          </w:p>
        </w:tc>
        <w:tc>
          <w:tcPr>
            <w:tcW w:type="dxa" w:w="979"/>
          </w:tcPr>
          <w:p>
            <w:pPr>
              <w:spacing w:line="240" w:lineRule="auto" w:before="40" w:after="40"/>
              <w:jc w:val="center"/>
            </w:pPr>
            <w:r/>
            <w:r>
              <w:rPr>
                <w:b w:val="0"/>
                <w:i w:val="0"/>
                <w:sz w:val="18"/>
              </w:rPr>
              <w:t>4.84</w:t>
            </w:r>
          </w:p>
        </w:tc>
        <w:tc>
          <w:tcPr>
            <w:tcW w:type="dxa" w:w="979"/>
          </w:tcPr>
          <w:p>
            <w:pPr>
              <w:spacing w:line="240" w:lineRule="auto" w:before="40" w:after="40"/>
              <w:jc w:val="center"/>
            </w:pPr>
            <w:r/>
            <w:r>
              <w:rPr>
                <w:b w:val="0"/>
                <w:i w:val="0"/>
                <w:sz w:val="18"/>
              </w:rPr>
              <w:t>5.82</w:t>
            </w:r>
          </w:p>
        </w:tc>
        <w:tc>
          <w:tcPr>
            <w:tcW w:type="dxa" w:w="979"/>
          </w:tcPr>
          <w:p>
            <w:pPr>
              <w:spacing w:line="240" w:lineRule="auto" w:before="40" w:after="40"/>
              <w:jc w:val="center"/>
            </w:pPr>
            <w:r/>
            <w:r>
              <w:rPr>
                <w:b w:val="0"/>
                <w:i w:val="0"/>
                <w:sz w:val="18"/>
              </w:rPr>
              <w:t>7.09</w:t>
            </w:r>
          </w:p>
        </w:tc>
        <w:tc>
          <w:tcPr>
            <w:tcW w:type="dxa" w:w="979"/>
          </w:tcPr>
          <w:p>
            <w:pPr>
              <w:spacing w:line="240" w:lineRule="auto" w:before="40" w:after="40"/>
              <w:jc w:val="center"/>
            </w:pPr>
            <w:r/>
            <w:r>
              <w:rPr>
                <w:b w:val="0"/>
                <w:i w:val="0"/>
                <w:sz w:val="18"/>
              </w:rPr>
              <w:t>10.20</w:t>
            </w:r>
          </w:p>
        </w:tc>
      </w:tr>
      <w:tr>
        <w:tc>
          <w:tcPr>
            <w:tcW w:type="dxa" w:w="2448"/>
            <w:shd w:val="clear" w:color="auto" w:fill="EFEFEF"/>
            <w:tcBorders>
              <w:bottom w:val="single" w:sz="12" w:color="000000"/>
            </w:tcBorders>
          </w:tcPr>
          <w:p>
            <w:pPr>
              <w:spacing w:line="240" w:lineRule="auto" w:before="40" w:after="40"/>
              <w:jc w:val="left"/>
            </w:pPr>
            <w:r/>
            <w:r>
              <w:rPr>
                <w:b w:val="0"/>
                <w:i/>
                <w:sz w:val="18"/>
              </w:rPr>
              <w:t>Floor Height (m)</w:t>
            </w:r>
          </w:p>
        </w:tc>
        <w:tc>
          <w:tcPr>
            <w:tcW w:type="dxa" w:w="979"/>
            <w:shd w:val="clear" w:color="auto" w:fill="EFEFEF"/>
            <w:tcBorders>
              <w:bottom w:val="single" w:sz="12" w:color="000000"/>
            </w:tcBorders>
          </w:tcPr>
          <w:p>
            <w:pPr>
              <w:spacing w:line="240" w:lineRule="auto" w:before="40" w:after="40"/>
              <w:jc w:val="center"/>
            </w:pPr>
            <w:r/>
            <w:r>
              <w:rPr>
                <w:b w:val="0"/>
                <w:i w:val="0"/>
                <w:sz w:val="18"/>
              </w:rPr>
              <w:t>3.67</w:t>
            </w:r>
          </w:p>
        </w:tc>
        <w:tc>
          <w:tcPr>
            <w:tcW w:type="dxa" w:w="979"/>
            <w:shd w:val="clear" w:color="auto" w:fill="EFEFEF"/>
            <w:tcBorders>
              <w:bottom w:val="single" w:sz="12" w:color="000000"/>
            </w:tcBorders>
          </w:tcPr>
          <w:p>
            <w:pPr>
              <w:spacing w:line="240" w:lineRule="auto" w:before="40" w:after="40"/>
              <w:jc w:val="center"/>
            </w:pPr>
            <w:r/>
            <w:r>
              <w:rPr>
                <w:b w:val="0"/>
                <w:i w:val="0"/>
                <w:sz w:val="18"/>
              </w:rPr>
              <w:t>0.73</w:t>
            </w:r>
          </w:p>
        </w:tc>
        <w:tc>
          <w:tcPr>
            <w:tcW w:type="dxa" w:w="979"/>
            <w:shd w:val="clear" w:color="auto" w:fill="EFEFEF"/>
            <w:tcBorders>
              <w:bottom w:val="single" w:sz="12" w:color="000000"/>
            </w:tcBorders>
          </w:tcPr>
          <w:p>
            <w:pPr>
              <w:spacing w:line="240" w:lineRule="auto" w:before="40" w:after="40"/>
              <w:jc w:val="center"/>
            </w:pPr>
            <w:r/>
            <w:r>
              <w:rPr>
                <w:b w:val="0"/>
                <w:i w:val="0"/>
                <w:sz w:val="18"/>
              </w:rPr>
              <w:t>2.91</w:t>
            </w:r>
          </w:p>
        </w:tc>
        <w:tc>
          <w:tcPr>
            <w:tcW w:type="dxa" w:w="979"/>
            <w:shd w:val="clear" w:color="auto" w:fill="EFEFEF"/>
            <w:tcBorders>
              <w:bottom w:val="single" w:sz="12" w:color="000000"/>
            </w:tcBorders>
          </w:tcPr>
          <w:p>
            <w:pPr>
              <w:spacing w:line="240" w:lineRule="auto" w:before="40" w:after="40"/>
              <w:jc w:val="center"/>
            </w:pPr>
            <w:r/>
            <w:r>
              <w:rPr>
                <w:b w:val="0"/>
                <w:i w:val="0"/>
                <w:sz w:val="18"/>
              </w:rPr>
              <w:t>3.19</w:t>
            </w:r>
          </w:p>
        </w:tc>
        <w:tc>
          <w:tcPr>
            <w:tcW w:type="dxa" w:w="979"/>
            <w:shd w:val="clear" w:color="auto" w:fill="EFEFEF"/>
            <w:tcBorders>
              <w:bottom w:val="single" w:sz="12" w:color="000000"/>
            </w:tcBorders>
          </w:tcPr>
          <w:p>
            <w:pPr>
              <w:spacing w:line="240" w:lineRule="auto" w:before="40" w:after="40"/>
              <w:jc w:val="center"/>
            </w:pPr>
            <w:r/>
            <w:r>
              <w:rPr>
                <w:b w:val="0"/>
                <w:i w:val="0"/>
                <w:sz w:val="18"/>
              </w:rPr>
              <w:t>3.33</w:t>
            </w:r>
          </w:p>
        </w:tc>
        <w:tc>
          <w:tcPr>
            <w:tcW w:type="dxa" w:w="979"/>
            <w:shd w:val="clear" w:color="auto" w:fill="EFEFEF"/>
            <w:tcBorders>
              <w:bottom w:val="single" w:sz="12" w:color="000000"/>
            </w:tcBorders>
          </w:tcPr>
          <w:p>
            <w:pPr>
              <w:spacing w:line="240" w:lineRule="auto" w:before="40" w:after="40"/>
              <w:jc w:val="center"/>
            </w:pPr>
            <w:r/>
            <w:r>
              <w:rPr>
                <w:b w:val="0"/>
                <w:i w:val="0"/>
                <w:sz w:val="18"/>
              </w:rPr>
              <w:t>4.07</w:t>
            </w:r>
          </w:p>
        </w:tc>
        <w:tc>
          <w:tcPr>
            <w:tcW w:type="dxa" w:w="979"/>
            <w:shd w:val="clear" w:color="auto" w:fill="EFEFEF"/>
            <w:tcBorders>
              <w:bottom w:val="single" w:sz="12" w:color="000000"/>
            </w:tcBorders>
          </w:tcPr>
          <w:p>
            <w:pPr>
              <w:spacing w:line="240" w:lineRule="auto" w:before="40" w:after="40"/>
              <w:jc w:val="center"/>
            </w:pPr>
            <w:r/>
            <w:r>
              <w:rPr>
                <w:b w:val="0"/>
                <w:i w:val="0"/>
                <w:sz w:val="18"/>
              </w:rPr>
              <w:t>5.88</w:t>
            </w:r>
          </w:p>
        </w:tc>
      </w:tr>
    </w:tbl>
    <w:p>
      <w:pPr>
        <w:spacing w:line="240" w:lineRule="auto" w:after="80"/>
      </w:pPr>
    </w:p>
    <w:p>
      <w:pPr>
        <w:spacing w:line="480" w:lineRule="auto" w:after="0"/>
        <w:ind w:firstLine="720"/>
        <w:jc w:val="both"/>
      </w:pPr>
      <w:r>
        <w:rPr>
          <w:b w:val="0"/>
          <w:i w:val="0"/>
        </w:rPr>
        <w:t>Table 8 shows that gross floor area averaged 672.3 m² and ranged from 116.6 m² to 1,990.8 m², with a median of 614.9 m². Because the mean is above the median, the distribution is right-skewed: most projects are one- and two-storey facilities, with a few large multi-storey buildings and markets. Storeys ranged from 1 to 4, structural spans from 3.67 m to 10.20 m, and floor heights from 2.91 m to 5.88 m, the tallest belonging to evacuation centers and markets.</w:t>
      </w:r>
    </w:p>
    <w:p>
      <w:pPr>
        <w:keepNext/>
        <w:spacing w:line="240" w:lineRule="auto" w:after="0" w:before="120"/>
        <w:jc w:val="left"/>
      </w:pPr>
      <w:r>
        <w:rPr>
          <w:b/>
          <w:i w:val="0"/>
        </w:rPr>
        <w:t>Table 9.</w:t>
      </w:r>
    </w:p>
    <w:p>
      <w:pPr>
        <w:keepNext/>
        <w:spacing w:line="240" w:lineRule="auto" w:after="0"/>
        <w:jc w:val="left"/>
      </w:pPr>
      <w:r>
        <w:rPr>
          <w:b w:val="0"/>
          <w:i/>
        </w:rPr>
        <w:t>Descriptive Statistics of the Physical Properties of Bridges (n = 140)</w:t>
      </w:r>
    </w:p>
    <w:tbl>
      <w:tblPr>
        <w:tblW w:type="auto" w:w="0"/>
        <w:jc w:val="center"/>
        <w:tblLayout w:type="fixed"/>
        <w:tblLook w:firstColumn="1" w:firstRow="1" w:lastColumn="0" w:lastRow="0" w:noHBand="0" w:noVBand="1" w:val="04A0"/>
        <w:tblLayout w:type="fixed"/>
      </w:tblPr>
      <w:tblGrid>
        <w:gridCol w:w="2448"/>
        <w:gridCol w:w="979"/>
        <w:gridCol w:w="979"/>
        <w:gridCol w:w="979"/>
        <w:gridCol w:w="979"/>
        <w:gridCol w:w="979"/>
        <w:gridCol w:w="979"/>
        <w:gridCol w:w="979"/>
      </w:tblGrid>
      <w:tr>
        <w:tc>
          <w:tcPr>
            <w:tcW w:type="dxa" w:w="2448"/>
            <w:tcBorders>
              <w:top w:val="single" w:sz="12" w:color="000000"/>
              <w:bottom w:val="single" w:sz="8" w:color="000000"/>
            </w:tcBorders>
          </w:tcPr>
          <w:p>
            <w:pPr>
              <w:spacing w:line="240" w:lineRule="auto" w:before="40" w:after="40"/>
              <w:jc w:val="center"/>
            </w:pPr>
            <w:r/>
            <w:r>
              <w:rPr>
                <w:b/>
                <w:i w:val="0"/>
                <w:sz w:val="18"/>
              </w:rPr>
              <w:t>VARIABLE</w:t>
            </w:r>
          </w:p>
        </w:tc>
        <w:tc>
          <w:tcPr>
            <w:tcW w:type="dxa" w:w="979"/>
            <w:tcBorders>
              <w:top w:val="single" w:sz="12" w:color="000000"/>
              <w:bottom w:val="single" w:sz="8" w:color="000000"/>
            </w:tcBorders>
          </w:tcPr>
          <w:p>
            <w:pPr>
              <w:spacing w:line="240" w:lineRule="auto" w:before="40" w:after="40"/>
              <w:jc w:val="center"/>
            </w:pPr>
            <w:r/>
            <w:r>
              <w:rPr>
                <w:b/>
                <w:i w:val="0"/>
                <w:sz w:val="18"/>
              </w:rPr>
              <w:t>x̄</w:t>
            </w:r>
          </w:p>
        </w:tc>
        <w:tc>
          <w:tcPr>
            <w:tcW w:type="dxa" w:w="979"/>
            <w:tcBorders>
              <w:top w:val="single" w:sz="12" w:color="000000"/>
              <w:bottom w:val="single" w:sz="8" w:color="000000"/>
            </w:tcBorders>
          </w:tcPr>
          <w:p>
            <w:pPr>
              <w:spacing w:line="240" w:lineRule="auto" w:before="40" w:after="40"/>
              <w:jc w:val="center"/>
            </w:pPr>
            <w:r/>
            <w:r>
              <w:rPr>
                <w:b/>
                <w:i w:val="0"/>
                <w:sz w:val="18"/>
              </w:rPr>
              <w:t>SD</w:t>
            </w:r>
          </w:p>
        </w:tc>
        <w:tc>
          <w:tcPr>
            <w:tcW w:type="dxa" w:w="979"/>
            <w:tcBorders>
              <w:top w:val="single" w:sz="12" w:color="000000"/>
              <w:bottom w:val="single" w:sz="8" w:color="000000"/>
            </w:tcBorders>
          </w:tcPr>
          <w:p>
            <w:pPr>
              <w:spacing w:line="240" w:lineRule="auto" w:before="40" w:after="40"/>
              <w:jc w:val="center"/>
            </w:pPr>
            <w:r/>
            <w:r>
              <w:rPr>
                <w:b/>
                <w:i w:val="0"/>
                <w:sz w:val="18"/>
              </w:rPr>
              <w:t>MIN</w:t>
            </w:r>
          </w:p>
        </w:tc>
        <w:tc>
          <w:tcPr>
            <w:tcW w:type="dxa" w:w="979"/>
            <w:tcBorders>
              <w:top w:val="single" w:sz="12" w:color="000000"/>
              <w:bottom w:val="single" w:sz="8" w:color="000000"/>
            </w:tcBorders>
          </w:tcPr>
          <w:p>
            <w:pPr>
              <w:spacing w:line="240" w:lineRule="auto" w:before="40" w:after="40"/>
              <w:jc w:val="center"/>
            </w:pPr>
            <w:r/>
            <w:r>
              <w:rPr>
                <w:b/>
                <w:i w:val="0"/>
                <w:sz w:val="18"/>
              </w:rPr>
              <w:t>25%</w:t>
            </w:r>
          </w:p>
        </w:tc>
        <w:tc>
          <w:tcPr>
            <w:tcW w:type="dxa" w:w="979"/>
            <w:tcBorders>
              <w:top w:val="single" w:sz="12" w:color="000000"/>
              <w:bottom w:val="single" w:sz="8" w:color="000000"/>
            </w:tcBorders>
          </w:tcPr>
          <w:p>
            <w:pPr>
              <w:spacing w:line="240" w:lineRule="auto" w:before="40" w:after="40"/>
              <w:jc w:val="center"/>
            </w:pPr>
            <w:r/>
            <w:r>
              <w:rPr>
                <w:b/>
                <w:i w:val="0"/>
                <w:sz w:val="18"/>
              </w:rPr>
              <w:t>50%</w:t>
            </w:r>
          </w:p>
        </w:tc>
        <w:tc>
          <w:tcPr>
            <w:tcW w:type="dxa" w:w="979"/>
            <w:tcBorders>
              <w:top w:val="single" w:sz="12" w:color="000000"/>
              <w:bottom w:val="single" w:sz="8" w:color="000000"/>
            </w:tcBorders>
          </w:tcPr>
          <w:p>
            <w:pPr>
              <w:spacing w:line="240" w:lineRule="auto" w:before="40" w:after="40"/>
              <w:jc w:val="center"/>
            </w:pPr>
            <w:r/>
            <w:r>
              <w:rPr>
                <w:b/>
                <w:i w:val="0"/>
                <w:sz w:val="18"/>
              </w:rPr>
              <w:t>75%</w:t>
            </w:r>
          </w:p>
        </w:tc>
        <w:tc>
          <w:tcPr>
            <w:tcW w:type="dxa" w:w="979"/>
            <w:tcBorders>
              <w:top w:val="single" w:sz="12" w:color="000000"/>
              <w:bottom w:val="single" w:sz="8" w:color="000000"/>
            </w:tcBorders>
          </w:tcPr>
          <w:p>
            <w:pPr>
              <w:spacing w:line="240" w:lineRule="auto" w:before="40" w:after="40"/>
              <w:jc w:val="center"/>
            </w:pPr>
            <w:r/>
            <w:r>
              <w:rPr>
                <w:b/>
                <w:i w:val="0"/>
                <w:sz w:val="18"/>
              </w:rPr>
              <w:t>MAX</w:t>
            </w:r>
          </w:p>
        </w:tc>
      </w:tr>
      <w:tr>
        <w:tc>
          <w:tcPr>
            <w:tcW w:type="dxa" w:w="2448"/>
            <w:shd w:val="clear" w:color="auto" w:fill="EFEFEF"/>
          </w:tcPr>
          <w:p>
            <w:pPr>
              <w:spacing w:line="240" w:lineRule="auto" w:before="40" w:after="40"/>
              <w:jc w:val="left"/>
            </w:pPr>
            <w:r/>
            <w:r>
              <w:rPr>
                <w:b w:val="0"/>
                <w:i/>
                <w:sz w:val="18"/>
              </w:rPr>
              <w:t>Total Length (m)</w:t>
            </w:r>
          </w:p>
        </w:tc>
        <w:tc>
          <w:tcPr>
            <w:tcW w:type="dxa" w:w="979"/>
            <w:shd w:val="clear" w:color="auto" w:fill="EFEFEF"/>
          </w:tcPr>
          <w:p>
            <w:pPr>
              <w:spacing w:line="240" w:lineRule="auto" w:before="40" w:after="40"/>
              <w:jc w:val="center"/>
            </w:pPr>
            <w:r/>
            <w:r>
              <w:rPr>
                <w:b w:val="0"/>
                <w:i w:val="0"/>
                <w:sz w:val="18"/>
              </w:rPr>
              <w:t>40.86</w:t>
            </w:r>
          </w:p>
        </w:tc>
        <w:tc>
          <w:tcPr>
            <w:tcW w:type="dxa" w:w="979"/>
            <w:shd w:val="clear" w:color="auto" w:fill="EFEFEF"/>
          </w:tcPr>
          <w:p>
            <w:pPr>
              <w:spacing w:line="240" w:lineRule="auto" w:before="40" w:after="40"/>
              <w:jc w:val="center"/>
            </w:pPr>
            <w:r/>
            <w:r>
              <w:rPr>
                <w:b w:val="0"/>
                <w:i w:val="0"/>
                <w:sz w:val="18"/>
              </w:rPr>
              <w:t>38.88</w:t>
            </w:r>
          </w:p>
        </w:tc>
        <w:tc>
          <w:tcPr>
            <w:tcW w:type="dxa" w:w="979"/>
            <w:shd w:val="clear" w:color="auto" w:fill="EFEFEF"/>
          </w:tcPr>
          <w:p>
            <w:pPr>
              <w:spacing w:line="240" w:lineRule="auto" w:before="40" w:after="40"/>
              <w:jc w:val="center"/>
            </w:pPr>
            <w:r/>
            <w:r>
              <w:rPr>
                <w:b w:val="0"/>
                <w:i w:val="0"/>
                <w:sz w:val="18"/>
              </w:rPr>
              <w:t>2.00</w:t>
            </w:r>
          </w:p>
        </w:tc>
        <w:tc>
          <w:tcPr>
            <w:tcW w:type="dxa" w:w="979"/>
            <w:shd w:val="clear" w:color="auto" w:fill="EFEFEF"/>
          </w:tcPr>
          <w:p>
            <w:pPr>
              <w:spacing w:line="240" w:lineRule="auto" w:before="40" w:after="40"/>
              <w:jc w:val="center"/>
            </w:pPr>
            <w:r/>
            <w:r>
              <w:rPr>
                <w:b w:val="0"/>
                <w:i w:val="0"/>
                <w:sz w:val="18"/>
              </w:rPr>
              <w:t>12.25</w:t>
            </w:r>
          </w:p>
        </w:tc>
        <w:tc>
          <w:tcPr>
            <w:tcW w:type="dxa" w:w="979"/>
            <w:shd w:val="clear" w:color="auto" w:fill="EFEFEF"/>
          </w:tcPr>
          <w:p>
            <w:pPr>
              <w:spacing w:line="240" w:lineRule="auto" w:before="40" w:after="40"/>
              <w:jc w:val="center"/>
            </w:pPr>
            <w:r/>
            <w:r>
              <w:rPr>
                <w:b w:val="0"/>
                <w:i w:val="0"/>
                <w:sz w:val="18"/>
              </w:rPr>
              <w:t>31.20</w:t>
            </w:r>
          </w:p>
        </w:tc>
        <w:tc>
          <w:tcPr>
            <w:tcW w:type="dxa" w:w="979"/>
            <w:shd w:val="clear" w:color="auto" w:fill="EFEFEF"/>
          </w:tcPr>
          <w:p>
            <w:pPr>
              <w:spacing w:line="240" w:lineRule="auto" w:before="40" w:after="40"/>
              <w:jc w:val="center"/>
            </w:pPr>
            <w:r/>
            <w:r>
              <w:rPr>
                <w:b w:val="0"/>
                <w:i w:val="0"/>
                <w:sz w:val="18"/>
              </w:rPr>
              <w:t>53.90</w:t>
            </w:r>
          </w:p>
        </w:tc>
        <w:tc>
          <w:tcPr>
            <w:tcW w:type="dxa" w:w="979"/>
            <w:shd w:val="clear" w:color="auto" w:fill="EFEFEF"/>
          </w:tcPr>
          <w:p>
            <w:pPr>
              <w:spacing w:line="240" w:lineRule="auto" w:before="40" w:after="40"/>
              <w:jc w:val="center"/>
            </w:pPr>
            <w:r/>
            <w:r>
              <w:rPr>
                <w:b w:val="0"/>
                <w:i w:val="0"/>
                <w:sz w:val="18"/>
              </w:rPr>
              <w:t>189.50</w:t>
            </w:r>
          </w:p>
        </w:tc>
      </w:tr>
      <w:tr>
        <w:tc>
          <w:tcPr>
            <w:tcW w:type="dxa" w:w="2448"/>
          </w:tcPr>
          <w:p>
            <w:pPr>
              <w:spacing w:line="240" w:lineRule="auto" w:before="40" w:after="40"/>
              <w:jc w:val="left"/>
            </w:pPr>
            <w:r/>
            <w:r>
              <w:rPr>
                <w:b w:val="0"/>
                <w:i/>
                <w:sz w:val="18"/>
              </w:rPr>
              <w:t>Deck Width (m)</w:t>
            </w:r>
          </w:p>
        </w:tc>
        <w:tc>
          <w:tcPr>
            <w:tcW w:type="dxa" w:w="979"/>
          </w:tcPr>
          <w:p>
            <w:pPr>
              <w:spacing w:line="240" w:lineRule="auto" w:before="40" w:after="40"/>
              <w:jc w:val="center"/>
            </w:pPr>
            <w:r/>
            <w:r>
              <w:rPr>
                <w:b w:val="0"/>
                <w:i w:val="0"/>
                <w:sz w:val="18"/>
              </w:rPr>
              <w:t>8.79</w:t>
            </w:r>
          </w:p>
        </w:tc>
        <w:tc>
          <w:tcPr>
            <w:tcW w:type="dxa" w:w="979"/>
          </w:tcPr>
          <w:p>
            <w:pPr>
              <w:spacing w:line="240" w:lineRule="auto" w:before="40" w:after="40"/>
              <w:jc w:val="center"/>
            </w:pPr>
            <w:r/>
            <w:r>
              <w:rPr>
                <w:b w:val="0"/>
                <w:i w:val="0"/>
                <w:sz w:val="18"/>
              </w:rPr>
              <w:t>1.94</w:t>
            </w:r>
          </w:p>
        </w:tc>
        <w:tc>
          <w:tcPr>
            <w:tcW w:type="dxa" w:w="979"/>
          </w:tcPr>
          <w:p>
            <w:pPr>
              <w:spacing w:line="240" w:lineRule="auto" w:before="40" w:after="40"/>
              <w:jc w:val="center"/>
            </w:pPr>
            <w:r/>
            <w:r>
              <w:rPr>
                <w:b w:val="0"/>
                <w:i w:val="0"/>
                <w:sz w:val="18"/>
              </w:rPr>
              <w:t>4.60</w:t>
            </w:r>
          </w:p>
        </w:tc>
        <w:tc>
          <w:tcPr>
            <w:tcW w:type="dxa" w:w="979"/>
          </w:tcPr>
          <w:p>
            <w:pPr>
              <w:spacing w:line="240" w:lineRule="auto" w:before="40" w:after="40"/>
              <w:jc w:val="center"/>
            </w:pPr>
            <w:r/>
            <w:r>
              <w:rPr>
                <w:b w:val="0"/>
                <w:i w:val="0"/>
                <w:sz w:val="18"/>
              </w:rPr>
              <w:t>7.92</w:t>
            </w:r>
          </w:p>
        </w:tc>
        <w:tc>
          <w:tcPr>
            <w:tcW w:type="dxa" w:w="979"/>
          </w:tcPr>
          <w:p>
            <w:pPr>
              <w:spacing w:line="240" w:lineRule="auto" w:before="40" w:after="40"/>
              <w:jc w:val="center"/>
            </w:pPr>
            <w:r/>
            <w:r>
              <w:rPr>
                <w:b w:val="0"/>
                <w:i w:val="0"/>
                <w:sz w:val="18"/>
              </w:rPr>
              <w:t>8.80</w:t>
            </w:r>
          </w:p>
        </w:tc>
        <w:tc>
          <w:tcPr>
            <w:tcW w:type="dxa" w:w="979"/>
          </w:tcPr>
          <w:p>
            <w:pPr>
              <w:spacing w:line="240" w:lineRule="auto" w:before="40" w:after="40"/>
              <w:jc w:val="center"/>
            </w:pPr>
            <w:r/>
            <w:r>
              <w:rPr>
                <w:b w:val="0"/>
                <w:i w:val="0"/>
                <w:sz w:val="18"/>
              </w:rPr>
              <w:t>9.70</w:t>
            </w:r>
          </w:p>
        </w:tc>
        <w:tc>
          <w:tcPr>
            <w:tcW w:type="dxa" w:w="979"/>
          </w:tcPr>
          <w:p>
            <w:pPr>
              <w:spacing w:line="240" w:lineRule="auto" w:before="40" w:after="40"/>
              <w:jc w:val="center"/>
            </w:pPr>
            <w:r/>
            <w:r>
              <w:rPr>
                <w:b w:val="0"/>
                <w:i w:val="0"/>
                <w:sz w:val="18"/>
              </w:rPr>
              <w:t>16.40</w:t>
            </w:r>
          </w:p>
        </w:tc>
      </w:tr>
      <w:tr>
        <w:tc>
          <w:tcPr>
            <w:tcW w:type="dxa" w:w="2448"/>
            <w:shd w:val="clear" w:color="auto" w:fill="EFEFEF"/>
          </w:tcPr>
          <w:p>
            <w:pPr>
              <w:spacing w:line="240" w:lineRule="auto" w:before="40" w:after="40"/>
              <w:jc w:val="left"/>
            </w:pPr>
            <w:r/>
            <w:r>
              <w:rPr>
                <w:b w:val="0"/>
                <w:i/>
                <w:sz w:val="18"/>
              </w:rPr>
              <w:t>Deck Area (m²)</w:t>
            </w:r>
          </w:p>
        </w:tc>
        <w:tc>
          <w:tcPr>
            <w:tcW w:type="dxa" w:w="979"/>
            <w:shd w:val="clear" w:color="auto" w:fill="EFEFEF"/>
          </w:tcPr>
          <w:p>
            <w:pPr>
              <w:spacing w:line="240" w:lineRule="auto" w:before="40" w:after="40"/>
              <w:jc w:val="center"/>
            </w:pPr>
            <w:r/>
            <w:r>
              <w:rPr>
                <w:b w:val="0"/>
                <w:i w:val="0"/>
                <w:sz w:val="18"/>
              </w:rPr>
              <w:t>369.79</w:t>
            </w:r>
          </w:p>
        </w:tc>
        <w:tc>
          <w:tcPr>
            <w:tcW w:type="dxa" w:w="979"/>
            <w:shd w:val="clear" w:color="auto" w:fill="EFEFEF"/>
          </w:tcPr>
          <w:p>
            <w:pPr>
              <w:spacing w:line="240" w:lineRule="auto" w:before="40" w:after="40"/>
              <w:jc w:val="center"/>
            </w:pPr>
            <w:r/>
            <w:r>
              <w:rPr>
                <w:b w:val="0"/>
                <w:i w:val="0"/>
                <w:sz w:val="18"/>
              </w:rPr>
              <w:t>357.08</w:t>
            </w:r>
          </w:p>
        </w:tc>
        <w:tc>
          <w:tcPr>
            <w:tcW w:type="dxa" w:w="979"/>
            <w:shd w:val="clear" w:color="auto" w:fill="EFEFEF"/>
          </w:tcPr>
          <w:p>
            <w:pPr>
              <w:spacing w:line="240" w:lineRule="auto" w:before="40" w:after="40"/>
              <w:jc w:val="center"/>
            </w:pPr>
            <w:r/>
            <w:r>
              <w:rPr>
                <w:b w:val="0"/>
                <w:i w:val="0"/>
                <w:sz w:val="18"/>
              </w:rPr>
              <w:t>9.20</w:t>
            </w:r>
          </w:p>
        </w:tc>
        <w:tc>
          <w:tcPr>
            <w:tcW w:type="dxa" w:w="979"/>
            <w:shd w:val="clear" w:color="auto" w:fill="EFEFEF"/>
          </w:tcPr>
          <w:p>
            <w:pPr>
              <w:spacing w:line="240" w:lineRule="auto" w:before="40" w:after="40"/>
              <w:jc w:val="center"/>
            </w:pPr>
            <w:r/>
            <w:r>
              <w:rPr>
                <w:b w:val="0"/>
                <w:i w:val="0"/>
                <w:sz w:val="18"/>
              </w:rPr>
              <w:t>110.62</w:t>
            </w:r>
          </w:p>
        </w:tc>
        <w:tc>
          <w:tcPr>
            <w:tcW w:type="dxa" w:w="979"/>
            <w:shd w:val="clear" w:color="auto" w:fill="EFEFEF"/>
          </w:tcPr>
          <w:p>
            <w:pPr>
              <w:spacing w:line="240" w:lineRule="auto" w:before="40" w:after="40"/>
              <w:jc w:val="center"/>
            </w:pPr>
            <w:r/>
            <w:r>
              <w:rPr>
                <w:b w:val="0"/>
                <w:i w:val="0"/>
                <w:sz w:val="18"/>
              </w:rPr>
              <w:t>261.90</w:t>
            </w:r>
          </w:p>
        </w:tc>
        <w:tc>
          <w:tcPr>
            <w:tcW w:type="dxa" w:w="979"/>
            <w:shd w:val="clear" w:color="auto" w:fill="EFEFEF"/>
          </w:tcPr>
          <w:p>
            <w:pPr>
              <w:spacing w:line="240" w:lineRule="auto" w:before="40" w:after="40"/>
              <w:jc w:val="center"/>
            </w:pPr>
            <w:r/>
            <w:r>
              <w:rPr>
                <w:b w:val="0"/>
                <w:i w:val="0"/>
                <w:sz w:val="18"/>
              </w:rPr>
              <w:t>551.20</w:t>
            </w:r>
          </w:p>
        </w:tc>
        <w:tc>
          <w:tcPr>
            <w:tcW w:type="dxa" w:w="979"/>
            <w:shd w:val="clear" w:color="auto" w:fill="EFEFEF"/>
          </w:tcPr>
          <w:p>
            <w:pPr>
              <w:spacing w:line="240" w:lineRule="auto" w:before="40" w:after="40"/>
              <w:jc w:val="center"/>
            </w:pPr>
            <w:r/>
            <w:r>
              <w:rPr>
                <w:b w:val="0"/>
                <w:i w:val="0"/>
                <w:sz w:val="18"/>
              </w:rPr>
              <w:t>1,684</w:t>
            </w:r>
          </w:p>
        </w:tc>
      </w:tr>
      <w:tr>
        <w:tc>
          <w:tcPr>
            <w:tcW w:type="dxa" w:w="2448"/>
          </w:tcPr>
          <w:p>
            <w:pPr>
              <w:spacing w:line="240" w:lineRule="auto" w:before="40" w:after="40"/>
              <w:jc w:val="left"/>
            </w:pPr>
            <w:r/>
            <w:r>
              <w:rPr>
                <w:b w:val="0"/>
                <w:i/>
                <w:sz w:val="18"/>
              </w:rPr>
              <w:t>Span Length (m)</w:t>
            </w:r>
          </w:p>
        </w:tc>
        <w:tc>
          <w:tcPr>
            <w:tcW w:type="dxa" w:w="979"/>
          </w:tcPr>
          <w:p>
            <w:pPr>
              <w:spacing w:line="240" w:lineRule="auto" w:before="40" w:after="40"/>
              <w:jc w:val="center"/>
            </w:pPr>
            <w:r/>
            <w:r>
              <w:rPr>
                <w:b w:val="0"/>
                <w:i w:val="0"/>
                <w:sz w:val="18"/>
              </w:rPr>
              <w:t>20.57</w:t>
            </w:r>
          </w:p>
        </w:tc>
        <w:tc>
          <w:tcPr>
            <w:tcW w:type="dxa" w:w="979"/>
          </w:tcPr>
          <w:p>
            <w:pPr>
              <w:spacing w:line="240" w:lineRule="auto" w:before="40" w:after="40"/>
              <w:jc w:val="center"/>
            </w:pPr>
            <w:r/>
            <w:r>
              <w:rPr>
                <w:b w:val="0"/>
                <w:i w:val="0"/>
                <w:sz w:val="18"/>
              </w:rPr>
              <w:t>15.60</w:t>
            </w:r>
          </w:p>
        </w:tc>
        <w:tc>
          <w:tcPr>
            <w:tcW w:type="dxa" w:w="979"/>
          </w:tcPr>
          <w:p>
            <w:pPr>
              <w:spacing w:line="240" w:lineRule="auto" w:before="40" w:after="40"/>
              <w:jc w:val="center"/>
            </w:pPr>
            <w:r/>
            <w:r>
              <w:rPr>
                <w:b w:val="0"/>
                <w:i w:val="0"/>
                <w:sz w:val="18"/>
              </w:rPr>
              <w:t>2.00</w:t>
            </w:r>
          </w:p>
        </w:tc>
        <w:tc>
          <w:tcPr>
            <w:tcW w:type="dxa" w:w="979"/>
          </w:tcPr>
          <w:p>
            <w:pPr>
              <w:spacing w:line="240" w:lineRule="auto" w:before="40" w:after="40"/>
              <w:jc w:val="center"/>
            </w:pPr>
            <w:r/>
            <w:r>
              <w:rPr>
                <w:b w:val="0"/>
                <w:i w:val="0"/>
                <w:sz w:val="18"/>
              </w:rPr>
              <w:t>9.62</w:t>
            </w:r>
          </w:p>
        </w:tc>
        <w:tc>
          <w:tcPr>
            <w:tcW w:type="dxa" w:w="979"/>
          </w:tcPr>
          <w:p>
            <w:pPr>
              <w:spacing w:line="240" w:lineRule="auto" w:before="40" w:after="40"/>
              <w:jc w:val="center"/>
            </w:pPr>
            <w:r/>
            <w:r>
              <w:rPr>
                <w:b w:val="0"/>
                <w:i w:val="0"/>
                <w:sz w:val="18"/>
              </w:rPr>
              <w:t>16.05</w:t>
            </w:r>
          </w:p>
        </w:tc>
        <w:tc>
          <w:tcPr>
            <w:tcW w:type="dxa" w:w="979"/>
          </w:tcPr>
          <w:p>
            <w:pPr>
              <w:spacing w:line="240" w:lineRule="auto" w:before="40" w:after="40"/>
              <w:jc w:val="center"/>
            </w:pPr>
            <w:r/>
            <w:r>
              <w:rPr>
                <w:b w:val="0"/>
                <w:i w:val="0"/>
                <w:sz w:val="18"/>
              </w:rPr>
              <w:t>31.48</w:t>
            </w:r>
          </w:p>
        </w:tc>
        <w:tc>
          <w:tcPr>
            <w:tcW w:type="dxa" w:w="979"/>
          </w:tcPr>
          <w:p>
            <w:pPr>
              <w:spacing w:line="240" w:lineRule="auto" w:before="40" w:after="40"/>
              <w:jc w:val="center"/>
            </w:pPr>
            <w:r/>
            <w:r>
              <w:rPr>
                <w:b w:val="0"/>
                <w:i w:val="0"/>
                <w:sz w:val="18"/>
              </w:rPr>
              <w:t>68.90</w:t>
            </w:r>
          </w:p>
        </w:tc>
      </w:tr>
      <w:tr>
        <w:tc>
          <w:tcPr>
            <w:tcW w:type="dxa" w:w="2448"/>
            <w:shd w:val="clear" w:color="auto" w:fill="EFEFEF"/>
          </w:tcPr>
          <w:p>
            <w:pPr>
              <w:spacing w:line="240" w:lineRule="auto" w:before="40" w:after="40"/>
              <w:jc w:val="left"/>
            </w:pPr>
            <w:r/>
            <w:r>
              <w:rPr>
                <w:b w:val="0"/>
                <w:i/>
                <w:sz w:val="18"/>
              </w:rPr>
              <w:t>Pier Height (m)</w:t>
            </w:r>
          </w:p>
        </w:tc>
        <w:tc>
          <w:tcPr>
            <w:tcW w:type="dxa" w:w="979"/>
            <w:shd w:val="clear" w:color="auto" w:fill="EFEFEF"/>
          </w:tcPr>
          <w:p>
            <w:pPr>
              <w:spacing w:line="240" w:lineRule="auto" w:before="40" w:after="40"/>
              <w:jc w:val="center"/>
            </w:pPr>
            <w:r/>
            <w:r>
              <w:rPr>
                <w:b w:val="0"/>
                <w:i w:val="0"/>
                <w:sz w:val="18"/>
              </w:rPr>
              <w:t>3.94</w:t>
            </w:r>
          </w:p>
        </w:tc>
        <w:tc>
          <w:tcPr>
            <w:tcW w:type="dxa" w:w="979"/>
            <w:shd w:val="clear" w:color="auto" w:fill="EFEFEF"/>
          </w:tcPr>
          <w:p>
            <w:pPr>
              <w:spacing w:line="240" w:lineRule="auto" w:before="40" w:after="40"/>
              <w:jc w:val="center"/>
            </w:pPr>
            <w:r/>
            <w:r>
              <w:rPr>
                <w:b w:val="0"/>
                <w:i w:val="0"/>
                <w:sz w:val="18"/>
              </w:rPr>
              <w:t>3.89</w:t>
            </w:r>
          </w:p>
        </w:tc>
        <w:tc>
          <w:tcPr>
            <w:tcW w:type="dxa" w:w="979"/>
            <w:shd w:val="clear" w:color="auto" w:fill="EFEFEF"/>
          </w:tcPr>
          <w:p>
            <w:pPr>
              <w:spacing w:line="240" w:lineRule="auto" w:before="40" w:after="40"/>
              <w:jc w:val="center"/>
            </w:pPr>
            <w:r/>
            <w:r>
              <w:rPr>
                <w:b w:val="0"/>
                <w:i w:val="0"/>
                <w:sz w:val="18"/>
              </w:rPr>
              <w:t>0.00</w:t>
            </w:r>
          </w:p>
        </w:tc>
        <w:tc>
          <w:tcPr>
            <w:tcW w:type="dxa" w:w="979"/>
            <w:shd w:val="clear" w:color="auto" w:fill="EFEFEF"/>
          </w:tcPr>
          <w:p>
            <w:pPr>
              <w:spacing w:line="240" w:lineRule="auto" w:before="40" w:after="40"/>
              <w:jc w:val="center"/>
            </w:pPr>
            <w:r/>
            <w:r>
              <w:rPr>
                <w:b w:val="0"/>
                <w:i w:val="0"/>
                <w:sz w:val="18"/>
              </w:rPr>
              <w:t>0.00</w:t>
            </w:r>
          </w:p>
        </w:tc>
        <w:tc>
          <w:tcPr>
            <w:tcW w:type="dxa" w:w="979"/>
            <w:shd w:val="clear" w:color="auto" w:fill="EFEFEF"/>
          </w:tcPr>
          <w:p>
            <w:pPr>
              <w:spacing w:line="240" w:lineRule="auto" w:before="40" w:after="40"/>
              <w:jc w:val="center"/>
            </w:pPr>
            <w:r/>
            <w:r>
              <w:rPr>
                <w:b w:val="0"/>
                <w:i w:val="0"/>
                <w:sz w:val="18"/>
              </w:rPr>
              <w:t>4.71</w:t>
            </w:r>
          </w:p>
        </w:tc>
        <w:tc>
          <w:tcPr>
            <w:tcW w:type="dxa" w:w="979"/>
            <w:shd w:val="clear" w:color="auto" w:fill="EFEFEF"/>
          </w:tcPr>
          <w:p>
            <w:pPr>
              <w:spacing w:line="240" w:lineRule="auto" w:before="40" w:after="40"/>
              <w:jc w:val="center"/>
            </w:pPr>
            <w:r/>
            <w:r>
              <w:rPr>
                <w:b w:val="0"/>
                <w:i w:val="0"/>
                <w:sz w:val="18"/>
              </w:rPr>
              <w:t>6.53</w:t>
            </w:r>
          </w:p>
        </w:tc>
        <w:tc>
          <w:tcPr>
            <w:tcW w:type="dxa" w:w="979"/>
            <w:shd w:val="clear" w:color="auto" w:fill="EFEFEF"/>
          </w:tcPr>
          <w:p>
            <w:pPr>
              <w:spacing w:line="240" w:lineRule="auto" w:before="40" w:after="40"/>
              <w:jc w:val="center"/>
            </w:pPr>
            <w:r/>
            <w:r>
              <w:rPr>
                <w:b w:val="0"/>
                <w:i w:val="0"/>
                <w:sz w:val="18"/>
              </w:rPr>
              <w:t>11.53</w:t>
            </w:r>
          </w:p>
        </w:tc>
      </w:tr>
      <w:tr>
        <w:tc>
          <w:tcPr>
            <w:tcW w:type="dxa" w:w="2448"/>
            <w:tcBorders>
              <w:bottom w:val="single" w:sz="12" w:color="000000"/>
            </w:tcBorders>
          </w:tcPr>
          <w:p>
            <w:pPr>
              <w:spacing w:line="240" w:lineRule="auto" w:before="40" w:after="40"/>
              <w:jc w:val="left"/>
            </w:pPr>
            <w:r/>
            <w:r>
              <w:rPr>
                <w:b w:val="0"/>
                <w:i/>
                <w:sz w:val="18"/>
              </w:rPr>
              <w:t>Abutment Height (m)</w:t>
            </w:r>
          </w:p>
        </w:tc>
        <w:tc>
          <w:tcPr>
            <w:tcW w:type="dxa" w:w="979"/>
            <w:tcBorders>
              <w:bottom w:val="single" w:sz="12" w:color="000000"/>
            </w:tcBorders>
          </w:tcPr>
          <w:p>
            <w:pPr>
              <w:spacing w:line="240" w:lineRule="auto" w:before="40" w:after="40"/>
              <w:jc w:val="center"/>
            </w:pPr>
            <w:r/>
            <w:r>
              <w:rPr>
                <w:b w:val="0"/>
                <w:i w:val="0"/>
                <w:sz w:val="18"/>
              </w:rPr>
              <w:t>5.31</w:t>
            </w:r>
          </w:p>
        </w:tc>
        <w:tc>
          <w:tcPr>
            <w:tcW w:type="dxa" w:w="979"/>
            <w:tcBorders>
              <w:bottom w:val="single" w:sz="12" w:color="000000"/>
            </w:tcBorders>
          </w:tcPr>
          <w:p>
            <w:pPr>
              <w:spacing w:line="240" w:lineRule="auto" w:before="40" w:after="40"/>
              <w:jc w:val="center"/>
            </w:pPr>
            <w:r/>
            <w:r>
              <w:rPr>
                <w:b w:val="0"/>
                <w:i w:val="0"/>
                <w:sz w:val="18"/>
              </w:rPr>
              <w:t>1.56</w:t>
            </w:r>
          </w:p>
        </w:tc>
        <w:tc>
          <w:tcPr>
            <w:tcW w:type="dxa" w:w="979"/>
            <w:tcBorders>
              <w:bottom w:val="single" w:sz="12" w:color="000000"/>
            </w:tcBorders>
          </w:tcPr>
          <w:p>
            <w:pPr>
              <w:spacing w:line="240" w:lineRule="auto" w:before="40" w:after="40"/>
              <w:jc w:val="center"/>
            </w:pPr>
            <w:r/>
            <w:r>
              <w:rPr>
                <w:b w:val="0"/>
                <w:i w:val="0"/>
                <w:sz w:val="18"/>
              </w:rPr>
              <w:t>2.03</w:t>
            </w:r>
          </w:p>
        </w:tc>
        <w:tc>
          <w:tcPr>
            <w:tcW w:type="dxa" w:w="979"/>
            <w:tcBorders>
              <w:bottom w:val="single" w:sz="12" w:color="000000"/>
            </w:tcBorders>
          </w:tcPr>
          <w:p>
            <w:pPr>
              <w:spacing w:line="240" w:lineRule="auto" w:before="40" w:after="40"/>
              <w:jc w:val="center"/>
            </w:pPr>
            <w:r/>
            <w:r>
              <w:rPr>
                <w:b w:val="0"/>
                <w:i w:val="0"/>
                <w:sz w:val="18"/>
              </w:rPr>
              <w:t>4.05</w:t>
            </w:r>
          </w:p>
        </w:tc>
        <w:tc>
          <w:tcPr>
            <w:tcW w:type="dxa" w:w="979"/>
            <w:tcBorders>
              <w:bottom w:val="single" w:sz="12" w:color="000000"/>
            </w:tcBorders>
          </w:tcPr>
          <w:p>
            <w:pPr>
              <w:spacing w:line="240" w:lineRule="auto" w:before="40" w:after="40"/>
              <w:jc w:val="center"/>
            </w:pPr>
            <w:r/>
            <w:r>
              <w:rPr>
                <w:b w:val="0"/>
                <w:i w:val="0"/>
                <w:sz w:val="18"/>
              </w:rPr>
              <w:t>5.42</w:t>
            </w:r>
          </w:p>
        </w:tc>
        <w:tc>
          <w:tcPr>
            <w:tcW w:type="dxa" w:w="979"/>
            <w:tcBorders>
              <w:bottom w:val="single" w:sz="12" w:color="000000"/>
            </w:tcBorders>
          </w:tcPr>
          <w:p>
            <w:pPr>
              <w:spacing w:line="240" w:lineRule="auto" w:before="40" w:after="40"/>
              <w:jc w:val="center"/>
            </w:pPr>
            <w:r/>
            <w:r>
              <w:rPr>
                <w:b w:val="0"/>
                <w:i w:val="0"/>
                <w:sz w:val="18"/>
              </w:rPr>
              <w:t>6.72</w:t>
            </w:r>
          </w:p>
        </w:tc>
        <w:tc>
          <w:tcPr>
            <w:tcW w:type="dxa" w:w="979"/>
            <w:tcBorders>
              <w:bottom w:val="single" w:sz="12" w:color="000000"/>
            </w:tcBorders>
          </w:tcPr>
          <w:p>
            <w:pPr>
              <w:spacing w:line="240" w:lineRule="auto" w:before="40" w:after="40"/>
              <w:jc w:val="center"/>
            </w:pPr>
            <w:r/>
            <w:r>
              <w:rPr>
                <w:b w:val="0"/>
                <w:i w:val="0"/>
                <w:sz w:val="18"/>
              </w:rPr>
              <w:t>7.99</w:t>
            </w:r>
          </w:p>
        </w:tc>
      </w:tr>
    </w:tbl>
    <w:p>
      <w:pPr>
        <w:spacing w:line="240" w:lineRule="auto" w:after="80"/>
      </w:pPr>
    </w:p>
    <w:p>
      <w:pPr>
        <w:spacing w:line="480" w:lineRule="auto" w:after="0"/>
        <w:ind w:firstLine="720"/>
        <w:jc w:val="both"/>
      </w:pPr>
      <w:r>
        <w:rPr>
          <w:b w:val="0"/>
          <w:i w:val="0"/>
        </w:rPr>
        <w:t>For bridges (Table 9), total length averaged 40.9 m but ranged from 2.0 m for single-cell culverts to 189.5 m, and deck area from 9.2 m² to 1,684.2 m². The standard deviation of length is close to its mean, so bridge size varies far more than building size, which later explains why bridges were harder to model. Deck width was more uniform, with half of the bridges between 7.92 m and 9.70 m, reflecting the standard two-lane carriageway.</w:t>
      </w:r>
    </w:p>
    <w:p>
      <w:pPr>
        <w:keepNext/>
        <w:spacing w:line="480" w:lineRule="auto" w:after="0"/>
        <w:ind w:left="720"/>
        <w:jc w:val="left"/>
      </w:pPr>
      <w:r>
        <w:rPr>
          <w:b/>
          <w:i w:val="0"/>
        </w:rPr>
        <w:t>b.) Structural System and Foundation</w:t>
      </w:r>
    </w:p>
    <w:p>
      <w:pPr>
        <w:keepNext/>
        <w:spacing w:line="240" w:lineRule="auto" w:after="0" w:before="120"/>
        <w:jc w:val="left"/>
      </w:pPr>
      <w:r>
        <w:rPr>
          <w:b/>
          <w:i w:val="0"/>
        </w:rPr>
        <w:t>Table 10.</w:t>
      </w:r>
    </w:p>
    <w:p>
      <w:pPr>
        <w:keepNext/>
        <w:spacing w:line="240" w:lineRule="auto" w:after="0"/>
        <w:jc w:val="left"/>
      </w:pPr>
      <w:r>
        <w:rPr>
          <w:b w:val="0"/>
          <w:i/>
        </w:rPr>
        <w:t>Structural System and Foundation Composition of the Benchmark</w:t>
      </w:r>
    </w:p>
    <w:tbl>
      <w:tblPr>
        <w:tblW w:type="auto" w:w="0"/>
        <w:jc w:val="center"/>
        <w:tblLayout w:type="fixed"/>
        <w:tblLook w:firstColumn="1" w:firstRow="1" w:lastColumn="0" w:lastRow="0" w:noHBand="0" w:noVBand="1" w:val="04A0"/>
        <w:tblLayout w:type="fixed"/>
      </w:tblPr>
      <w:tblGrid>
        <w:gridCol w:w="5184"/>
        <w:gridCol w:w="1728"/>
        <w:gridCol w:w="1440"/>
      </w:tblGrid>
      <w:tr>
        <w:tc>
          <w:tcPr>
            <w:tcW w:type="dxa" w:w="5184"/>
            <w:tcBorders>
              <w:top w:val="single" w:sz="12" w:color="000000"/>
              <w:bottom w:val="single" w:sz="8" w:color="000000"/>
            </w:tcBorders>
          </w:tcPr>
          <w:p>
            <w:pPr>
              <w:spacing w:line="240" w:lineRule="auto" w:before="40" w:after="40"/>
              <w:jc w:val="center"/>
            </w:pPr>
            <w:r/>
            <w:r>
              <w:rPr>
                <w:b/>
                <w:i w:val="0"/>
                <w:sz w:val="20"/>
              </w:rPr>
              <w:t>CATEGORY</w:t>
            </w:r>
          </w:p>
        </w:tc>
        <w:tc>
          <w:tcPr>
            <w:tcW w:type="dxa" w:w="1728"/>
            <w:tcBorders>
              <w:top w:val="single" w:sz="12" w:color="000000"/>
              <w:bottom w:val="single" w:sz="8" w:color="000000"/>
            </w:tcBorders>
          </w:tcPr>
          <w:p>
            <w:pPr>
              <w:spacing w:line="240" w:lineRule="auto" w:before="40" w:after="40"/>
              <w:jc w:val="center"/>
            </w:pPr>
            <w:r/>
            <w:r>
              <w:rPr>
                <w:b/>
                <w:i w:val="0"/>
                <w:sz w:val="20"/>
              </w:rPr>
              <w:t>COUNT</w:t>
            </w:r>
          </w:p>
        </w:tc>
        <w:tc>
          <w:tcPr>
            <w:tcW w:type="dxa" w:w="1440"/>
            <w:tcBorders>
              <w:top w:val="single" w:sz="12" w:color="000000"/>
              <w:bottom w:val="single" w:sz="8" w:color="000000"/>
            </w:tcBorders>
          </w:tcPr>
          <w:p>
            <w:pPr>
              <w:spacing w:line="240" w:lineRule="auto" w:before="40" w:after="40"/>
              <w:jc w:val="center"/>
            </w:pPr>
            <w:r/>
            <w:r>
              <w:rPr>
                <w:b/>
                <w:i w:val="0"/>
                <w:sz w:val="20"/>
              </w:rPr>
              <w:t>SHARE</w:t>
            </w:r>
          </w:p>
        </w:tc>
      </w:tr>
      <w:tr>
        <w:tc>
          <w:tcPr>
            <w:tcW w:type="dxa" w:w="5184"/>
            <w:shd w:val="clear" w:color="auto" w:fill="EFEFEF"/>
          </w:tcPr>
          <w:p>
            <w:pPr>
              <w:spacing w:line="240" w:lineRule="auto" w:before="40" w:after="40"/>
              <w:jc w:val="left"/>
            </w:pPr>
            <w:r/>
            <w:r>
              <w:rPr>
                <w:b w:val="0"/>
                <w:i/>
                <w:sz w:val="20"/>
              </w:rPr>
              <w:t>School buildings</w:t>
            </w:r>
          </w:p>
        </w:tc>
        <w:tc>
          <w:tcPr>
            <w:tcW w:type="dxa" w:w="1728"/>
            <w:shd w:val="clear" w:color="auto" w:fill="EFEFEF"/>
          </w:tcPr>
          <w:p>
            <w:pPr>
              <w:spacing w:line="240" w:lineRule="auto" w:before="40" w:after="40"/>
              <w:jc w:val="center"/>
            </w:pPr>
            <w:r/>
            <w:r>
              <w:rPr>
                <w:b w:val="0"/>
                <w:i w:val="0"/>
                <w:sz w:val="20"/>
              </w:rPr>
              <w:t>67</w:t>
            </w:r>
          </w:p>
        </w:tc>
        <w:tc>
          <w:tcPr>
            <w:tcW w:type="dxa" w:w="1440"/>
            <w:shd w:val="clear" w:color="auto" w:fill="EFEFEF"/>
          </w:tcPr>
          <w:p>
            <w:pPr>
              <w:spacing w:line="240" w:lineRule="auto" w:before="40" w:after="40"/>
              <w:jc w:val="center"/>
            </w:pPr>
            <w:r/>
            <w:r>
              <w:rPr>
                <w:b w:val="0"/>
                <w:i w:val="0"/>
                <w:sz w:val="20"/>
              </w:rPr>
              <w:t>41.9%</w:t>
            </w:r>
          </w:p>
        </w:tc>
      </w:tr>
      <w:tr>
        <w:tc>
          <w:tcPr>
            <w:tcW w:type="dxa" w:w="5184"/>
          </w:tcPr>
          <w:p>
            <w:pPr>
              <w:spacing w:line="240" w:lineRule="auto" w:before="40" w:after="40"/>
              <w:jc w:val="left"/>
            </w:pPr>
            <w:r/>
            <w:r>
              <w:rPr>
                <w:b w:val="0"/>
                <w:i/>
                <w:sz w:val="20"/>
              </w:rPr>
              <w:t>Multi-purpose / evacuation centers</w:t>
            </w:r>
          </w:p>
        </w:tc>
        <w:tc>
          <w:tcPr>
            <w:tcW w:type="dxa" w:w="1728"/>
          </w:tcPr>
          <w:p>
            <w:pPr>
              <w:spacing w:line="240" w:lineRule="auto" w:before="40" w:after="40"/>
              <w:jc w:val="center"/>
            </w:pPr>
            <w:r/>
            <w:r>
              <w:rPr>
                <w:b w:val="0"/>
                <w:i w:val="0"/>
                <w:sz w:val="20"/>
              </w:rPr>
              <w:t>22</w:t>
            </w:r>
          </w:p>
        </w:tc>
        <w:tc>
          <w:tcPr>
            <w:tcW w:type="dxa" w:w="1440"/>
          </w:tcPr>
          <w:p>
            <w:pPr>
              <w:spacing w:line="240" w:lineRule="auto" w:before="40" w:after="40"/>
              <w:jc w:val="center"/>
            </w:pPr>
            <w:r/>
            <w:r>
              <w:rPr>
                <w:b w:val="0"/>
                <w:i w:val="0"/>
                <w:sz w:val="20"/>
              </w:rPr>
              <w:t>13.8%</w:t>
            </w:r>
          </w:p>
        </w:tc>
      </w:tr>
      <w:tr>
        <w:tc>
          <w:tcPr>
            <w:tcW w:type="dxa" w:w="5184"/>
            <w:shd w:val="clear" w:color="auto" w:fill="EFEFEF"/>
          </w:tcPr>
          <w:p>
            <w:pPr>
              <w:spacing w:line="240" w:lineRule="auto" w:before="40" w:after="40"/>
              <w:jc w:val="left"/>
            </w:pPr>
            <w:r/>
            <w:r>
              <w:rPr>
                <w:b w:val="0"/>
                <w:i/>
                <w:sz w:val="20"/>
              </w:rPr>
              <w:t>Government offices</w:t>
            </w:r>
          </w:p>
        </w:tc>
        <w:tc>
          <w:tcPr>
            <w:tcW w:type="dxa" w:w="1728"/>
            <w:shd w:val="clear" w:color="auto" w:fill="EFEFEF"/>
          </w:tcPr>
          <w:p>
            <w:pPr>
              <w:spacing w:line="240" w:lineRule="auto" w:before="40" w:after="40"/>
              <w:jc w:val="center"/>
            </w:pPr>
            <w:r/>
            <w:r>
              <w:rPr>
                <w:b w:val="0"/>
                <w:i w:val="0"/>
                <w:sz w:val="20"/>
              </w:rPr>
              <w:t>19</w:t>
            </w:r>
          </w:p>
        </w:tc>
        <w:tc>
          <w:tcPr>
            <w:tcW w:type="dxa" w:w="1440"/>
            <w:shd w:val="clear" w:color="auto" w:fill="EFEFEF"/>
          </w:tcPr>
          <w:p>
            <w:pPr>
              <w:spacing w:line="240" w:lineRule="auto" w:before="40" w:after="40"/>
              <w:jc w:val="center"/>
            </w:pPr>
            <w:r/>
            <w:r>
              <w:rPr>
                <w:b w:val="0"/>
                <w:i w:val="0"/>
                <w:sz w:val="20"/>
              </w:rPr>
              <w:t>11.9%</w:t>
            </w:r>
          </w:p>
        </w:tc>
      </w:tr>
      <w:tr>
        <w:tc>
          <w:tcPr>
            <w:tcW w:type="dxa" w:w="5184"/>
          </w:tcPr>
          <w:p>
            <w:pPr>
              <w:spacing w:line="240" w:lineRule="auto" w:before="40" w:after="40"/>
              <w:jc w:val="left"/>
            </w:pPr>
            <w:r/>
            <w:r>
              <w:rPr>
                <w:b w:val="0"/>
                <w:i/>
                <w:sz w:val="20"/>
              </w:rPr>
              <w:t>Health facilities</w:t>
            </w:r>
          </w:p>
        </w:tc>
        <w:tc>
          <w:tcPr>
            <w:tcW w:type="dxa" w:w="1728"/>
          </w:tcPr>
          <w:p>
            <w:pPr>
              <w:spacing w:line="240" w:lineRule="auto" w:before="40" w:after="40"/>
              <w:jc w:val="center"/>
            </w:pPr>
            <w:r/>
            <w:r>
              <w:rPr>
                <w:b w:val="0"/>
                <w:i w:val="0"/>
                <w:sz w:val="20"/>
              </w:rPr>
              <w:t>22</w:t>
            </w:r>
          </w:p>
        </w:tc>
        <w:tc>
          <w:tcPr>
            <w:tcW w:type="dxa" w:w="1440"/>
          </w:tcPr>
          <w:p>
            <w:pPr>
              <w:spacing w:line="240" w:lineRule="auto" w:before="40" w:after="40"/>
              <w:jc w:val="center"/>
            </w:pPr>
            <w:r/>
            <w:r>
              <w:rPr>
                <w:b w:val="0"/>
                <w:i w:val="0"/>
                <w:sz w:val="20"/>
              </w:rPr>
              <w:t>13.8%</w:t>
            </w:r>
          </w:p>
        </w:tc>
      </w:tr>
      <w:tr>
        <w:tc>
          <w:tcPr>
            <w:tcW w:type="dxa" w:w="5184"/>
            <w:shd w:val="clear" w:color="auto" w:fill="EFEFEF"/>
          </w:tcPr>
          <w:p>
            <w:pPr>
              <w:spacing w:line="240" w:lineRule="auto" w:before="40" w:after="40"/>
              <w:jc w:val="left"/>
            </w:pPr>
            <w:r/>
            <w:r>
              <w:rPr>
                <w:b w:val="0"/>
                <w:i/>
                <w:sz w:val="20"/>
              </w:rPr>
              <w:t>Public markets</w:t>
            </w:r>
          </w:p>
        </w:tc>
        <w:tc>
          <w:tcPr>
            <w:tcW w:type="dxa" w:w="1728"/>
            <w:shd w:val="clear" w:color="auto" w:fill="EFEFEF"/>
          </w:tcPr>
          <w:p>
            <w:pPr>
              <w:spacing w:line="240" w:lineRule="auto" w:before="40" w:after="40"/>
              <w:jc w:val="center"/>
            </w:pPr>
            <w:r/>
            <w:r>
              <w:rPr>
                <w:b w:val="0"/>
                <w:i w:val="0"/>
                <w:sz w:val="20"/>
              </w:rPr>
              <w:t>20</w:t>
            </w:r>
          </w:p>
        </w:tc>
        <w:tc>
          <w:tcPr>
            <w:tcW w:type="dxa" w:w="1440"/>
            <w:shd w:val="clear" w:color="auto" w:fill="EFEFEF"/>
          </w:tcPr>
          <w:p>
            <w:pPr>
              <w:spacing w:line="240" w:lineRule="auto" w:before="40" w:after="40"/>
              <w:jc w:val="center"/>
            </w:pPr>
            <w:r/>
            <w:r>
              <w:rPr>
                <w:b w:val="0"/>
                <w:i w:val="0"/>
                <w:sz w:val="20"/>
              </w:rPr>
              <w:t>12.5%</w:t>
            </w:r>
          </w:p>
        </w:tc>
      </w:tr>
      <w:tr>
        <w:tc>
          <w:tcPr>
            <w:tcW w:type="dxa" w:w="5184"/>
          </w:tcPr>
          <w:p>
            <w:pPr>
              <w:spacing w:line="240" w:lineRule="auto" w:before="40" w:after="40"/>
              <w:jc w:val="left"/>
            </w:pPr>
            <w:r/>
            <w:r>
              <w:rPr>
                <w:b w:val="0"/>
                <w:i/>
                <w:sz w:val="20"/>
              </w:rPr>
              <w:t>Dormitories</w:t>
            </w:r>
          </w:p>
        </w:tc>
        <w:tc>
          <w:tcPr>
            <w:tcW w:type="dxa" w:w="1728"/>
          </w:tcPr>
          <w:p>
            <w:pPr>
              <w:spacing w:line="240" w:lineRule="auto" w:before="40" w:after="40"/>
              <w:jc w:val="center"/>
            </w:pPr>
            <w:r/>
            <w:r>
              <w:rPr>
                <w:b w:val="0"/>
                <w:i w:val="0"/>
                <w:sz w:val="20"/>
              </w:rPr>
              <w:t>10</w:t>
            </w:r>
          </w:p>
        </w:tc>
        <w:tc>
          <w:tcPr>
            <w:tcW w:type="dxa" w:w="1440"/>
          </w:tcPr>
          <w:p>
            <w:pPr>
              <w:spacing w:line="240" w:lineRule="auto" w:before="40" w:after="40"/>
              <w:jc w:val="center"/>
            </w:pPr>
            <w:r/>
            <w:r>
              <w:rPr>
                <w:b w:val="0"/>
                <w:i w:val="0"/>
                <w:sz w:val="20"/>
              </w:rPr>
              <w:t>6.2%</w:t>
            </w:r>
          </w:p>
        </w:tc>
      </w:tr>
      <w:tr>
        <w:tc>
          <w:tcPr>
            <w:tcW w:type="dxa" w:w="5184"/>
            <w:shd w:val="clear" w:color="auto" w:fill="EFEFEF"/>
          </w:tcPr>
          <w:p>
            <w:pPr>
              <w:spacing w:line="240" w:lineRule="auto" w:before="40" w:after="40"/>
              <w:jc w:val="left"/>
            </w:pPr>
            <w:r/>
            <w:r>
              <w:rPr>
                <w:b w:val="0"/>
                <w:i/>
                <w:sz w:val="20"/>
              </w:rPr>
              <w:t>RCDG bridges</w:t>
            </w:r>
          </w:p>
        </w:tc>
        <w:tc>
          <w:tcPr>
            <w:tcW w:type="dxa" w:w="1728"/>
            <w:shd w:val="clear" w:color="auto" w:fill="EFEFEF"/>
          </w:tcPr>
          <w:p>
            <w:pPr>
              <w:spacing w:line="240" w:lineRule="auto" w:before="40" w:after="40"/>
              <w:jc w:val="center"/>
            </w:pPr>
            <w:r/>
            <w:r>
              <w:rPr>
                <w:b w:val="0"/>
                <w:i w:val="0"/>
                <w:sz w:val="20"/>
              </w:rPr>
              <w:t>70</w:t>
            </w:r>
          </w:p>
        </w:tc>
        <w:tc>
          <w:tcPr>
            <w:tcW w:type="dxa" w:w="1440"/>
            <w:shd w:val="clear" w:color="auto" w:fill="EFEFEF"/>
          </w:tcPr>
          <w:p>
            <w:pPr>
              <w:spacing w:line="240" w:lineRule="auto" w:before="40" w:after="40"/>
              <w:jc w:val="center"/>
            </w:pPr>
            <w:r/>
            <w:r>
              <w:rPr>
                <w:b w:val="0"/>
                <w:i w:val="0"/>
                <w:sz w:val="20"/>
              </w:rPr>
              <w:t>50.0%</w:t>
            </w:r>
          </w:p>
        </w:tc>
      </w:tr>
      <w:tr>
        <w:tc>
          <w:tcPr>
            <w:tcW w:type="dxa" w:w="5184"/>
          </w:tcPr>
          <w:p>
            <w:pPr>
              <w:spacing w:line="240" w:lineRule="auto" w:before="40" w:after="40"/>
              <w:jc w:val="left"/>
            </w:pPr>
            <w:r/>
            <w:r>
              <w:rPr>
                <w:b w:val="0"/>
                <w:i/>
                <w:sz w:val="20"/>
              </w:rPr>
              <w:t>PSCG bridges</w:t>
            </w:r>
          </w:p>
        </w:tc>
        <w:tc>
          <w:tcPr>
            <w:tcW w:type="dxa" w:w="1728"/>
          </w:tcPr>
          <w:p>
            <w:pPr>
              <w:spacing w:line="240" w:lineRule="auto" w:before="40" w:after="40"/>
              <w:jc w:val="center"/>
            </w:pPr>
            <w:r/>
            <w:r>
              <w:rPr>
                <w:b w:val="0"/>
                <w:i w:val="0"/>
                <w:sz w:val="20"/>
              </w:rPr>
              <w:t>31</w:t>
            </w:r>
          </w:p>
        </w:tc>
        <w:tc>
          <w:tcPr>
            <w:tcW w:type="dxa" w:w="1440"/>
          </w:tcPr>
          <w:p>
            <w:pPr>
              <w:spacing w:line="240" w:lineRule="auto" w:before="40" w:after="40"/>
              <w:jc w:val="center"/>
            </w:pPr>
            <w:r/>
            <w:r>
              <w:rPr>
                <w:b w:val="0"/>
                <w:i w:val="0"/>
                <w:sz w:val="20"/>
              </w:rPr>
              <w:t>22.1%</w:t>
            </w:r>
          </w:p>
        </w:tc>
      </w:tr>
      <w:tr>
        <w:tc>
          <w:tcPr>
            <w:tcW w:type="dxa" w:w="5184"/>
            <w:shd w:val="clear" w:color="auto" w:fill="EFEFEF"/>
          </w:tcPr>
          <w:p>
            <w:pPr>
              <w:spacing w:line="240" w:lineRule="auto" w:before="40" w:after="40"/>
              <w:jc w:val="left"/>
            </w:pPr>
            <w:r/>
            <w:r>
              <w:rPr>
                <w:b w:val="0"/>
                <w:i/>
                <w:sz w:val="20"/>
              </w:rPr>
              <w:t>RC box culverts</w:t>
            </w:r>
          </w:p>
        </w:tc>
        <w:tc>
          <w:tcPr>
            <w:tcW w:type="dxa" w:w="1728"/>
            <w:shd w:val="clear" w:color="auto" w:fill="EFEFEF"/>
          </w:tcPr>
          <w:p>
            <w:pPr>
              <w:spacing w:line="240" w:lineRule="auto" w:before="40" w:after="40"/>
              <w:jc w:val="center"/>
            </w:pPr>
            <w:r/>
            <w:r>
              <w:rPr>
                <w:b w:val="0"/>
                <w:i w:val="0"/>
                <w:sz w:val="20"/>
              </w:rPr>
              <w:t>24</w:t>
            </w:r>
          </w:p>
        </w:tc>
        <w:tc>
          <w:tcPr>
            <w:tcW w:type="dxa" w:w="1440"/>
            <w:shd w:val="clear" w:color="auto" w:fill="EFEFEF"/>
          </w:tcPr>
          <w:p>
            <w:pPr>
              <w:spacing w:line="240" w:lineRule="auto" w:before="40" w:after="40"/>
              <w:jc w:val="center"/>
            </w:pPr>
            <w:r/>
            <w:r>
              <w:rPr>
                <w:b w:val="0"/>
                <w:i w:val="0"/>
                <w:sz w:val="20"/>
              </w:rPr>
              <w:t>17.1%</w:t>
            </w:r>
          </w:p>
        </w:tc>
      </w:tr>
      <w:tr>
        <w:tc>
          <w:tcPr>
            <w:tcW w:type="dxa" w:w="5184"/>
          </w:tcPr>
          <w:p>
            <w:pPr>
              <w:spacing w:line="240" w:lineRule="auto" w:before="40" w:after="40"/>
              <w:jc w:val="left"/>
            </w:pPr>
            <w:r/>
            <w:r>
              <w:rPr>
                <w:b w:val="0"/>
                <w:i/>
                <w:sz w:val="20"/>
              </w:rPr>
              <w:t>Steel truss bridges</w:t>
            </w:r>
          </w:p>
        </w:tc>
        <w:tc>
          <w:tcPr>
            <w:tcW w:type="dxa" w:w="1728"/>
          </w:tcPr>
          <w:p>
            <w:pPr>
              <w:spacing w:line="240" w:lineRule="auto" w:before="40" w:after="40"/>
              <w:jc w:val="center"/>
            </w:pPr>
            <w:r/>
            <w:r>
              <w:rPr>
                <w:b w:val="0"/>
                <w:i w:val="0"/>
                <w:sz w:val="20"/>
              </w:rPr>
              <w:t>15</w:t>
            </w:r>
          </w:p>
        </w:tc>
        <w:tc>
          <w:tcPr>
            <w:tcW w:type="dxa" w:w="1440"/>
          </w:tcPr>
          <w:p>
            <w:pPr>
              <w:spacing w:line="240" w:lineRule="auto" w:before="40" w:after="40"/>
              <w:jc w:val="center"/>
            </w:pPr>
            <w:r/>
            <w:r>
              <w:rPr>
                <w:b w:val="0"/>
                <w:i w:val="0"/>
                <w:sz w:val="20"/>
              </w:rPr>
              <w:t>10.7%</w:t>
            </w:r>
          </w:p>
        </w:tc>
      </w:tr>
      <w:tr>
        <w:tc>
          <w:tcPr>
            <w:tcW w:type="dxa" w:w="5184"/>
            <w:shd w:val="clear" w:color="auto" w:fill="EFEFEF"/>
            <w:tcBorders>
              <w:bottom w:val="single" w:sz="12" w:color="000000"/>
            </w:tcBorders>
          </w:tcPr>
          <w:p>
            <w:pPr>
              <w:spacing w:line="240" w:lineRule="auto" w:before="40" w:after="40"/>
              <w:jc w:val="left"/>
            </w:pPr>
            <w:r/>
            <w:r>
              <w:rPr>
                <w:b w:val="0"/>
                <w:i/>
                <w:sz w:val="20"/>
              </w:rPr>
              <w:t>Bridges on spread footings / driven piles / bored piles</w:t>
            </w:r>
          </w:p>
        </w:tc>
        <w:tc>
          <w:tcPr>
            <w:tcW w:type="dxa" w:w="1728"/>
            <w:shd w:val="clear" w:color="auto" w:fill="EFEFEF"/>
            <w:tcBorders>
              <w:bottom w:val="single" w:sz="12" w:color="000000"/>
            </w:tcBorders>
          </w:tcPr>
          <w:p>
            <w:pPr>
              <w:spacing w:line="240" w:lineRule="auto" w:before="40" w:after="40"/>
              <w:jc w:val="center"/>
            </w:pPr>
            <w:r/>
            <w:r>
              <w:rPr>
                <w:b w:val="0"/>
                <w:i w:val="0"/>
                <w:sz w:val="20"/>
              </w:rPr>
              <w:t>42 / 55 / 43</w:t>
            </w:r>
          </w:p>
        </w:tc>
        <w:tc>
          <w:tcPr>
            <w:tcW w:type="dxa" w:w="1440"/>
            <w:shd w:val="clear" w:color="auto" w:fill="EFEFEF"/>
            <w:tcBorders>
              <w:bottom w:val="single" w:sz="12" w:color="000000"/>
            </w:tcBorders>
          </w:tcPr>
          <w:p>
            <w:pPr>
              <w:spacing w:line="240" w:lineRule="auto" w:before="40" w:after="40"/>
              <w:jc w:val="center"/>
            </w:pPr>
            <w:r/>
            <w:r>
              <w:rPr>
                <w:b w:val="0"/>
                <w:i w:val="0"/>
                <w:sz w:val="20"/>
              </w:rPr>
              <w:t>–</w:t>
            </w:r>
          </w:p>
        </w:tc>
      </w:tr>
    </w:tbl>
    <w:p>
      <w:pPr>
        <w:spacing w:line="240" w:lineRule="auto" w:after="80"/>
      </w:pPr>
    </w:p>
    <w:p>
      <w:pPr>
        <w:spacing w:line="480" w:lineRule="auto" w:after="0"/>
        <w:ind w:firstLine="720"/>
        <w:jc w:val="both"/>
      </w:pPr>
      <w:r>
        <w:rPr>
          <w:b w:val="0"/>
          <w:i w:val="0"/>
        </w:rPr>
        <w:t>Table 10 summarizes the structural systems. School buildings made up the largest building group, consistent with the classroom program, and 9 buildings used reinforced-concrete roof decks instead of steel trusses. Among bridges, RCDG and PSCG girders dominated; most piled bridges used bored piles, which carry the largest geotechnical uncertainty in the benchmark.</w:t>
      </w:r>
    </w:p>
    <w:p>
      <w:pPr>
        <w:keepNext/>
        <w:spacing w:line="480" w:lineRule="auto" w:after="0"/>
        <w:ind w:left="720"/>
        <w:jc w:val="left"/>
      </w:pPr>
      <w:r>
        <w:rPr>
          <w:b/>
          <w:i w:val="0"/>
        </w:rPr>
        <w:t>c.) Location, Price Year and Project Budget</w:t>
      </w:r>
    </w:p>
    <w:p>
      <w:pPr>
        <w:keepNext/>
        <w:spacing w:line="240" w:lineRule="auto" w:after="0" w:before="120"/>
        <w:jc w:val="left"/>
      </w:pPr>
      <w:r>
        <w:rPr>
          <w:b/>
          <w:i w:val="0"/>
        </w:rPr>
        <w:t>Table 11.</w:t>
      </w:r>
    </w:p>
    <w:p>
      <w:pPr>
        <w:keepNext/>
        <w:spacing w:line="240" w:lineRule="auto" w:after="0"/>
        <w:jc w:val="left"/>
      </w:pPr>
      <w:r>
        <w:rPr>
          <w:b w:val="0"/>
          <w:i/>
        </w:rPr>
        <w:t>Project Budget Characteristics of the Benchmark</w:t>
      </w:r>
    </w:p>
    <w:tbl>
      <w:tblPr>
        <w:tblW w:type="auto" w:w="0"/>
        <w:jc w:val="center"/>
        <w:tblLayout w:type="fixed"/>
        <w:tblLook w:firstColumn="1" w:firstRow="1" w:lastColumn="0" w:lastRow="0" w:noHBand="0" w:noVBand="1" w:val="04A0"/>
        <w:tblLayout w:type="fixed"/>
      </w:tblPr>
      <w:tblGrid>
        <w:gridCol w:w="2592"/>
        <w:gridCol w:w="3311"/>
        <w:gridCol w:w="3311"/>
      </w:tblGrid>
      <w:tr>
        <w:tc>
          <w:tcPr>
            <w:tcW w:type="dxa" w:w="2592"/>
            <w:tcBorders>
              <w:top w:val="single" w:sz="12" w:color="000000"/>
              <w:bottom w:val="single" w:sz="8" w:color="000000"/>
            </w:tcBorders>
          </w:tcPr>
          <w:p>
            <w:pPr>
              <w:spacing w:line="240" w:lineRule="auto" w:before="40" w:after="40"/>
              <w:jc w:val="center"/>
            </w:pPr>
            <w:r/>
            <w:r>
              <w:rPr>
                <w:b/>
                <w:i w:val="0"/>
                <w:sz w:val="20"/>
              </w:rPr>
              <w:t>ITEM</w:t>
            </w:r>
          </w:p>
        </w:tc>
        <w:tc>
          <w:tcPr>
            <w:tcW w:type="dxa" w:w="3312"/>
            <w:tcBorders>
              <w:top w:val="single" w:sz="12" w:color="000000"/>
              <w:bottom w:val="single" w:sz="8" w:color="000000"/>
            </w:tcBorders>
          </w:tcPr>
          <w:p>
            <w:pPr>
              <w:spacing w:line="240" w:lineRule="auto" w:before="40" w:after="40"/>
              <w:jc w:val="center"/>
            </w:pPr>
            <w:r/>
            <w:r>
              <w:rPr>
                <w:b/>
                <w:i w:val="0"/>
                <w:sz w:val="20"/>
              </w:rPr>
              <w:t>BUILDINGS</w:t>
            </w:r>
          </w:p>
        </w:tc>
        <w:tc>
          <w:tcPr>
            <w:tcW w:type="dxa" w:w="3312"/>
            <w:tcBorders>
              <w:top w:val="single" w:sz="12" w:color="000000"/>
              <w:bottom w:val="single" w:sz="8" w:color="000000"/>
            </w:tcBorders>
          </w:tcPr>
          <w:p>
            <w:pPr>
              <w:spacing w:line="240" w:lineRule="auto" w:before="40" w:after="40"/>
              <w:jc w:val="center"/>
            </w:pPr>
            <w:r/>
            <w:r>
              <w:rPr>
                <w:b/>
                <w:i w:val="0"/>
                <w:sz w:val="20"/>
              </w:rPr>
              <w:t>BRIDGES</w:t>
            </w:r>
          </w:p>
        </w:tc>
      </w:tr>
      <w:tr>
        <w:tc>
          <w:tcPr>
            <w:tcW w:type="dxa" w:w="2592"/>
            <w:shd w:val="clear" w:color="auto" w:fill="EFEFEF"/>
          </w:tcPr>
          <w:p>
            <w:pPr>
              <w:spacing w:line="240" w:lineRule="auto" w:before="40" w:after="40"/>
              <w:jc w:val="left"/>
            </w:pPr>
            <w:r/>
            <w:r>
              <w:rPr>
                <w:b w:val="0"/>
                <w:i/>
                <w:sz w:val="20"/>
              </w:rPr>
              <w:t>Dependent variable</w:t>
            </w:r>
          </w:p>
        </w:tc>
        <w:tc>
          <w:tcPr>
            <w:tcW w:type="dxa" w:w="3312"/>
            <w:shd w:val="clear" w:color="auto" w:fill="EFEFEF"/>
          </w:tcPr>
          <w:p>
            <w:pPr>
              <w:spacing w:line="240" w:lineRule="auto" w:before="40" w:after="40"/>
              <w:jc w:val="center"/>
            </w:pPr>
            <w:r/>
            <w:r>
              <w:rPr>
                <w:b w:val="0"/>
                <w:i w:val="0"/>
                <w:sz w:val="20"/>
              </w:rPr>
              <w:t>Awarded contract cost (₱)</w:t>
            </w:r>
          </w:p>
        </w:tc>
        <w:tc>
          <w:tcPr>
            <w:tcW w:type="dxa" w:w="3312"/>
            <w:shd w:val="clear" w:color="auto" w:fill="EFEFEF"/>
          </w:tcPr>
          <w:p>
            <w:pPr>
              <w:spacing w:line="240" w:lineRule="auto" w:before="40" w:after="40"/>
              <w:jc w:val="center"/>
            </w:pPr>
            <w:r/>
            <w:r>
              <w:rPr>
                <w:b w:val="0"/>
                <w:i w:val="0"/>
                <w:sz w:val="20"/>
              </w:rPr>
              <w:t>Awarded contract cost (₱)</w:t>
            </w:r>
          </w:p>
        </w:tc>
      </w:tr>
      <w:tr>
        <w:tc>
          <w:tcPr>
            <w:tcW w:type="dxa" w:w="2592"/>
          </w:tcPr>
          <w:p>
            <w:pPr>
              <w:spacing w:line="240" w:lineRule="auto" w:before="40" w:after="40"/>
              <w:jc w:val="left"/>
            </w:pPr>
            <w:r/>
            <w:r>
              <w:rPr>
                <w:b w:val="0"/>
                <w:i/>
                <w:sz w:val="20"/>
              </w:rPr>
              <w:t>Range</w:t>
            </w:r>
          </w:p>
        </w:tc>
        <w:tc>
          <w:tcPr>
            <w:tcW w:type="dxa" w:w="3312"/>
          </w:tcPr>
          <w:p>
            <w:pPr>
              <w:spacing w:line="240" w:lineRule="auto" w:before="40" w:after="40"/>
              <w:jc w:val="center"/>
            </w:pPr>
            <w:r/>
            <w:r>
              <w:rPr>
                <w:b w:val="0"/>
                <w:i w:val="0"/>
                <w:sz w:val="20"/>
              </w:rPr>
              <w:t>₱5.37 million – ₱56.77 million</w:t>
            </w:r>
          </w:p>
        </w:tc>
        <w:tc>
          <w:tcPr>
            <w:tcW w:type="dxa" w:w="3312"/>
          </w:tcPr>
          <w:p>
            <w:pPr>
              <w:spacing w:line="240" w:lineRule="auto" w:before="40" w:after="40"/>
              <w:jc w:val="center"/>
            </w:pPr>
            <w:r/>
            <w:r>
              <w:rPr>
                <w:b w:val="0"/>
                <w:i w:val="0"/>
                <w:sz w:val="20"/>
              </w:rPr>
              <w:t>₱1.00 million – ₱179.23 million</w:t>
            </w:r>
          </w:p>
        </w:tc>
      </w:tr>
      <w:tr>
        <w:tc>
          <w:tcPr>
            <w:tcW w:type="dxa" w:w="2592"/>
            <w:shd w:val="clear" w:color="auto" w:fill="EFEFEF"/>
          </w:tcPr>
          <w:p>
            <w:pPr>
              <w:spacing w:line="240" w:lineRule="auto" w:before="40" w:after="40"/>
              <w:jc w:val="left"/>
            </w:pPr>
            <w:r/>
            <w:r>
              <w:rPr>
                <w:b w:val="0"/>
                <w:i/>
                <w:sz w:val="20"/>
              </w:rPr>
              <w:t>Median</w:t>
            </w:r>
          </w:p>
        </w:tc>
        <w:tc>
          <w:tcPr>
            <w:tcW w:type="dxa" w:w="3312"/>
            <w:shd w:val="clear" w:color="auto" w:fill="EFEFEF"/>
          </w:tcPr>
          <w:p>
            <w:pPr>
              <w:spacing w:line="240" w:lineRule="auto" w:before="40" w:after="40"/>
              <w:jc w:val="center"/>
            </w:pPr>
            <w:r/>
            <w:r>
              <w:rPr>
                <w:b w:val="0"/>
                <w:i w:val="0"/>
                <w:sz w:val="20"/>
              </w:rPr>
              <w:t>₱16.54 million</w:t>
            </w:r>
          </w:p>
        </w:tc>
        <w:tc>
          <w:tcPr>
            <w:tcW w:type="dxa" w:w="3312"/>
            <w:shd w:val="clear" w:color="auto" w:fill="EFEFEF"/>
          </w:tcPr>
          <w:p>
            <w:pPr>
              <w:spacing w:line="240" w:lineRule="auto" w:before="40" w:after="40"/>
              <w:jc w:val="center"/>
            </w:pPr>
            <w:r/>
            <w:r>
              <w:rPr>
                <w:b w:val="0"/>
                <w:i w:val="0"/>
                <w:sz w:val="20"/>
              </w:rPr>
              <w:t>₱36.66 million</w:t>
            </w:r>
          </w:p>
        </w:tc>
      </w:tr>
      <w:tr>
        <w:tc>
          <w:tcPr>
            <w:tcW w:type="dxa" w:w="2592"/>
          </w:tcPr>
          <w:p>
            <w:pPr>
              <w:spacing w:line="240" w:lineRule="auto" w:before="40" w:after="40"/>
              <w:jc w:val="left"/>
            </w:pPr>
            <w:r/>
            <w:r>
              <w:rPr>
                <w:b w:val="0"/>
                <w:i/>
                <w:sz w:val="20"/>
              </w:rPr>
              <w:t>Total value</w:t>
            </w:r>
          </w:p>
        </w:tc>
        <w:tc>
          <w:tcPr>
            <w:tcW w:type="dxa" w:w="3312"/>
          </w:tcPr>
          <w:p>
            <w:pPr>
              <w:spacing w:line="240" w:lineRule="auto" w:before="40" w:after="40"/>
              <w:jc w:val="center"/>
            </w:pPr>
            <w:r/>
            <w:r>
              <w:rPr>
                <w:b w:val="0"/>
                <w:i w:val="0"/>
                <w:sz w:val="20"/>
              </w:rPr>
              <w:t>₱3,002.53 million</w:t>
            </w:r>
          </w:p>
        </w:tc>
        <w:tc>
          <w:tcPr>
            <w:tcW w:type="dxa" w:w="3312"/>
          </w:tcPr>
          <w:p>
            <w:pPr>
              <w:spacing w:line="240" w:lineRule="auto" w:before="40" w:after="40"/>
              <w:jc w:val="center"/>
            </w:pPr>
            <w:r/>
            <w:r>
              <w:rPr>
                <w:b w:val="0"/>
                <w:i w:val="0"/>
                <w:sz w:val="20"/>
              </w:rPr>
              <w:t>₱6,290.43 million</w:t>
            </w:r>
          </w:p>
        </w:tc>
      </w:tr>
      <w:tr>
        <w:tc>
          <w:tcPr>
            <w:tcW w:type="dxa" w:w="2592"/>
            <w:shd w:val="clear" w:color="auto" w:fill="EFEFEF"/>
          </w:tcPr>
          <w:p>
            <w:pPr>
              <w:spacing w:line="240" w:lineRule="auto" w:before="40" w:after="40"/>
              <w:jc w:val="left"/>
            </w:pPr>
            <w:r/>
            <w:r>
              <w:rPr>
                <w:b w:val="0"/>
                <w:i/>
                <w:sz w:val="20"/>
              </w:rPr>
              <w:t>Provinces / years</w:t>
            </w:r>
          </w:p>
        </w:tc>
        <w:tc>
          <w:tcPr>
            <w:tcW w:type="dxa" w:w="3312"/>
            <w:shd w:val="clear" w:color="auto" w:fill="EFEFEF"/>
          </w:tcPr>
          <w:p>
            <w:pPr>
              <w:spacing w:line="240" w:lineRule="auto" w:before="40" w:after="40"/>
              <w:jc w:val="center"/>
            </w:pPr>
            <w:r/>
            <w:r>
              <w:rPr>
                <w:b w:val="0"/>
                <w:i w:val="0"/>
                <w:sz w:val="20"/>
              </w:rPr>
              <w:t>6 provinces / 2022–2025</w:t>
            </w:r>
          </w:p>
        </w:tc>
        <w:tc>
          <w:tcPr>
            <w:tcW w:type="dxa" w:w="3312"/>
            <w:shd w:val="clear" w:color="auto" w:fill="EFEFEF"/>
          </w:tcPr>
          <w:p>
            <w:pPr>
              <w:spacing w:line="240" w:lineRule="auto" w:before="40" w:after="40"/>
              <w:jc w:val="center"/>
            </w:pPr>
            <w:r/>
            <w:r>
              <w:rPr>
                <w:b w:val="0"/>
                <w:i w:val="0"/>
                <w:sz w:val="20"/>
              </w:rPr>
              <w:t>6 provinces / 2022–2025</w:t>
            </w:r>
          </w:p>
        </w:tc>
      </w:tr>
      <w:tr>
        <w:tc>
          <w:tcPr>
            <w:tcW w:type="dxa" w:w="2592"/>
            <w:tcBorders>
              <w:bottom w:val="single" w:sz="12" w:color="000000"/>
            </w:tcBorders>
          </w:tcPr>
          <w:p>
            <w:pPr>
              <w:spacing w:line="240" w:lineRule="auto" w:before="40" w:after="40"/>
              <w:jc w:val="left"/>
            </w:pPr>
            <w:r/>
            <w:r>
              <w:rPr>
                <w:b w:val="0"/>
                <w:i/>
                <w:sz w:val="20"/>
              </w:rPr>
              <w:t>Sample</w:t>
            </w:r>
          </w:p>
        </w:tc>
        <w:tc>
          <w:tcPr>
            <w:tcW w:type="dxa" w:w="3312"/>
            <w:tcBorders>
              <w:bottom w:val="single" w:sz="12" w:color="000000"/>
            </w:tcBorders>
          </w:tcPr>
          <w:p>
            <w:pPr>
              <w:spacing w:line="240" w:lineRule="auto" w:before="40" w:after="40"/>
              <w:jc w:val="center"/>
            </w:pPr>
            <w:r/>
            <w:r>
              <w:rPr>
                <w:b w:val="0"/>
                <w:i w:val="0"/>
                <w:sz w:val="20"/>
              </w:rPr>
              <w:t>160 projects</w:t>
            </w:r>
          </w:p>
        </w:tc>
        <w:tc>
          <w:tcPr>
            <w:tcW w:type="dxa" w:w="3312"/>
            <w:tcBorders>
              <w:bottom w:val="single" w:sz="12" w:color="000000"/>
            </w:tcBorders>
          </w:tcPr>
          <w:p>
            <w:pPr>
              <w:spacing w:line="240" w:lineRule="auto" w:before="40" w:after="40"/>
              <w:jc w:val="center"/>
            </w:pPr>
            <w:r/>
            <w:r>
              <w:rPr>
                <w:b w:val="0"/>
                <w:i w:val="0"/>
                <w:sz w:val="20"/>
              </w:rPr>
              <w:t>140 projects</w:t>
            </w:r>
          </w:p>
        </w:tc>
      </w:tr>
    </w:tbl>
    <w:p>
      <w:pPr>
        <w:spacing w:line="240" w:lineRule="auto" w:after="80"/>
      </w:pPr>
    </w:p>
    <w:p>
      <w:pPr>
        <w:spacing w:line="480" w:lineRule="auto" w:after="0"/>
        <w:ind w:firstLine="720"/>
        <w:jc w:val="both"/>
      </w:pPr>
      <w:r>
        <w:rPr>
          <w:b w:val="0"/>
          <w:i w:val="0"/>
        </w:rPr>
        <w:t>Table 11 shows the budgets. Building contracts ranged from ₱5.37 million to ₱56.77 million, about 11 times, while bridge contracts ranged from ₱1.00 million to ₱179.23 million, about 180 times. This wide range is why the study reports MAPE, which expresses error relative to each project's cost, alongside RMSE in pesos.</w:t>
      </w:r>
    </w:p>
    <w:p>
      <w:pPr>
        <w:keepNext/>
        <w:spacing w:line="480" w:lineRule="auto" w:after="0"/>
        <w:jc w:val="left"/>
      </w:pPr>
      <w:r>
        <w:rPr>
          <w:b/>
          <w:i w:val="0"/>
        </w:rPr>
        <w:t>Accuracy of the Standards-Based Quantity Take-Off Engine</w:t>
      </w:r>
    </w:p>
    <w:p>
      <w:pPr>
        <w:spacing w:line="480" w:lineRule="auto" w:after="0"/>
        <w:ind w:firstLine="720"/>
        <w:jc w:val="both"/>
      </w:pPr>
      <w:r>
        <w:rPr>
          <w:b w:val="0"/>
          <w:i w:val="0"/>
        </w:rPr>
        <w:t>The second research question examined how well the engine prices buildings and bridges from their plans. Table 12 lists the three tiers for the 19 reference plans, priced for Albay at 2025 levels.</w:t>
      </w:r>
    </w:p>
    <w:p>
      <w:pPr>
        <w:keepNext/>
        <w:spacing w:line="480" w:lineRule="auto" w:after="0"/>
        <w:ind w:left="720"/>
        <w:jc w:val="left"/>
      </w:pPr>
      <w:r>
        <w:rPr>
          <w:b/>
          <w:i w:val="0"/>
        </w:rPr>
        <w:t>a.) Lean Start Quotation, Standard Fair Estimate and Ceiling</w:t>
      </w:r>
    </w:p>
    <w:p>
      <w:pPr>
        <w:keepNext/>
        <w:spacing w:line="240" w:lineRule="auto" w:after="0" w:before="120"/>
        <w:jc w:val="left"/>
      </w:pPr>
      <w:r>
        <w:rPr>
          <w:b/>
          <w:i w:val="0"/>
        </w:rPr>
        <w:t>Table 12.</w:t>
      </w:r>
    </w:p>
    <w:p>
      <w:pPr>
        <w:keepNext/>
        <w:spacing w:line="240" w:lineRule="auto" w:after="0"/>
        <w:jc w:val="left"/>
      </w:pPr>
      <w:r>
        <w:rPr>
          <w:b w:val="0"/>
          <w:i/>
        </w:rPr>
        <w:t>Quotations of the Reference Plans (Albay, 2025 Prices)</w:t>
      </w:r>
    </w:p>
    <w:tbl>
      <w:tblPr>
        <w:tblW w:type="auto" w:w="0"/>
        <w:jc w:val="center"/>
        <w:tblLayout w:type="fixed"/>
        <w:tblLook w:firstColumn="1" w:firstRow="1" w:lastColumn="0" w:lastRow="0" w:noHBand="0" w:noVBand="1" w:val="04A0"/>
        <w:tblLayout w:type="fixed"/>
      </w:tblPr>
      <w:tblGrid>
        <w:gridCol w:w="3600"/>
        <w:gridCol w:w="1152"/>
        <w:gridCol w:w="1224"/>
        <w:gridCol w:w="1224"/>
        <w:gridCol w:w="1368"/>
        <w:gridCol w:w="936"/>
      </w:tblGrid>
      <w:tr>
        <w:tc>
          <w:tcPr>
            <w:tcW w:type="dxa" w:w="3600"/>
            <w:tcBorders>
              <w:top w:val="single" w:sz="12" w:color="000000"/>
              <w:bottom w:val="single" w:sz="8" w:color="000000"/>
            </w:tcBorders>
          </w:tcPr>
          <w:p>
            <w:pPr>
              <w:spacing w:line="240" w:lineRule="auto" w:before="40" w:after="40"/>
              <w:jc w:val="center"/>
            </w:pPr>
            <w:r/>
            <w:r>
              <w:rPr>
                <w:b/>
                <w:i w:val="0"/>
                <w:sz w:val="17"/>
              </w:rPr>
              <w:t>REFERENCE PLAN</w:t>
            </w:r>
          </w:p>
        </w:tc>
        <w:tc>
          <w:tcPr>
            <w:tcW w:type="dxa" w:w="1152"/>
            <w:tcBorders>
              <w:top w:val="single" w:sz="12" w:color="000000"/>
              <w:bottom w:val="single" w:sz="8" w:color="000000"/>
            </w:tcBorders>
          </w:tcPr>
          <w:p>
            <w:pPr>
              <w:spacing w:line="240" w:lineRule="auto" w:before="40" w:after="40"/>
              <w:jc w:val="center"/>
            </w:pPr>
            <w:r/>
            <w:r>
              <w:rPr>
                <w:b/>
                <w:i w:val="0"/>
                <w:sz w:val="17"/>
              </w:rPr>
              <w:t>LEAN</w:t>
            </w:r>
          </w:p>
        </w:tc>
        <w:tc>
          <w:tcPr>
            <w:tcW w:type="dxa" w:w="1224"/>
            <w:tcBorders>
              <w:top w:val="single" w:sz="12" w:color="000000"/>
              <w:bottom w:val="single" w:sz="8" w:color="000000"/>
            </w:tcBorders>
          </w:tcPr>
          <w:p>
            <w:pPr>
              <w:spacing w:line="240" w:lineRule="auto" w:before="40" w:after="40"/>
              <w:jc w:val="center"/>
            </w:pPr>
            <w:r/>
            <w:r>
              <w:rPr>
                <w:b/>
                <w:i w:val="0"/>
                <w:sz w:val="17"/>
              </w:rPr>
              <w:t>STANDARD</w:t>
            </w:r>
          </w:p>
        </w:tc>
        <w:tc>
          <w:tcPr>
            <w:tcW w:type="dxa" w:w="1224"/>
            <w:tcBorders>
              <w:top w:val="single" w:sz="12" w:color="000000"/>
              <w:bottom w:val="single" w:sz="8" w:color="000000"/>
            </w:tcBorders>
          </w:tcPr>
          <w:p>
            <w:pPr>
              <w:spacing w:line="240" w:lineRule="auto" w:before="40" w:after="40"/>
              <w:jc w:val="center"/>
            </w:pPr>
            <w:r/>
            <w:r>
              <w:rPr>
                <w:b/>
                <w:i w:val="0"/>
                <w:sz w:val="17"/>
              </w:rPr>
              <w:t>CEILING</w:t>
            </w:r>
          </w:p>
        </w:tc>
        <w:tc>
          <w:tcPr>
            <w:tcW w:type="dxa" w:w="1368"/>
            <w:tcBorders>
              <w:top w:val="single" w:sz="12" w:color="000000"/>
              <w:bottom w:val="single" w:sz="8" w:color="000000"/>
            </w:tcBorders>
          </w:tcPr>
          <w:p>
            <w:pPr>
              <w:spacing w:line="240" w:lineRule="auto" w:before="40" w:after="40"/>
              <w:jc w:val="center"/>
            </w:pPr>
            <w:r/>
            <w:r>
              <w:rPr>
                <w:b/>
                <w:i w:val="0"/>
                <w:sz w:val="17"/>
              </w:rPr>
              <w:t>STANDARD / m²</w:t>
            </w:r>
          </w:p>
        </w:tc>
        <w:tc>
          <w:tcPr>
            <w:tcW w:type="dxa" w:w="936"/>
            <w:tcBorders>
              <w:top w:val="single" w:sz="12" w:color="000000"/>
              <w:bottom w:val="single" w:sz="8" w:color="000000"/>
            </w:tcBorders>
          </w:tcPr>
          <w:p>
            <w:pPr>
              <w:spacing w:line="240" w:lineRule="auto" w:before="40" w:after="40"/>
              <w:jc w:val="center"/>
            </w:pPr>
            <w:r/>
            <w:r>
              <w:rPr>
                <w:b/>
                <w:i w:val="0"/>
                <w:sz w:val="17"/>
              </w:rPr>
              <w:t>LEAN SAVING</w:t>
            </w:r>
          </w:p>
        </w:tc>
      </w:tr>
      <w:tr>
        <w:tc>
          <w:tcPr>
            <w:tcW w:type="dxa" w:w="3600"/>
            <w:shd w:val="clear" w:color="auto" w:fill="EFEFEF"/>
          </w:tcPr>
          <w:p>
            <w:pPr>
              <w:spacing w:line="240" w:lineRule="auto" w:before="40" w:after="40"/>
              <w:jc w:val="left"/>
            </w:pPr>
            <w:r/>
            <w:r>
              <w:rPr>
                <w:b w:val="0"/>
                <w:i/>
                <w:sz w:val="17"/>
              </w:rPr>
              <w:t>1-storey 2-classroom school building</w:t>
            </w:r>
          </w:p>
        </w:tc>
        <w:tc>
          <w:tcPr>
            <w:tcW w:type="dxa" w:w="1152"/>
            <w:shd w:val="clear" w:color="auto" w:fill="EFEFEF"/>
          </w:tcPr>
          <w:p>
            <w:pPr>
              <w:spacing w:line="240" w:lineRule="auto" w:before="40" w:after="40"/>
              <w:jc w:val="center"/>
            </w:pPr>
            <w:r/>
            <w:r>
              <w:rPr>
                <w:b w:val="0"/>
                <w:i w:val="0"/>
                <w:sz w:val="17"/>
              </w:rPr>
              <w:t>₱4.63M</w:t>
            </w:r>
          </w:p>
        </w:tc>
        <w:tc>
          <w:tcPr>
            <w:tcW w:type="dxa" w:w="1224"/>
            <w:shd w:val="clear" w:color="auto" w:fill="EFEFEF"/>
          </w:tcPr>
          <w:p>
            <w:pPr>
              <w:spacing w:line="240" w:lineRule="auto" w:before="40" w:after="40"/>
              <w:jc w:val="center"/>
            </w:pPr>
            <w:r/>
            <w:r>
              <w:rPr>
                <w:b w:val="0"/>
                <w:i w:val="0"/>
                <w:sz w:val="17"/>
              </w:rPr>
              <w:t>₱5.31M</w:t>
            </w:r>
          </w:p>
        </w:tc>
        <w:tc>
          <w:tcPr>
            <w:tcW w:type="dxa" w:w="1224"/>
            <w:shd w:val="clear" w:color="auto" w:fill="EFEFEF"/>
          </w:tcPr>
          <w:p>
            <w:pPr>
              <w:spacing w:line="240" w:lineRule="auto" w:before="40" w:after="40"/>
              <w:jc w:val="center"/>
            </w:pPr>
            <w:r/>
            <w:r>
              <w:rPr>
                <w:b w:val="0"/>
                <w:i w:val="0"/>
                <w:sz w:val="17"/>
              </w:rPr>
              <w:t>₱6.41M</w:t>
            </w:r>
          </w:p>
        </w:tc>
        <w:tc>
          <w:tcPr>
            <w:tcW w:type="dxa" w:w="1368"/>
            <w:shd w:val="clear" w:color="auto" w:fill="EFEFEF"/>
          </w:tcPr>
          <w:p>
            <w:pPr>
              <w:spacing w:line="240" w:lineRule="auto" w:before="40" w:after="40"/>
              <w:jc w:val="center"/>
            </w:pPr>
            <w:r/>
            <w:r>
              <w:rPr>
                <w:b w:val="0"/>
                <w:i w:val="0"/>
                <w:sz w:val="17"/>
              </w:rPr>
              <w:t>₱32,797/m²</w:t>
            </w:r>
          </w:p>
        </w:tc>
        <w:tc>
          <w:tcPr>
            <w:tcW w:type="dxa" w:w="936"/>
            <w:shd w:val="clear" w:color="auto" w:fill="EFEFEF"/>
          </w:tcPr>
          <w:p>
            <w:pPr>
              <w:spacing w:line="240" w:lineRule="auto" w:before="40" w:after="40"/>
              <w:jc w:val="center"/>
            </w:pPr>
            <w:r/>
            <w:r>
              <w:rPr>
                <w:b w:val="0"/>
                <w:i w:val="0"/>
                <w:sz w:val="17"/>
              </w:rPr>
              <w:t>12.9%</w:t>
            </w:r>
          </w:p>
        </w:tc>
      </w:tr>
      <w:tr>
        <w:tc>
          <w:tcPr>
            <w:tcW w:type="dxa" w:w="3600"/>
          </w:tcPr>
          <w:p>
            <w:pPr>
              <w:spacing w:line="240" w:lineRule="auto" w:before="40" w:after="40"/>
              <w:jc w:val="left"/>
            </w:pPr>
            <w:r/>
            <w:r>
              <w:rPr>
                <w:b w:val="0"/>
                <w:i/>
                <w:sz w:val="17"/>
              </w:rPr>
              <w:t>2-storey 4-classroom school building</w:t>
            </w:r>
          </w:p>
        </w:tc>
        <w:tc>
          <w:tcPr>
            <w:tcW w:type="dxa" w:w="1152"/>
          </w:tcPr>
          <w:p>
            <w:pPr>
              <w:spacing w:line="240" w:lineRule="auto" w:before="40" w:after="40"/>
              <w:jc w:val="center"/>
            </w:pPr>
            <w:r/>
            <w:r>
              <w:rPr>
                <w:b w:val="0"/>
                <w:i w:val="0"/>
                <w:sz w:val="17"/>
              </w:rPr>
              <w:t>₱7.88M</w:t>
            </w:r>
          </w:p>
        </w:tc>
        <w:tc>
          <w:tcPr>
            <w:tcW w:type="dxa" w:w="1224"/>
          </w:tcPr>
          <w:p>
            <w:pPr>
              <w:spacing w:line="240" w:lineRule="auto" w:before="40" w:after="40"/>
              <w:jc w:val="center"/>
            </w:pPr>
            <w:r/>
            <w:r>
              <w:rPr>
                <w:b w:val="0"/>
                <w:i w:val="0"/>
                <w:sz w:val="17"/>
              </w:rPr>
              <w:t>₱9.10M</w:t>
            </w:r>
          </w:p>
        </w:tc>
        <w:tc>
          <w:tcPr>
            <w:tcW w:type="dxa" w:w="1224"/>
          </w:tcPr>
          <w:p>
            <w:pPr>
              <w:spacing w:line="240" w:lineRule="auto" w:before="40" w:after="40"/>
              <w:jc w:val="center"/>
            </w:pPr>
            <w:r/>
            <w:r>
              <w:rPr>
                <w:b w:val="0"/>
                <w:i w:val="0"/>
                <w:sz w:val="17"/>
              </w:rPr>
              <w:t>₱11.49M</w:t>
            </w:r>
          </w:p>
        </w:tc>
        <w:tc>
          <w:tcPr>
            <w:tcW w:type="dxa" w:w="1368"/>
          </w:tcPr>
          <w:p>
            <w:pPr>
              <w:spacing w:line="240" w:lineRule="auto" w:before="40" w:after="40"/>
              <w:jc w:val="center"/>
            </w:pPr>
            <w:r/>
            <w:r>
              <w:rPr>
                <w:b w:val="0"/>
                <w:i w:val="0"/>
                <w:sz w:val="17"/>
              </w:rPr>
              <w:t>₱26,612/m²</w:t>
            </w:r>
          </w:p>
        </w:tc>
        <w:tc>
          <w:tcPr>
            <w:tcW w:type="dxa" w:w="936"/>
          </w:tcPr>
          <w:p>
            <w:pPr>
              <w:spacing w:line="240" w:lineRule="auto" w:before="40" w:after="40"/>
              <w:jc w:val="center"/>
            </w:pPr>
            <w:r/>
            <w:r>
              <w:rPr>
                <w:b w:val="0"/>
                <w:i w:val="0"/>
                <w:sz w:val="17"/>
              </w:rPr>
              <w:t>13.5%</w:t>
            </w:r>
          </w:p>
        </w:tc>
      </w:tr>
      <w:tr>
        <w:tc>
          <w:tcPr>
            <w:tcW w:type="dxa" w:w="3600"/>
            <w:shd w:val="clear" w:color="auto" w:fill="EFEFEF"/>
          </w:tcPr>
          <w:p>
            <w:pPr>
              <w:spacing w:line="240" w:lineRule="auto" w:before="40" w:after="40"/>
              <w:jc w:val="left"/>
            </w:pPr>
            <w:r/>
            <w:r>
              <w:rPr>
                <w:b w:val="0"/>
                <w:i/>
                <w:sz w:val="17"/>
              </w:rPr>
              <w:t>3-storey 9-classroom school building</w:t>
            </w:r>
          </w:p>
        </w:tc>
        <w:tc>
          <w:tcPr>
            <w:tcW w:type="dxa" w:w="1152"/>
            <w:shd w:val="clear" w:color="auto" w:fill="EFEFEF"/>
          </w:tcPr>
          <w:p>
            <w:pPr>
              <w:spacing w:line="240" w:lineRule="auto" w:before="40" w:after="40"/>
              <w:jc w:val="center"/>
            </w:pPr>
            <w:r/>
            <w:r>
              <w:rPr>
                <w:b w:val="0"/>
                <w:i w:val="0"/>
                <w:sz w:val="17"/>
              </w:rPr>
              <w:t>₱17.28M</w:t>
            </w:r>
          </w:p>
        </w:tc>
        <w:tc>
          <w:tcPr>
            <w:tcW w:type="dxa" w:w="1224"/>
            <w:shd w:val="clear" w:color="auto" w:fill="EFEFEF"/>
          </w:tcPr>
          <w:p>
            <w:pPr>
              <w:spacing w:line="240" w:lineRule="auto" w:before="40" w:after="40"/>
              <w:jc w:val="center"/>
            </w:pPr>
            <w:r/>
            <w:r>
              <w:rPr>
                <w:b w:val="0"/>
                <w:i w:val="0"/>
                <w:sz w:val="17"/>
              </w:rPr>
              <w:t>₱20.03M</w:t>
            </w:r>
          </w:p>
        </w:tc>
        <w:tc>
          <w:tcPr>
            <w:tcW w:type="dxa" w:w="1224"/>
            <w:shd w:val="clear" w:color="auto" w:fill="EFEFEF"/>
          </w:tcPr>
          <w:p>
            <w:pPr>
              <w:spacing w:line="240" w:lineRule="auto" w:before="40" w:after="40"/>
              <w:jc w:val="center"/>
            </w:pPr>
            <w:r/>
            <w:r>
              <w:rPr>
                <w:b w:val="0"/>
                <w:i w:val="0"/>
                <w:sz w:val="17"/>
              </w:rPr>
              <w:t>₱25.37M</w:t>
            </w:r>
          </w:p>
        </w:tc>
        <w:tc>
          <w:tcPr>
            <w:tcW w:type="dxa" w:w="1368"/>
            <w:shd w:val="clear" w:color="auto" w:fill="EFEFEF"/>
          </w:tcPr>
          <w:p>
            <w:pPr>
              <w:spacing w:line="240" w:lineRule="auto" w:before="40" w:after="40"/>
              <w:jc w:val="center"/>
            </w:pPr>
            <w:r/>
            <w:r>
              <w:rPr>
                <w:b w:val="0"/>
                <w:i w:val="0"/>
                <w:sz w:val="17"/>
              </w:rPr>
              <w:t>₱26,036/m²</w:t>
            </w:r>
          </w:p>
        </w:tc>
        <w:tc>
          <w:tcPr>
            <w:tcW w:type="dxa" w:w="936"/>
            <w:shd w:val="clear" w:color="auto" w:fill="EFEFEF"/>
          </w:tcPr>
          <w:p>
            <w:pPr>
              <w:spacing w:line="240" w:lineRule="auto" w:before="40" w:after="40"/>
              <w:jc w:val="center"/>
            </w:pPr>
            <w:r/>
            <w:r>
              <w:rPr>
                <w:b w:val="0"/>
                <w:i w:val="0"/>
                <w:sz w:val="17"/>
              </w:rPr>
              <w:t>13.7%</w:t>
            </w:r>
          </w:p>
        </w:tc>
      </w:tr>
      <w:tr>
        <w:tc>
          <w:tcPr>
            <w:tcW w:type="dxa" w:w="3600"/>
          </w:tcPr>
          <w:p>
            <w:pPr>
              <w:spacing w:line="240" w:lineRule="auto" w:before="40" w:after="40"/>
              <w:jc w:val="left"/>
            </w:pPr>
            <w:r/>
            <w:r>
              <w:rPr>
                <w:b w:val="0"/>
                <w:i/>
                <w:sz w:val="17"/>
              </w:rPr>
              <w:t>4-storey 12-classroom school building</w:t>
            </w:r>
          </w:p>
        </w:tc>
        <w:tc>
          <w:tcPr>
            <w:tcW w:type="dxa" w:w="1152"/>
          </w:tcPr>
          <w:p>
            <w:pPr>
              <w:spacing w:line="240" w:lineRule="auto" w:before="40" w:after="40"/>
              <w:jc w:val="center"/>
            </w:pPr>
            <w:r/>
            <w:r>
              <w:rPr>
                <w:b w:val="0"/>
                <w:i w:val="0"/>
                <w:sz w:val="17"/>
              </w:rPr>
              <w:t>₱29.08M</w:t>
            </w:r>
          </w:p>
        </w:tc>
        <w:tc>
          <w:tcPr>
            <w:tcW w:type="dxa" w:w="1224"/>
          </w:tcPr>
          <w:p>
            <w:pPr>
              <w:spacing w:line="240" w:lineRule="auto" w:before="40" w:after="40"/>
              <w:jc w:val="center"/>
            </w:pPr>
            <w:r/>
            <w:r>
              <w:rPr>
                <w:b w:val="0"/>
                <w:i w:val="0"/>
                <w:sz w:val="17"/>
              </w:rPr>
              <w:t>₱33.80M</w:t>
            </w:r>
          </w:p>
        </w:tc>
        <w:tc>
          <w:tcPr>
            <w:tcW w:type="dxa" w:w="1224"/>
          </w:tcPr>
          <w:p>
            <w:pPr>
              <w:spacing w:line="240" w:lineRule="auto" w:before="40" w:after="40"/>
              <w:jc w:val="center"/>
            </w:pPr>
            <w:r/>
            <w:r>
              <w:rPr>
                <w:b w:val="0"/>
                <w:i w:val="0"/>
                <w:sz w:val="17"/>
              </w:rPr>
              <w:t>₱42.89M</w:t>
            </w:r>
          </w:p>
        </w:tc>
        <w:tc>
          <w:tcPr>
            <w:tcW w:type="dxa" w:w="1368"/>
          </w:tcPr>
          <w:p>
            <w:pPr>
              <w:spacing w:line="240" w:lineRule="auto" w:before="40" w:after="40"/>
              <w:jc w:val="center"/>
            </w:pPr>
            <w:r/>
            <w:r>
              <w:rPr>
                <w:b w:val="0"/>
                <w:i w:val="0"/>
                <w:sz w:val="17"/>
              </w:rPr>
              <w:t>₱24,709/m²</w:t>
            </w:r>
          </w:p>
        </w:tc>
        <w:tc>
          <w:tcPr>
            <w:tcW w:type="dxa" w:w="936"/>
          </w:tcPr>
          <w:p>
            <w:pPr>
              <w:spacing w:line="240" w:lineRule="auto" w:before="40" w:after="40"/>
              <w:jc w:val="center"/>
            </w:pPr>
            <w:r/>
            <w:r>
              <w:rPr>
                <w:b w:val="0"/>
                <w:i w:val="0"/>
                <w:sz w:val="17"/>
              </w:rPr>
              <w:t>14.0%</w:t>
            </w:r>
          </w:p>
        </w:tc>
      </w:tr>
      <w:tr>
        <w:tc>
          <w:tcPr>
            <w:tcW w:type="dxa" w:w="3600"/>
            <w:shd w:val="clear" w:color="auto" w:fill="EFEFEF"/>
          </w:tcPr>
          <w:p>
            <w:pPr>
              <w:spacing w:line="240" w:lineRule="auto" w:before="40" w:after="40"/>
              <w:jc w:val="left"/>
            </w:pPr>
            <w:r/>
            <w:r>
              <w:rPr>
                <w:b w:val="0"/>
                <w:i/>
                <w:sz w:val="17"/>
              </w:rPr>
              <w:t>Barangay health station</w:t>
            </w:r>
          </w:p>
        </w:tc>
        <w:tc>
          <w:tcPr>
            <w:tcW w:type="dxa" w:w="1152"/>
            <w:shd w:val="clear" w:color="auto" w:fill="EFEFEF"/>
          </w:tcPr>
          <w:p>
            <w:pPr>
              <w:spacing w:line="240" w:lineRule="auto" w:before="40" w:after="40"/>
              <w:jc w:val="center"/>
            </w:pPr>
            <w:r/>
            <w:r>
              <w:rPr>
                <w:b w:val="0"/>
                <w:i w:val="0"/>
                <w:sz w:val="17"/>
              </w:rPr>
              <w:t>₱3.07M</w:t>
            </w:r>
          </w:p>
        </w:tc>
        <w:tc>
          <w:tcPr>
            <w:tcW w:type="dxa" w:w="1224"/>
            <w:shd w:val="clear" w:color="auto" w:fill="EFEFEF"/>
          </w:tcPr>
          <w:p>
            <w:pPr>
              <w:spacing w:line="240" w:lineRule="auto" w:before="40" w:after="40"/>
              <w:jc w:val="center"/>
            </w:pPr>
            <w:r/>
            <w:r>
              <w:rPr>
                <w:b w:val="0"/>
                <w:i w:val="0"/>
                <w:sz w:val="17"/>
              </w:rPr>
              <w:t>₱3.66M</w:t>
            </w:r>
          </w:p>
        </w:tc>
        <w:tc>
          <w:tcPr>
            <w:tcW w:type="dxa" w:w="1224"/>
            <w:shd w:val="clear" w:color="auto" w:fill="EFEFEF"/>
          </w:tcPr>
          <w:p>
            <w:pPr>
              <w:spacing w:line="240" w:lineRule="auto" w:before="40" w:after="40"/>
              <w:jc w:val="center"/>
            </w:pPr>
            <w:r/>
            <w:r>
              <w:rPr>
                <w:b w:val="0"/>
                <w:i w:val="0"/>
                <w:sz w:val="17"/>
              </w:rPr>
              <w:t>₱4.63M</w:t>
            </w:r>
          </w:p>
        </w:tc>
        <w:tc>
          <w:tcPr>
            <w:tcW w:type="dxa" w:w="1368"/>
            <w:shd w:val="clear" w:color="auto" w:fill="EFEFEF"/>
          </w:tcPr>
          <w:p>
            <w:pPr>
              <w:spacing w:line="240" w:lineRule="auto" w:before="40" w:after="40"/>
              <w:jc w:val="center"/>
            </w:pPr>
            <w:r/>
            <w:r>
              <w:rPr>
                <w:b w:val="0"/>
                <w:i w:val="0"/>
                <w:sz w:val="17"/>
              </w:rPr>
              <w:t>₱45,711/m²</w:t>
            </w:r>
          </w:p>
        </w:tc>
        <w:tc>
          <w:tcPr>
            <w:tcW w:type="dxa" w:w="936"/>
            <w:shd w:val="clear" w:color="auto" w:fill="EFEFEF"/>
          </w:tcPr>
          <w:p>
            <w:pPr>
              <w:spacing w:line="240" w:lineRule="auto" w:before="40" w:after="40"/>
              <w:jc w:val="center"/>
            </w:pPr>
            <w:r/>
            <w:r>
              <w:rPr>
                <w:b w:val="0"/>
                <w:i w:val="0"/>
                <w:sz w:val="17"/>
              </w:rPr>
              <w:t>16.0%</w:t>
            </w:r>
          </w:p>
        </w:tc>
      </w:tr>
      <w:tr>
        <w:tc>
          <w:tcPr>
            <w:tcW w:type="dxa" w:w="3600"/>
          </w:tcPr>
          <w:p>
            <w:pPr>
              <w:spacing w:line="240" w:lineRule="auto" w:before="40" w:after="40"/>
              <w:jc w:val="left"/>
            </w:pPr>
            <w:r/>
            <w:r>
              <w:rPr>
                <w:b w:val="0"/>
                <w:i/>
                <w:sz w:val="17"/>
              </w:rPr>
              <w:t>2-storey rural health unit / birthing facility</w:t>
            </w:r>
          </w:p>
        </w:tc>
        <w:tc>
          <w:tcPr>
            <w:tcW w:type="dxa" w:w="1152"/>
          </w:tcPr>
          <w:p>
            <w:pPr>
              <w:spacing w:line="240" w:lineRule="auto" w:before="40" w:after="40"/>
              <w:jc w:val="center"/>
            </w:pPr>
            <w:r/>
            <w:r>
              <w:rPr>
                <w:b w:val="0"/>
                <w:i w:val="0"/>
                <w:sz w:val="17"/>
              </w:rPr>
              <w:t>₱12.83M</w:t>
            </w:r>
          </w:p>
        </w:tc>
        <w:tc>
          <w:tcPr>
            <w:tcW w:type="dxa" w:w="1224"/>
          </w:tcPr>
          <w:p>
            <w:pPr>
              <w:spacing w:line="240" w:lineRule="auto" w:before="40" w:after="40"/>
              <w:jc w:val="center"/>
            </w:pPr>
            <w:r/>
            <w:r>
              <w:rPr>
                <w:b w:val="0"/>
                <w:i w:val="0"/>
                <w:sz w:val="17"/>
              </w:rPr>
              <w:t>₱15.66M</w:t>
            </w:r>
          </w:p>
        </w:tc>
        <w:tc>
          <w:tcPr>
            <w:tcW w:type="dxa" w:w="1224"/>
          </w:tcPr>
          <w:p>
            <w:pPr>
              <w:spacing w:line="240" w:lineRule="auto" w:before="40" w:after="40"/>
              <w:jc w:val="center"/>
            </w:pPr>
            <w:r/>
            <w:r>
              <w:rPr>
                <w:b w:val="0"/>
                <w:i w:val="0"/>
                <w:sz w:val="17"/>
              </w:rPr>
              <w:t>₱20.08M</w:t>
            </w:r>
          </w:p>
        </w:tc>
        <w:tc>
          <w:tcPr>
            <w:tcW w:type="dxa" w:w="1368"/>
          </w:tcPr>
          <w:p>
            <w:pPr>
              <w:spacing w:line="240" w:lineRule="auto" w:before="40" w:after="40"/>
              <w:jc w:val="center"/>
            </w:pPr>
            <w:r/>
            <w:r>
              <w:rPr>
                <w:b w:val="0"/>
                <w:i w:val="0"/>
                <w:sz w:val="17"/>
              </w:rPr>
              <w:t>₱32,634/m²</w:t>
            </w:r>
          </w:p>
        </w:tc>
        <w:tc>
          <w:tcPr>
            <w:tcW w:type="dxa" w:w="936"/>
          </w:tcPr>
          <w:p>
            <w:pPr>
              <w:spacing w:line="240" w:lineRule="auto" w:before="40" w:after="40"/>
              <w:jc w:val="center"/>
            </w:pPr>
            <w:r/>
            <w:r>
              <w:rPr>
                <w:b w:val="0"/>
                <w:i w:val="0"/>
                <w:sz w:val="17"/>
              </w:rPr>
              <w:t>18.1%</w:t>
            </w:r>
          </w:p>
        </w:tc>
      </w:tr>
      <w:tr>
        <w:tc>
          <w:tcPr>
            <w:tcW w:type="dxa" w:w="3600"/>
            <w:shd w:val="clear" w:color="auto" w:fill="EFEFEF"/>
          </w:tcPr>
          <w:p>
            <w:pPr>
              <w:spacing w:line="240" w:lineRule="auto" w:before="40" w:after="40"/>
              <w:jc w:val="left"/>
            </w:pPr>
            <w:r/>
            <w:r>
              <w:rPr>
                <w:b w:val="0"/>
                <w:i/>
                <w:sz w:val="17"/>
              </w:rPr>
              <w:t>Multi-purpose evacuation center, 600 m²</w:t>
            </w:r>
          </w:p>
        </w:tc>
        <w:tc>
          <w:tcPr>
            <w:tcW w:type="dxa" w:w="1152"/>
            <w:shd w:val="clear" w:color="auto" w:fill="EFEFEF"/>
          </w:tcPr>
          <w:p>
            <w:pPr>
              <w:spacing w:line="240" w:lineRule="auto" w:before="40" w:after="40"/>
              <w:jc w:val="center"/>
            </w:pPr>
            <w:r/>
            <w:r>
              <w:rPr>
                <w:b w:val="0"/>
                <w:i w:val="0"/>
                <w:sz w:val="17"/>
              </w:rPr>
              <w:t>₱14.00M</w:t>
            </w:r>
          </w:p>
        </w:tc>
        <w:tc>
          <w:tcPr>
            <w:tcW w:type="dxa" w:w="1224"/>
            <w:shd w:val="clear" w:color="auto" w:fill="EFEFEF"/>
          </w:tcPr>
          <w:p>
            <w:pPr>
              <w:spacing w:line="240" w:lineRule="auto" w:before="40" w:after="40"/>
              <w:jc w:val="center"/>
            </w:pPr>
            <w:r/>
            <w:r>
              <w:rPr>
                <w:b w:val="0"/>
                <w:i w:val="0"/>
                <w:sz w:val="17"/>
              </w:rPr>
              <w:t>₱16.13M</w:t>
            </w:r>
          </w:p>
        </w:tc>
        <w:tc>
          <w:tcPr>
            <w:tcW w:type="dxa" w:w="1224"/>
            <w:shd w:val="clear" w:color="auto" w:fill="EFEFEF"/>
          </w:tcPr>
          <w:p>
            <w:pPr>
              <w:spacing w:line="240" w:lineRule="auto" w:before="40" w:after="40"/>
              <w:jc w:val="center"/>
            </w:pPr>
            <w:r/>
            <w:r>
              <w:rPr>
                <w:b w:val="0"/>
                <w:i w:val="0"/>
                <w:sz w:val="17"/>
              </w:rPr>
              <w:t>₱20.34M</w:t>
            </w:r>
          </w:p>
        </w:tc>
        <w:tc>
          <w:tcPr>
            <w:tcW w:type="dxa" w:w="1368"/>
            <w:shd w:val="clear" w:color="auto" w:fill="EFEFEF"/>
          </w:tcPr>
          <w:p>
            <w:pPr>
              <w:spacing w:line="240" w:lineRule="auto" w:before="40" w:after="40"/>
              <w:jc w:val="center"/>
            </w:pPr>
            <w:r/>
            <w:r>
              <w:rPr>
                <w:b w:val="0"/>
                <w:i w:val="0"/>
                <w:sz w:val="17"/>
              </w:rPr>
              <w:t>₱26,884/m²</w:t>
            </w:r>
          </w:p>
        </w:tc>
        <w:tc>
          <w:tcPr>
            <w:tcW w:type="dxa" w:w="936"/>
            <w:shd w:val="clear" w:color="auto" w:fill="EFEFEF"/>
          </w:tcPr>
          <w:p>
            <w:pPr>
              <w:spacing w:line="240" w:lineRule="auto" w:before="40" w:after="40"/>
              <w:jc w:val="center"/>
            </w:pPr>
            <w:r/>
            <w:r>
              <w:rPr>
                <w:b w:val="0"/>
                <w:i w:val="0"/>
                <w:sz w:val="17"/>
              </w:rPr>
              <w:t>13.2%</w:t>
            </w:r>
          </w:p>
        </w:tc>
      </w:tr>
      <w:tr>
        <w:tc>
          <w:tcPr>
            <w:tcW w:type="dxa" w:w="3600"/>
          </w:tcPr>
          <w:p>
            <w:pPr>
              <w:spacing w:line="240" w:lineRule="auto" w:before="40" w:after="40"/>
              <w:jc w:val="left"/>
            </w:pPr>
            <w:r/>
            <w:r>
              <w:rPr>
                <w:b w:val="0"/>
                <w:i/>
                <w:sz w:val="17"/>
              </w:rPr>
              <w:t>2-storey municipal office building</w:t>
            </w:r>
          </w:p>
        </w:tc>
        <w:tc>
          <w:tcPr>
            <w:tcW w:type="dxa" w:w="1152"/>
          </w:tcPr>
          <w:p>
            <w:pPr>
              <w:spacing w:line="240" w:lineRule="auto" w:before="40" w:after="40"/>
              <w:jc w:val="center"/>
            </w:pPr>
            <w:r/>
            <w:r>
              <w:rPr>
                <w:b w:val="0"/>
                <w:i w:val="0"/>
                <w:sz w:val="17"/>
              </w:rPr>
              <w:t>₱15.03M</w:t>
            </w:r>
          </w:p>
        </w:tc>
        <w:tc>
          <w:tcPr>
            <w:tcW w:type="dxa" w:w="1224"/>
          </w:tcPr>
          <w:p>
            <w:pPr>
              <w:spacing w:line="240" w:lineRule="auto" w:before="40" w:after="40"/>
              <w:jc w:val="center"/>
            </w:pPr>
            <w:r/>
            <w:r>
              <w:rPr>
                <w:b w:val="0"/>
                <w:i w:val="0"/>
                <w:sz w:val="17"/>
              </w:rPr>
              <w:t>₱18.20M</w:t>
            </w:r>
          </w:p>
        </w:tc>
        <w:tc>
          <w:tcPr>
            <w:tcW w:type="dxa" w:w="1224"/>
          </w:tcPr>
          <w:p>
            <w:pPr>
              <w:spacing w:line="240" w:lineRule="auto" w:before="40" w:after="40"/>
              <w:jc w:val="center"/>
            </w:pPr>
            <w:r/>
            <w:r>
              <w:rPr>
                <w:b w:val="0"/>
                <w:i w:val="0"/>
                <w:sz w:val="17"/>
              </w:rPr>
              <w:t>₱23.21M</w:t>
            </w:r>
          </w:p>
        </w:tc>
        <w:tc>
          <w:tcPr>
            <w:tcW w:type="dxa" w:w="1368"/>
          </w:tcPr>
          <w:p>
            <w:pPr>
              <w:spacing w:line="240" w:lineRule="auto" w:before="40" w:after="40"/>
              <w:jc w:val="center"/>
            </w:pPr>
            <w:r/>
            <w:r>
              <w:rPr>
                <w:b w:val="0"/>
                <w:i w:val="0"/>
                <w:sz w:val="17"/>
              </w:rPr>
              <w:t>₱27,076/m²</w:t>
            </w:r>
          </w:p>
        </w:tc>
        <w:tc>
          <w:tcPr>
            <w:tcW w:type="dxa" w:w="936"/>
          </w:tcPr>
          <w:p>
            <w:pPr>
              <w:spacing w:line="240" w:lineRule="auto" w:before="40" w:after="40"/>
              <w:jc w:val="center"/>
            </w:pPr>
            <w:r/>
            <w:r>
              <w:rPr>
                <w:b w:val="0"/>
                <w:i w:val="0"/>
                <w:sz w:val="17"/>
              </w:rPr>
              <w:t>17.4%</w:t>
            </w:r>
          </w:p>
        </w:tc>
      </w:tr>
      <w:tr>
        <w:tc>
          <w:tcPr>
            <w:tcW w:type="dxa" w:w="3600"/>
            <w:shd w:val="clear" w:color="auto" w:fill="EFEFEF"/>
          </w:tcPr>
          <w:p>
            <w:pPr>
              <w:spacing w:line="240" w:lineRule="auto" w:before="40" w:after="40"/>
              <w:jc w:val="left"/>
            </w:pPr>
            <w:r/>
            <w:r>
              <w:rPr>
                <w:b w:val="0"/>
                <w:i/>
                <w:sz w:val="17"/>
              </w:rPr>
              <w:t>3-storey provincial office building</w:t>
            </w:r>
          </w:p>
        </w:tc>
        <w:tc>
          <w:tcPr>
            <w:tcW w:type="dxa" w:w="1152"/>
            <w:shd w:val="clear" w:color="auto" w:fill="EFEFEF"/>
          </w:tcPr>
          <w:p>
            <w:pPr>
              <w:spacing w:line="240" w:lineRule="auto" w:before="40" w:after="40"/>
              <w:jc w:val="center"/>
            </w:pPr>
            <w:r/>
            <w:r>
              <w:rPr>
                <w:b w:val="0"/>
                <w:i w:val="0"/>
                <w:sz w:val="17"/>
              </w:rPr>
              <w:t>₱38.16M</w:t>
            </w:r>
          </w:p>
        </w:tc>
        <w:tc>
          <w:tcPr>
            <w:tcW w:type="dxa" w:w="1224"/>
            <w:shd w:val="clear" w:color="auto" w:fill="EFEFEF"/>
          </w:tcPr>
          <w:p>
            <w:pPr>
              <w:spacing w:line="240" w:lineRule="auto" w:before="40" w:after="40"/>
              <w:jc w:val="center"/>
            </w:pPr>
            <w:r/>
            <w:r>
              <w:rPr>
                <w:b w:val="0"/>
                <w:i w:val="0"/>
                <w:sz w:val="17"/>
              </w:rPr>
              <w:t>₱46.87M</w:t>
            </w:r>
          </w:p>
        </w:tc>
        <w:tc>
          <w:tcPr>
            <w:tcW w:type="dxa" w:w="1224"/>
            <w:shd w:val="clear" w:color="auto" w:fill="EFEFEF"/>
          </w:tcPr>
          <w:p>
            <w:pPr>
              <w:spacing w:line="240" w:lineRule="auto" w:before="40" w:after="40"/>
              <w:jc w:val="center"/>
            </w:pPr>
            <w:r/>
            <w:r>
              <w:rPr>
                <w:b w:val="0"/>
                <w:i w:val="0"/>
                <w:sz w:val="17"/>
              </w:rPr>
              <w:t>₱60.09M</w:t>
            </w:r>
          </w:p>
        </w:tc>
        <w:tc>
          <w:tcPr>
            <w:tcW w:type="dxa" w:w="1368"/>
            <w:shd w:val="clear" w:color="auto" w:fill="EFEFEF"/>
          </w:tcPr>
          <w:p>
            <w:pPr>
              <w:spacing w:line="240" w:lineRule="auto" w:before="40" w:after="40"/>
              <w:jc w:val="center"/>
            </w:pPr>
            <w:r/>
            <w:r>
              <w:rPr>
                <w:b w:val="0"/>
                <w:i w:val="0"/>
                <w:sz w:val="17"/>
              </w:rPr>
              <w:t>₱24,109/m²</w:t>
            </w:r>
          </w:p>
        </w:tc>
        <w:tc>
          <w:tcPr>
            <w:tcW w:type="dxa" w:w="936"/>
            <w:shd w:val="clear" w:color="auto" w:fill="EFEFEF"/>
          </w:tcPr>
          <w:p>
            <w:pPr>
              <w:spacing w:line="240" w:lineRule="auto" w:before="40" w:after="40"/>
              <w:jc w:val="center"/>
            </w:pPr>
            <w:r/>
            <w:r>
              <w:rPr>
                <w:b w:val="0"/>
                <w:i w:val="0"/>
                <w:sz w:val="17"/>
              </w:rPr>
              <w:t>18.6%</w:t>
            </w:r>
          </w:p>
        </w:tc>
      </w:tr>
      <w:tr>
        <w:tc>
          <w:tcPr>
            <w:tcW w:type="dxa" w:w="3600"/>
          </w:tcPr>
          <w:p>
            <w:pPr>
              <w:spacing w:line="240" w:lineRule="auto" w:before="40" w:after="40"/>
              <w:jc w:val="left"/>
            </w:pPr>
            <w:r/>
            <w:r>
              <w:rPr>
                <w:b w:val="0"/>
                <w:i/>
                <w:sz w:val="17"/>
              </w:rPr>
              <w:t>Public market, 1-storey</w:t>
            </w:r>
          </w:p>
        </w:tc>
        <w:tc>
          <w:tcPr>
            <w:tcW w:type="dxa" w:w="1152"/>
          </w:tcPr>
          <w:p>
            <w:pPr>
              <w:spacing w:line="240" w:lineRule="auto" w:before="40" w:after="40"/>
              <w:jc w:val="center"/>
            </w:pPr>
            <w:r/>
            <w:r>
              <w:rPr>
                <w:b w:val="0"/>
                <w:i w:val="0"/>
                <w:sz w:val="17"/>
              </w:rPr>
              <w:t>₱23.49M</w:t>
            </w:r>
          </w:p>
        </w:tc>
        <w:tc>
          <w:tcPr>
            <w:tcW w:type="dxa" w:w="1224"/>
          </w:tcPr>
          <w:p>
            <w:pPr>
              <w:spacing w:line="240" w:lineRule="auto" w:before="40" w:after="40"/>
              <w:jc w:val="center"/>
            </w:pPr>
            <w:r/>
            <w:r>
              <w:rPr>
                <w:b w:val="0"/>
                <w:i w:val="0"/>
                <w:sz w:val="17"/>
              </w:rPr>
              <w:t>₱27.13M</w:t>
            </w:r>
          </w:p>
        </w:tc>
        <w:tc>
          <w:tcPr>
            <w:tcW w:type="dxa" w:w="1224"/>
          </w:tcPr>
          <w:p>
            <w:pPr>
              <w:spacing w:line="240" w:lineRule="auto" w:before="40" w:after="40"/>
              <w:jc w:val="center"/>
            </w:pPr>
            <w:r/>
            <w:r>
              <w:rPr>
                <w:b w:val="0"/>
                <w:i w:val="0"/>
                <w:sz w:val="17"/>
              </w:rPr>
              <w:t>₱34.42M</w:t>
            </w:r>
          </w:p>
        </w:tc>
        <w:tc>
          <w:tcPr>
            <w:tcW w:type="dxa" w:w="1368"/>
          </w:tcPr>
          <w:p>
            <w:pPr>
              <w:spacing w:line="240" w:lineRule="auto" w:before="40" w:after="40"/>
              <w:jc w:val="center"/>
            </w:pPr>
            <w:r/>
            <w:r>
              <w:rPr>
                <w:b w:val="0"/>
                <w:i w:val="0"/>
                <w:sz w:val="17"/>
              </w:rPr>
              <w:t>₱28,258/m²</w:t>
            </w:r>
          </w:p>
        </w:tc>
        <w:tc>
          <w:tcPr>
            <w:tcW w:type="dxa" w:w="936"/>
          </w:tcPr>
          <w:p>
            <w:pPr>
              <w:spacing w:line="240" w:lineRule="auto" w:before="40" w:after="40"/>
              <w:jc w:val="center"/>
            </w:pPr>
            <w:r/>
            <w:r>
              <w:rPr>
                <w:b w:val="0"/>
                <w:i w:val="0"/>
                <w:sz w:val="17"/>
              </w:rPr>
              <w:t>13.4%</w:t>
            </w:r>
          </w:p>
        </w:tc>
      </w:tr>
      <w:tr>
        <w:tc>
          <w:tcPr>
            <w:tcW w:type="dxa" w:w="3600"/>
            <w:shd w:val="clear" w:color="auto" w:fill="EFEFEF"/>
          </w:tcPr>
          <w:p>
            <w:pPr>
              <w:spacing w:line="240" w:lineRule="auto" w:before="40" w:after="40"/>
              <w:jc w:val="left"/>
            </w:pPr>
            <w:r/>
            <w:r>
              <w:rPr>
                <w:b w:val="0"/>
                <w:i/>
                <w:sz w:val="17"/>
              </w:rPr>
              <w:t>3-storey dormitory</w:t>
            </w:r>
          </w:p>
        </w:tc>
        <w:tc>
          <w:tcPr>
            <w:tcW w:type="dxa" w:w="1152"/>
            <w:shd w:val="clear" w:color="auto" w:fill="EFEFEF"/>
          </w:tcPr>
          <w:p>
            <w:pPr>
              <w:spacing w:line="240" w:lineRule="auto" w:before="40" w:after="40"/>
              <w:jc w:val="center"/>
            </w:pPr>
            <w:r/>
            <w:r>
              <w:rPr>
                <w:b w:val="0"/>
                <w:i w:val="0"/>
                <w:sz w:val="17"/>
              </w:rPr>
              <w:t>₱24.51M</w:t>
            </w:r>
          </w:p>
        </w:tc>
        <w:tc>
          <w:tcPr>
            <w:tcW w:type="dxa" w:w="1224"/>
            <w:shd w:val="clear" w:color="auto" w:fill="EFEFEF"/>
          </w:tcPr>
          <w:p>
            <w:pPr>
              <w:spacing w:line="240" w:lineRule="auto" w:before="40" w:after="40"/>
              <w:jc w:val="center"/>
            </w:pPr>
            <w:r/>
            <w:r>
              <w:rPr>
                <w:b w:val="0"/>
                <w:i w:val="0"/>
                <w:sz w:val="17"/>
              </w:rPr>
              <w:t>₱28.47M</w:t>
            </w:r>
          </w:p>
        </w:tc>
        <w:tc>
          <w:tcPr>
            <w:tcW w:type="dxa" w:w="1224"/>
            <w:shd w:val="clear" w:color="auto" w:fill="EFEFEF"/>
          </w:tcPr>
          <w:p>
            <w:pPr>
              <w:spacing w:line="240" w:lineRule="auto" w:before="40" w:after="40"/>
              <w:jc w:val="center"/>
            </w:pPr>
            <w:r/>
            <w:r>
              <w:rPr>
                <w:b w:val="0"/>
                <w:i w:val="0"/>
                <w:sz w:val="17"/>
              </w:rPr>
              <w:t>₱36.23M</w:t>
            </w:r>
          </w:p>
        </w:tc>
        <w:tc>
          <w:tcPr>
            <w:tcW w:type="dxa" w:w="1368"/>
            <w:shd w:val="clear" w:color="auto" w:fill="EFEFEF"/>
          </w:tcPr>
          <w:p>
            <w:pPr>
              <w:spacing w:line="240" w:lineRule="auto" w:before="40" w:after="40"/>
              <w:jc w:val="center"/>
            </w:pPr>
            <w:r/>
            <w:r>
              <w:rPr>
                <w:b w:val="0"/>
                <w:i w:val="0"/>
                <w:sz w:val="17"/>
              </w:rPr>
              <w:t>₱26,358/m²</w:t>
            </w:r>
          </w:p>
        </w:tc>
        <w:tc>
          <w:tcPr>
            <w:tcW w:type="dxa" w:w="936"/>
            <w:shd w:val="clear" w:color="auto" w:fill="EFEFEF"/>
          </w:tcPr>
          <w:p>
            <w:pPr>
              <w:spacing w:line="240" w:lineRule="auto" w:before="40" w:after="40"/>
              <w:jc w:val="center"/>
            </w:pPr>
            <w:r/>
            <w:r>
              <w:rPr>
                <w:b w:val="0"/>
                <w:i w:val="0"/>
                <w:sz w:val="17"/>
              </w:rPr>
              <w:t>13.9%</w:t>
            </w:r>
          </w:p>
        </w:tc>
      </w:tr>
      <w:tr>
        <w:tc>
          <w:tcPr>
            <w:tcW w:type="dxa" w:w="3600"/>
          </w:tcPr>
          <w:p>
            <w:pPr>
              <w:spacing w:line="240" w:lineRule="auto" w:before="40" w:after="40"/>
              <w:jc w:val="left"/>
            </w:pPr>
            <w:r/>
            <w:r>
              <w:rPr>
                <w:b w:val="0"/>
                <w:i/>
                <w:sz w:val="17"/>
              </w:rPr>
              <w:t>Single-cell RC box culvert 3.0 × 3.0 m</w:t>
            </w:r>
          </w:p>
        </w:tc>
        <w:tc>
          <w:tcPr>
            <w:tcW w:type="dxa" w:w="1152"/>
          </w:tcPr>
          <w:p>
            <w:pPr>
              <w:spacing w:line="240" w:lineRule="auto" w:before="40" w:after="40"/>
              <w:jc w:val="center"/>
            </w:pPr>
            <w:r/>
            <w:r>
              <w:rPr>
                <w:b w:val="0"/>
                <w:i w:val="0"/>
                <w:sz w:val="17"/>
              </w:rPr>
              <w:t>₱1.73M</w:t>
            </w:r>
          </w:p>
        </w:tc>
        <w:tc>
          <w:tcPr>
            <w:tcW w:type="dxa" w:w="1224"/>
          </w:tcPr>
          <w:p>
            <w:pPr>
              <w:spacing w:line="240" w:lineRule="auto" w:before="40" w:after="40"/>
              <w:jc w:val="center"/>
            </w:pPr>
            <w:r/>
            <w:r>
              <w:rPr>
                <w:b w:val="0"/>
                <w:i w:val="0"/>
                <w:sz w:val="17"/>
              </w:rPr>
              <w:t>₱1.87M</w:t>
            </w:r>
          </w:p>
        </w:tc>
        <w:tc>
          <w:tcPr>
            <w:tcW w:type="dxa" w:w="1224"/>
          </w:tcPr>
          <w:p>
            <w:pPr>
              <w:spacing w:line="240" w:lineRule="auto" w:before="40" w:after="40"/>
              <w:jc w:val="center"/>
            </w:pPr>
            <w:r/>
            <w:r>
              <w:rPr>
                <w:b w:val="0"/>
                <w:i w:val="0"/>
                <w:sz w:val="17"/>
              </w:rPr>
              <w:t>₱2.20M</w:t>
            </w:r>
          </w:p>
        </w:tc>
        <w:tc>
          <w:tcPr>
            <w:tcW w:type="dxa" w:w="1368"/>
          </w:tcPr>
          <w:p>
            <w:pPr>
              <w:spacing w:line="240" w:lineRule="auto" w:before="40" w:after="40"/>
              <w:jc w:val="center"/>
            </w:pPr>
            <w:r/>
            <w:r>
              <w:rPr>
                <w:b w:val="0"/>
                <w:i w:val="0"/>
                <w:sz w:val="17"/>
              </w:rPr>
              <w:t>₱62,874/m²</w:t>
            </w:r>
          </w:p>
        </w:tc>
        <w:tc>
          <w:tcPr>
            <w:tcW w:type="dxa" w:w="936"/>
          </w:tcPr>
          <w:p>
            <w:pPr>
              <w:spacing w:line="240" w:lineRule="auto" w:before="40" w:after="40"/>
              <w:jc w:val="center"/>
            </w:pPr>
            <w:r/>
            <w:r>
              <w:rPr>
                <w:b w:val="0"/>
                <w:i w:val="0"/>
                <w:sz w:val="17"/>
              </w:rPr>
              <w:t>7.2%</w:t>
            </w:r>
          </w:p>
        </w:tc>
      </w:tr>
      <w:tr>
        <w:tc>
          <w:tcPr>
            <w:tcW w:type="dxa" w:w="3600"/>
            <w:shd w:val="clear" w:color="auto" w:fill="EFEFEF"/>
          </w:tcPr>
          <w:p>
            <w:pPr>
              <w:spacing w:line="240" w:lineRule="auto" w:before="40" w:after="40"/>
              <w:jc w:val="left"/>
            </w:pPr>
            <w:r/>
            <w:r>
              <w:rPr>
                <w:b w:val="0"/>
                <w:i/>
                <w:sz w:val="17"/>
              </w:rPr>
              <w:t>Double-barrel RC box culvert 2 × (3.0 × 2.5 m)</w:t>
            </w:r>
          </w:p>
        </w:tc>
        <w:tc>
          <w:tcPr>
            <w:tcW w:type="dxa" w:w="1152"/>
            <w:shd w:val="clear" w:color="auto" w:fill="EFEFEF"/>
          </w:tcPr>
          <w:p>
            <w:pPr>
              <w:spacing w:line="240" w:lineRule="auto" w:before="40" w:after="40"/>
              <w:jc w:val="center"/>
            </w:pPr>
            <w:r/>
            <w:r>
              <w:rPr>
                <w:b w:val="0"/>
                <w:i w:val="0"/>
                <w:sz w:val="17"/>
              </w:rPr>
              <w:t>₱2.48M</w:t>
            </w:r>
          </w:p>
        </w:tc>
        <w:tc>
          <w:tcPr>
            <w:tcW w:type="dxa" w:w="1224"/>
            <w:shd w:val="clear" w:color="auto" w:fill="EFEFEF"/>
          </w:tcPr>
          <w:p>
            <w:pPr>
              <w:spacing w:line="240" w:lineRule="auto" w:before="40" w:after="40"/>
              <w:jc w:val="center"/>
            </w:pPr>
            <w:r/>
            <w:r>
              <w:rPr>
                <w:b w:val="0"/>
                <w:i w:val="0"/>
                <w:sz w:val="17"/>
              </w:rPr>
              <w:t>₱2.68M</w:t>
            </w:r>
          </w:p>
        </w:tc>
        <w:tc>
          <w:tcPr>
            <w:tcW w:type="dxa" w:w="1224"/>
            <w:shd w:val="clear" w:color="auto" w:fill="EFEFEF"/>
          </w:tcPr>
          <w:p>
            <w:pPr>
              <w:spacing w:line="240" w:lineRule="auto" w:before="40" w:after="40"/>
              <w:jc w:val="center"/>
            </w:pPr>
            <w:r/>
            <w:r>
              <w:rPr>
                <w:b w:val="0"/>
                <w:i w:val="0"/>
                <w:sz w:val="17"/>
              </w:rPr>
              <w:t>₱3.16M</w:t>
            </w:r>
          </w:p>
        </w:tc>
        <w:tc>
          <w:tcPr>
            <w:tcW w:type="dxa" w:w="1368"/>
            <w:shd w:val="clear" w:color="auto" w:fill="EFEFEF"/>
          </w:tcPr>
          <w:p>
            <w:pPr>
              <w:spacing w:line="240" w:lineRule="auto" w:before="40" w:after="40"/>
              <w:jc w:val="center"/>
            </w:pPr>
            <w:r/>
            <w:r>
              <w:rPr>
                <w:b w:val="0"/>
                <w:i w:val="0"/>
                <w:sz w:val="17"/>
              </w:rPr>
              <w:t>₱46,990/m²</w:t>
            </w:r>
          </w:p>
        </w:tc>
        <w:tc>
          <w:tcPr>
            <w:tcW w:type="dxa" w:w="936"/>
            <w:shd w:val="clear" w:color="auto" w:fill="EFEFEF"/>
          </w:tcPr>
          <w:p>
            <w:pPr>
              <w:spacing w:line="240" w:lineRule="auto" w:before="40" w:after="40"/>
              <w:jc w:val="center"/>
            </w:pPr>
            <w:r/>
            <w:r>
              <w:rPr>
                <w:b w:val="0"/>
                <w:i w:val="0"/>
                <w:sz w:val="17"/>
              </w:rPr>
              <w:t>7.4%</w:t>
            </w:r>
          </w:p>
        </w:tc>
      </w:tr>
      <w:tr>
        <w:tc>
          <w:tcPr>
            <w:tcW w:type="dxa" w:w="3600"/>
          </w:tcPr>
          <w:p>
            <w:pPr>
              <w:spacing w:line="240" w:lineRule="auto" w:before="40" w:after="40"/>
              <w:jc w:val="left"/>
            </w:pPr>
            <w:r/>
            <w:r>
              <w:rPr>
                <w:b w:val="0"/>
                <w:i/>
                <w:sz w:val="17"/>
              </w:rPr>
              <w:t>Single-lane farm-to-market RCDG bridge 1 × 12 m</w:t>
            </w:r>
          </w:p>
        </w:tc>
        <w:tc>
          <w:tcPr>
            <w:tcW w:type="dxa" w:w="1152"/>
          </w:tcPr>
          <w:p>
            <w:pPr>
              <w:spacing w:line="240" w:lineRule="auto" w:before="40" w:after="40"/>
              <w:jc w:val="center"/>
            </w:pPr>
            <w:r/>
            <w:r>
              <w:rPr>
                <w:b w:val="0"/>
                <w:i w:val="0"/>
                <w:sz w:val="17"/>
              </w:rPr>
              <w:t>₱5.78M</w:t>
            </w:r>
          </w:p>
        </w:tc>
        <w:tc>
          <w:tcPr>
            <w:tcW w:type="dxa" w:w="1224"/>
          </w:tcPr>
          <w:p>
            <w:pPr>
              <w:spacing w:line="240" w:lineRule="auto" w:before="40" w:after="40"/>
              <w:jc w:val="center"/>
            </w:pPr>
            <w:r/>
            <w:r>
              <w:rPr>
                <w:b w:val="0"/>
                <w:i w:val="0"/>
                <w:sz w:val="17"/>
              </w:rPr>
              <w:t>₱6.22M</w:t>
            </w:r>
          </w:p>
        </w:tc>
        <w:tc>
          <w:tcPr>
            <w:tcW w:type="dxa" w:w="1224"/>
          </w:tcPr>
          <w:p>
            <w:pPr>
              <w:spacing w:line="240" w:lineRule="auto" w:before="40" w:after="40"/>
              <w:jc w:val="center"/>
            </w:pPr>
            <w:r/>
            <w:r>
              <w:rPr>
                <w:b w:val="0"/>
                <w:i w:val="0"/>
                <w:sz w:val="17"/>
              </w:rPr>
              <w:t>₱7.19M</w:t>
            </w:r>
          </w:p>
        </w:tc>
        <w:tc>
          <w:tcPr>
            <w:tcW w:type="dxa" w:w="1368"/>
          </w:tcPr>
          <w:p>
            <w:pPr>
              <w:spacing w:line="240" w:lineRule="auto" w:before="40" w:after="40"/>
              <w:jc w:val="center"/>
            </w:pPr>
            <w:r/>
            <w:r>
              <w:rPr>
                <w:b w:val="0"/>
                <w:i w:val="0"/>
                <w:sz w:val="17"/>
              </w:rPr>
              <w:t>₱92,518/m²</w:t>
            </w:r>
          </w:p>
        </w:tc>
        <w:tc>
          <w:tcPr>
            <w:tcW w:type="dxa" w:w="936"/>
          </w:tcPr>
          <w:p>
            <w:pPr>
              <w:spacing w:line="240" w:lineRule="auto" w:before="40" w:after="40"/>
              <w:jc w:val="center"/>
            </w:pPr>
            <w:r/>
            <w:r>
              <w:rPr>
                <w:b w:val="0"/>
                <w:i w:val="0"/>
                <w:sz w:val="17"/>
              </w:rPr>
              <w:t>7.1%</w:t>
            </w:r>
          </w:p>
        </w:tc>
      </w:tr>
      <w:tr>
        <w:tc>
          <w:tcPr>
            <w:tcW w:type="dxa" w:w="3600"/>
            <w:shd w:val="clear" w:color="auto" w:fill="EFEFEF"/>
          </w:tcPr>
          <w:p>
            <w:pPr>
              <w:spacing w:line="240" w:lineRule="auto" w:before="40" w:after="40"/>
              <w:jc w:val="left"/>
            </w:pPr>
            <w:r/>
            <w:r>
              <w:rPr>
                <w:b w:val="0"/>
                <w:i/>
                <w:sz w:val="17"/>
              </w:rPr>
              <w:t>Two-lane RCDG bridge 1 × 18 m</w:t>
            </w:r>
          </w:p>
        </w:tc>
        <w:tc>
          <w:tcPr>
            <w:tcW w:type="dxa" w:w="1152"/>
            <w:shd w:val="clear" w:color="auto" w:fill="EFEFEF"/>
          </w:tcPr>
          <w:p>
            <w:pPr>
              <w:spacing w:line="240" w:lineRule="auto" w:before="40" w:after="40"/>
              <w:jc w:val="center"/>
            </w:pPr>
            <w:r/>
            <w:r>
              <w:rPr>
                <w:b w:val="0"/>
                <w:i w:val="0"/>
                <w:sz w:val="17"/>
              </w:rPr>
              <w:t>₱18.39M</w:t>
            </w:r>
          </w:p>
        </w:tc>
        <w:tc>
          <w:tcPr>
            <w:tcW w:type="dxa" w:w="1224"/>
            <w:shd w:val="clear" w:color="auto" w:fill="EFEFEF"/>
          </w:tcPr>
          <w:p>
            <w:pPr>
              <w:spacing w:line="240" w:lineRule="auto" w:before="40" w:after="40"/>
              <w:jc w:val="center"/>
            </w:pPr>
            <w:r/>
            <w:r>
              <w:rPr>
                <w:b w:val="0"/>
                <w:i w:val="0"/>
                <w:sz w:val="17"/>
              </w:rPr>
              <w:t>₱19.41M</w:t>
            </w:r>
          </w:p>
        </w:tc>
        <w:tc>
          <w:tcPr>
            <w:tcW w:type="dxa" w:w="1224"/>
            <w:shd w:val="clear" w:color="auto" w:fill="EFEFEF"/>
          </w:tcPr>
          <w:p>
            <w:pPr>
              <w:spacing w:line="240" w:lineRule="auto" w:before="40" w:after="40"/>
              <w:jc w:val="center"/>
            </w:pPr>
            <w:r/>
            <w:r>
              <w:rPr>
                <w:b w:val="0"/>
                <w:i w:val="0"/>
                <w:sz w:val="17"/>
              </w:rPr>
              <w:t>₱22.64M</w:t>
            </w:r>
          </w:p>
        </w:tc>
        <w:tc>
          <w:tcPr>
            <w:tcW w:type="dxa" w:w="1368"/>
            <w:shd w:val="clear" w:color="auto" w:fill="EFEFEF"/>
          </w:tcPr>
          <w:p>
            <w:pPr>
              <w:spacing w:line="240" w:lineRule="auto" w:before="40" w:after="40"/>
              <w:jc w:val="center"/>
            </w:pPr>
            <w:r/>
            <w:r>
              <w:rPr>
                <w:b w:val="0"/>
                <w:i w:val="0"/>
                <w:sz w:val="17"/>
              </w:rPr>
              <w:t>₱122,561/m²</w:t>
            </w:r>
          </w:p>
        </w:tc>
        <w:tc>
          <w:tcPr>
            <w:tcW w:type="dxa" w:w="936"/>
            <w:shd w:val="clear" w:color="auto" w:fill="EFEFEF"/>
          </w:tcPr>
          <w:p>
            <w:pPr>
              <w:spacing w:line="240" w:lineRule="auto" w:before="40" w:after="40"/>
              <w:jc w:val="center"/>
            </w:pPr>
            <w:r/>
            <w:r>
              <w:rPr>
                <w:b w:val="0"/>
                <w:i w:val="0"/>
                <w:sz w:val="17"/>
              </w:rPr>
              <w:t>5.3%</w:t>
            </w:r>
          </w:p>
        </w:tc>
      </w:tr>
      <w:tr>
        <w:tc>
          <w:tcPr>
            <w:tcW w:type="dxa" w:w="3600"/>
          </w:tcPr>
          <w:p>
            <w:pPr>
              <w:spacing w:line="240" w:lineRule="auto" w:before="40" w:after="40"/>
              <w:jc w:val="left"/>
            </w:pPr>
            <w:r/>
            <w:r>
              <w:rPr>
                <w:b w:val="0"/>
                <w:i/>
                <w:sz w:val="17"/>
              </w:rPr>
              <w:t>Two-lane RCDG bridge 3 × 20 m</w:t>
            </w:r>
          </w:p>
        </w:tc>
        <w:tc>
          <w:tcPr>
            <w:tcW w:type="dxa" w:w="1152"/>
          </w:tcPr>
          <w:p>
            <w:pPr>
              <w:spacing w:line="240" w:lineRule="auto" w:before="40" w:after="40"/>
              <w:jc w:val="center"/>
            </w:pPr>
            <w:r/>
            <w:r>
              <w:rPr>
                <w:b w:val="0"/>
                <w:i w:val="0"/>
                <w:sz w:val="17"/>
              </w:rPr>
              <w:t>₱39.07M</w:t>
            </w:r>
          </w:p>
        </w:tc>
        <w:tc>
          <w:tcPr>
            <w:tcW w:type="dxa" w:w="1224"/>
          </w:tcPr>
          <w:p>
            <w:pPr>
              <w:spacing w:line="240" w:lineRule="auto" w:before="40" w:after="40"/>
              <w:jc w:val="center"/>
            </w:pPr>
            <w:r/>
            <w:r>
              <w:rPr>
                <w:b w:val="0"/>
                <w:i w:val="0"/>
                <w:sz w:val="17"/>
              </w:rPr>
              <w:t>₱42.04M</w:t>
            </w:r>
          </w:p>
        </w:tc>
        <w:tc>
          <w:tcPr>
            <w:tcW w:type="dxa" w:w="1224"/>
          </w:tcPr>
          <w:p>
            <w:pPr>
              <w:spacing w:line="240" w:lineRule="auto" w:before="40" w:after="40"/>
              <w:jc w:val="center"/>
            </w:pPr>
            <w:r/>
            <w:r>
              <w:rPr>
                <w:b w:val="0"/>
                <w:i w:val="0"/>
                <w:sz w:val="17"/>
              </w:rPr>
              <w:t>₱50.12M</w:t>
            </w:r>
          </w:p>
        </w:tc>
        <w:tc>
          <w:tcPr>
            <w:tcW w:type="dxa" w:w="1368"/>
          </w:tcPr>
          <w:p>
            <w:pPr>
              <w:spacing w:line="240" w:lineRule="auto" w:before="40" w:after="40"/>
              <w:jc w:val="center"/>
            </w:pPr>
            <w:r/>
            <w:r>
              <w:rPr>
                <w:b w:val="0"/>
                <w:i w:val="0"/>
                <w:sz w:val="17"/>
              </w:rPr>
              <w:t>₱79,615/m²</w:t>
            </w:r>
          </w:p>
        </w:tc>
        <w:tc>
          <w:tcPr>
            <w:tcW w:type="dxa" w:w="936"/>
          </w:tcPr>
          <w:p>
            <w:pPr>
              <w:spacing w:line="240" w:lineRule="auto" w:before="40" w:after="40"/>
              <w:jc w:val="center"/>
            </w:pPr>
            <w:r/>
            <w:r>
              <w:rPr>
                <w:b w:val="0"/>
                <w:i w:val="0"/>
                <w:sz w:val="17"/>
              </w:rPr>
              <w:t>7.1%</w:t>
            </w:r>
          </w:p>
        </w:tc>
      </w:tr>
      <w:tr>
        <w:tc>
          <w:tcPr>
            <w:tcW w:type="dxa" w:w="3600"/>
            <w:shd w:val="clear" w:color="auto" w:fill="EFEFEF"/>
          </w:tcPr>
          <w:p>
            <w:pPr>
              <w:spacing w:line="240" w:lineRule="auto" w:before="40" w:after="40"/>
              <w:jc w:val="left"/>
            </w:pPr>
            <w:r/>
            <w:r>
              <w:rPr>
                <w:b w:val="0"/>
                <w:i/>
                <w:sz w:val="17"/>
              </w:rPr>
              <w:t>Two-lane PSCG bridge 2 × 30 m (AASHTO Type IV)</w:t>
            </w:r>
          </w:p>
        </w:tc>
        <w:tc>
          <w:tcPr>
            <w:tcW w:type="dxa" w:w="1152"/>
            <w:shd w:val="clear" w:color="auto" w:fill="EFEFEF"/>
          </w:tcPr>
          <w:p>
            <w:pPr>
              <w:spacing w:line="240" w:lineRule="auto" w:before="40" w:after="40"/>
              <w:jc w:val="center"/>
            </w:pPr>
            <w:r/>
            <w:r>
              <w:rPr>
                <w:b w:val="0"/>
                <w:i w:val="0"/>
                <w:sz w:val="17"/>
              </w:rPr>
              <w:t>₱56.28M</w:t>
            </w:r>
          </w:p>
        </w:tc>
        <w:tc>
          <w:tcPr>
            <w:tcW w:type="dxa" w:w="1224"/>
            <w:shd w:val="clear" w:color="auto" w:fill="EFEFEF"/>
          </w:tcPr>
          <w:p>
            <w:pPr>
              <w:spacing w:line="240" w:lineRule="auto" w:before="40" w:after="40"/>
              <w:jc w:val="center"/>
            </w:pPr>
            <w:r/>
            <w:r>
              <w:rPr>
                <w:b w:val="0"/>
                <w:i w:val="0"/>
                <w:sz w:val="17"/>
              </w:rPr>
              <w:t>₱59.00M</w:t>
            </w:r>
          </w:p>
        </w:tc>
        <w:tc>
          <w:tcPr>
            <w:tcW w:type="dxa" w:w="1224"/>
            <w:shd w:val="clear" w:color="auto" w:fill="EFEFEF"/>
          </w:tcPr>
          <w:p>
            <w:pPr>
              <w:spacing w:line="240" w:lineRule="auto" w:before="40" w:after="40"/>
              <w:jc w:val="center"/>
            </w:pPr>
            <w:r/>
            <w:r>
              <w:rPr>
                <w:b w:val="0"/>
                <w:i w:val="0"/>
                <w:sz w:val="17"/>
              </w:rPr>
              <w:t>₱67.09M</w:t>
            </w:r>
          </w:p>
        </w:tc>
        <w:tc>
          <w:tcPr>
            <w:tcW w:type="dxa" w:w="1368"/>
            <w:shd w:val="clear" w:color="auto" w:fill="EFEFEF"/>
          </w:tcPr>
          <w:p>
            <w:pPr>
              <w:spacing w:line="240" w:lineRule="auto" w:before="40" w:after="40"/>
              <w:jc w:val="center"/>
            </w:pPr>
            <w:r/>
            <w:r>
              <w:rPr>
                <w:b w:val="0"/>
                <w:i w:val="0"/>
                <w:sz w:val="17"/>
              </w:rPr>
              <w:t>₱105,735/m²</w:t>
            </w:r>
          </w:p>
        </w:tc>
        <w:tc>
          <w:tcPr>
            <w:tcW w:type="dxa" w:w="936"/>
            <w:shd w:val="clear" w:color="auto" w:fill="EFEFEF"/>
          </w:tcPr>
          <w:p>
            <w:pPr>
              <w:spacing w:line="240" w:lineRule="auto" w:before="40" w:after="40"/>
              <w:jc w:val="center"/>
            </w:pPr>
            <w:r/>
            <w:r>
              <w:rPr>
                <w:b w:val="0"/>
                <w:i w:val="0"/>
                <w:sz w:val="17"/>
              </w:rPr>
              <w:t>4.6%</w:t>
            </w:r>
          </w:p>
        </w:tc>
      </w:tr>
      <w:tr>
        <w:tc>
          <w:tcPr>
            <w:tcW w:type="dxa" w:w="3600"/>
          </w:tcPr>
          <w:p>
            <w:pPr>
              <w:spacing w:line="240" w:lineRule="auto" w:before="40" w:after="40"/>
              <w:jc w:val="left"/>
            </w:pPr>
            <w:r/>
            <w:r>
              <w:rPr>
                <w:b w:val="0"/>
                <w:i/>
                <w:sz w:val="17"/>
              </w:rPr>
              <w:t>Two-lane PSCG bridge 4 × 35 m</w:t>
            </w:r>
          </w:p>
        </w:tc>
        <w:tc>
          <w:tcPr>
            <w:tcW w:type="dxa" w:w="1152"/>
          </w:tcPr>
          <w:p>
            <w:pPr>
              <w:spacing w:line="240" w:lineRule="auto" w:before="40" w:after="40"/>
              <w:jc w:val="center"/>
            </w:pPr>
            <w:r/>
            <w:r>
              <w:rPr>
                <w:b w:val="0"/>
                <w:i w:val="0"/>
                <w:sz w:val="17"/>
              </w:rPr>
              <w:t>₱119.21M</w:t>
            </w:r>
          </w:p>
        </w:tc>
        <w:tc>
          <w:tcPr>
            <w:tcW w:type="dxa" w:w="1224"/>
          </w:tcPr>
          <w:p>
            <w:pPr>
              <w:spacing w:line="240" w:lineRule="auto" w:before="40" w:after="40"/>
              <w:jc w:val="center"/>
            </w:pPr>
            <w:r/>
            <w:r>
              <w:rPr>
                <w:b w:val="0"/>
                <w:i w:val="0"/>
                <w:sz w:val="17"/>
              </w:rPr>
              <w:t>₱124.62M</w:t>
            </w:r>
          </w:p>
        </w:tc>
        <w:tc>
          <w:tcPr>
            <w:tcW w:type="dxa" w:w="1224"/>
          </w:tcPr>
          <w:p>
            <w:pPr>
              <w:spacing w:line="240" w:lineRule="auto" w:before="40" w:after="40"/>
              <w:jc w:val="center"/>
            </w:pPr>
            <w:r/>
            <w:r>
              <w:rPr>
                <w:b w:val="0"/>
                <w:i w:val="0"/>
                <w:sz w:val="17"/>
              </w:rPr>
              <w:t>₱143.72M</w:t>
            </w:r>
          </w:p>
        </w:tc>
        <w:tc>
          <w:tcPr>
            <w:tcW w:type="dxa" w:w="1368"/>
          </w:tcPr>
          <w:p>
            <w:pPr>
              <w:spacing w:line="240" w:lineRule="auto" w:before="40" w:after="40"/>
              <w:jc w:val="center"/>
            </w:pPr>
            <w:r/>
            <w:r>
              <w:rPr>
                <w:b w:val="0"/>
                <w:i w:val="0"/>
                <w:sz w:val="17"/>
              </w:rPr>
              <w:t>₱95,712/m²</w:t>
            </w:r>
          </w:p>
        </w:tc>
        <w:tc>
          <w:tcPr>
            <w:tcW w:type="dxa" w:w="936"/>
          </w:tcPr>
          <w:p>
            <w:pPr>
              <w:spacing w:line="240" w:lineRule="auto" w:before="40" w:after="40"/>
              <w:jc w:val="center"/>
            </w:pPr>
            <w:r/>
            <w:r>
              <w:rPr>
                <w:b w:val="0"/>
                <w:i w:val="0"/>
                <w:sz w:val="17"/>
              </w:rPr>
              <w:t>4.3%</w:t>
            </w:r>
          </w:p>
        </w:tc>
      </w:tr>
      <w:tr>
        <w:tc>
          <w:tcPr>
            <w:tcW w:type="dxa" w:w="3600"/>
            <w:shd w:val="clear" w:color="auto" w:fill="EFEFEF"/>
            <w:tcBorders>
              <w:bottom w:val="single" w:sz="12" w:color="000000"/>
            </w:tcBorders>
          </w:tcPr>
          <w:p>
            <w:pPr>
              <w:spacing w:line="240" w:lineRule="auto" w:before="40" w:after="40"/>
              <w:jc w:val="left"/>
            </w:pPr>
            <w:r/>
            <w:r>
              <w:rPr>
                <w:b w:val="0"/>
                <w:i/>
                <w:sz w:val="17"/>
              </w:rPr>
              <w:t>Two-lane steel truss bridge 1 × 50 m</w:t>
            </w:r>
          </w:p>
        </w:tc>
        <w:tc>
          <w:tcPr>
            <w:tcW w:type="dxa" w:w="1152"/>
            <w:shd w:val="clear" w:color="auto" w:fill="EFEFEF"/>
            <w:tcBorders>
              <w:bottom w:val="single" w:sz="12" w:color="000000"/>
            </w:tcBorders>
          </w:tcPr>
          <w:p>
            <w:pPr>
              <w:spacing w:line="240" w:lineRule="auto" w:before="40" w:after="40"/>
              <w:jc w:val="center"/>
            </w:pPr>
            <w:r/>
            <w:r>
              <w:rPr>
                <w:b w:val="0"/>
                <w:i w:val="0"/>
                <w:sz w:val="17"/>
              </w:rPr>
              <w:t>₱62.19M</w:t>
            </w:r>
          </w:p>
        </w:tc>
        <w:tc>
          <w:tcPr>
            <w:tcW w:type="dxa" w:w="1224"/>
            <w:shd w:val="clear" w:color="auto" w:fill="EFEFEF"/>
            <w:tcBorders>
              <w:bottom w:val="single" w:sz="12" w:color="000000"/>
            </w:tcBorders>
          </w:tcPr>
          <w:p>
            <w:pPr>
              <w:spacing w:line="240" w:lineRule="auto" w:before="40" w:after="40"/>
              <w:jc w:val="center"/>
            </w:pPr>
            <w:r/>
            <w:r>
              <w:rPr>
                <w:b w:val="0"/>
                <w:i w:val="0"/>
                <w:sz w:val="17"/>
              </w:rPr>
              <w:t>₱65.79M</w:t>
            </w:r>
          </w:p>
        </w:tc>
        <w:tc>
          <w:tcPr>
            <w:tcW w:type="dxa" w:w="1224"/>
            <w:shd w:val="clear" w:color="auto" w:fill="EFEFEF"/>
            <w:tcBorders>
              <w:bottom w:val="single" w:sz="12" w:color="000000"/>
            </w:tcBorders>
          </w:tcPr>
          <w:p>
            <w:pPr>
              <w:spacing w:line="240" w:lineRule="auto" w:before="40" w:after="40"/>
              <w:jc w:val="center"/>
            </w:pPr>
            <w:r/>
            <w:r>
              <w:rPr>
                <w:b w:val="0"/>
                <w:i w:val="0"/>
                <w:sz w:val="17"/>
              </w:rPr>
              <w:t>₱79.88M</w:t>
            </w:r>
          </w:p>
        </w:tc>
        <w:tc>
          <w:tcPr>
            <w:tcW w:type="dxa" w:w="1368"/>
            <w:shd w:val="clear" w:color="auto" w:fill="EFEFEF"/>
            <w:tcBorders>
              <w:bottom w:val="single" w:sz="12" w:color="000000"/>
            </w:tcBorders>
          </w:tcPr>
          <w:p>
            <w:pPr>
              <w:spacing w:line="240" w:lineRule="auto" w:before="40" w:after="40"/>
              <w:jc w:val="center"/>
            </w:pPr>
            <w:r/>
            <w:r>
              <w:rPr>
                <w:b w:val="0"/>
                <w:i w:val="0"/>
                <w:sz w:val="17"/>
              </w:rPr>
              <w:t>₱149,527/m²</w:t>
            </w:r>
          </w:p>
        </w:tc>
        <w:tc>
          <w:tcPr>
            <w:tcW w:type="dxa" w:w="936"/>
            <w:shd w:val="clear" w:color="auto" w:fill="EFEFEF"/>
            <w:tcBorders>
              <w:bottom w:val="single" w:sz="12" w:color="000000"/>
            </w:tcBorders>
          </w:tcPr>
          <w:p>
            <w:pPr>
              <w:spacing w:line="240" w:lineRule="auto" w:before="40" w:after="40"/>
              <w:jc w:val="center"/>
            </w:pPr>
            <w:r/>
            <w:r>
              <w:rPr>
                <w:b w:val="0"/>
                <w:i w:val="0"/>
                <w:sz w:val="17"/>
              </w:rPr>
              <w:t>5.5%</w:t>
            </w:r>
          </w:p>
        </w:tc>
      </w:tr>
    </w:tbl>
    <w:p>
      <w:pPr>
        <w:spacing w:line="240" w:lineRule="auto" w:after="80"/>
      </w:pPr>
    </w:p>
    <w:p>
      <w:pPr>
        <w:spacing w:line="480" w:lineRule="auto" w:after="0"/>
        <w:ind w:firstLine="720"/>
        <w:jc w:val="both"/>
      </w:pPr>
      <w:r>
        <w:rPr>
          <w:b w:val="0"/>
          <w:i w:val="0"/>
        </w:rPr>
        <w:t>For buildings, the standard estimate ranged from ₱24,109 to ₱45,711 per m² of gross floor area, with the smallest buildings, such as the barangay health station, costing most per m² because fixed items like septic tanks, ramps and plumbing are spread over less floor area. The 2-storey 4-classroom school building came to ₱9.10 million, or about ₱2.28 million per classroom, and its lean start quotation was ₱7.88 million. For multi-span bridges, the standard estimate ranged from ₱0.70M to ₱1.32M per linear meter, rising from RCDG to PSCG to steel truss as spans lengthen. The lean saving was larger for buildings (12% to 19%) than for bridges (4% to 8%), because buildings carry finishes and MEPF allowances that can be specified leanly, whereas a bridge's cost is dominated by structural quantities that the codes already fix. Appendix C shows the full bill of quantities of the 2-storey 4-classroom school building.</w:t>
      </w:r>
    </w:p>
    <w:p>
      <w:pPr>
        <w:keepNext/>
        <w:spacing w:line="480" w:lineRule="auto" w:after="0"/>
        <w:ind w:left="720"/>
        <w:jc w:val="left"/>
      </w:pPr>
      <w:r>
        <w:rPr>
          <w:b/>
          <w:i w:val="0"/>
        </w:rPr>
        <w:t>b.) Accuracy against Fair Awarded Costs</w:t>
      </w:r>
    </w:p>
    <w:p>
      <w:pPr>
        <w:keepNext/>
        <w:spacing w:line="240" w:lineRule="auto" w:after="0" w:before="120"/>
        <w:jc w:val="left"/>
      </w:pPr>
      <w:r>
        <w:rPr>
          <w:b/>
          <w:i w:val="0"/>
        </w:rPr>
        <w:t>Table 13.</w:t>
      </w:r>
    </w:p>
    <w:p>
      <w:pPr>
        <w:keepNext/>
        <w:spacing w:line="240" w:lineRule="auto" w:after="0"/>
        <w:jc w:val="left"/>
      </w:pPr>
      <w:r>
        <w:rPr>
          <w:b w:val="0"/>
          <w:i/>
        </w:rPr>
        <w:t>Accuracy of the Standards-Based Estimate against Fair Awarded Costs</w:t>
      </w:r>
    </w:p>
    <w:tbl>
      <w:tblPr>
        <w:tblW w:type="auto" w:w="0"/>
        <w:jc w:val="center"/>
        <w:tblLayout w:type="fixed"/>
        <w:tblLook w:firstColumn="1" w:firstRow="1" w:lastColumn="0" w:lastRow="0" w:noHBand="0" w:noVBand="1" w:val="04A0"/>
        <w:tblLayout w:type="fixed"/>
      </w:tblPr>
      <w:tblGrid>
        <w:gridCol w:w="4176"/>
        <w:gridCol w:w="2448"/>
        <w:gridCol w:w="2448"/>
      </w:tblGrid>
      <w:tr>
        <w:tc>
          <w:tcPr>
            <w:tcW w:type="dxa" w:w="4176"/>
            <w:tcBorders>
              <w:top w:val="single" w:sz="12" w:color="000000"/>
              <w:bottom w:val="single" w:sz="8" w:color="000000"/>
            </w:tcBorders>
          </w:tcPr>
          <w:p>
            <w:pPr>
              <w:spacing w:line="240" w:lineRule="auto" w:before="40" w:after="40"/>
              <w:jc w:val="center"/>
            </w:pPr>
            <w:r/>
            <w:r>
              <w:rPr>
                <w:b/>
                <w:i w:val="0"/>
                <w:sz w:val="20"/>
              </w:rPr>
              <w:t>MEASURE (NON-INJECTED PROJECTS)</w:t>
            </w:r>
          </w:p>
        </w:tc>
        <w:tc>
          <w:tcPr>
            <w:tcW w:type="dxa" w:w="2448"/>
            <w:tcBorders>
              <w:top w:val="single" w:sz="12" w:color="000000"/>
              <w:bottom w:val="single" w:sz="8" w:color="000000"/>
            </w:tcBorders>
          </w:tcPr>
          <w:p>
            <w:pPr>
              <w:spacing w:line="240" w:lineRule="auto" w:before="40" w:after="40"/>
              <w:jc w:val="center"/>
            </w:pPr>
            <w:r/>
            <w:r>
              <w:rPr>
                <w:b/>
                <w:i w:val="0"/>
                <w:sz w:val="20"/>
              </w:rPr>
              <w:t>BUILDINGS (n = 140)</w:t>
            </w:r>
          </w:p>
        </w:tc>
        <w:tc>
          <w:tcPr>
            <w:tcW w:type="dxa" w:w="2448"/>
            <w:tcBorders>
              <w:top w:val="single" w:sz="12" w:color="000000"/>
              <w:bottom w:val="single" w:sz="8" w:color="000000"/>
            </w:tcBorders>
          </w:tcPr>
          <w:p>
            <w:pPr>
              <w:spacing w:line="240" w:lineRule="auto" w:before="40" w:after="40"/>
              <w:jc w:val="center"/>
            </w:pPr>
            <w:r/>
            <w:r>
              <w:rPr>
                <w:b/>
                <w:i w:val="0"/>
                <w:sz w:val="20"/>
              </w:rPr>
              <w:t>BRIDGES (n = 124)</w:t>
            </w:r>
          </w:p>
        </w:tc>
      </w:tr>
      <w:tr>
        <w:tc>
          <w:tcPr>
            <w:tcW w:type="dxa" w:w="4176"/>
            <w:shd w:val="clear" w:color="auto" w:fill="EFEFEF"/>
          </w:tcPr>
          <w:p>
            <w:pPr>
              <w:spacing w:line="240" w:lineRule="auto" w:before="40" w:after="40"/>
              <w:jc w:val="left"/>
            </w:pPr>
            <w:r/>
            <w:r>
              <w:rPr>
                <w:b w:val="0"/>
                <w:i/>
                <w:sz w:val="20"/>
              </w:rPr>
              <w:t>MAPE, standard estimate</w:t>
            </w:r>
          </w:p>
        </w:tc>
        <w:tc>
          <w:tcPr>
            <w:tcW w:type="dxa" w:w="2448"/>
            <w:shd w:val="clear" w:color="auto" w:fill="EFEFEF"/>
          </w:tcPr>
          <w:p>
            <w:pPr>
              <w:spacing w:line="240" w:lineRule="auto" w:before="40" w:after="40"/>
              <w:jc w:val="center"/>
            </w:pPr>
            <w:r/>
            <w:r>
              <w:rPr>
                <w:b w:val="0"/>
                <w:i w:val="0"/>
                <w:sz w:val="20"/>
              </w:rPr>
              <w:t>5.21%</w:t>
            </w:r>
          </w:p>
        </w:tc>
        <w:tc>
          <w:tcPr>
            <w:tcW w:type="dxa" w:w="2448"/>
            <w:shd w:val="clear" w:color="auto" w:fill="EFEFEF"/>
          </w:tcPr>
          <w:p>
            <w:pPr>
              <w:spacing w:line="240" w:lineRule="auto" w:before="40" w:after="40"/>
              <w:jc w:val="center"/>
            </w:pPr>
            <w:r/>
            <w:r>
              <w:rPr>
                <w:b w:val="0"/>
                <w:i w:val="0"/>
                <w:sz w:val="20"/>
              </w:rPr>
              <w:t>7.67%</w:t>
            </w:r>
          </w:p>
        </w:tc>
      </w:tr>
      <w:tr>
        <w:tc>
          <w:tcPr>
            <w:tcW w:type="dxa" w:w="4176"/>
          </w:tcPr>
          <w:p>
            <w:pPr>
              <w:spacing w:line="240" w:lineRule="auto" w:before="40" w:after="40"/>
              <w:jc w:val="left"/>
            </w:pPr>
            <w:r/>
            <w:r>
              <w:rPr>
                <w:b w:val="0"/>
                <w:i/>
                <w:sz w:val="20"/>
              </w:rPr>
              <w:t>R², standard estimate</w:t>
            </w:r>
          </w:p>
        </w:tc>
        <w:tc>
          <w:tcPr>
            <w:tcW w:type="dxa" w:w="2448"/>
          </w:tcPr>
          <w:p>
            <w:pPr>
              <w:spacing w:line="240" w:lineRule="auto" w:before="40" w:after="40"/>
              <w:jc w:val="center"/>
            </w:pPr>
            <w:r/>
            <w:r>
              <w:rPr>
                <w:b w:val="0"/>
                <w:i w:val="0"/>
                <w:sz w:val="20"/>
              </w:rPr>
              <w:t>0.9799</w:t>
            </w:r>
          </w:p>
        </w:tc>
        <w:tc>
          <w:tcPr>
            <w:tcW w:type="dxa" w:w="2448"/>
          </w:tcPr>
          <w:p>
            <w:pPr>
              <w:spacing w:line="240" w:lineRule="auto" w:before="40" w:after="40"/>
              <w:jc w:val="center"/>
            </w:pPr>
            <w:r/>
            <w:r>
              <w:rPr>
                <w:b w:val="0"/>
                <w:i w:val="0"/>
                <w:sz w:val="20"/>
              </w:rPr>
              <w:t>0.9801</w:t>
            </w:r>
          </w:p>
        </w:tc>
      </w:tr>
      <w:tr>
        <w:tc>
          <w:tcPr>
            <w:tcW w:type="dxa" w:w="4176"/>
            <w:shd w:val="clear" w:color="auto" w:fill="EFEFEF"/>
          </w:tcPr>
          <w:p>
            <w:pPr>
              <w:spacing w:line="240" w:lineRule="auto" w:before="40" w:after="40"/>
              <w:jc w:val="left"/>
            </w:pPr>
            <w:r/>
            <w:r>
              <w:rPr>
                <w:b w:val="0"/>
                <w:i/>
                <w:sz w:val="20"/>
              </w:rPr>
              <w:t>RMSE, standard estimate</w:t>
            </w:r>
          </w:p>
        </w:tc>
        <w:tc>
          <w:tcPr>
            <w:tcW w:type="dxa" w:w="2448"/>
            <w:shd w:val="clear" w:color="auto" w:fill="EFEFEF"/>
          </w:tcPr>
          <w:p>
            <w:pPr>
              <w:spacing w:line="240" w:lineRule="auto" w:before="40" w:after="40"/>
              <w:jc w:val="center"/>
            </w:pPr>
            <w:r/>
            <w:r>
              <w:rPr>
                <w:b w:val="0"/>
                <w:i w:val="0"/>
                <w:sz w:val="20"/>
              </w:rPr>
              <w:t>₱1,229,130</w:t>
            </w:r>
          </w:p>
        </w:tc>
        <w:tc>
          <w:tcPr>
            <w:tcW w:type="dxa" w:w="2448"/>
            <w:shd w:val="clear" w:color="auto" w:fill="EFEFEF"/>
          </w:tcPr>
          <w:p>
            <w:pPr>
              <w:spacing w:line="240" w:lineRule="auto" w:before="40" w:after="40"/>
              <w:jc w:val="center"/>
            </w:pPr>
            <w:r/>
            <w:r>
              <w:rPr>
                <w:b w:val="0"/>
                <w:i w:val="0"/>
                <w:sz w:val="20"/>
              </w:rPr>
              <w:t>₱5,160,512</w:t>
            </w:r>
          </w:p>
        </w:tc>
      </w:tr>
      <w:tr>
        <w:tc>
          <w:tcPr>
            <w:tcW w:type="dxa" w:w="4176"/>
          </w:tcPr>
          <w:p>
            <w:pPr>
              <w:spacing w:line="240" w:lineRule="auto" w:before="40" w:after="40"/>
              <w:jc w:val="left"/>
            </w:pPr>
            <w:r/>
            <w:r>
              <w:rPr>
                <w:b w:val="0"/>
                <w:i/>
                <w:sz w:val="20"/>
              </w:rPr>
              <w:t>MAPE, XGBoost (LOOCV)</w:t>
            </w:r>
          </w:p>
        </w:tc>
        <w:tc>
          <w:tcPr>
            <w:tcW w:type="dxa" w:w="2448"/>
          </w:tcPr>
          <w:p>
            <w:pPr>
              <w:spacing w:line="240" w:lineRule="auto" w:before="40" w:after="40"/>
              <w:jc w:val="center"/>
            </w:pPr>
            <w:r/>
            <w:r>
              <w:rPr>
                <w:b w:val="0"/>
                <w:i w:val="0"/>
                <w:sz w:val="20"/>
              </w:rPr>
              <w:t>11.82%</w:t>
            </w:r>
          </w:p>
        </w:tc>
        <w:tc>
          <w:tcPr>
            <w:tcW w:type="dxa" w:w="2448"/>
          </w:tcPr>
          <w:p>
            <w:pPr>
              <w:spacing w:line="240" w:lineRule="auto" w:before="40" w:after="40"/>
              <w:jc w:val="center"/>
            </w:pPr>
            <w:r/>
            <w:r>
              <w:rPr>
                <w:b w:val="0"/>
                <w:i w:val="0"/>
                <w:sz w:val="20"/>
              </w:rPr>
              <w:t>17.24%</w:t>
            </w:r>
          </w:p>
        </w:tc>
      </w:tr>
      <w:tr>
        <w:tc>
          <w:tcPr>
            <w:tcW w:type="dxa" w:w="4176"/>
            <w:shd w:val="clear" w:color="auto" w:fill="EFEFEF"/>
          </w:tcPr>
          <w:p>
            <w:pPr>
              <w:spacing w:line="240" w:lineRule="auto" w:before="40" w:after="40"/>
              <w:jc w:val="left"/>
            </w:pPr>
            <w:r/>
            <w:r>
              <w:rPr>
                <w:b w:val="0"/>
                <w:i/>
                <w:sz w:val="20"/>
              </w:rPr>
              <w:t>Lean start quotation ≤ awarded cost</w:t>
            </w:r>
          </w:p>
        </w:tc>
        <w:tc>
          <w:tcPr>
            <w:tcW w:type="dxa" w:w="2448"/>
            <w:shd w:val="clear" w:color="auto" w:fill="EFEFEF"/>
          </w:tcPr>
          <w:p>
            <w:pPr>
              <w:spacing w:line="240" w:lineRule="auto" w:before="40" w:after="40"/>
              <w:jc w:val="center"/>
            </w:pPr>
            <w:r/>
            <w:r>
              <w:rPr>
                <w:b w:val="0"/>
                <w:i w:val="0"/>
                <w:sz w:val="20"/>
              </w:rPr>
              <w:t>94.3%</w:t>
            </w:r>
          </w:p>
        </w:tc>
        <w:tc>
          <w:tcPr>
            <w:tcW w:type="dxa" w:w="2448"/>
            <w:shd w:val="clear" w:color="auto" w:fill="EFEFEF"/>
          </w:tcPr>
          <w:p>
            <w:pPr>
              <w:spacing w:line="240" w:lineRule="auto" w:before="40" w:after="40"/>
              <w:jc w:val="center"/>
            </w:pPr>
            <w:r/>
            <w:r>
              <w:rPr>
                <w:b w:val="0"/>
                <w:i w:val="0"/>
                <w:sz w:val="20"/>
              </w:rPr>
              <w:t>81.5%</w:t>
            </w:r>
          </w:p>
        </w:tc>
      </w:tr>
      <w:tr>
        <w:tc>
          <w:tcPr>
            <w:tcW w:type="dxa" w:w="4176"/>
          </w:tcPr>
          <w:p>
            <w:pPr>
              <w:spacing w:line="240" w:lineRule="auto" w:before="40" w:after="40"/>
              <w:jc w:val="left"/>
            </w:pPr>
            <w:r/>
            <w:r>
              <w:rPr>
                <w:b w:val="0"/>
                <w:i/>
                <w:sz w:val="20"/>
              </w:rPr>
              <w:t>Awarded cost ≤ ceiling</w:t>
            </w:r>
          </w:p>
        </w:tc>
        <w:tc>
          <w:tcPr>
            <w:tcW w:type="dxa" w:w="2448"/>
          </w:tcPr>
          <w:p>
            <w:pPr>
              <w:spacing w:line="240" w:lineRule="auto" w:before="40" w:after="40"/>
              <w:jc w:val="center"/>
            </w:pPr>
            <w:r/>
            <w:r>
              <w:rPr>
                <w:b w:val="0"/>
                <w:i w:val="0"/>
                <w:sz w:val="20"/>
              </w:rPr>
              <w:t>100.0%</w:t>
            </w:r>
          </w:p>
        </w:tc>
        <w:tc>
          <w:tcPr>
            <w:tcW w:type="dxa" w:w="2448"/>
          </w:tcPr>
          <w:p>
            <w:pPr>
              <w:spacing w:line="240" w:lineRule="auto" w:before="40" w:after="40"/>
              <w:jc w:val="center"/>
            </w:pPr>
            <w:r/>
            <w:r>
              <w:rPr>
                <w:b w:val="0"/>
                <w:i w:val="0"/>
                <w:sz w:val="20"/>
              </w:rPr>
              <w:t>88.7%</w:t>
            </w:r>
          </w:p>
        </w:tc>
      </w:tr>
      <w:tr>
        <w:tc>
          <w:tcPr>
            <w:tcW w:type="dxa" w:w="4176"/>
            <w:shd w:val="clear" w:color="auto" w:fill="EFEFEF"/>
            <w:tcBorders>
              <w:bottom w:val="single" w:sz="12" w:color="000000"/>
            </w:tcBorders>
          </w:tcPr>
          <w:p>
            <w:pPr>
              <w:spacing w:line="240" w:lineRule="auto" w:before="40" w:after="40"/>
              <w:jc w:val="left"/>
            </w:pPr>
            <w:r/>
            <w:r>
              <w:rPr>
                <w:b w:val="0"/>
                <w:i/>
                <w:sz w:val="20"/>
              </w:rPr>
              <w:t>Mean lean saving vs. standard</w:t>
            </w:r>
          </w:p>
        </w:tc>
        <w:tc>
          <w:tcPr>
            <w:tcW w:type="dxa" w:w="2448"/>
            <w:shd w:val="clear" w:color="auto" w:fill="EFEFEF"/>
            <w:tcBorders>
              <w:bottom w:val="single" w:sz="12" w:color="000000"/>
            </w:tcBorders>
          </w:tcPr>
          <w:p>
            <w:pPr>
              <w:spacing w:line="240" w:lineRule="auto" w:before="40" w:after="40"/>
              <w:jc w:val="center"/>
            </w:pPr>
            <w:r/>
            <w:r>
              <w:rPr>
                <w:b w:val="0"/>
                <w:i w:val="0"/>
                <w:sz w:val="20"/>
              </w:rPr>
              <w:t>14.4%</w:t>
            </w:r>
          </w:p>
        </w:tc>
        <w:tc>
          <w:tcPr>
            <w:tcW w:type="dxa" w:w="2448"/>
            <w:shd w:val="clear" w:color="auto" w:fill="EFEFEF"/>
            <w:tcBorders>
              <w:bottom w:val="single" w:sz="12" w:color="000000"/>
            </w:tcBorders>
          </w:tcPr>
          <w:p>
            <w:pPr>
              <w:spacing w:line="240" w:lineRule="auto" w:before="40" w:after="40"/>
              <w:jc w:val="center"/>
            </w:pPr>
            <w:r/>
            <w:r>
              <w:rPr>
                <w:b w:val="0"/>
                <w:i w:val="0"/>
                <w:sz w:val="20"/>
              </w:rPr>
              <w:t>5.9%</w:t>
            </w:r>
          </w:p>
        </w:tc>
      </w:tr>
    </w:tbl>
    <w:p>
      <w:pPr>
        <w:spacing w:line="240" w:lineRule="auto" w:after="80"/>
      </w:pPr>
    </w:p>
    <w:p>
      <w:pPr>
        <w:spacing w:line="480" w:lineRule="auto" w:after="0"/>
        <w:ind w:firstLine="720"/>
        <w:jc w:val="both"/>
      </w:pPr>
      <w:r>
        <w:rPr>
          <w:b w:val="0"/>
          <w:i w:val="0"/>
        </w:rPr>
        <w:t>Table 13 compares the standard estimate with the awarded cost of the projects without injected overpricing. The engine reached a MAPE of 5.21% for buildings and 7.67% for bridges, with R</w:t>
      </w:r>
      <w:r>
        <w:rPr>
          <w:b w:val="0"/>
          <w:i w:val="0"/>
          <w:vertAlign w:val="superscript"/>
        </w:rPr>
        <w:t>2</w:t>
      </w:r>
      <w:r>
        <w:rPr>
          <w:b w:val="0"/>
          <w:i w:val="0"/>
        </w:rPr>
        <w:t xml:space="preserve"> of 0.9799 and 0.9801. This is less than half the error of the XGBoost model on the same projects (11.82% and 17.24%), showing the value of pricing from the plan instead of from comparable contracts. The lean start quotation stayed at or below the fair awarded cost for 94.3% of buildings and 81.5% of bridges, so it behaves as an efficient floor, and the ceiling covered 100.0% of fair building contracts and 88.7% of fair bridge contracts. The lower bridge coverage comes from hidden pile lengths of up to 35% beyond the plan: a bridge whose piles must go deeper than designed can legitimately exceed the plan-based ceiling. This agrees with the long-standing observation that ground conditions are the largest source of cost uncertainty in substructures and shows why geotechnical data should accompany a bridge check.</w:t>
      </w:r>
    </w:p>
    <w:p>
      <w:pPr>
        <w:spacing w:line="480" w:lineRule="auto" w:after="0"/>
        <w:ind w:firstLine="720"/>
        <w:jc w:val="both"/>
      </w:pPr>
      <w:r>
        <w:rPr>
          <w:b w:val="0"/>
          <w:i w:val="0"/>
        </w:rPr>
        <w:t>Because the benchmark was generated with the same engine plus hidden variation, these figures measure how robust the plan-level estimate is to unseen site and market conditions of the stated size, not its accuracy on actual DPWH contracts, which remains to be validated (see Recommendations).</w:t>
      </w:r>
    </w:p>
    <w:p>
      <w:pPr>
        <w:keepNext/>
        <w:spacing w:line="240" w:lineRule="auto" w:after="0" w:before="120"/>
        <w:jc w:val="left"/>
      </w:pPr>
      <w:r>
        <w:rPr>
          <w:b/>
          <w:i w:val="0"/>
        </w:rPr>
        <w:t>Figure 6.</w:t>
      </w:r>
    </w:p>
    <w:p>
      <w:pPr>
        <w:keepNext/>
        <w:spacing w:line="240" w:lineRule="auto" w:after="0"/>
        <w:jc w:val="left"/>
      </w:pPr>
      <w:r>
        <w:rPr>
          <w:b w:val="0"/>
          <w:i/>
        </w:rPr>
        <w:t>Distribution of the Over-Budget Ratio for Injected and Non-Injected Projects</w:t>
      </w:r>
    </w:p>
    <w:p>
      <w:pPr>
        <w:spacing w:line="240" w:lineRule="auto" w:after="200"/>
        <w:jc w:val="center"/>
      </w:pPr>
      <w:r>
        <w:drawing>
          <wp:inline xmlns:a="http://schemas.openxmlformats.org/drawingml/2006/main" xmlns:pic="http://schemas.openxmlformats.org/drawingml/2006/picture">
            <wp:extent cx="5120640" cy="3303639"/>
            <wp:docPr id="23" name="Picture 23"/>
            <wp:cNvGraphicFramePr>
              <a:graphicFrameLocks noChangeAspect="1"/>
            </wp:cNvGraphicFramePr>
            <a:graphic>
              <a:graphicData uri="http://schemas.openxmlformats.org/drawingml/2006/picture">
                <pic:pic>
                  <pic:nvPicPr>
                    <pic:cNvPr id="0" name="obr_hist.png"/>
                    <pic:cNvPicPr/>
                  </pic:nvPicPr>
                  <pic:blipFill>
                    <a:blip r:embed="rId33"/>
                    <a:stretch>
                      <a:fillRect/>
                    </a:stretch>
                  </pic:blipFill>
                  <pic:spPr>
                    <a:xfrm>
                      <a:off x="0" y="0"/>
                      <a:ext cx="5120640" cy="3303639"/>
                    </a:xfrm>
                    <a:prstGeom prst="rect"/>
                  </pic:spPr>
                </pic:pic>
              </a:graphicData>
            </a:graphic>
          </wp:inline>
        </w:drawing>
      </w:r>
    </w:p>
    <w:p>
      <w:pPr>
        <w:spacing w:line="480" w:lineRule="auto" w:after="0"/>
        <w:ind w:firstLine="720"/>
        <w:jc w:val="both"/>
      </w:pPr>
      <w:r>
        <w:rPr>
          <w:b w:val="0"/>
          <w:i w:val="0"/>
        </w:rPr>
        <w:t>Figure 6 shows the over-budget ratio of all 300 projects. Fair projects cluster around 1.0, while injected projects sit to the right of the review line, most of them beyond the ceiling. The overlap between the two groups is small for buildings and larger for bridges, which anticipates the detection results.</w:t>
      </w:r>
    </w:p>
    <w:p>
      <w:pPr>
        <w:keepNext/>
        <w:spacing w:line="480" w:lineRule="auto" w:after="0"/>
        <w:jc w:val="left"/>
      </w:pPr>
      <w:r>
        <w:rPr>
          <w:b/>
          <w:i w:val="0"/>
        </w:rPr>
        <w:t>Development of Machine Learning Models to Predict Construction Cost</w:t>
      </w:r>
    </w:p>
    <w:p>
      <w:pPr>
        <w:spacing w:line="480" w:lineRule="auto" w:after="0"/>
        <w:ind w:firstLine="720"/>
        <w:jc w:val="both"/>
      </w:pPr>
      <w:r>
        <w:rPr>
          <w:b w:val="0"/>
          <w:i w:val="0"/>
        </w:rPr>
        <w:t>The third research question compared Multiple Linear Regression and XGBoost as data-driven predictors of awarded cost, trained on all 300 benchmark projects including the padded ones, as an auditor would face in practice.</w:t>
      </w:r>
    </w:p>
    <w:p>
      <w:pPr>
        <w:keepNext/>
        <w:spacing w:line="480" w:lineRule="auto" w:after="0"/>
        <w:ind w:left="720"/>
        <w:jc w:val="left"/>
      </w:pPr>
      <w:r>
        <w:rPr>
          <w:b/>
          <w:i w:val="0"/>
        </w:rPr>
        <w:t>a.) Multiple Linear Regression</w:t>
      </w:r>
    </w:p>
    <w:p>
      <w:pPr>
        <w:keepNext/>
        <w:spacing w:line="240" w:lineRule="auto" w:after="0" w:before="120"/>
        <w:jc w:val="left"/>
      </w:pPr>
      <w:r>
        <w:rPr>
          <w:b/>
          <w:i w:val="0"/>
        </w:rPr>
        <w:t>Table 14.</w:t>
      </w:r>
    </w:p>
    <w:p>
      <w:pPr>
        <w:keepNext/>
        <w:spacing w:line="240" w:lineRule="auto" w:after="0"/>
        <w:jc w:val="left"/>
      </w:pPr>
      <w:r>
        <w:rPr>
          <w:b w:val="0"/>
          <w:i/>
        </w:rPr>
        <w:t>Variance Inflation Factor of the Building Predictors</w:t>
      </w:r>
    </w:p>
    <w:tbl>
      <w:tblPr>
        <w:tblW w:type="auto" w:w="0"/>
        <w:jc w:val="center"/>
        <w:tblLayout w:type="fixed"/>
        <w:tblLook w:firstColumn="1" w:firstRow="1" w:lastColumn="0" w:lastRow="0" w:noHBand="0" w:noVBand="1" w:val="04A0"/>
        <w:tblLayout w:type="fixed"/>
      </w:tblPr>
      <w:tblGrid>
        <w:gridCol w:w="4320"/>
        <w:gridCol w:w="2304"/>
      </w:tblGrid>
      <w:tr>
        <w:tc>
          <w:tcPr>
            <w:tcW w:type="dxa" w:w="4320"/>
            <w:tcBorders>
              <w:top w:val="single" w:sz="12" w:color="000000"/>
              <w:bottom w:val="single" w:sz="8" w:color="000000"/>
            </w:tcBorders>
          </w:tcPr>
          <w:p>
            <w:pPr>
              <w:spacing w:line="240" w:lineRule="auto" w:before="40" w:after="40"/>
              <w:jc w:val="center"/>
            </w:pPr>
            <w:r/>
            <w:r>
              <w:rPr>
                <w:b/>
                <w:i w:val="0"/>
                <w:sz w:val="20"/>
              </w:rPr>
              <w:t>FEATURE</w:t>
            </w:r>
          </w:p>
        </w:tc>
        <w:tc>
          <w:tcPr>
            <w:tcW w:type="dxa" w:w="2304"/>
            <w:tcBorders>
              <w:top w:val="single" w:sz="12" w:color="000000"/>
              <w:bottom w:val="single" w:sz="8" w:color="000000"/>
            </w:tcBorders>
          </w:tcPr>
          <w:p>
            <w:pPr>
              <w:spacing w:line="240" w:lineRule="auto" w:before="40" w:after="40"/>
              <w:jc w:val="center"/>
            </w:pPr>
            <w:r/>
            <w:r>
              <w:rPr>
                <w:b/>
                <w:i w:val="0"/>
                <w:sz w:val="20"/>
              </w:rPr>
              <w:t>VIF</w:t>
            </w:r>
          </w:p>
        </w:tc>
      </w:tr>
      <w:tr>
        <w:tc>
          <w:tcPr>
            <w:tcW w:type="dxa" w:w="4320"/>
            <w:shd w:val="clear" w:color="auto" w:fill="EFEFEF"/>
          </w:tcPr>
          <w:p>
            <w:pPr>
              <w:spacing w:line="240" w:lineRule="auto" w:before="40" w:after="40"/>
              <w:jc w:val="left"/>
            </w:pPr>
            <w:r/>
            <w:r>
              <w:rPr>
                <w:b w:val="0"/>
                <w:i/>
                <w:sz w:val="20"/>
              </w:rPr>
              <w:t>Gross Floor Area</w:t>
            </w:r>
          </w:p>
        </w:tc>
        <w:tc>
          <w:tcPr>
            <w:tcW w:type="dxa" w:w="2304"/>
            <w:shd w:val="clear" w:color="auto" w:fill="EFEFEF"/>
          </w:tcPr>
          <w:p>
            <w:pPr>
              <w:spacing w:line="240" w:lineRule="auto" w:before="40" w:after="40"/>
              <w:jc w:val="center"/>
            </w:pPr>
            <w:r/>
            <w:r>
              <w:rPr>
                <w:b w:val="0"/>
                <w:i w:val="0"/>
                <w:sz w:val="20"/>
              </w:rPr>
              <w:t>7.4348</w:t>
            </w:r>
          </w:p>
        </w:tc>
      </w:tr>
      <w:tr>
        <w:tc>
          <w:tcPr>
            <w:tcW w:type="dxa" w:w="4320"/>
          </w:tcPr>
          <w:p>
            <w:pPr>
              <w:spacing w:line="240" w:lineRule="auto" w:before="40" w:after="40"/>
              <w:jc w:val="left"/>
            </w:pPr>
            <w:r/>
            <w:r>
              <w:rPr>
                <w:b w:val="0"/>
                <w:i/>
                <w:sz w:val="20"/>
              </w:rPr>
              <w:t>Footprint Area</w:t>
            </w:r>
          </w:p>
        </w:tc>
        <w:tc>
          <w:tcPr>
            <w:tcW w:type="dxa" w:w="2304"/>
          </w:tcPr>
          <w:p>
            <w:pPr>
              <w:spacing w:line="240" w:lineRule="auto" w:before="40" w:after="40"/>
              <w:jc w:val="center"/>
            </w:pPr>
            <w:r/>
            <w:r>
              <w:rPr>
                <w:b w:val="0"/>
                <w:i w:val="0"/>
                <w:sz w:val="20"/>
              </w:rPr>
              <w:t>5.7900</w:t>
            </w:r>
          </w:p>
        </w:tc>
      </w:tr>
      <w:tr>
        <w:tc>
          <w:tcPr>
            <w:tcW w:type="dxa" w:w="4320"/>
            <w:shd w:val="clear" w:color="auto" w:fill="EFEFEF"/>
          </w:tcPr>
          <w:p>
            <w:pPr>
              <w:spacing w:line="240" w:lineRule="auto" w:before="40" w:after="40"/>
              <w:jc w:val="left"/>
            </w:pPr>
            <w:r/>
            <w:r>
              <w:rPr>
                <w:b w:val="0"/>
                <w:i/>
                <w:sz w:val="20"/>
              </w:rPr>
              <w:t>Number of Storeys</w:t>
            </w:r>
          </w:p>
        </w:tc>
        <w:tc>
          <w:tcPr>
            <w:tcW w:type="dxa" w:w="2304"/>
            <w:shd w:val="clear" w:color="auto" w:fill="EFEFEF"/>
          </w:tcPr>
          <w:p>
            <w:pPr>
              <w:spacing w:line="240" w:lineRule="auto" w:before="40" w:after="40"/>
              <w:jc w:val="center"/>
            </w:pPr>
            <w:r/>
            <w:r>
              <w:rPr>
                <w:b w:val="0"/>
                <w:i w:val="0"/>
                <w:sz w:val="20"/>
              </w:rPr>
              <w:t>5.8024</w:t>
            </w:r>
          </w:p>
        </w:tc>
      </w:tr>
      <w:tr>
        <w:tc>
          <w:tcPr>
            <w:tcW w:type="dxa" w:w="4320"/>
          </w:tcPr>
          <w:p>
            <w:pPr>
              <w:spacing w:line="240" w:lineRule="auto" w:before="40" w:after="40"/>
              <w:jc w:val="left"/>
            </w:pPr>
            <w:r/>
            <w:r>
              <w:rPr>
                <w:b w:val="0"/>
                <w:i/>
                <w:sz w:val="20"/>
              </w:rPr>
              <w:t>Structural Span</w:t>
            </w:r>
          </w:p>
        </w:tc>
        <w:tc>
          <w:tcPr>
            <w:tcW w:type="dxa" w:w="2304"/>
          </w:tcPr>
          <w:p>
            <w:pPr>
              <w:spacing w:line="240" w:lineRule="auto" w:before="40" w:after="40"/>
              <w:jc w:val="center"/>
            </w:pPr>
            <w:r/>
            <w:r>
              <w:rPr>
                <w:b w:val="0"/>
                <w:i w:val="0"/>
                <w:sz w:val="20"/>
              </w:rPr>
              <w:t>1.0707</w:t>
            </w:r>
          </w:p>
        </w:tc>
      </w:tr>
      <w:tr>
        <w:tc>
          <w:tcPr>
            <w:tcW w:type="dxa" w:w="4320"/>
            <w:shd w:val="clear" w:color="auto" w:fill="EFEFEF"/>
          </w:tcPr>
          <w:p>
            <w:pPr>
              <w:spacing w:line="240" w:lineRule="auto" w:before="40" w:after="40"/>
              <w:jc w:val="left"/>
            </w:pPr>
            <w:r/>
            <w:r>
              <w:rPr>
                <w:b w:val="0"/>
                <w:i/>
                <w:sz w:val="20"/>
              </w:rPr>
              <w:t>Floor Height</w:t>
            </w:r>
          </w:p>
        </w:tc>
        <w:tc>
          <w:tcPr>
            <w:tcW w:type="dxa" w:w="2304"/>
            <w:shd w:val="clear" w:color="auto" w:fill="EFEFEF"/>
          </w:tcPr>
          <w:p>
            <w:pPr>
              <w:spacing w:line="240" w:lineRule="auto" w:before="40" w:after="40"/>
              <w:jc w:val="center"/>
            </w:pPr>
            <w:r/>
            <w:r>
              <w:rPr>
                <w:b w:val="0"/>
                <w:i w:val="0"/>
                <w:sz w:val="20"/>
              </w:rPr>
              <w:t>1.9786</w:t>
            </w:r>
          </w:p>
        </w:tc>
      </w:tr>
      <w:tr>
        <w:tc>
          <w:tcPr>
            <w:tcW w:type="dxa" w:w="4320"/>
          </w:tcPr>
          <w:p>
            <w:pPr>
              <w:spacing w:line="240" w:lineRule="auto" w:before="40" w:after="40"/>
              <w:jc w:val="left"/>
            </w:pPr>
            <w:r/>
            <w:r>
              <w:rPr>
                <w:b w:val="0"/>
                <w:i/>
                <w:sz w:val="20"/>
              </w:rPr>
              <w:t>Facility Type Index</w:t>
            </w:r>
          </w:p>
        </w:tc>
        <w:tc>
          <w:tcPr>
            <w:tcW w:type="dxa" w:w="2304"/>
          </w:tcPr>
          <w:p>
            <w:pPr>
              <w:spacing w:line="240" w:lineRule="auto" w:before="40" w:after="40"/>
              <w:jc w:val="center"/>
            </w:pPr>
            <w:r/>
            <w:r>
              <w:rPr>
                <w:b w:val="0"/>
                <w:i w:val="0"/>
                <w:sz w:val="20"/>
              </w:rPr>
              <w:t>1.3686</w:t>
            </w:r>
          </w:p>
        </w:tc>
      </w:tr>
      <w:tr>
        <w:tc>
          <w:tcPr>
            <w:tcW w:type="dxa" w:w="4320"/>
            <w:shd w:val="clear" w:color="auto" w:fill="EFEFEF"/>
          </w:tcPr>
          <w:p>
            <w:pPr>
              <w:spacing w:line="240" w:lineRule="auto" w:before="40" w:after="40"/>
              <w:jc w:val="left"/>
            </w:pPr>
            <w:r/>
            <w:r>
              <w:rPr>
                <w:b w:val="0"/>
                <w:i/>
                <w:sz w:val="20"/>
              </w:rPr>
              <w:t>RC Roof Deck</w:t>
            </w:r>
          </w:p>
        </w:tc>
        <w:tc>
          <w:tcPr>
            <w:tcW w:type="dxa" w:w="2304"/>
            <w:shd w:val="clear" w:color="auto" w:fill="EFEFEF"/>
          </w:tcPr>
          <w:p>
            <w:pPr>
              <w:spacing w:line="240" w:lineRule="auto" w:before="40" w:after="40"/>
              <w:jc w:val="center"/>
            </w:pPr>
            <w:r/>
            <w:r>
              <w:rPr>
                <w:b w:val="0"/>
                <w:i w:val="0"/>
                <w:sz w:val="20"/>
              </w:rPr>
              <w:t>1.1039</w:t>
            </w:r>
          </w:p>
        </w:tc>
      </w:tr>
      <w:tr>
        <w:tc>
          <w:tcPr>
            <w:tcW w:type="dxa" w:w="4320"/>
          </w:tcPr>
          <w:p>
            <w:pPr>
              <w:spacing w:line="240" w:lineRule="auto" w:before="40" w:after="40"/>
              <w:jc w:val="left"/>
            </w:pPr>
            <w:r/>
            <w:r>
              <w:rPr>
                <w:b w:val="0"/>
                <w:i/>
                <w:sz w:val="20"/>
              </w:rPr>
              <w:t>Location Factor</w:t>
            </w:r>
          </w:p>
        </w:tc>
        <w:tc>
          <w:tcPr>
            <w:tcW w:type="dxa" w:w="2304"/>
          </w:tcPr>
          <w:p>
            <w:pPr>
              <w:spacing w:line="240" w:lineRule="auto" w:before="40" w:after="40"/>
              <w:jc w:val="center"/>
            </w:pPr>
            <w:r/>
            <w:r>
              <w:rPr>
                <w:b w:val="0"/>
                <w:i w:val="0"/>
                <w:sz w:val="20"/>
              </w:rPr>
              <w:t>1.0522</w:t>
            </w:r>
          </w:p>
        </w:tc>
      </w:tr>
      <w:tr>
        <w:tc>
          <w:tcPr>
            <w:tcW w:type="dxa" w:w="4320"/>
            <w:shd w:val="clear" w:color="auto" w:fill="EFEFEF"/>
            <w:tcBorders>
              <w:bottom w:val="single" w:sz="12" w:color="000000"/>
            </w:tcBorders>
          </w:tcPr>
          <w:p>
            <w:pPr>
              <w:spacing w:line="240" w:lineRule="auto" w:before="40" w:after="40"/>
              <w:jc w:val="left"/>
            </w:pPr>
            <w:r/>
            <w:r>
              <w:rPr>
                <w:b w:val="0"/>
                <w:i/>
                <w:sz w:val="20"/>
              </w:rPr>
              <w:t>Cost Index (Year)</w:t>
            </w:r>
          </w:p>
        </w:tc>
        <w:tc>
          <w:tcPr>
            <w:tcW w:type="dxa" w:w="2304"/>
            <w:shd w:val="clear" w:color="auto" w:fill="EFEFEF"/>
            <w:tcBorders>
              <w:bottom w:val="single" w:sz="12" w:color="000000"/>
            </w:tcBorders>
          </w:tcPr>
          <w:p>
            <w:pPr>
              <w:spacing w:line="240" w:lineRule="auto" w:before="40" w:after="40"/>
              <w:jc w:val="center"/>
            </w:pPr>
            <w:r/>
            <w:r>
              <w:rPr>
                <w:b w:val="0"/>
                <w:i w:val="0"/>
                <w:sz w:val="20"/>
              </w:rPr>
              <w:t>1.0741</w:t>
            </w:r>
          </w:p>
        </w:tc>
      </w:tr>
    </w:tbl>
    <w:p>
      <w:pPr>
        <w:spacing w:line="240" w:lineRule="auto" w:after="80"/>
      </w:pPr>
    </w:p>
    <w:p>
      <w:pPr>
        <w:spacing w:line="480" w:lineRule="auto" w:after="0"/>
        <w:ind w:firstLine="720"/>
        <w:jc w:val="both"/>
      </w:pPr>
      <w:r>
        <w:rPr>
          <w:b w:val="0"/>
          <w:i w:val="0"/>
        </w:rPr>
        <w:t>Table 14 shows that all building predictors stayed below the threshold of 10. Gross floor area (7.43), number of storeys (5.80) and footprint area (5.79) were the most correlated, as expected since gross floor area is footprint times storeys, but their overlap was moderate because footprints vary widely at every storey count. No predictor was removed.</w:t>
      </w:r>
    </w:p>
    <w:p>
      <w:pPr>
        <w:keepNext/>
        <w:spacing w:line="240" w:lineRule="auto" w:after="0" w:before="120"/>
        <w:jc w:val="left"/>
      </w:pPr>
      <w:r>
        <w:rPr>
          <w:b/>
          <w:i w:val="0"/>
        </w:rPr>
        <w:t>Table 15.</w:t>
      </w:r>
    </w:p>
    <w:p>
      <w:pPr>
        <w:keepNext/>
        <w:spacing w:line="240" w:lineRule="auto" w:after="0"/>
        <w:jc w:val="left"/>
      </w:pPr>
      <w:r>
        <w:rPr>
          <w:b w:val="0"/>
          <w:i/>
        </w:rPr>
        <w:t>Variance Inflation Factor of the Bridge Predictors, Full and Reduced Models</w:t>
      </w:r>
    </w:p>
    <w:tbl>
      <w:tblPr>
        <w:tblW w:type="auto" w:w="0"/>
        <w:jc w:val="center"/>
        <w:tblLayout w:type="fixed"/>
        <w:tblLook w:firstColumn="1" w:firstRow="1" w:lastColumn="0" w:lastRow="0" w:noHBand="0" w:noVBand="1" w:val="04A0"/>
        <w:tblLayout w:type="fixed"/>
      </w:tblPr>
      <w:tblGrid>
        <w:gridCol w:w="3744"/>
        <w:gridCol w:w="2304"/>
        <w:gridCol w:w="2592"/>
      </w:tblGrid>
      <w:tr>
        <w:tc>
          <w:tcPr>
            <w:tcW w:type="dxa" w:w="3744"/>
            <w:tcBorders>
              <w:top w:val="single" w:sz="12" w:color="000000"/>
              <w:bottom w:val="single" w:sz="8" w:color="000000"/>
            </w:tcBorders>
          </w:tcPr>
          <w:p>
            <w:pPr>
              <w:spacing w:line="240" w:lineRule="auto" w:before="40" w:after="40"/>
              <w:jc w:val="center"/>
            </w:pPr>
            <w:r/>
            <w:r>
              <w:rPr>
                <w:b/>
                <w:i w:val="0"/>
                <w:sz w:val="20"/>
              </w:rPr>
              <w:t>FEATURE</w:t>
            </w:r>
          </w:p>
        </w:tc>
        <w:tc>
          <w:tcPr>
            <w:tcW w:type="dxa" w:w="2304"/>
            <w:tcBorders>
              <w:top w:val="single" w:sz="12" w:color="000000"/>
              <w:bottom w:val="single" w:sz="8" w:color="000000"/>
            </w:tcBorders>
          </w:tcPr>
          <w:p>
            <w:pPr>
              <w:spacing w:line="240" w:lineRule="auto" w:before="40" w:after="40"/>
              <w:jc w:val="center"/>
            </w:pPr>
            <w:r/>
            <w:r>
              <w:rPr>
                <w:b/>
                <w:i w:val="0"/>
                <w:sz w:val="20"/>
              </w:rPr>
              <w:t>VIF (FULL MODEL)</w:t>
            </w:r>
          </w:p>
        </w:tc>
        <w:tc>
          <w:tcPr>
            <w:tcW w:type="dxa" w:w="2592"/>
            <w:tcBorders>
              <w:top w:val="single" w:sz="12" w:color="000000"/>
              <w:bottom w:val="single" w:sz="8" w:color="000000"/>
            </w:tcBorders>
          </w:tcPr>
          <w:p>
            <w:pPr>
              <w:spacing w:line="240" w:lineRule="auto" w:before="40" w:after="40"/>
              <w:jc w:val="center"/>
            </w:pPr>
            <w:r/>
            <w:r>
              <w:rPr>
                <w:b/>
                <w:i w:val="0"/>
                <w:sz w:val="20"/>
              </w:rPr>
              <w:t>VIF (REDUCED MODEL)</w:t>
            </w:r>
          </w:p>
        </w:tc>
      </w:tr>
      <w:tr>
        <w:tc>
          <w:tcPr>
            <w:tcW w:type="dxa" w:w="3744"/>
            <w:shd w:val="clear" w:color="auto" w:fill="EFEFEF"/>
          </w:tcPr>
          <w:p>
            <w:pPr>
              <w:spacing w:line="240" w:lineRule="auto" w:before="40" w:after="40"/>
              <w:jc w:val="left"/>
            </w:pPr>
            <w:r/>
            <w:r>
              <w:rPr>
                <w:b w:val="0"/>
                <w:i/>
                <w:sz w:val="20"/>
              </w:rPr>
              <w:t>Total Length</w:t>
            </w:r>
          </w:p>
        </w:tc>
        <w:tc>
          <w:tcPr>
            <w:tcW w:type="dxa" w:w="2304"/>
            <w:shd w:val="clear" w:color="auto" w:fill="EFEFEF"/>
          </w:tcPr>
          <w:p>
            <w:pPr>
              <w:spacing w:line="240" w:lineRule="auto" w:before="40" w:after="40"/>
              <w:jc w:val="center"/>
            </w:pPr>
            <w:r/>
            <w:r>
              <w:rPr>
                <w:b w:val="0"/>
                <w:i w:val="0"/>
                <w:sz w:val="20"/>
              </w:rPr>
              <w:t>44.4445</w:t>
            </w:r>
          </w:p>
        </w:tc>
        <w:tc>
          <w:tcPr>
            <w:tcW w:type="dxa" w:w="2592"/>
            <w:shd w:val="clear" w:color="auto" w:fill="EFEFEF"/>
          </w:tcPr>
          <w:p>
            <w:pPr>
              <w:spacing w:line="240" w:lineRule="auto" w:before="40" w:after="40"/>
              <w:jc w:val="center"/>
            </w:pPr>
            <w:r/>
            <w:r>
              <w:rPr>
                <w:b w:val="0"/>
                <w:i w:val="0"/>
                <w:sz w:val="20"/>
              </w:rPr>
              <w:t>3.4172</w:t>
            </w:r>
          </w:p>
        </w:tc>
      </w:tr>
      <w:tr>
        <w:tc>
          <w:tcPr>
            <w:tcW w:type="dxa" w:w="3744"/>
          </w:tcPr>
          <w:p>
            <w:pPr>
              <w:spacing w:line="240" w:lineRule="auto" w:before="40" w:after="40"/>
              <w:jc w:val="left"/>
            </w:pPr>
            <w:r/>
            <w:r>
              <w:rPr>
                <w:b w:val="0"/>
                <w:i/>
                <w:sz w:val="20"/>
              </w:rPr>
              <w:t>Deck Width</w:t>
            </w:r>
          </w:p>
        </w:tc>
        <w:tc>
          <w:tcPr>
            <w:tcW w:type="dxa" w:w="2304"/>
          </w:tcPr>
          <w:p>
            <w:pPr>
              <w:spacing w:line="240" w:lineRule="auto" w:before="40" w:after="40"/>
              <w:jc w:val="center"/>
            </w:pPr>
            <w:r/>
            <w:r>
              <w:rPr>
                <w:b w:val="0"/>
                <w:i w:val="0"/>
                <w:sz w:val="20"/>
              </w:rPr>
              <w:t>2.3229</w:t>
            </w:r>
          </w:p>
        </w:tc>
        <w:tc>
          <w:tcPr>
            <w:tcW w:type="dxa" w:w="2592"/>
          </w:tcPr>
          <w:p>
            <w:pPr>
              <w:spacing w:line="240" w:lineRule="auto" w:before="40" w:after="40"/>
              <w:jc w:val="center"/>
            </w:pPr>
            <w:r/>
            <w:r>
              <w:rPr>
                <w:b w:val="0"/>
                <w:i w:val="0"/>
                <w:sz w:val="20"/>
              </w:rPr>
              <w:t>1.0743</w:t>
            </w:r>
          </w:p>
        </w:tc>
      </w:tr>
      <w:tr>
        <w:tc>
          <w:tcPr>
            <w:tcW w:type="dxa" w:w="3744"/>
            <w:shd w:val="clear" w:color="auto" w:fill="EFEFEF"/>
          </w:tcPr>
          <w:p>
            <w:pPr>
              <w:spacing w:line="240" w:lineRule="auto" w:before="40" w:after="40"/>
              <w:jc w:val="left"/>
            </w:pPr>
            <w:r/>
            <w:r>
              <w:rPr>
                <w:b w:val="0"/>
                <w:i/>
                <w:sz w:val="20"/>
              </w:rPr>
              <w:t>Deck Area</w:t>
            </w:r>
          </w:p>
        </w:tc>
        <w:tc>
          <w:tcPr>
            <w:tcW w:type="dxa" w:w="2304"/>
            <w:shd w:val="clear" w:color="auto" w:fill="EFEFEF"/>
          </w:tcPr>
          <w:p>
            <w:pPr>
              <w:spacing w:line="240" w:lineRule="auto" w:before="40" w:after="40"/>
              <w:jc w:val="center"/>
            </w:pPr>
            <w:r/>
            <w:r>
              <w:rPr>
                <w:b w:val="0"/>
                <w:i w:val="0"/>
                <w:sz w:val="20"/>
              </w:rPr>
              <w:t>44.3983</w:t>
            </w:r>
          </w:p>
        </w:tc>
        <w:tc>
          <w:tcPr>
            <w:tcW w:type="dxa" w:w="2592"/>
            <w:shd w:val="clear" w:color="auto" w:fill="EFEFEF"/>
          </w:tcPr>
          <w:p>
            <w:pPr>
              <w:spacing w:line="240" w:lineRule="auto" w:before="40" w:after="40"/>
              <w:jc w:val="center"/>
            </w:pPr>
            <w:r/>
            <w:r>
              <w:rPr>
                <w:b w:val="0"/>
                <w:i w:val="0"/>
                <w:sz w:val="20"/>
              </w:rPr>
              <w:t>removed</w:t>
            </w:r>
          </w:p>
        </w:tc>
      </w:tr>
      <w:tr>
        <w:tc>
          <w:tcPr>
            <w:tcW w:type="dxa" w:w="3744"/>
          </w:tcPr>
          <w:p>
            <w:pPr>
              <w:spacing w:line="240" w:lineRule="auto" w:before="40" w:after="40"/>
              <w:jc w:val="left"/>
            </w:pPr>
            <w:r/>
            <w:r>
              <w:rPr>
                <w:b w:val="0"/>
                <w:i/>
                <w:sz w:val="20"/>
              </w:rPr>
              <w:t>Span Length</w:t>
            </w:r>
          </w:p>
        </w:tc>
        <w:tc>
          <w:tcPr>
            <w:tcW w:type="dxa" w:w="2304"/>
          </w:tcPr>
          <w:p>
            <w:pPr>
              <w:spacing w:line="240" w:lineRule="auto" w:before="40" w:after="40"/>
              <w:jc w:val="center"/>
            </w:pPr>
            <w:r/>
            <w:r>
              <w:rPr>
                <w:b w:val="0"/>
                <w:i w:val="0"/>
                <w:sz w:val="20"/>
              </w:rPr>
              <w:t>10.4170</w:t>
            </w:r>
          </w:p>
        </w:tc>
        <w:tc>
          <w:tcPr>
            <w:tcW w:type="dxa" w:w="2592"/>
          </w:tcPr>
          <w:p>
            <w:pPr>
              <w:spacing w:line="240" w:lineRule="auto" w:before="40" w:after="40"/>
              <w:jc w:val="center"/>
            </w:pPr>
            <w:r/>
            <w:r>
              <w:rPr>
                <w:b w:val="0"/>
                <w:i w:val="0"/>
                <w:sz w:val="20"/>
              </w:rPr>
              <w:t>2.9914</w:t>
            </w:r>
          </w:p>
        </w:tc>
      </w:tr>
      <w:tr>
        <w:tc>
          <w:tcPr>
            <w:tcW w:type="dxa" w:w="3744"/>
            <w:shd w:val="clear" w:color="auto" w:fill="EFEFEF"/>
          </w:tcPr>
          <w:p>
            <w:pPr>
              <w:spacing w:line="240" w:lineRule="auto" w:before="40" w:after="40"/>
              <w:jc w:val="left"/>
            </w:pPr>
            <w:r/>
            <w:r>
              <w:rPr>
                <w:b w:val="0"/>
                <w:i/>
                <w:sz w:val="20"/>
              </w:rPr>
              <w:t>Pier Height</w:t>
            </w:r>
          </w:p>
        </w:tc>
        <w:tc>
          <w:tcPr>
            <w:tcW w:type="dxa" w:w="2304"/>
            <w:shd w:val="clear" w:color="auto" w:fill="EFEFEF"/>
          </w:tcPr>
          <w:p>
            <w:pPr>
              <w:spacing w:line="240" w:lineRule="auto" w:before="40" w:after="40"/>
              <w:jc w:val="center"/>
            </w:pPr>
            <w:r/>
            <w:r>
              <w:rPr>
                <w:b w:val="0"/>
                <w:i w:val="0"/>
                <w:sz w:val="20"/>
              </w:rPr>
              <w:t>1.8396</w:t>
            </w:r>
          </w:p>
        </w:tc>
        <w:tc>
          <w:tcPr>
            <w:tcW w:type="dxa" w:w="2592"/>
            <w:shd w:val="clear" w:color="auto" w:fill="EFEFEF"/>
          </w:tcPr>
          <w:p>
            <w:pPr>
              <w:spacing w:line="240" w:lineRule="auto" w:before="40" w:after="40"/>
              <w:jc w:val="center"/>
            </w:pPr>
            <w:r/>
            <w:r>
              <w:rPr>
                <w:b w:val="0"/>
                <w:i w:val="0"/>
                <w:sz w:val="20"/>
              </w:rPr>
              <w:t>1.8395</w:t>
            </w:r>
          </w:p>
        </w:tc>
      </w:tr>
      <w:tr>
        <w:tc>
          <w:tcPr>
            <w:tcW w:type="dxa" w:w="3744"/>
          </w:tcPr>
          <w:p>
            <w:pPr>
              <w:spacing w:line="240" w:lineRule="auto" w:before="40" w:after="40"/>
              <w:jc w:val="left"/>
            </w:pPr>
            <w:r/>
            <w:r>
              <w:rPr>
                <w:b w:val="0"/>
                <w:i/>
                <w:sz w:val="20"/>
              </w:rPr>
              <w:t>Abutment Height</w:t>
            </w:r>
          </w:p>
        </w:tc>
        <w:tc>
          <w:tcPr>
            <w:tcW w:type="dxa" w:w="2304"/>
          </w:tcPr>
          <w:p>
            <w:pPr>
              <w:spacing w:line="240" w:lineRule="auto" w:before="40" w:after="40"/>
              <w:jc w:val="center"/>
            </w:pPr>
            <w:r/>
            <w:r>
              <w:rPr>
                <w:b w:val="0"/>
                <w:i w:val="0"/>
                <w:sz w:val="20"/>
              </w:rPr>
              <w:t>1.4483</w:t>
            </w:r>
          </w:p>
        </w:tc>
        <w:tc>
          <w:tcPr>
            <w:tcW w:type="dxa" w:w="2592"/>
          </w:tcPr>
          <w:p>
            <w:pPr>
              <w:spacing w:line="240" w:lineRule="auto" w:before="40" w:after="40"/>
              <w:jc w:val="center"/>
            </w:pPr>
            <w:r/>
            <w:r>
              <w:rPr>
                <w:b w:val="0"/>
                <w:i w:val="0"/>
                <w:sz w:val="20"/>
              </w:rPr>
              <w:t>1.3780</w:t>
            </w:r>
          </w:p>
        </w:tc>
      </w:tr>
      <w:tr>
        <w:tc>
          <w:tcPr>
            <w:tcW w:type="dxa" w:w="3744"/>
            <w:shd w:val="clear" w:color="auto" w:fill="EFEFEF"/>
          </w:tcPr>
          <w:p>
            <w:pPr>
              <w:spacing w:line="240" w:lineRule="auto" w:before="40" w:after="40"/>
              <w:jc w:val="left"/>
            </w:pPr>
            <w:r/>
            <w:r>
              <w:rPr>
                <w:b w:val="0"/>
                <w:i/>
                <w:sz w:val="20"/>
              </w:rPr>
              <w:t>Superstructure Type Index</w:t>
            </w:r>
          </w:p>
        </w:tc>
        <w:tc>
          <w:tcPr>
            <w:tcW w:type="dxa" w:w="2304"/>
            <w:shd w:val="clear" w:color="auto" w:fill="EFEFEF"/>
          </w:tcPr>
          <w:p>
            <w:pPr>
              <w:spacing w:line="240" w:lineRule="auto" w:before="40" w:after="40"/>
              <w:jc w:val="center"/>
            </w:pPr>
            <w:r/>
            <w:r>
              <w:rPr>
                <w:b w:val="0"/>
                <w:i w:val="0"/>
                <w:sz w:val="20"/>
              </w:rPr>
              <w:t>12.1095</w:t>
            </w:r>
          </w:p>
        </w:tc>
        <w:tc>
          <w:tcPr>
            <w:tcW w:type="dxa" w:w="2592"/>
            <w:shd w:val="clear" w:color="auto" w:fill="EFEFEF"/>
          </w:tcPr>
          <w:p>
            <w:pPr>
              <w:spacing w:line="240" w:lineRule="auto" w:before="40" w:after="40"/>
              <w:jc w:val="center"/>
            </w:pPr>
            <w:r/>
            <w:r>
              <w:rPr>
                <w:b w:val="0"/>
                <w:i w:val="0"/>
                <w:sz w:val="20"/>
              </w:rPr>
              <w:t>removed</w:t>
            </w:r>
          </w:p>
        </w:tc>
      </w:tr>
      <w:tr>
        <w:tc>
          <w:tcPr>
            <w:tcW w:type="dxa" w:w="3744"/>
          </w:tcPr>
          <w:p>
            <w:pPr>
              <w:spacing w:line="240" w:lineRule="auto" w:before="40" w:after="40"/>
              <w:jc w:val="left"/>
            </w:pPr>
            <w:r/>
            <w:r>
              <w:rPr>
                <w:b w:val="0"/>
                <w:i/>
                <w:sz w:val="20"/>
              </w:rPr>
              <w:t>Foundation Type Index</w:t>
            </w:r>
          </w:p>
        </w:tc>
        <w:tc>
          <w:tcPr>
            <w:tcW w:type="dxa" w:w="2304"/>
          </w:tcPr>
          <w:p>
            <w:pPr>
              <w:spacing w:line="240" w:lineRule="auto" w:before="40" w:after="40"/>
              <w:jc w:val="center"/>
            </w:pPr>
            <w:r/>
            <w:r>
              <w:rPr>
                <w:b w:val="0"/>
                <w:i w:val="0"/>
                <w:sz w:val="20"/>
              </w:rPr>
              <w:t>3.5079</w:t>
            </w:r>
          </w:p>
        </w:tc>
        <w:tc>
          <w:tcPr>
            <w:tcW w:type="dxa" w:w="2592"/>
          </w:tcPr>
          <w:p>
            <w:pPr>
              <w:spacing w:line="240" w:lineRule="auto" w:before="40" w:after="40"/>
              <w:jc w:val="center"/>
            </w:pPr>
            <w:r/>
            <w:r>
              <w:rPr>
                <w:b w:val="0"/>
                <w:i w:val="0"/>
                <w:sz w:val="20"/>
              </w:rPr>
              <w:t>3.3669</w:t>
            </w:r>
          </w:p>
        </w:tc>
      </w:tr>
      <w:tr>
        <w:tc>
          <w:tcPr>
            <w:tcW w:type="dxa" w:w="3744"/>
            <w:shd w:val="clear" w:color="auto" w:fill="EFEFEF"/>
          </w:tcPr>
          <w:p>
            <w:pPr>
              <w:spacing w:line="240" w:lineRule="auto" w:before="40" w:after="40"/>
              <w:jc w:val="left"/>
            </w:pPr>
            <w:r/>
            <w:r>
              <w:rPr>
                <w:b w:val="0"/>
                <w:i/>
                <w:sz w:val="20"/>
              </w:rPr>
              <w:t>Pile Length</w:t>
            </w:r>
          </w:p>
        </w:tc>
        <w:tc>
          <w:tcPr>
            <w:tcW w:type="dxa" w:w="2304"/>
            <w:shd w:val="clear" w:color="auto" w:fill="EFEFEF"/>
          </w:tcPr>
          <w:p>
            <w:pPr>
              <w:spacing w:line="240" w:lineRule="auto" w:before="40" w:after="40"/>
              <w:jc w:val="center"/>
            </w:pPr>
            <w:r/>
            <w:r>
              <w:rPr>
                <w:b w:val="0"/>
                <w:i w:val="0"/>
                <w:sz w:val="20"/>
              </w:rPr>
              <w:t>2.5744</w:t>
            </w:r>
          </w:p>
        </w:tc>
        <w:tc>
          <w:tcPr>
            <w:tcW w:type="dxa" w:w="2592"/>
            <w:shd w:val="clear" w:color="auto" w:fill="EFEFEF"/>
          </w:tcPr>
          <w:p>
            <w:pPr>
              <w:spacing w:line="240" w:lineRule="auto" w:before="40" w:after="40"/>
              <w:jc w:val="center"/>
            </w:pPr>
            <w:r/>
            <w:r>
              <w:rPr>
                <w:b w:val="0"/>
                <w:i w:val="0"/>
                <w:sz w:val="20"/>
              </w:rPr>
              <w:t>2.5213</w:t>
            </w:r>
          </w:p>
        </w:tc>
      </w:tr>
      <w:tr>
        <w:tc>
          <w:tcPr>
            <w:tcW w:type="dxa" w:w="3744"/>
          </w:tcPr>
          <w:p>
            <w:pPr>
              <w:spacing w:line="240" w:lineRule="auto" w:before="40" w:after="40"/>
              <w:jc w:val="left"/>
            </w:pPr>
            <w:r/>
            <w:r>
              <w:rPr>
                <w:b w:val="0"/>
                <w:i/>
                <w:sz w:val="20"/>
              </w:rPr>
              <w:t>Location Factor</w:t>
            </w:r>
          </w:p>
        </w:tc>
        <w:tc>
          <w:tcPr>
            <w:tcW w:type="dxa" w:w="2304"/>
          </w:tcPr>
          <w:p>
            <w:pPr>
              <w:spacing w:line="240" w:lineRule="auto" w:before="40" w:after="40"/>
              <w:jc w:val="center"/>
            </w:pPr>
            <w:r/>
            <w:r>
              <w:rPr>
                <w:b w:val="0"/>
                <w:i w:val="0"/>
                <w:sz w:val="20"/>
              </w:rPr>
              <w:t>1.1048</w:t>
            </w:r>
          </w:p>
        </w:tc>
        <w:tc>
          <w:tcPr>
            <w:tcW w:type="dxa" w:w="2592"/>
          </w:tcPr>
          <w:p>
            <w:pPr>
              <w:spacing w:line="240" w:lineRule="auto" w:before="40" w:after="40"/>
              <w:jc w:val="center"/>
            </w:pPr>
            <w:r/>
            <w:r>
              <w:rPr>
                <w:b w:val="0"/>
                <w:i w:val="0"/>
                <w:sz w:val="20"/>
              </w:rPr>
              <w:t>1.0836</w:t>
            </w:r>
          </w:p>
        </w:tc>
      </w:tr>
      <w:tr>
        <w:tc>
          <w:tcPr>
            <w:tcW w:type="dxa" w:w="3744"/>
            <w:shd w:val="clear" w:color="auto" w:fill="EFEFEF"/>
            <w:tcBorders>
              <w:bottom w:val="single" w:sz="12" w:color="000000"/>
            </w:tcBorders>
          </w:tcPr>
          <w:p>
            <w:pPr>
              <w:spacing w:line="240" w:lineRule="auto" w:before="40" w:after="40"/>
              <w:jc w:val="left"/>
            </w:pPr>
            <w:r/>
            <w:r>
              <w:rPr>
                <w:b w:val="0"/>
                <w:i/>
                <w:sz w:val="20"/>
              </w:rPr>
              <w:t>Cost Index (Year)</w:t>
            </w:r>
          </w:p>
        </w:tc>
        <w:tc>
          <w:tcPr>
            <w:tcW w:type="dxa" w:w="2304"/>
            <w:shd w:val="clear" w:color="auto" w:fill="EFEFEF"/>
            <w:tcBorders>
              <w:bottom w:val="single" w:sz="12" w:color="000000"/>
            </w:tcBorders>
          </w:tcPr>
          <w:p>
            <w:pPr>
              <w:spacing w:line="240" w:lineRule="auto" w:before="40" w:after="40"/>
              <w:jc w:val="center"/>
            </w:pPr>
            <w:r/>
            <w:r>
              <w:rPr>
                <w:b w:val="0"/>
                <w:i w:val="0"/>
                <w:sz w:val="20"/>
              </w:rPr>
              <w:t>1.0237</w:t>
            </w:r>
          </w:p>
        </w:tc>
        <w:tc>
          <w:tcPr>
            <w:tcW w:type="dxa" w:w="2592"/>
            <w:shd w:val="clear" w:color="auto" w:fill="EFEFEF"/>
            <w:tcBorders>
              <w:bottom w:val="single" w:sz="12" w:color="000000"/>
            </w:tcBorders>
          </w:tcPr>
          <w:p>
            <w:pPr>
              <w:spacing w:line="240" w:lineRule="auto" w:before="40" w:after="40"/>
              <w:jc w:val="center"/>
            </w:pPr>
            <w:r/>
            <w:r>
              <w:rPr>
                <w:b w:val="0"/>
                <w:i w:val="0"/>
                <w:sz w:val="20"/>
              </w:rPr>
              <w:t>1.0115</w:t>
            </w:r>
          </w:p>
        </w:tc>
      </w:tr>
    </w:tbl>
    <w:p>
      <w:pPr>
        <w:spacing w:line="240" w:lineRule="auto" w:after="80"/>
      </w:pPr>
    </w:p>
    <w:p>
      <w:pPr>
        <w:spacing w:line="480" w:lineRule="auto" w:after="0"/>
        <w:ind w:firstLine="720"/>
        <w:jc w:val="both"/>
      </w:pPr>
      <w:r>
        <w:rPr>
          <w:b w:val="0"/>
          <w:i w:val="0"/>
        </w:rPr>
        <w:t>For bridges (Table 15), total length (44.44) and deck area (44.40) showed severe multicollinearity, structurally expected because deck area is total length times deck width, the same pattern CORA found between road length and pavement area (Buban, 2026). Superstructure type (12.11) was also collinear with span length because span determines the girder system. Removing Deck Area and Superstructure Type Index brought every VIF to 3.42 or below.</w:t>
      </w:r>
    </w:p>
    <w:p>
      <w:pPr>
        <w:keepNext/>
        <w:spacing w:line="240" w:lineRule="auto" w:after="0" w:before="120"/>
        <w:jc w:val="left"/>
      </w:pPr>
      <w:r>
        <w:rPr>
          <w:b/>
          <w:i w:val="0"/>
        </w:rPr>
        <w:t>Table 16.</w:t>
      </w:r>
    </w:p>
    <w:p>
      <w:pPr>
        <w:keepNext/>
        <w:spacing w:line="240" w:lineRule="auto" w:after="0"/>
        <w:jc w:val="left"/>
      </w:pPr>
      <w:r>
        <w:rPr>
          <w:b w:val="0"/>
          <w:i/>
        </w:rPr>
        <w:t>Ordinary Least Squares Results for Buildings</w:t>
      </w:r>
    </w:p>
    <w:tbl>
      <w:tblPr>
        <w:tblW w:type="auto" w:w="0"/>
        <w:jc w:val="center"/>
        <w:tblLayout w:type="fixed"/>
        <w:tblLook w:firstColumn="1" w:firstRow="1" w:lastColumn="0" w:lastRow="0" w:noHBand="0" w:noVBand="1" w:val="04A0"/>
        <w:tblLayout w:type="fixed"/>
      </w:tblPr>
      <w:tblGrid>
        <w:gridCol w:w="2304"/>
        <w:gridCol w:w="1440"/>
        <w:gridCol w:w="1296"/>
        <w:gridCol w:w="864"/>
        <w:gridCol w:w="1007"/>
        <w:gridCol w:w="1296"/>
        <w:gridCol w:w="1296"/>
      </w:tblGrid>
      <w:tr>
        <w:tc>
          <w:tcPr>
            <w:tcW w:type="dxa" w:w="2304"/>
            <w:tcBorders>
              <w:top w:val="single" w:sz="12" w:color="000000"/>
              <w:bottom w:val="single" w:sz="8" w:color="000000"/>
            </w:tcBorders>
          </w:tcPr>
          <w:p>
            <w:pPr>
              <w:spacing w:line="240" w:lineRule="auto" w:before="40" w:after="40"/>
              <w:jc w:val="center"/>
            </w:pPr>
            <w:r/>
            <w:r>
              <w:rPr>
                <w:b/>
                <w:i w:val="0"/>
                <w:sz w:val="17"/>
              </w:rPr>
              <w:t>VARIABLE</w:t>
            </w:r>
          </w:p>
        </w:tc>
        <w:tc>
          <w:tcPr>
            <w:tcW w:type="dxa" w:w="1440"/>
            <w:tcBorders>
              <w:top w:val="single" w:sz="12" w:color="000000"/>
              <w:bottom w:val="single" w:sz="8" w:color="000000"/>
            </w:tcBorders>
          </w:tcPr>
          <w:p>
            <w:pPr>
              <w:spacing w:line="240" w:lineRule="auto" w:before="40" w:after="40"/>
              <w:jc w:val="center"/>
            </w:pPr>
            <w:r/>
            <w:r>
              <w:rPr>
                <w:b/>
                <w:i w:val="0"/>
                <w:sz w:val="17"/>
              </w:rPr>
              <w:t>COEFFICIENT</w:t>
            </w:r>
          </w:p>
        </w:tc>
        <w:tc>
          <w:tcPr>
            <w:tcW w:type="dxa" w:w="1296"/>
            <w:tcBorders>
              <w:top w:val="single" w:sz="12" w:color="000000"/>
              <w:bottom w:val="single" w:sz="8" w:color="000000"/>
            </w:tcBorders>
          </w:tcPr>
          <w:p>
            <w:pPr>
              <w:spacing w:line="240" w:lineRule="auto" w:before="40" w:after="40"/>
              <w:jc w:val="center"/>
            </w:pPr>
            <w:r/>
            <w:r>
              <w:rPr>
                <w:b/>
                <w:i w:val="0"/>
                <w:sz w:val="17"/>
              </w:rPr>
              <w:t>STD. ERROR</w:t>
            </w:r>
          </w:p>
        </w:tc>
        <w:tc>
          <w:tcPr>
            <w:tcW w:type="dxa" w:w="864"/>
            <w:tcBorders>
              <w:top w:val="single" w:sz="12" w:color="000000"/>
              <w:bottom w:val="single" w:sz="8" w:color="000000"/>
            </w:tcBorders>
          </w:tcPr>
          <w:p>
            <w:pPr>
              <w:spacing w:line="240" w:lineRule="auto" w:before="40" w:after="40"/>
              <w:jc w:val="center"/>
            </w:pPr>
            <w:r/>
            <w:r>
              <w:rPr>
                <w:b/>
                <w:i w:val="0"/>
                <w:sz w:val="17"/>
              </w:rPr>
              <w:t>t</w:t>
            </w:r>
          </w:p>
        </w:tc>
        <w:tc>
          <w:tcPr>
            <w:tcW w:type="dxa" w:w="1008"/>
            <w:tcBorders>
              <w:top w:val="single" w:sz="12" w:color="000000"/>
              <w:bottom w:val="single" w:sz="8" w:color="000000"/>
            </w:tcBorders>
          </w:tcPr>
          <w:p>
            <w:pPr>
              <w:spacing w:line="240" w:lineRule="auto" w:before="40" w:after="40"/>
              <w:jc w:val="center"/>
            </w:pPr>
            <w:r/>
            <w:r>
              <w:rPr>
                <w:b/>
                <w:i w:val="0"/>
                <w:sz w:val="17"/>
              </w:rPr>
              <w:t>P &gt; |t|</w:t>
            </w:r>
          </w:p>
        </w:tc>
        <w:tc>
          <w:tcPr>
            <w:tcW w:type="dxa" w:w="1296"/>
            <w:tcBorders>
              <w:top w:val="single" w:sz="12" w:color="000000"/>
              <w:bottom w:val="single" w:sz="8" w:color="000000"/>
            </w:tcBorders>
          </w:tcPr>
          <w:p>
            <w:pPr>
              <w:spacing w:line="240" w:lineRule="auto" w:before="40" w:after="40"/>
              <w:jc w:val="center"/>
            </w:pPr>
            <w:r/>
            <w:r>
              <w:rPr>
                <w:b/>
                <w:i w:val="0"/>
                <w:sz w:val="17"/>
              </w:rPr>
              <w:t>[0.025</w:t>
            </w:r>
          </w:p>
        </w:tc>
        <w:tc>
          <w:tcPr>
            <w:tcW w:type="dxa" w:w="1296"/>
            <w:tcBorders>
              <w:top w:val="single" w:sz="12" w:color="000000"/>
              <w:bottom w:val="single" w:sz="8" w:color="000000"/>
            </w:tcBorders>
          </w:tcPr>
          <w:p>
            <w:pPr>
              <w:spacing w:line="240" w:lineRule="auto" w:before="40" w:after="40"/>
              <w:jc w:val="center"/>
            </w:pPr>
            <w:r/>
            <w:r>
              <w:rPr>
                <w:b/>
                <w:i w:val="0"/>
                <w:sz w:val="17"/>
              </w:rPr>
              <w:t>0.975]</w:t>
            </w:r>
          </w:p>
        </w:tc>
      </w:tr>
      <w:tr>
        <w:tc>
          <w:tcPr>
            <w:tcW w:type="dxa" w:w="2304"/>
            <w:shd w:val="clear" w:color="auto" w:fill="EFEFEF"/>
          </w:tcPr>
          <w:p>
            <w:pPr>
              <w:spacing w:line="240" w:lineRule="auto" w:before="40" w:after="40"/>
              <w:jc w:val="left"/>
            </w:pPr>
            <w:r/>
            <w:r>
              <w:rPr>
                <w:b w:val="0"/>
                <w:i/>
                <w:sz w:val="17"/>
              </w:rPr>
              <w:t>Constant</w:t>
            </w:r>
          </w:p>
        </w:tc>
        <w:tc>
          <w:tcPr>
            <w:tcW w:type="dxa" w:w="1440"/>
            <w:shd w:val="clear" w:color="auto" w:fill="EFEFEF"/>
          </w:tcPr>
          <w:p>
            <w:pPr>
              <w:spacing w:line="240" w:lineRule="auto" w:before="40" w:after="40"/>
              <w:jc w:val="center"/>
            </w:pPr>
            <w:r/>
            <w:r>
              <w:rPr>
                <w:b w:val="0"/>
                <w:i w:val="0"/>
                <w:sz w:val="17"/>
              </w:rPr>
              <w:t>-46,114,581</w:t>
            </w:r>
          </w:p>
        </w:tc>
        <w:tc>
          <w:tcPr>
            <w:tcW w:type="dxa" w:w="1296"/>
            <w:shd w:val="clear" w:color="auto" w:fill="EFEFEF"/>
          </w:tcPr>
          <w:p>
            <w:pPr>
              <w:spacing w:line="240" w:lineRule="auto" w:before="40" w:after="40"/>
              <w:jc w:val="center"/>
            </w:pPr>
            <w:r/>
            <w:r>
              <w:rPr>
                <w:b w:val="0"/>
                <w:i w:val="0"/>
                <w:sz w:val="17"/>
              </w:rPr>
              <w:t>11,702,924</w:t>
            </w:r>
          </w:p>
        </w:tc>
        <w:tc>
          <w:tcPr>
            <w:tcW w:type="dxa" w:w="864"/>
            <w:shd w:val="clear" w:color="auto" w:fill="EFEFEF"/>
          </w:tcPr>
          <w:p>
            <w:pPr>
              <w:spacing w:line="240" w:lineRule="auto" w:before="40" w:after="40"/>
              <w:jc w:val="center"/>
            </w:pPr>
            <w:r/>
            <w:r>
              <w:rPr>
                <w:b w:val="0"/>
                <w:i w:val="0"/>
                <w:sz w:val="17"/>
              </w:rPr>
              <w:t>-3.940</w:t>
            </w:r>
          </w:p>
        </w:tc>
        <w:tc>
          <w:tcPr>
            <w:tcW w:type="dxa" w:w="1008"/>
            <w:shd w:val="clear" w:color="auto" w:fill="EFEFEF"/>
          </w:tcPr>
          <w:p>
            <w:pPr>
              <w:spacing w:line="240" w:lineRule="auto" w:before="40" w:after="40"/>
              <w:jc w:val="center"/>
            </w:pPr>
            <w:r/>
            <w:r>
              <w:rPr>
                <w:b w:val="0"/>
                <w:i w:val="0"/>
                <w:sz w:val="17"/>
              </w:rPr>
              <w:t>&lt;0.001*</w:t>
            </w:r>
          </w:p>
        </w:tc>
        <w:tc>
          <w:tcPr>
            <w:tcW w:type="dxa" w:w="1296"/>
            <w:shd w:val="clear" w:color="auto" w:fill="EFEFEF"/>
          </w:tcPr>
          <w:p>
            <w:pPr>
              <w:spacing w:line="240" w:lineRule="auto" w:before="40" w:after="40"/>
              <w:jc w:val="center"/>
            </w:pPr>
            <w:r/>
            <w:r>
              <w:rPr>
                <w:b w:val="0"/>
                <w:i w:val="0"/>
                <w:sz w:val="17"/>
              </w:rPr>
              <w:t>-69,238,450</w:t>
            </w:r>
          </w:p>
        </w:tc>
        <w:tc>
          <w:tcPr>
            <w:tcW w:type="dxa" w:w="1296"/>
            <w:shd w:val="clear" w:color="auto" w:fill="EFEFEF"/>
          </w:tcPr>
          <w:p>
            <w:pPr>
              <w:spacing w:line="240" w:lineRule="auto" w:before="40" w:after="40"/>
              <w:jc w:val="center"/>
            </w:pPr>
            <w:r/>
            <w:r>
              <w:rPr>
                <w:b w:val="0"/>
                <w:i w:val="0"/>
                <w:sz w:val="17"/>
              </w:rPr>
              <w:t>-22,990,711</w:t>
            </w:r>
          </w:p>
        </w:tc>
      </w:tr>
      <w:tr>
        <w:tc>
          <w:tcPr>
            <w:tcW w:type="dxa" w:w="2304"/>
          </w:tcPr>
          <w:p>
            <w:pPr>
              <w:spacing w:line="240" w:lineRule="auto" w:before="40" w:after="40"/>
              <w:jc w:val="left"/>
            </w:pPr>
            <w:r/>
            <w:r>
              <w:rPr>
                <w:b w:val="0"/>
                <w:i/>
                <w:sz w:val="17"/>
              </w:rPr>
              <w:t>Gross Floor Area</w:t>
            </w:r>
          </w:p>
        </w:tc>
        <w:tc>
          <w:tcPr>
            <w:tcW w:type="dxa" w:w="1440"/>
          </w:tcPr>
          <w:p>
            <w:pPr>
              <w:spacing w:line="240" w:lineRule="auto" w:before="40" w:after="40"/>
              <w:jc w:val="center"/>
            </w:pPr>
            <w:r/>
            <w:r>
              <w:rPr>
                <w:b w:val="0"/>
                <w:i w:val="0"/>
                <w:sz w:val="17"/>
              </w:rPr>
              <w:t>20,379</w:t>
            </w:r>
          </w:p>
        </w:tc>
        <w:tc>
          <w:tcPr>
            <w:tcW w:type="dxa" w:w="1296"/>
          </w:tcPr>
          <w:p>
            <w:pPr>
              <w:spacing w:line="240" w:lineRule="auto" w:before="40" w:after="40"/>
              <w:jc w:val="center"/>
            </w:pPr>
            <w:r/>
            <w:r>
              <w:rPr>
                <w:b w:val="0"/>
                <w:i w:val="0"/>
                <w:sz w:val="17"/>
              </w:rPr>
              <w:t>2,347</w:t>
            </w:r>
          </w:p>
        </w:tc>
        <w:tc>
          <w:tcPr>
            <w:tcW w:type="dxa" w:w="864"/>
          </w:tcPr>
          <w:p>
            <w:pPr>
              <w:spacing w:line="240" w:lineRule="auto" w:before="40" w:after="40"/>
              <w:jc w:val="center"/>
            </w:pPr>
            <w:r/>
            <w:r>
              <w:rPr>
                <w:b w:val="0"/>
                <w:i w:val="0"/>
                <w:sz w:val="17"/>
              </w:rPr>
              <w:t>8.683</w:t>
            </w:r>
          </w:p>
        </w:tc>
        <w:tc>
          <w:tcPr>
            <w:tcW w:type="dxa" w:w="1008"/>
          </w:tcPr>
          <w:p>
            <w:pPr>
              <w:spacing w:line="240" w:lineRule="auto" w:before="40" w:after="40"/>
              <w:jc w:val="center"/>
            </w:pPr>
            <w:r/>
            <w:r>
              <w:rPr>
                <w:b w:val="0"/>
                <w:i w:val="0"/>
                <w:sz w:val="17"/>
              </w:rPr>
              <w:t>&lt;0.001*</w:t>
            </w:r>
          </w:p>
        </w:tc>
        <w:tc>
          <w:tcPr>
            <w:tcW w:type="dxa" w:w="1296"/>
          </w:tcPr>
          <w:p>
            <w:pPr>
              <w:spacing w:line="240" w:lineRule="auto" w:before="40" w:after="40"/>
              <w:jc w:val="center"/>
            </w:pPr>
            <w:r/>
            <w:r>
              <w:rPr>
                <w:b w:val="0"/>
                <w:i w:val="0"/>
                <w:sz w:val="17"/>
              </w:rPr>
              <w:t>15,741</w:t>
            </w:r>
          </w:p>
        </w:tc>
        <w:tc>
          <w:tcPr>
            <w:tcW w:type="dxa" w:w="1296"/>
          </w:tcPr>
          <w:p>
            <w:pPr>
              <w:spacing w:line="240" w:lineRule="auto" w:before="40" w:after="40"/>
              <w:jc w:val="center"/>
            </w:pPr>
            <w:r/>
            <w:r>
              <w:rPr>
                <w:b w:val="0"/>
                <w:i w:val="0"/>
                <w:sz w:val="17"/>
              </w:rPr>
              <w:t>25,016</w:t>
            </w:r>
          </w:p>
        </w:tc>
      </w:tr>
      <w:tr>
        <w:tc>
          <w:tcPr>
            <w:tcW w:type="dxa" w:w="2304"/>
            <w:shd w:val="clear" w:color="auto" w:fill="EFEFEF"/>
          </w:tcPr>
          <w:p>
            <w:pPr>
              <w:spacing w:line="240" w:lineRule="auto" w:before="40" w:after="40"/>
              <w:jc w:val="left"/>
            </w:pPr>
            <w:r/>
            <w:r>
              <w:rPr>
                <w:b w:val="0"/>
                <w:i/>
                <w:sz w:val="17"/>
              </w:rPr>
              <w:t>Footprint Area</w:t>
            </w:r>
          </w:p>
        </w:tc>
        <w:tc>
          <w:tcPr>
            <w:tcW w:type="dxa" w:w="1440"/>
            <w:shd w:val="clear" w:color="auto" w:fill="EFEFEF"/>
          </w:tcPr>
          <w:p>
            <w:pPr>
              <w:spacing w:line="240" w:lineRule="auto" w:before="40" w:after="40"/>
              <w:jc w:val="center"/>
            </w:pPr>
            <w:r/>
            <w:r>
              <w:rPr>
                <w:b w:val="0"/>
                <w:i w:val="0"/>
                <w:sz w:val="17"/>
              </w:rPr>
              <w:t>8,496</w:t>
            </w:r>
          </w:p>
        </w:tc>
        <w:tc>
          <w:tcPr>
            <w:tcW w:type="dxa" w:w="1296"/>
            <w:shd w:val="clear" w:color="auto" w:fill="EFEFEF"/>
          </w:tcPr>
          <w:p>
            <w:pPr>
              <w:spacing w:line="240" w:lineRule="auto" w:before="40" w:after="40"/>
              <w:jc w:val="center"/>
            </w:pPr>
            <w:r/>
            <w:r>
              <w:rPr>
                <w:b w:val="0"/>
                <w:i w:val="0"/>
                <w:sz w:val="17"/>
              </w:rPr>
              <w:t>3,791</w:t>
            </w:r>
          </w:p>
        </w:tc>
        <w:tc>
          <w:tcPr>
            <w:tcW w:type="dxa" w:w="864"/>
            <w:shd w:val="clear" w:color="auto" w:fill="EFEFEF"/>
          </w:tcPr>
          <w:p>
            <w:pPr>
              <w:spacing w:line="240" w:lineRule="auto" w:before="40" w:after="40"/>
              <w:jc w:val="center"/>
            </w:pPr>
            <w:r/>
            <w:r>
              <w:rPr>
                <w:b w:val="0"/>
                <w:i w:val="0"/>
                <w:sz w:val="17"/>
              </w:rPr>
              <w:t>2.241</w:t>
            </w:r>
          </w:p>
        </w:tc>
        <w:tc>
          <w:tcPr>
            <w:tcW w:type="dxa" w:w="1008"/>
            <w:shd w:val="clear" w:color="auto" w:fill="EFEFEF"/>
          </w:tcPr>
          <w:p>
            <w:pPr>
              <w:spacing w:line="240" w:lineRule="auto" w:before="40" w:after="40"/>
              <w:jc w:val="center"/>
            </w:pPr>
            <w:r/>
            <w:r>
              <w:rPr>
                <w:b w:val="0"/>
                <w:i w:val="0"/>
                <w:sz w:val="17"/>
              </w:rPr>
              <w:t>0.027*</w:t>
            </w:r>
          </w:p>
        </w:tc>
        <w:tc>
          <w:tcPr>
            <w:tcW w:type="dxa" w:w="1296"/>
            <w:shd w:val="clear" w:color="auto" w:fill="EFEFEF"/>
          </w:tcPr>
          <w:p>
            <w:pPr>
              <w:spacing w:line="240" w:lineRule="auto" w:before="40" w:after="40"/>
              <w:jc w:val="center"/>
            </w:pPr>
            <w:r/>
            <w:r>
              <w:rPr>
                <w:b w:val="0"/>
                <w:i w:val="0"/>
                <w:sz w:val="17"/>
              </w:rPr>
              <w:t>1,004</w:t>
            </w:r>
          </w:p>
        </w:tc>
        <w:tc>
          <w:tcPr>
            <w:tcW w:type="dxa" w:w="1296"/>
            <w:shd w:val="clear" w:color="auto" w:fill="EFEFEF"/>
          </w:tcPr>
          <w:p>
            <w:pPr>
              <w:spacing w:line="240" w:lineRule="auto" w:before="40" w:after="40"/>
              <w:jc w:val="center"/>
            </w:pPr>
            <w:r/>
            <w:r>
              <w:rPr>
                <w:b w:val="0"/>
                <w:i w:val="0"/>
                <w:sz w:val="17"/>
              </w:rPr>
              <w:t>15,988</w:t>
            </w:r>
          </w:p>
        </w:tc>
      </w:tr>
      <w:tr>
        <w:tc>
          <w:tcPr>
            <w:tcW w:type="dxa" w:w="2304"/>
          </w:tcPr>
          <w:p>
            <w:pPr>
              <w:spacing w:line="240" w:lineRule="auto" w:before="40" w:after="40"/>
              <w:jc w:val="left"/>
            </w:pPr>
            <w:r/>
            <w:r>
              <w:rPr>
                <w:b w:val="0"/>
                <w:i/>
                <w:sz w:val="17"/>
              </w:rPr>
              <w:t>Number of Storeys</w:t>
            </w:r>
          </w:p>
        </w:tc>
        <w:tc>
          <w:tcPr>
            <w:tcW w:type="dxa" w:w="1440"/>
          </w:tcPr>
          <w:p>
            <w:pPr>
              <w:spacing w:line="240" w:lineRule="auto" w:before="40" w:after="40"/>
              <w:jc w:val="center"/>
            </w:pPr>
            <w:r/>
            <w:r>
              <w:rPr>
                <w:b w:val="0"/>
                <w:i w:val="0"/>
                <w:sz w:val="17"/>
              </w:rPr>
              <w:t>1,260,755</w:t>
            </w:r>
          </w:p>
        </w:tc>
        <w:tc>
          <w:tcPr>
            <w:tcW w:type="dxa" w:w="1296"/>
          </w:tcPr>
          <w:p>
            <w:pPr>
              <w:spacing w:line="240" w:lineRule="auto" w:before="40" w:after="40"/>
              <w:jc w:val="center"/>
            </w:pPr>
            <w:r/>
            <w:r>
              <w:rPr>
                <w:b w:val="0"/>
                <w:i w:val="0"/>
                <w:sz w:val="17"/>
              </w:rPr>
              <w:t>865,717</w:t>
            </w:r>
          </w:p>
        </w:tc>
        <w:tc>
          <w:tcPr>
            <w:tcW w:type="dxa" w:w="864"/>
          </w:tcPr>
          <w:p>
            <w:pPr>
              <w:spacing w:line="240" w:lineRule="auto" w:before="40" w:after="40"/>
              <w:jc w:val="center"/>
            </w:pPr>
            <w:r/>
            <w:r>
              <w:rPr>
                <w:b w:val="0"/>
                <w:i w:val="0"/>
                <w:sz w:val="17"/>
              </w:rPr>
              <w:t>1.456</w:t>
            </w:r>
          </w:p>
        </w:tc>
        <w:tc>
          <w:tcPr>
            <w:tcW w:type="dxa" w:w="1008"/>
          </w:tcPr>
          <w:p>
            <w:pPr>
              <w:spacing w:line="240" w:lineRule="auto" w:before="40" w:after="40"/>
              <w:jc w:val="center"/>
            </w:pPr>
            <w:r/>
            <w:r>
              <w:rPr>
                <w:b w:val="0"/>
                <w:i w:val="0"/>
                <w:sz w:val="17"/>
              </w:rPr>
              <w:t>0.147</w:t>
            </w:r>
          </w:p>
        </w:tc>
        <w:tc>
          <w:tcPr>
            <w:tcW w:type="dxa" w:w="1296"/>
          </w:tcPr>
          <w:p>
            <w:pPr>
              <w:spacing w:line="240" w:lineRule="auto" w:before="40" w:after="40"/>
              <w:jc w:val="center"/>
            </w:pPr>
            <w:r/>
            <w:r>
              <w:rPr>
                <w:b w:val="0"/>
                <w:i w:val="0"/>
                <w:sz w:val="17"/>
              </w:rPr>
              <w:t>-449,820</w:t>
            </w:r>
          </w:p>
        </w:tc>
        <w:tc>
          <w:tcPr>
            <w:tcW w:type="dxa" w:w="1296"/>
          </w:tcPr>
          <w:p>
            <w:pPr>
              <w:spacing w:line="240" w:lineRule="auto" w:before="40" w:after="40"/>
              <w:jc w:val="center"/>
            </w:pPr>
            <w:r/>
            <w:r>
              <w:rPr>
                <w:b w:val="0"/>
                <w:i w:val="0"/>
                <w:sz w:val="17"/>
              </w:rPr>
              <w:t>2,971,330</w:t>
            </w:r>
          </w:p>
        </w:tc>
      </w:tr>
      <w:tr>
        <w:tc>
          <w:tcPr>
            <w:tcW w:type="dxa" w:w="2304"/>
            <w:shd w:val="clear" w:color="auto" w:fill="EFEFEF"/>
          </w:tcPr>
          <w:p>
            <w:pPr>
              <w:spacing w:line="240" w:lineRule="auto" w:before="40" w:after="40"/>
              <w:jc w:val="left"/>
            </w:pPr>
            <w:r/>
            <w:r>
              <w:rPr>
                <w:b w:val="0"/>
                <w:i/>
                <w:sz w:val="17"/>
              </w:rPr>
              <w:t>Structural Span</w:t>
            </w:r>
          </w:p>
        </w:tc>
        <w:tc>
          <w:tcPr>
            <w:tcW w:type="dxa" w:w="1440"/>
            <w:shd w:val="clear" w:color="auto" w:fill="EFEFEF"/>
          </w:tcPr>
          <w:p>
            <w:pPr>
              <w:spacing w:line="240" w:lineRule="auto" w:before="40" w:after="40"/>
              <w:jc w:val="center"/>
            </w:pPr>
            <w:r/>
            <w:r>
              <w:rPr>
                <w:b w:val="0"/>
                <w:i w:val="0"/>
                <w:sz w:val="17"/>
              </w:rPr>
              <w:t>126,306</w:t>
            </w:r>
          </w:p>
        </w:tc>
        <w:tc>
          <w:tcPr>
            <w:tcW w:type="dxa" w:w="1296"/>
            <w:shd w:val="clear" w:color="auto" w:fill="EFEFEF"/>
          </w:tcPr>
          <w:p>
            <w:pPr>
              <w:spacing w:line="240" w:lineRule="auto" w:before="40" w:after="40"/>
              <w:jc w:val="center"/>
            </w:pPr>
            <w:r/>
            <w:r>
              <w:rPr>
                <w:b w:val="0"/>
                <w:i w:val="0"/>
                <w:sz w:val="17"/>
              </w:rPr>
              <w:t>202,355</w:t>
            </w:r>
          </w:p>
        </w:tc>
        <w:tc>
          <w:tcPr>
            <w:tcW w:type="dxa" w:w="864"/>
            <w:shd w:val="clear" w:color="auto" w:fill="EFEFEF"/>
          </w:tcPr>
          <w:p>
            <w:pPr>
              <w:spacing w:line="240" w:lineRule="auto" w:before="40" w:after="40"/>
              <w:jc w:val="center"/>
            </w:pPr>
            <w:r/>
            <w:r>
              <w:rPr>
                <w:b w:val="0"/>
                <w:i w:val="0"/>
                <w:sz w:val="17"/>
              </w:rPr>
              <w:t>0.624</w:t>
            </w:r>
          </w:p>
        </w:tc>
        <w:tc>
          <w:tcPr>
            <w:tcW w:type="dxa" w:w="1008"/>
            <w:shd w:val="clear" w:color="auto" w:fill="EFEFEF"/>
          </w:tcPr>
          <w:p>
            <w:pPr>
              <w:spacing w:line="240" w:lineRule="auto" w:before="40" w:after="40"/>
              <w:jc w:val="center"/>
            </w:pPr>
            <w:r/>
            <w:r>
              <w:rPr>
                <w:b w:val="0"/>
                <w:i w:val="0"/>
                <w:sz w:val="17"/>
              </w:rPr>
              <w:t>0.533</w:t>
            </w:r>
          </w:p>
        </w:tc>
        <w:tc>
          <w:tcPr>
            <w:tcW w:type="dxa" w:w="1296"/>
            <w:shd w:val="clear" w:color="auto" w:fill="EFEFEF"/>
          </w:tcPr>
          <w:p>
            <w:pPr>
              <w:spacing w:line="240" w:lineRule="auto" w:before="40" w:after="40"/>
              <w:jc w:val="center"/>
            </w:pPr>
            <w:r/>
            <w:r>
              <w:rPr>
                <w:b w:val="0"/>
                <w:i w:val="0"/>
                <w:sz w:val="17"/>
              </w:rPr>
              <w:t>-273,529</w:t>
            </w:r>
          </w:p>
        </w:tc>
        <w:tc>
          <w:tcPr>
            <w:tcW w:type="dxa" w:w="1296"/>
            <w:shd w:val="clear" w:color="auto" w:fill="EFEFEF"/>
          </w:tcPr>
          <w:p>
            <w:pPr>
              <w:spacing w:line="240" w:lineRule="auto" w:before="40" w:after="40"/>
              <w:jc w:val="center"/>
            </w:pPr>
            <w:r/>
            <w:r>
              <w:rPr>
                <w:b w:val="0"/>
                <w:i w:val="0"/>
                <w:sz w:val="17"/>
              </w:rPr>
              <w:t>526,140</w:t>
            </w:r>
          </w:p>
        </w:tc>
      </w:tr>
      <w:tr>
        <w:tc>
          <w:tcPr>
            <w:tcW w:type="dxa" w:w="2304"/>
          </w:tcPr>
          <w:p>
            <w:pPr>
              <w:spacing w:line="240" w:lineRule="auto" w:before="40" w:after="40"/>
              <w:jc w:val="left"/>
            </w:pPr>
            <w:r/>
            <w:r>
              <w:rPr>
                <w:b w:val="0"/>
                <w:i/>
                <w:sz w:val="17"/>
              </w:rPr>
              <w:t>Floor Height</w:t>
            </w:r>
          </w:p>
        </w:tc>
        <w:tc>
          <w:tcPr>
            <w:tcW w:type="dxa" w:w="1440"/>
          </w:tcPr>
          <w:p>
            <w:pPr>
              <w:spacing w:line="240" w:lineRule="auto" w:before="40" w:after="40"/>
              <w:jc w:val="center"/>
            </w:pPr>
            <w:r/>
            <w:r>
              <w:rPr>
                <w:b w:val="0"/>
                <w:i w:val="0"/>
                <w:sz w:val="17"/>
              </w:rPr>
              <w:t>234,911</w:t>
            </w:r>
          </w:p>
        </w:tc>
        <w:tc>
          <w:tcPr>
            <w:tcW w:type="dxa" w:w="1296"/>
          </w:tcPr>
          <w:p>
            <w:pPr>
              <w:spacing w:line="240" w:lineRule="auto" w:before="40" w:after="40"/>
              <w:jc w:val="center"/>
            </w:pPr>
            <w:r/>
            <w:r>
              <w:rPr>
                <w:b w:val="0"/>
                <w:i w:val="0"/>
                <w:sz w:val="17"/>
              </w:rPr>
              <w:t>622,591</w:t>
            </w:r>
          </w:p>
        </w:tc>
        <w:tc>
          <w:tcPr>
            <w:tcW w:type="dxa" w:w="864"/>
          </w:tcPr>
          <w:p>
            <w:pPr>
              <w:spacing w:line="240" w:lineRule="auto" w:before="40" w:after="40"/>
              <w:jc w:val="center"/>
            </w:pPr>
            <w:r/>
            <w:r>
              <w:rPr>
                <w:b w:val="0"/>
                <w:i w:val="0"/>
                <w:sz w:val="17"/>
              </w:rPr>
              <w:t>0.377</w:t>
            </w:r>
          </w:p>
        </w:tc>
        <w:tc>
          <w:tcPr>
            <w:tcW w:type="dxa" w:w="1008"/>
          </w:tcPr>
          <w:p>
            <w:pPr>
              <w:spacing w:line="240" w:lineRule="auto" w:before="40" w:after="40"/>
              <w:jc w:val="center"/>
            </w:pPr>
            <w:r/>
            <w:r>
              <w:rPr>
                <w:b w:val="0"/>
                <w:i w:val="0"/>
                <w:sz w:val="17"/>
              </w:rPr>
              <w:t>0.706</w:t>
            </w:r>
          </w:p>
        </w:tc>
        <w:tc>
          <w:tcPr>
            <w:tcW w:type="dxa" w:w="1296"/>
          </w:tcPr>
          <w:p>
            <w:pPr>
              <w:spacing w:line="240" w:lineRule="auto" w:before="40" w:after="40"/>
              <w:jc w:val="center"/>
            </w:pPr>
            <w:r/>
            <w:r>
              <w:rPr>
                <w:b w:val="0"/>
                <w:i w:val="0"/>
                <w:sz w:val="17"/>
              </w:rPr>
              <w:t>-995,270</w:t>
            </w:r>
          </w:p>
        </w:tc>
        <w:tc>
          <w:tcPr>
            <w:tcW w:type="dxa" w:w="1296"/>
          </w:tcPr>
          <w:p>
            <w:pPr>
              <w:spacing w:line="240" w:lineRule="auto" w:before="40" w:after="40"/>
              <w:jc w:val="center"/>
            </w:pPr>
            <w:r/>
            <w:r>
              <w:rPr>
                <w:b w:val="0"/>
                <w:i w:val="0"/>
                <w:sz w:val="17"/>
              </w:rPr>
              <w:t>1,465,091</w:t>
            </w:r>
          </w:p>
        </w:tc>
      </w:tr>
      <w:tr>
        <w:tc>
          <w:tcPr>
            <w:tcW w:type="dxa" w:w="2304"/>
            <w:shd w:val="clear" w:color="auto" w:fill="EFEFEF"/>
          </w:tcPr>
          <w:p>
            <w:pPr>
              <w:spacing w:line="240" w:lineRule="auto" w:before="40" w:after="40"/>
              <w:jc w:val="left"/>
            </w:pPr>
            <w:r/>
            <w:r>
              <w:rPr>
                <w:b w:val="0"/>
                <w:i/>
                <w:sz w:val="17"/>
              </w:rPr>
              <w:t>Facility Type Index</w:t>
            </w:r>
          </w:p>
        </w:tc>
        <w:tc>
          <w:tcPr>
            <w:tcW w:type="dxa" w:w="1440"/>
            <w:shd w:val="clear" w:color="auto" w:fill="EFEFEF"/>
          </w:tcPr>
          <w:p>
            <w:pPr>
              <w:spacing w:line="240" w:lineRule="auto" w:before="40" w:after="40"/>
              <w:jc w:val="center"/>
            </w:pPr>
            <w:r/>
            <w:r>
              <w:rPr>
                <w:b w:val="0"/>
                <w:i w:val="0"/>
                <w:sz w:val="17"/>
              </w:rPr>
              <w:t>463,310</w:t>
            </w:r>
          </w:p>
        </w:tc>
        <w:tc>
          <w:tcPr>
            <w:tcW w:type="dxa" w:w="1296"/>
            <w:shd w:val="clear" w:color="auto" w:fill="EFEFEF"/>
          </w:tcPr>
          <w:p>
            <w:pPr>
              <w:spacing w:line="240" w:lineRule="auto" w:before="40" w:after="40"/>
              <w:jc w:val="center"/>
            </w:pPr>
            <w:r/>
            <w:r>
              <w:rPr>
                <w:b w:val="0"/>
                <w:i w:val="0"/>
                <w:sz w:val="17"/>
              </w:rPr>
              <w:t>226,326</w:t>
            </w:r>
          </w:p>
        </w:tc>
        <w:tc>
          <w:tcPr>
            <w:tcW w:type="dxa" w:w="864"/>
            <w:shd w:val="clear" w:color="auto" w:fill="EFEFEF"/>
          </w:tcPr>
          <w:p>
            <w:pPr>
              <w:spacing w:line="240" w:lineRule="auto" w:before="40" w:after="40"/>
              <w:jc w:val="center"/>
            </w:pPr>
            <w:r/>
            <w:r>
              <w:rPr>
                <w:b w:val="0"/>
                <w:i w:val="0"/>
                <w:sz w:val="17"/>
              </w:rPr>
              <w:t>2.047</w:t>
            </w:r>
          </w:p>
        </w:tc>
        <w:tc>
          <w:tcPr>
            <w:tcW w:type="dxa" w:w="1008"/>
            <w:shd w:val="clear" w:color="auto" w:fill="EFEFEF"/>
          </w:tcPr>
          <w:p>
            <w:pPr>
              <w:spacing w:line="240" w:lineRule="auto" w:before="40" w:after="40"/>
              <w:jc w:val="center"/>
            </w:pPr>
            <w:r/>
            <w:r>
              <w:rPr>
                <w:b w:val="0"/>
                <w:i w:val="0"/>
                <w:sz w:val="17"/>
              </w:rPr>
              <w:t>0.042*</w:t>
            </w:r>
          </w:p>
        </w:tc>
        <w:tc>
          <w:tcPr>
            <w:tcW w:type="dxa" w:w="1296"/>
            <w:shd w:val="clear" w:color="auto" w:fill="EFEFEF"/>
          </w:tcPr>
          <w:p>
            <w:pPr>
              <w:spacing w:line="240" w:lineRule="auto" w:before="40" w:after="40"/>
              <w:jc w:val="center"/>
            </w:pPr>
            <w:r/>
            <w:r>
              <w:rPr>
                <w:b w:val="0"/>
                <w:i w:val="0"/>
                <w:sz w:val="17"/>
              </w:rPr>
              <w:t>16,112</w:t>
            </w:r>
          </w:p>
        </w:tc>
        <w:tc>
          <w:tcPr>
            <w:tcW w:type="dxa" w:w="1296"/>
            <w:shd w:val="clear" w:color="auto" w:fill="EFEFEF"/>
          </w:tcPr>
          <w:p>
            <w:pPr>
              <w:spacing w:line="240" w:lineRule="auto" w:before="40" w:after="40"/>
              <w:jc w:val="center"/>
            </w:pPr>
            <w:r/>
            <w:r>
              <w:rPr>
                <w:b w:val="0"/>
                <w:i w:val="0"/>
                <w:sz w:val="17"/>
              </w:rPr>
              <w:t>910,508</w:t>
            </w:r>
          </w:p>
        </w:tc>
      </w:tr>
      <w:tr>
        <w:tc>
          <w:tcPr>
            <w:tcW w:type="dxa" w:w="2304"/>
          </w:tcPr>
          <w:p>
            <w:pPr>
              <w:spacing w:line="240" w:lineRule="auto" w:before="40" w:after="40"/>
              <w:jc w:val="left"/>
            </w:pPr>
            <w:r/>
            <w:r>
              <w:rPr>
                <w:b w:val="0"/>
                <w:i/>
                <w:sz w:val="17"/>
              </w:rPr>
              <w:t>RC Roof Deck</w:t>
            </w:r>
          </w:p>
        </w:tc>
        <w:tc>
          <w:tcPr>
            <w:tcW w:type="dxa" w:w="1440"/>
          </w:tcPr>
          <w:p>
            <w:pPr>
              <w:spacing w:line="240" w:lineRule="auto" w:before="40" w:after="40"/>
              <w:jc w:val="center"/>
            </w:pPr>
            <w:r/>
            <w:r>
              <w:rPr>
                <w:b w:val="0"/>
                <w:i w:val="0"/>
                <w:sz w:val="17"/>
              </w:rPr>
              <w:t>1,403,944</w:t>
            </w:r>
          </w:p>
        </w:tc>
        <w:tc>
          <w:tcPr>
            <w:tcW w:type="dxa" w:w="1296"/>
          </w:tcPr>
          <w:p>
            <w:pPr>
              <w:spacing w:line="240" w:lineRule="auto" w:before="40" w:after="40"/>
              <w:jc w:val="center"/>
            </w:pPr>
            <w:r/>
            <w:r>
              <w:rPr>
                <w:b w:val="0"/>
                <w:i w:val="0"/>
                <w:sz w:val="17"/>
              </w:rPr>
              <w:t>1,461,220</w:t>
            </w:r>
          </w:p>
        </w:tc>
        <w:tc>
          <w:tcPr>
            <w:tcW w:type="dxa" w:w="864"/>
          </w:tcPr>
          <w:p>
            <w:pPr>
              <w:spacing w:line="240" w:lineRule="auto" w:before="40" w:after="40"/>
              <w:jc w:val="center"/>
            </w:pPr>
            <w:r/>
            <w:r>
              <w:rPr>
                <w:b w:val="0"/>
                <w:i w:val="0"/>
                <w:sz w:val="17"/>
              </w:rPr>
              <w:t>0.961</w:t>
            </w:r>
          </w:p>
        </w:tc>
        <w:tc>
          <w:tcPr>
            <w:tcW w:type="dxa" w:w="1008"/>
          </w:tcPr>
          <w:p>
            <w:pPr>
              <w:spacing w:line="240" w:lineRule="auto" w:before="40" w:after="40"/>
              <w:jc w:val="center"/>
            </w:pPr>
            <w:r/>
            <w:r>
              <w:rPr>
                <w:b w:val="0"/>
                <w:i w:val="0"/>
                <w:sz w:val="17"/>
              </w:rPr>
              <w:t>0.338</w:t>
            </w:r>
          </w:p>
        </w:tc>
        <w:tc>
          <w:tcPr>
            <w:tcW w:type="dxa" w:w="1296"/>
          </w:tcPr>
          <w:p>
            <w:pPr>
              <w:spacing w:line="240" w:lineRule="auto" w:before="40" w:after="40"/>
              <w:jc w:val="center"/>
            </w:pPr>
            <w:r/>
            <w:r>
              <w:rPr>
                <w:b w:val="0"/>
                <w:i w:val="0"/>
                <w:sz w:val="17"/>
              </w:rPr>
              <w:t>-1,483,289</w:t>
            </w:r>
          </w:p>
        </w:tc>
        <w:tc>
          <w:tcPr>
            <w:tcW w:type="dxa" w:w="1296"/>
          </w:tcPr>
          <w:p>
            <w:pPr>
              <w:spacing w:line="240" w:lineRule="auto" w:before="40" w:after="40"/>
              <w:jc w:val="center"/>
            </w:pPr>
            <w:r/>
            <w:r>
              <w:rPr>
                <w:b w:val="0"/>
                <w:i w:val="0"/>
                <w:sz w:val="17"/>
              </w:rPr>
              <w:t>4,291,178</w:t>
            </w:r>
          </w:p>
        </w:tc>
      </w:tr>
      <w:tr>
        <w:tc>
          <w:tcPr>
            <w:tcW w:type="dxa" w:w="2304"/>
            <w:shd w:val="clear" w:color="auto" w:fill="EFEFEF"/>
          </w:tcPr>
          <w:p>
            <w:pPr>
              <w:spacing w:line="240" w:lineRule="auto" w:before="40" w:after="40"/>
              <w:jc w:val="left"/>
            </w:pPr>
            <w:r/>
            <w:r>
              <w:rPr>
                <w:b w:val="0"/>
                <w:i/>
                <w:sz w:val="17"/>
              </w:rPr>
              <w:t>Location Factor</w:t>
            </w:r>
          </w:p>
        </w:tc>
        <w:tc>
          <w:tcPr>
            <w:tcW w:type="dxa" w:w="1440"/>
            <w:shd w:val="clear" w:color="auto" w:fill="EFEFEF"/>
          </w:tcPr>
          <w:p>
            <w:pPr>
              <w:spacing w:line="240" w:lineRule="auto" w:before="40" w:after="40"/>
              <w:jc w:val="center"/>
            </w:pPr>
            <w:r/>
            <w:r>
              <w:rPr>
                <w:b w:val="0"/>
                <w:i w:val="0"/>
                <w:sz w:val="17"/>
              </w:rPr>
              <w:t>18,028,194</w:t>
            </w:r>
          </w:p>
        </w:tc>
        <w:tc>
          <w:tcPr>
            <w:tcW w:type="dxa" w:w="1296"/>
            <w:shd w:val="clear" w:color="auto" w:fill="EFEFEF"/>
          </w:tcPr>
          <w:p>
            <w:pPr>
              <w:spacing w:line="240" w:lineRule="auto" w:before="40" w:after="40"/>
              <w:jc w:val="center"/>
            </w:pPr>
            <w:r/>
            <w:r>
              <w:rPr>
                <w:b w:val="0"/>
                <w:i w:val="0"/>
                <w:sz w:val="17"/>
              </w:rPr>
              <w:t>7,380,574</w:t>
            </w:r>
          </w:p>
        </w:tc>
        <w:tc>
          <w:tcPr>
            <w:tcW w:type="dxa" w:w="864"/>
            <w:shd w:val="clear" w:color="auto" w:fill="EFEFEF"/>
          </w:tcPr>
          <w:p>
            <w:pPr>
              <w:spacing w:line="240" w:lineRule="auto" w:before="40" w:after="40"/>
              <w:jc w:val="center"/>
            </w:pPr>
            <w:r/>
            <w:r>
              <w:rPr>
                <w:b w:val="0"/>
                <w:i w:val="0"/>
                <w:sz w:val="17"/>
              </w:rPr>
              <w:t>2.443</w:t>
            </w:r>
          </w:p>
        </w:tc>
        <w:tc>
          <w:tcPr>
            <w:tcW w:type="dxa" w:w="1008"/>
            <w:shd w:val="clear" w:color="auto" w:fill="EFEFEF"/>
          </w:tcPr>
          <w:p>
            <w:pPr>
              <w:spacing w:line="240" w:lineRule="auto" w:before="40" w:after="40"/>
              <w:jc w:val="center"/>
            </w:pPr>
            <w:r/>
            <w:r>
              <w:rPr>
                <w:b w:val="0"/>
                <w:i w:val="0"/>
                <w:sz w:val="17"/>
              </w:rPr>
              <w:t>0.016*</w:t>
            </w:r>
          </w:p>
        </w:tc>
        <w:tc>
          <w:tcPr>
            <w:tcW w:type="dxa" w:w="1296"/>
            <w:shd w:val="clear" w:color="auto" w:fill="EFEFEF"/>
          </w:tcPr>
          <w:p>
            <w:pPr>
              <w:spacing w:line="240" w:lineRule="auto" w:before="40" w:after="40"/>
              <w:jc w:val="center"/>
            </w:pPr>
            <w:r/>
            <w:r>
              <w:rPr>
                <w:b w:val="0"/>
                <w:i w:val="0"/>
                <w:sz w:val="17"/>
              </w:rPr>
              <w:t>3,444,878</w:t>
            </w:r>
          </w:p>
        </w:tc>
        <w:tc>
          <w:tcPr>
            <w:tcW w:type="dxa" w:w="1296"/>
            <w:shd w:val="clear" w:color="auto" w:fill="EFEFEF"/>
          </w:tcPr>
          <w:p>
            <w:pPr>
              <w:spacing w:line="240" w:lineRule="auto" w:before="40" w:after="40"/>
              <w:jc w:val="center"/>
            </w:pPr>
            <w:r/>
            <w:r>
              <w:rPr>
                <w:b w:val="0"/>
                <w:i w:val="0"/>
                <w:sz w:val="17"/>
              </w:rPr>
              <w:t>32,611,510</w:t>
            </w:r>
          </w:p>
        </w:tc>
      </w:tr>
      <w:tr>
        <w:tc>
          <w:tcPr>
            <w:tcW w:type="dxa" w:w="2304"/>
            <w:tcBorders>
              <w:bottom w:val="single" w:sz="12" w:color="000000"/>
            </w:tcBorders>
          </w:tcPr>
          <w:p>
            <w:pPr>
              <w:spacing w:line="240" w:lineRule="auto" w:before="40" w:after="40"/>
              <w:jc w:val="left"/>
            </w:pPr>
            <w:r/>
            <w:r>
              <w:rPr>
                <w:b w:val="0"/>
                <w:i/>
                <w:sz w:val="17"/>
              </w:rPr>
              <w:t>Cost Index (Year)</w:t>
            </w:r>
          </w:p>
        </w:tc>
        <w:tc>
          <w:tcPr>
            <w:tcW w:type="dxa" w:w="1440"/>
            <w:tcBorders>
              <w:bottom w:val="single" w:sz="12" w:color="000000"/>
            </w:tcBorders>
          </w:tcPr>
          <w:p>
            <w:pPr>
              <w:spacing w:line="240" w:lineRule="auto" w:before="40" w:after="40"/>
              <w:jc w:val="center"/>
            </w:pPr>
            <w:r/>
            <w:r>
              <w:rPr>
                <w:b w:val="0"/>
                <w:i w:val="0"/>
                <w:sz w:val="17"/>
              </w:rPr>
              <w:t>25,035,073</w:t>
            </w:r>
          </w:p>
        </w:tc>
        <w:tc>
          <w:tcPr>
            <w:tcW w:type="dxa" w:w="1296"/>
            <w:tcBorders>
              <w:bottom w:val="single" w:sz="12" w:color="000000"/>
            </w:tcBorders>
          </w:tcPr>
          <w:p>
            <w:pPr>
              <w:spacing w:line="240" w:lineRule="auto" w:before="40" w:after="40"/>
              <w:jc w:val="center"/>
            </w:pPr>
            <w:r/>
            <w:r>
              <w:rPr>
                <w:b w:val="0"/>
                <w:i w:val="0"/>
                <w:sz w:val="17"/>
              </w:rPr>
              <w:t>9,020,962</w:t>
            </w:r>
          </w:p>
        </w:tc>
        <w:tc>
          <w:tcPr>
            <w:tcW w:type="dxa" w:w="864"/>
            <w:tcBorders>
              <w:bottom w:val="single" w:sz="12" w:color="000000"/>
            </w:tcBorders>
          </w:tcPr>
          <w:p>
            <w:pPr>
              <w:spacing w:line="240" w:lineRule="auto" w:before="40" w:after="40"/>
              <w:jc w:val="center"/>
            </w:pPr>
            <w:r/>
            <w:r>
              <w:rPr>
                <w:b w:val="0"/>
                <w:i w:val="0"/>
                <w:sz w:val="17"/>
              </w:rPr>
              <w:t>2.775</w:t>
            </w:r>
          </w:p>
        </w:tc>
        <w:tc>
          <w:tcPr>
            <w:tcW w:type="dxa" w:w="1008"/>
            <w:tcBorders>
              <w:bottom w:val="single" w:sz="12" w:color="000000"/>
            </w:tcBorders>
          </w:tcPr>
          <w:p>
            <w:pPr>
              <w:spacing w:line="240" w:lineRule="auto" w:before="40" w:after="40"/>
              <w:jc w:val="center"/>
            </w:pPr>
            <w:r/>
            <w:r>
              <w:rPr>
                <w:b w:val="0"/>
                <w:i w:val="0"/>
                <w:sz w:val="17"/>
              </w:rPr>
              <w:t>0.006*</w:t>
            </w:r>
          </w:p>
        </w:tc>
        <w:tc>
          <w:tcPr>
            <w:tcW w:type="dxa" w:w="1296"/>
            <w:tcBorders>
              <w:bottom w:val="single" w:sz="12" w:color="000000"/>
            </w:tcBorders>
          </w:tcPr>
          <w:p>
            <w:pPr>
              <w:spacing w:line="240" w:lineRule="auto" w:before="40" w:after="40"/>
              <w:jc w:val="center"/>
            </w:pPr>
            <w:r/>
            <w:r>
              <w:rPr>
                <w:b w:val="0"/>
                <w:i w:val="0"/>
                <w:sz w:val="17"/>
              </w:rPr>
              <w:t>7,210,505</w:t>
            </w:r>
          </w:p>
        </w:tc>
        <w:tc>
          <w:tcPr>
            <w:tcW w:type="dxa" w:w="1296"/>
            <w:tcBorders>
              <w:bottom w:val="single" w:sz="12" w:color="000000"/>
            </w:tcBorders>
          </w:tcPr>
          <w:p>
            <w:pPr>
              <w:spacing w:line="240" w:lineRule="auto" w:before="40" w:after="40"/>
              <w:jc w:val="center"/>
            </w:pPr>
            <w:r/>
            <w:r>
              <w:rPr>
                <w:b w:val="0"/>
                <w:i w:val="0"/>
                <w:sz w:val="17"/>
              </w:rPr>
              <w:t>42,859,641</w:t>
            </w:r>
          </w:p>
        </w:tc>
      </w:tr>
    </w:tbl>
    <w:p>
      <w:pPr>
        <w:spacing w:line="240" w:lineRule="auto" w:after="80"/>
      </w:pPr>
    </w:p>
    <w:p>
      <w:pPr>
        <w:spacing w:line="480" w:lineRule="auto" w:after="0"/>
        <w:ind w:firstLine="720"/>
        <w:jc w:val="both"/>
      </w:pPr>
      <w:r>
        <w:rPr>
          <w:b w:val="0"/>
          <w:i w:val="0"/>
        </w:rPr>
        <w:t>Table 16 presents the building model (R</w:t>
      </w:r>
      <w:r>
        <w:rPr>
          <w:b w:val="0"/>
          <w:i w:val="0"/>
          <w:vertAlign w:val="superscript"/>
        </w:rPr>
        <w:t>2</w:t>
      </w:r>
      <w:r>
        <w:rPr>
          <w:b w:val="0"/>
          <w:i w:val="0"/>
        </w:rPr>
        <w:t xml:space="preserve"> = 0.8449, adjusted R</w:t>
      </w:r>
      <w:r>
        <w:rPr>
          <w:b w:val="0"/>
          <w:i w:val="0"/>
          <w:vertAlign w:val="superscript"/>
        </w:rPr>
        <w:t>2</w:t>
      </w:r>
      <w:r>
        <w:rPr>
          <w:b w:val="0"/>
          <w:i w:val="0"/>
        </w:rPr>
        <w:t xml:space="preserve"> = 0.8356, F = 90.79, p &lt; 0.001). Gross floor area was the strongest predictor (t = 8.683): holding the others constant, each additional m² adds about ₱20,379 to the contract. Significant predictors at the 5% level were Gross Floor Area, Footprint Area, Facility Type Index, Location Factor, Cost Index (Year). Storeys, span, floor height and roof type were not significant once floor area was included, so their signs should not be read as independent effects. The large negative constant has no physical meaning on its own, since a building with zero floor area lies outside the data.</w:t>
      </w:r>
    </w:p>
    <w:p>
      <w:pPr>
        <w:keepNext/>
        <w:spacing w:line="240" w:lineRule="auto" w:after="0" w:before="120"/>
        <w:jc w:val="left"/>
      </w:pPr>
      <w:r>
        <w:rPr>
          <w:b/>
          <w:i w:val="0"/>
        </w:rPr>
        <w:t>Table 17.</w:t>
      </w:r>
    </w:p>
    <w:p>
      <w:pPr>
        <w:keepNext/>
        <w:spacing w:line="240" w:lineRule="auto" w:after="0"/>
        <w:jc w:val="left"/>
      </w:pPr>
      <w:r>
        <w:rPr>
          <w:b w:val="0"/>
          <w:i/>
        </w:rPr>
        <w:t>Ordinary Least Squares Results for Bridges</w:t>
      </w:r>
    </w:p>
    <w:tbl>
      <w:tblPr>
        <w:tblW w:type="auto" w:w="0"/>
        <w:jc w:val="center"/>
        <w:tblLayout w:type="fixed"/>
        <w:tblLook w:firstColumn="1" w:firstRow="1" w:lastColumn="0" w:lastRow="0" w:noHBand="0" w:noVBand="1" w:val="04A0"/>
        <w:tblLayout w:type="fixed"/>
      </w:tblPr>
      <w:tblGrid>
        <w:gridCol w:w="2304"/>
        <w:gridCol w:w="1440"/>
        <w:gridCol w:w="1296"/>
        <w:gridCol w:w="864"/>
        <w:gridCol w:w="1007"/>
        <w:gridCol w:w="1296"/>
        <w:gridCol w:w="1296"/>
      </w:tblGrid>
      <w:tr>
        <w:tc>
          <w:tcPr>
            <w:tcW w:type="dxa" w:w="2304"/>
            <w:tcBorders>
              <w:top w:val="single" w:sz="12" w:color="000000"/>
              <w:bottom w:val="single" w:sz="8" w:color="000000"/>
            </w:tcBorders>
          </w:tcPr>
          <w:p>
            <w:pPr>
              <w:spacing w:line="240" w:lineRule="auto" w:before="40" w:after="40"/>
              <w:jc w:val="center"/>
            </w:pPr>
            <w:r/>
            <w:r>
              <w:rPr>
                <w:b/>
                <w:i w:val="0"/>
                <w:sz w:val="17"/>
              </w:rPr>
              <w:t>VARIABLE</w:t>
            </w:r>
          </w:p>
        </w:tc>
        <w:tc>
          <w:tcPr>
            <w:tcW w:type="dxa" w:w="1440"/>
            <w:tcBorders>
              <w:top w:val="single" w:sz="12" w:color="000000"/>
              <w:bottom w:val="single" w:sz="8" w:color="000000"/>
            </w:tcBorders>
          </w:tcPr>
          <w:p>
            <w:pPr>
              <w:spacing w:line="240" w:lineRule="auto" w:before="40" w:after="40"/>
              <w:jc w:val="center"/>
            </w:pPr>
            <w:r/>
            <w:r>
              <w:rPr>
                <w:b/>
                <w:i w:val="0"/>
                <w:sz w:val="17"/>
              </w:rPr>
              <w:t>COEFFICIENT</w:t>
            </w:r>
          </w:p>
        </w:tc>
        <w:tc>
          <w:tcPr>
            <w:tcW w:type="dxa" w:w="1296"/>
            <w:tcBorders>
              <w:top w:val="single" w:sz="12" w:color="000000"/>
              <w:bottom w:val="single" w:sz="8" w:color="000000"/>
            </w:tcBorders>
          </w:tcPr>
          <w:p>
            <w:pPr>
              <w:spacing w:line="240" w:lineRule="auto" w:before="40" w:after="40"/>
              <w:jc w:val="center"/>
            </w:pPr>
            <w:r/>
            <w:r>
              <w:rPr>
                <w:b/>
                <w:i w:val="0"/>
                <w:sz w:val="17"/>
              </w:rPr>
              <w:t>STD. ERROR</w:t>
            </w:r>
          </w:p>
        </w:tc>
        <w:tc>
          <w:tcPr>
            <w:tcW w:type="dxa" w:w="864"/>
            <w:tcBorders>
              <w:top w:val="single" w:sz="12" w:color="000000"/>
              <w:bottom w:val="single" w:sz="8" w:color="000000"/>
            </w:tcBorders>
          </w:tcPr>
          <w:p>
            <w:pPr>
              <w:spacing w:line="240" w:lineRule="auto" w:before="40" w:after="40"/>
              <w:jc w:val="center"/>
            </w:pPr>
            <w:r/>
            <w:r>
              <w:rPr>
                <w:b/>
                <w:i w:val="0"/>
                <w:sz w:val="17"/>
              </w:rPr>
              <w:t>t</w:t>
            </w:r>
          </w:p>
        </w:tc>
        <w:tc>
          <w:tcPr>
            <w:tcW w:type="dxa" w:w="1008"/>
            <w:tcBorders>
              <w:top w:val="single" w:sz="12" w:color="000000"/>
              <w:bottom w:val="single" w:sz="8" w:color="000000"/>
            </w:tcBorders>
          </w:tcPr>
          <w:p>
            <w:pPr>
              <w:spacing w:line="240" w:lineRule="auto" w:before="40" w:after="40"/>
              <w:jc w:val="center"/>
            </w:pPr>
            <w:r/>
            <w:r>
              <w:rPr>
                <w:b/>
                <w:i w:val="0"/>
                <w:sz w:val="17"/>
              </w:rPr>
              <w:t>P &gt; |t|</w:t>
            </w:r>
          </w:p>
        </w:tc>
        <w:tc>
          <w:tcPr>
            <w:tcW w:type="dxa" w:w="1296"/>
            <w:tcBorders>
              <w:top w:val="single" w:sz="12" w:color="000000"/>
              <w:bottom w:val="single" w:sz="8" w:color="000000"/>
            </w:tcBorders>
          </w:tcPr>
          <w:p>
            <w:pPr>
              <w:spacing w:line="240" w:lineRule="auto" w:before="40" w:after="40"/>
              <w:jc w:val="center"/>
            </w:pPr>
            <w:r/>
            <w:r>
              <w:rPr>
                <w:b/>
                <w:i w:val="0"/>
                <w:sz w:val="17"/>
              </w:rPr>
              <w:t>[0.025</w:t>
            </w:r>
          </w:p>
        </w:tc>
        <w:tc>
          <w:tcPr>
            <w:tcW w:type="dxa" w:w="1296"/>
            <w:tcBorders>
              <w:top w:val="single" w:sz="12" w:color="000000"/>
              <w:bottom w:val="single" w:sz="8" w:color="000000"/>
            </w:tcBorders>
          </w:tcPr>
          <w:p>
            <w:pPr>
              <w:spacing w:line="240" w:lineRule="auto" w:before="40" w:after="40"/>
              <w:jc w:val="center"/>
            </w:pPr>
            <w:r/>
            <w:r>
              <w:rPr>
                <w:b/>
                <w:i w:val="0"/>
                <w:sz w:val="17"/>
              </w:rPr>
              <w:t>0.975]</w:t>
            </w:r>
          </w:p>
        </w:tc>
      </w:tr>
      <w:tr>
        <w:tc>
          <w:tcPr>
            <w:tcW w:type="dxa" w:w="2304"/>
            <w:shd w:val="clear" w:color="auto" w:fill="EFEFEF"/>
          </w:tcPr>
          <w:p>
            <w:pPr>
              <w:spacing w:line="240" w:lineRule="auto" w:before="40" w:after="40"/>
              <w:jc w:val="left"/>
            </w:pPr>
            <w:r/>
            <w:r>
              <w:rPr>
                <w:b w:val="0"/>
                <w:i/>
                <w:sz w:val="17"/>
              </w:rPr>
              <w:t>Constant</w:t>
            </w:r>
          </w:p>
        </w:tc>
        <w:tc>
          <w:tcPr>
            <w:tcW w:type="dxa" w:w="1440"/>
            <w:shd w:val="clear" w:color="auto" w:fill="EFEFEF"/>
          </w:tcPr>
          <w:p>
            <w:pPr>
              <w:spacing w:line="240" w:lineRule="auto" w:before="40" w:after="40"/>
              <w:jc w:val="center"/>
            </w:pPr>
            <w:r/>
            <w:r>
              <w:rPr>
                <w:b w:val="0"/>
                <w:i w:val="0"/>
                <w:sz w:val="17"/>
              </w:rPr>
              <w:t>-141,342,353</w:t>
            </w:r>
          </w:p>
        </w:tc>
        <w:tc>
          <w:tcPr>
            <w:tcW w:type="dxa" w:w="1296"/>
            <w:shd w:val="clear" w:color="auto" w:fill="EFEFEF"/>
          </w:tcPr>
          <w:p>
            <w:pPr>
              <w:spacing w:line="240" w:lineRule="auto" w:before="40" w:after="40"/>
              <w:jc w:val="center"/>
            </w:pPr>
            <w:r/>
            <w:r>
              <w:rPr>
                <w:b w:val="0"/>
                <w:i w:val="0"/>
                <w:sz w:val="17"/>
              </w:rPr>
              <w:t>39,111,477</w:t>
            </w:r>
          </w:p>
        </w:tc>
        <w:tc>
          <w:tcPr>
            <w:tcW w:type="dxa" w:w="864"/>
            <w:shd w:val="clear" w:color="auto" w:fill="EFEFEF"/>
          </w:tcPr>
          <w:p>
            <w:pPr>
              <w:spacing w:line="240" w:lineRule="auto" w:before="40" w:after="40"/>
              <w:jc w:val="center"/>
            </w:pPr>
            <w:r/>
            <w:r>
              <w:rPr>
                <w:b w:val="0"/>
                <w:i w:val="0"/>
                <w:sz w:val="17"/>
              </w:rPr>
              <w:t>-3.614</w:t>
            </w:r>
          </w:p>
        </w:tc>
        <w:tc>
          <w:tcPr>
            <w:tcW w:type="dxa" w:w="1008"/>
            <w:shd w:val="clear" w:color="auto" w:fill="EFEFEF"/>
          </w:tcPr>
          <w:p>
            <w:pPr>
              <w:spacing w:line="240" w:lineRule="auto" w:before="40" w:after="40"/>
              <w:jc w:val="center"/>
            </w:pPr>
            <w:r/>
            <w:r>
              <w:rPr>
                <w:b w:val="0"/>
                <w:i w:val="0"/>
                <w:sz w:val="17"/>
              </w:rPr>
              <w:t>&lt;0.001*</w:t>
            </w:r>
          </w:p>
        </w:tc>
        <w:tc>
          <w:tcPr>
            <w:tcW w:type="dxa" w:w="1296"/>
            <w:shd w:val="clear" w:color="auto" w:fill="EFEFEF"/>
          </w:tcPr>
          <w:p>
            <w:pPr>
              <w:spacing w:line="240" w:lineRule="auto" w:before="40" w:after="40"/>
              <w:jc w:val="center"/>
            </w:pPr>
            <w:r/>
            <w:r>
              <w:rPr>
                <w:b w:val="0"/>
                <w:i w:val="0"/>
                <w:sz w:val="17"/>
              </w:rPr>
              <w:t>-218,719,732</w:t>
            </w:r>
          </w:p>
        </w:tc>
        <w:tc>
          <w:tcPr>
            <w:tcW w:type="dxa" w:w="1296"/>
            <w:shd w:val="clear" w:color="auto" w:fill="EFEFEF"/>
          </w:tcPr>
          <w:p>
            <w:pPr>
              <w:spacing w:line="240" w:lineRule="auto" w:before="40" w:after="40"/>
              <w:jc w:val="center"/>
            </w:pPr>
            <w:r/>
            <w:r>
              <w:rPr>
                <w:b w:val="0"/>
                <w:i w:val="0"/>
                <w:sz w:val="17"/>
              </w:rPr>
              <w:t>-63,964,973</w:t>
            </w:r>
          </w:p>
        </w:tc>
      </w:tr>
      <w:tr>
        <w:tc>
          <w:tcPr>
            <w:tcW w:type="dxa" w:w="2304"/>
          </w:tcPr>
          <w:p>
            <w:pPr>
              <w:spacing w:line="240" w:lineRule="auto" w:before="40" w:after="40"/>
              <w:jc w:val="left"/>
            </w:pPr>
            <w:r/>
            <w:r>
              <w:rPr>
                <w:b w:val="0"/>
                <w:i/>
                <w:sz w:val="17"/>
              </w:rPr>
              <w:t>Total Length</w:t>
            </w:r>
          </w:p>
        </w:tc>
        <w:tc>
          <w:tcPr>
            <w:tcW w:type="dxa" w:w="1440"/>
          </w:tcPr>
          <w:p>
            <w:pPr>
              <w:spacing w:line="240" w:lineRule="auto" w:before="40" w:after="40"/>
              <w:jc w:val="center"/>
            </w:pPr>
            <w:r/>
            <w:r>
              <w:rPr>
                <w:b w:val="0"/>
                <w:i w:val="0"/>
                <w:sz w:val="17"/>
              </w:rPr>
              <w:t>630,763</w:t>
            </w:r>
          </w:p>
        </w:tc>
        <w:tc>
          <w:tcPr>
            <w:tcW w:type="dxa" w:w="1296"/>
          </w:tcPr>
          <w:p>
            <w:pPr>
              <w:spacing w:line="240" w:lineRule="auto" w:before="40" w:after="40"/>
              <w:jc w:val="center"/>
            </w:pPr>
            <w:r/>
            <w:r>
              <w:rPr>
                <w:b w:val="0"/>
                <w:i w:val="0"/>
                <w:sz w:val="17"/>
              </w:rPr>
              <w:t>53,583</w:t>
            </w:r>
          </w:p>
        </w:tc>
        <w:tc>
          <w:tcPr>
            <w:tcW w:type="dxa" w:w="864"/>
          </w:tcPr>
          <w:p>
            <w:pPr>
              <w:spacing w:line="240" w:lineRule="auto" w:before="40" w:after="40"/>
              <w:jc w:val="center"/>
            </w:pPr>
            <w:r/>
            <w:r>
              <w:rPr>
                <w:b w:val="0"/>
                <w:i w:val="0"/>
                <w:sz w:val="17"/>
              </w:rPr>
              <w:t>11.772</w:t>
            </w:r>
          </w:p>
        </w:tc>
        <w:tc>
          <w:tcPr>
            <w:tcW w:type="dxa" w:w="1008"/>
          </w:tcPr>
          <w:p>
            <w:pPr>
              <w:spacing w:line="240" w:lineRule="auto" w:before="40" w:after="40"/>
              <w:jc w:val="center"/>
            </w:pPr>
            <w:r/>
            <w:r>
              <w:rPr>
                <w:b w:val="0"/>
                <w:i w:val="0"/>
                <w:sz w:val="17"/>
              </w:rPr>
              <w:t>&lt;0.001*</w:t>
            </w:r>
          </w:p>
        </w:tc>
        <w:tc>
          <w:tcPr>
            <w:tcW w:type="dxa" w:w="1296"/>
          </w:tcPr>
          <w:p>
            <w:pPr>
              <w:spacing w:line="240" w:lineRule="auto" w:before="40" w:after="40"/>
              <w:jc w:val="center"/>
            </w:pPr>
            <w:r/>
            <w:r>
              <w:rPr>
                <w:b w:val="0"/>
                <w:i w:val="0"/>
                <w:sz w:val="17"/>
              </w:rPr>
              <w:t>524,756</w:t>
            </w:r>
          </w:p>
        </w:tc>
        <w:tc>
          <w:tcPr>
            <w:tcW w:type="dxa" w:w="1296"/>
          </w:tcPr>
          <w:p>
            <w:pPr>
              <w:spacing w:line="240" w:lineRule="auto" w:before="40" w:after="40"/>
              <w:jc w:val="center"/>
            </w:pPr>
            <w:r/>
            <w:r>
              <w:rPr>
                <w:b w:val="0"/>
                <w:i w:val="0"/>
                <w:sz w:val="17"/>
              </w:rPr>
              <w:t>736,769</w:t>
            </w:r>
          </w:p>
        </w:tc>
      </w:tr>
      <w:tr>
        <w:tc>
          <w:tcPr>
            <w:tcW w:type="dxa" w:w="2304"/>
            <w:shd w:val="clear" w:color="auto" w:fill="EFEFEF"/>
          </w:tcPr>
          <w:p>
            <w:pPr>
              <w:spacing w:line="240" w:lineRule="auto" w:before="40" w:after="40"/>
              <w:jc w:val="left"/>
            </w:pPr>
            <w:r/>
            <w:r>
              <w:rPr>
                <w:b w:val="0"/>
                <w:i/>
                <w:sz w:val="17"/>
              </w:rPr>
              <w:t>Deck Width</w:t>
            </w:r>
          </w:p>
        </w:tc>
        <w:tc>
          <w:tcPr>
            <w:tcW w:type="dxa" w:w="1440"/>
            <w:shd w:val="clear" w:color="auto" w:fill="EFEFEF"/>
          </w:tcPr>
          <w:p>
            <w:pPr>
              <w:spacing w:line="240" w:lineRule="auto" w:before="40" w:after="40"/>
              <w:jc w:val="center"/>
            </w:pPr>
            <w:r/>
            <w:r>
              <w:rPr>
                <w:b w:val="0"/>
                <w:i w:val="0"/>
                <w:sz w:val="17"/>
              </w:rPr>
              <w:t>2,545,124</w:t>
            </w:r>
          </w:p>
        </w:tc>
        <w:tc>
          <w:tcPr>
            <w:tcW w:type="dxa" w:w="1296"/>
            <w:shd w:val="clear" w:color="auto" w:fill="EFEFEF"/>
          </w:tcPr>
          <w:p>
            <w:pPr>
              <w:spacing w:line="240" w:lineRule="auto" w:before="40" w:after="40"/>
              <w:jc w:val="center"/>
            </w:pPr>
            <w:r/>
            <w:r>
              <w:rPr>
                <w:b w:val="0"/>
                <w:i w:val="0"/>
                <w:sz w:val="17"/>
              </w:rPr>
              <w:t>602,620</w:t>
            </w:r>
          </w:p>
        </w:tc>
        <w:tc>
          <w:tcPr>
            <w:tcW w:type="dxa" w:w="864"/>
            <w:shd w:val="clear" w:color="auto" w:fill="EFEFEF"/>
          </w:tcPr>
          <w:p>
            <w:pPr>
              <w:spacing w:line="240" w:lineRule="auto" w:before="40" w:after="40"/>
              <w:jc w:val="center"/>
            </w:pPr>
            <w:r/>
            <w:r>
              <w:rPr>
                <w:b w:val="0"/>
                <w:i w:val="0"/>
                <w:sz w:val="17"/>
              </w:rPr>
              <w:t>4.223</w:t>
            </w:r>
          </w:p>
        </w:tc>
        <w:tc>
          <w:tcPr>
            <w:tcW w:type="dxa" w:w="1008"/>
            <w:shd w:val="clear" w:color="auto" w:fill="EFEFEF"/>
          </w:tcPr>
          <w:p>
            <w:pPr>
              <w:spacing w:line="240" w:lineRule="auto" w:before="40" w:after="40"/>
              <w:jc w:val="center"/>
            </w:pPr>
            <w:r/>
            <w:r>
              <w:rPr>
                <w:b w:val="0"/>
                <w:i w:val="0"/>
                <w:sz w:val="17"/>
              </w:rPr>
              <w:t>&lt;0.001*</w:t>
            </w:r>
          </w:p>
        </w:tc>
        <w:tc>
          <w:tcPr>
            <w:tcW w:type="dxa" w:w="1296"/>
            <w:shd w:val="clear" w:color="auto" w:fill="EFEFEF"/>
          </w:tcPr>
          <w:p>
            <w:pPr>
              <w:spacing w:line="240" w:lineRule="auto" w:before="40" w:after="40"/>
              <w:jc w:val="center"/>
            </w:pPr>
            <w:r/>
            <w:r>
              <w:rPr>
                <w:b w:val="0"/>
                <w:i w:val="0"/>
                <w:sz w:val="17"/>
              </w:rPr>
              <w:t>1,352,912</w:t>
            </w:r>
          </w:p>
        </w:tc>
        <w:tc>
          <w:tcPr>
            <w:tcW w:type="dxa" w:w="1296"/>
            <w:shd w:val="clear" w:color="auto" w:fill="EFEFEF"/>
          </w:tcPr>
          <w:p>
            <w:pPr>
              <w:spacing w:line="240" w:lineRule="auto" w:before="40" w:after="40"/>
              <w:jc w:val="center"/>
            </w:pPr>
            <w:r/>
            <w:r>
              <w:rPr>
                <w:b w:val="0"/>
                <w:i w:val="0"/>
                <w:sz w:val="17"/>
              </w:rPr>
              <w:t>3,737,336</w:t>
            </w:r>
          </w:p>
        </w:tc>
      </w:tr>
      <w:tr>
        <w:tc>
          <w:tcPr>
            <w:tcW w:type="dxa" w:w="2304"/>
          </w:tcPr>
          <w:p>
            <w:pPr>
              <w:spacing w:line="240" w:lineRule="auto" w:before="40" w:after="40"/>
              <w:jc w:val="left"/>
            </w:pPr>
            <w:r/>
            <w:r>
              <w:rPr>
                <w:b w:val="0"/>
                <w:i/>
                <w:sz w:val="17"/>
              </w:rPr>
              <w:t>Span Length</w:t>
            </w:r>
          </w:p>
        </w:tc>
        <w:tc>
          <w:tcPr>
            <w:tcW w:type="dxa" w:w="1440"/>
          </w:tcPr>
          <w:p>
            <w:pPr>
              <w:spacing w:line="240" w:lineRule="auto" w:before="40" w:after="40"/>
              <w:jc w:val="center"/>
            </w:pPr>
            <w:r/>
            <w:r>
              <w:rPr>
                <w:b w:val="0"/>
                <w:i w:val="0"/>
                <w:sz w:val="17"/>
              </w:rPr>
              <w:t>274,632</w:t>
            </w:r>
          </w:p>
        </w:tc>
        <w:tc>
          <w:tcPr>
            <w:tcW w:type="dxa" w:w="1296"/>
          </w:tcPr>
          <w:p>
            <w:pPr>
              <w:spacing w:line="240" w:lineRule="auto" w:before="40" w:after="40"/>
              <w:jc w:val="center"/>
            </w:pPr>
            <w:r/>
            <w:r>
              <w:rPr>
                <w:b w:val="0"/>
                <w:i w:val="0"/>
                <w:sz w:val="17"/>
              </w:rPr>
              <w:t>124,921</w:t>
            </w:r>
          </w:p>
        </w:tc>
        <w:tc>
          <w:tcPr>
            <w:tcW w:type="dxa" w:w="864"/>
          </w:tcPr>
          <w:p>
            <w:pPr>
              <w:spacing w:line="240" w:lineRule="auto" w:before="40" w:after="40"/>
              <w:jc w:val="center"/>
            </w:pPr>
            <w:r/>
            <w:r>
              <w:rPr>
                <w:b w:val="0"/>
                <w:i w:val="0"/>
                <w:sz w:val="17"/>
              </w:rPr>
              <w:t>2.198</w:t>
            </w:r>
          </w:p>
        </w:tc>
        <w:tc>
          <w:tcPr>
            <w:tcW w:type="dxa" w:w="1008"/>
          </w:tcPr>
          <w:p>
            <w:pPr>
              <w:spacing w:line="240" w:lineRule="auto" w:before="40" w:after="40"/>
              <w:jc w:val="center"/>
            </w:pPr>
            <w:r/>
            <w:r>
              <w:rPr>
                <w:b w:val="0"/>
                <w:i w:val="0"/>
                <w:sz w:val="17"/>
              </w:rPr>
              <w:t>0.030*</w:t>
            </w:r>
          </w:p>
        </w:tc>
        <w:tc>
          <w:tcPr>
            <w:tcW w:type="dxa" w:w="1296"/>
          </w:tcPr>
          <w:p>
            <w:pPr>
              <w:spacing w:line="240" w:lineRule="auto" w:before="40" w:after="40"/>
              <w:jc w:val="center"/>
            </w:pPr>
            <w:r/>
            <w:r>
              <w:rPr>
                <w:b w:val="0"/>
                <w:i w:val="0"/>
                <w:sz w:val="17"/>
              </w:rPr>
              <w:t>27,491</w:t>
            </w:r>
          </w:p>
        </w:tc>
        <w:tc>
          <w:tcPr>
            <w:tcW w:type="dxa" w:w="1296"/>
          </w:tcPr>
          <w:p>
            <w:pPr>
              <w:spacing w:line="240" w:lineRule="auto" w:before="40" w:after="40"/>
              <w:jc w:val="center"/>
            </w:pPr>
            <w:r/>
            <w:r>
              <w:rPr>
                <w:b w:val="0"/>
                <w:i w:val="0"/>
                <w:sz w:val="17"/>
              </w:rPr>
              <w:t>521,773</w:t>
            </w:r>
          </w:p>
        </w:tc>
      </w:tr>
      <w:tr>
        <w:tc>
          <w:tcPr>
            <w:tcW w:type="dxa" w:w="2304"/>
            <w:shd w:val="clear" w:color="auto" w:fill="EFEFEF"/>
          </w:tcPr>
          <w:p>
            <w:pPr>
              <w:spacing w:line="240" w:lineRule="auto" w:before="40" w:after="40"/>
              <w:jc w:val="left"/>
            </w:pPr>
            <w:r/>
            <w:r>
              <w:rPr>
                <w:b w:val="0"/>
                <w:i/>
                <w:sz w:val="17"/>
              </w:rPr>
              <w:t>Pier Height</w:t>
            </w:r>
          </w:p>
        </w:tc>
        <w:tc>
          <w:tcPr>
            <w:tcW w:type="dxa" w:w="1440"/>
            <w:shd w:val="clear" w:color="auto" w:fill="EFEFEF"/>
          </w:tcPr>
          <w:p>
            <w:pPr>
              <w:spacing w:line="240" w:lineRule="auto" w:before="40" w:after="40"/>
              <w:jc w:val="center"/>
            </w:pPr>
            <w:r/>
            <w:r>
              <w:rPr>
                <w:b w:val="0"/>
                <w:i w:val="0"/>
                <w:sz w:val="17"/>
              </w:rPr>
              <w:t>-2,613</w:t>
            </w:r>
          </w:p>
        </w:tc>
        <w:tc>
          <w:tcPr>
            <w:tcW w:type="dxa" w:w="1296"/>
            <w:shd w:val="clear" w:color="auto" w:fill="EFEFEF"/>
          </w:tcPr>
          <w:p>
            <w:pPr>
              <w:spacing w:line="240" w:lineRule="auto" w:before="40" w:after="40"/>
              <w:jc w:val="center"/>
            </w:pPr>
            <w:r/>
            <w:r>
              <w:rPr>
                <w:b w:val="0"/>
                <w:i w:val="0"/>
                <w:sz w:val="17"/>
              </w:rPr>
              <w:t>393,175</w:t>
            </w:r>
          </w:p>
        </w:tc>
        <w:tc>
          <w:tcPr>
            <w:tcW w:type="dxa" w:w="864"/>
            <w:shd w:val="clear" w:color="auto" w:fill="EFEFEF"/>
          </w:tcPr>
          <w:p>
            <w:pPr>
              <w:spacing w:line="240" w:lineRule="auto" w:before="40" w:after="40"/>
              <w:jc w:val="center"/>
            </w:pPr>
            <w:r/>
            <w:r>
              <w:rPr>
                <w:b w:val="0"/>
                <w:i w:val="0"/>
                <w:sz w:val="17"/>
              </w:rPr>
              <w:t>-0.007</w:t>
            </w:r>
          </w:p>
        </w:tc>
        <w:tc>
          <w:tcPr>
            <w:tcW w:type="dxa" w:w="1008"/>
            <w:shd w:val="clear" w:color="auto" w:fill="EFEFEF"/>
          </w:tcPr>
          <w:p>
            <w:pPr>
              <w:spacing w:line="240" w:lineRule="auto" w:before="40" w:after="40"/>
              <w:jc w:val="center"/>
            </w:pPr>
            <w:r/>
            <w:r>
              <w:rPr>
                <w:b w:val="0"/>
                <w:i w:val="0"/>
                <w:sz w:val="17"/>
              </w:rPr>
              <w:t>0.995</w:t>
            </w:r>
          </w:p>
        </w:tc>
        <w:tc>
          <w:tcPr>
            <w:tcW w:type="dxa" w:w="1296"/>
            <w:shd w:val="clear" w:color="auto" w:fill="EFEFEF"/>
          </w:tcPr>
          <w:p>
            <w:pPr>
              <w:spacing w:line="240" w:lineRule="auto" w:before="40" w:after="40"/>
              <w:jc w:val="center"/>
            </w:pPr>
            <w:r/>
            <w:r>
              <w:rPr>
                <w:b w:val="0"/>
                <w:i w:val="0"/>
                <w:sz w:val="17"/>
              </w:rPr>
              <w:t>-780,463</w:t>
            </w:r>
          </w:p>
        </w:tc>
        <w:tc>
          <w:tcPr>
            <w:tcW w:type="dxa" w:w="1296"/>
            <w:shd w:val="clear" w:color="auto" w:fill="EFEFEF"/>
          </w:tcPr>
          <w:p>
            <w:pPr>
              <w:spacing w:line="240" w:lineRule="auto" w:before="40" w:after="40"/>
              <w:jc w:val="center"/>
            </w:pPr>
            <w:r/>
            <w:r>
              <w:rPr>
                <w:b w:val="0"/>
                <w:i w:val="0"/>
                <w:sz w:val="17"/>
              </w:rPr>
              <w:t>775,237</w:t>
            </w:r>
          </w:p>
        </w:tc>
      </w:tr>
      <w:tr>
        <w:tc>
          <w:tcPr>
            <w:tcW w:type="dxa" w:w="2304"/>
          </w:tcPr>
          <w:p>
            <w:pPr>
              <w:spacing w:line="240" w:lineRule="auto" w:before="40" w:after="40"/>
              <w:jc w:val="left"/>
            </w:pPr>
            <w:r/>
            <w:r>
              <w:rPr>
                <w:b w:val="0"/>
                <w:i/>
                <w:sz w:val="17"/>
              </w:rPr>
              <w:t>Abutment Height</w:t>
            </w:r>
          </w:p>
        </w:tc>
        <w:tc>
          <w:tcPr>
            <w:tcW w:type="dxa" w:w="1440"/>
          </w:tcPr>
          <w:p>
            <w:pPr>
              <w:spacing w:line="240" w:lineRule="auto" w:before="40" w:after="40"/>
              <w:jc w:val="center"/>
            </w:pPr>
            <w:r/>
            <w:r>
              <w:rPr>
                <w:b w:val="0"/>
                <w:i w:val="0"/>
                <w:sz w:val="17"/>
              </w:rPr>
              <w:t>1,313,775</w:t>
            </w:r>
          </w:p>
        </w:tc>
        <w:tc>
          <w:tcPr>
            <w:tcW w:type="dxa" w:w="1296"/>
          </w:tcPr>
          <w:p>
            <w:pPr>
              <w:spacing w:line="240" w:lineRule="auto" w:before="40" w:after="40"/>
              <w:jc w:val="center"/>
            </w:pPr>
            <w:r/>
            <w:r>
              <w:rPr>
                <w:b w:val="0"/>
                <w:i w:val="0"/>
                <w:sz w:val="17"/>
              </w:rPr>
              <w:t>849,695</w:t>
            </w:r>
          </w:p>
        </w:tc>
        <w:tc>
          <w:tcPr>
            <w:tcW w:type="dxa" w:w="864"/>
          </w:tcPr>
          <w:p>
            <w:pPr>
              <w:spacing w:line="240" w:lineRule="auto" w:before="40" w:after="40"/>
              <w:jc w:val="center"/>
            </w:pPr>
            <w:r/>
            <w:r>
              <w:rPr>
                <w:b w:val="0"/>
                <w:i w:val="0"/>
                <w:sz w:val="17"/>
              </w:rPr>
              <w:t>1.546</w:t>
            </w:r>
          </w:p>
        </w:tc>
        <w:tc>
          <w:tcPr>
            <w:tcW w:type="dxa" w:w="1008"/>
          </w:tcPr>
          <w:p>
            <w:pPr>
              <w:spacing w:line="240" w:lineRule="auto" w:before="40" w:after="40"/>
              <w:jc w:val="center"/>
            </w:pPr>
            <w:r/>
            <w:r>
              <w:rPr>
                <w:b w:val="0"/>
                <w:i w:val="0"/>
                <w:sz w:val="17"/>
              </w:rPr>
              <w:t>0.124</w:t>
            </w:r>
          </w:p>
        </w:tc>
        <w:tc>
          <w:tcPr>
            <w:tcW w:type="dxa" w:w="1296"/>
          </w:tcPr>
          <w:p>
            <w:pPr>
              <w:spacing w:line="240" w:lineRule="auto" w:before="40" w:after="40"/>
              <w:jc w:val="center"/>
            </w:pPr>
            <w:r/>
            <w:r>
              <w:rPr>
                <w:b w:val="0"/>
                <w:i w:val="0"/>
                <w:sz w:val="17"/>
              </w:rPr>
              <w:t>-367,246</w:t>
            </w:r>
          </w:p>
        </w:tc>
        <w:tc>
          <w:tcPr>
            <w:tcW w:type="dxa" w:w="1296"/>
          </w:tcPr>
          <w:p>
            <w:pPr>
              <w:spacing w:line="240" w:lineRule="auto" w:before="40" w:after="40"/>
              <w:jc w:val="center"/>
            </w:pPr>
            <w:r/>
            <w:r>
              <w:rPr>
                <w:b w:val="0"/>
                <w:i w:val="0"/>
                <w:sz w:val="17"/>
              </w:rPr>
              <w:t>2,994,795</w:t>
            </w:r>
          </w:p>
        </w:tc>
      </w:tr>
      <w:tr>
        <w:tc>
          <w:tcPr>
            <w:tcW w:type="dxa" w:w="2304"/>
            <w:shd w:val="clear" w:color="auto" w:fill="EFEFEF"/>
          </w:tcPr>
          <w:p>
            <w:pPr>
              <w:spacing w:line="240" w:lineRule="auto" w:before="40" w:after="40"/>
              <w:jc w:val="left"/>
            </w:pPr>
            <w:r/>
            <w:r>
              <w:rPr>
                <w:b w:val="0"/>
                <w:i/>
                <w:sz w:val="17"/>
              </w:rPr>
              <w:t>Foundation Type Index</w:t>
            </w:r>
          </w:p>
        </w:tc>
        <w:tc>
          <w:tcPr>
            <w:tcW w:type="dxa" w:w="1440"/>
            <w:shd w:val="clear" w:color="auto" w:fill="EFEFEF"/>
          </w:tcPr>
          <w:p>
            <w:pPr>
              <w:spacing w:line="240" w:lineRule="auto" w:before="40" w:after="40"/>
              <w:jc w:val="center"/>
            </w:pPr>
            <w:r/>
            <w:r>
              <w:rPr>
                <w:b w:val="0"/>
                <w:i w:val="0"/>
                <w:sz w:val="17"/>
              </w:rPr>
              <w:t>8,727,086</w:t>
            </w:r>
          </w:p>
        </w:tc>
        <w:tc>
          <w:tcPr>
            <w:tcW w:type="dxa" w:w="1296"/>
            <w:shd w:val="clear" w:color="auto" w:fill="EFEFEF"/>
          </w:tcPr>
          <w:p>
            <w:pPr>
              <w:spacing w:line="240" w:lineRule="auto" w:before="40" w:after="40"/>
              <w:jc w:val="center"/>
            </w:pPr>
            <w:r/>
            <w:r>
              <w:rPr>
                <w:b w:val="0"/>
                <w:i w:val="0"/>
                <w:sz w:val="17"/>
              </w:rPr>
              <w:t>2,644,518</w:t>
            </w:r>
          </w:p>
        </w:tc>
        <w:tc>
          <w:tcPr>
            <w:tcW w:type="dxa" w:w="864"/>
            <w:shd w:val="clear" w:color="auto" w:fill="EFEFEF"/>
          </w:tcPr>
          <w:p>
            <w:pPr>
              <w:spacing w:line="240" w:lineRule="auto" w:before="40" w:after="40"/>
              <w:jc w:val="center"/>
            </w:pPr>
            <w:r/>
            <w:r>
              <w:rPr>
                <w:b w:val="0"/>
                <w:i w:val="0"/>
                <w:sz w:val="17"/>
              </w:rPr>
              <w:t>3.300</w:t>
            </w:r>
          </w:p>
        </w:tc>
        <w:tc>
          <w:tcPr>
            <w:tcW w:type="dxa" w:w="1008"/>
            <w:shd w:val="clear" w:color="auto" w:fill="EFEFEF"/>
          </w:tcPr>
          <w:p>
            <w:pPr>
              <w:spacing w:line="240" w:lineRule="auto" w:before="40" w:after="40"/>
              <w:jc w:val="center"/>
            </w:pPr>
            <w:r/>
            <w:r>
              <w:rPr>
                <w:b w:val="0"/>
                <w:i w:val="0"/>
                <w:sz w:val="17"/>
              </w:rPr>
              <w:t>0.001*</w:t>
            </w:r>
          </w:p>
        </w:tc>
        <w:tc>
          <w:tcPr>
            <w:tcW w:type="dxa" w:w="1296"/>
            <w:shd w:val="clear" w:color="auto" w:fill="EFEFEF"/>
          </w:tcPr>
          <w:p>
            <w:pPr>
              <w:spacing w:line="240" w:lineRule="auto" w:before="40" w:after="40"/>
              <w:jc w:val="center"/>
            </w:pPr>
            <w:r/>
            <w:r>
              <w:rPr>
                <w:b w:val="0"/>
                <w:i w:val="0"/>
                <w:sz w:val="17"/>
              </w:rPr>
              <w:t>3,495,222</w:t>
            </w:r>
          </w:p>
        </w:tc>
        <w:tc>
          <w:tcPr>
            <w:tcW w:type="dxa" w:w="1296"/>
            <w:shd w:val="clear" w:color="auto" w:fill="EFEFEF"/>
          </w:tcPr>
          <w:p>
            <w:pPr>
              <w:spacing w:line="240" w:lineRule="auto" w:before="40" w:after="40"/>
              <w:jc w:val="center"/>
            </w:pPr>
            <w:r/>
            <w:r>
              <w:rPr>
                <w:b w:val="0"/>
                <w:i w:val="0"/>
                <w:sz w:val="17"/>
              </w:rPr>
              <w:t>13,958,949</w:t>
            </w:r>
          </w:p>
        </w:tc>
      </w:tr>
      <w:tr>
        <w:tc>
          <w:tcPr>
            <w:tcW w:type="dxa" w:w="2304"/>
          </w:tcPr>
          <w:p>
            <w:pPr>
              <w:spacing w:line="240" w:lineRule="auto" w:before="40" w:after="40"/>
              <w:jc w:val="left"/>
            </w:pPr>
            <w:r/>
            <w:r>
              <w:rPr>
                <w:b w:val="0"/>
                <w:i/>
                <w:sz w:val="17"/>
              </w:rPr>
              <w:t>Pile Length</w:t>
            </w:r>
          </w:p>
        </w:tc>
        <w:tc>
          <w:tcPr>
            <w:tcW w:type="dxa" w:w="1440"/>
          </w:tcPr>
          <w:p>
            <w:pPr>
              <w:spacing w:line="240" w:lineRule="auto" w:before="40" w:after="40"/>
              <w:jc w:val="center"/>
            </w:pPr>
            <w:r/>
            <w:r>
              <w:rPr>
                <w:b w:val="0"/>
                <w:i w:val="0"/>
                <w:sz w:val="17"/>
              </w:rPr>
              <w:t>340,928</w:t>
            </w:r>
          </w:p>
        </w:tc>
        <w:tc>
          <w:tcPr>
            <w:tcW w:type="dxa" w:w="1296"/>
          </w:tcPr>
          <w:p>
            <w:pPr>
              <w:spacing w:line="240" w:lineRule="auto" w:before="40" w:after="40"/>
              <w:jc w:val="center"/>
            </w:pPr>
            <w:r/>
            <w:r>
              <w:rPr>
                <w:b w:val="0"/>
                <w:i w:val="0"/>
                <w:sz w:val="17"/>
              </w:rPr>
              <w:t>171,104</w:t>
            </w:r>
          </w:p>
        </w:tc>
        <w:tc>
          <w:tcPr>
            <w:tcW w:type="dxa" w:w="864"/>
          </w:tcPr>
          <w:p>
            <w:pPr>
              <w:spacing w:line="240" w:lineRule="auto" w:before="40" w:after="40"/>
              <w:jc w:val="center"/>
            </w:pPr>
            <w:r/>
            <w:r>
              <w:rPr>
                <w:b w:val="0"/>
                <w:i w:val="0"/>
                <w:sz w:val="17"/>
              </w:rPr>
              <w:t>1.993</w:t>
            </w:r>
          </w:p>
        </w:tc>
        <w:tc>
          <w:tcPr>
            <w:tcW w:type="dxa" w:w="1008"/>
          </w:tcPr>
          <w:p>
            <w:pPr>
              <w:spacing w:line="240" w:lineRule="auto" w:before="40" w:after="40"/>
              <w:jc w:val="center"/>
            </w:pPr>
            <w:r/>
            <w:r>
              <w:rPr>
                <w:b w:val="0"/>
                <w:i w:val="0"/>
                <w:sz w:val="17"/>
              </w:rPr>
              <w:t>0.048*</w:t>
            </w:r>
          </w:p>
        </w:tc>
        <w:tc>
          <w:tcPr>
            <w:tcW w:type="dxa" w:w="1296"/>
          </w:tcPr>
          <w:p>
            <w:pPr>
              <w:spacing w:line="240" w:lineRule="auto" w:before="40" w:after="40"/>
              <w:jc w:val="center"/>
            </w:pPr>
            <w:r/>
            <w:r>
              <w:rPr>
                <w:b w:val="0"/>
                <w:i w:val="0"/>
                <w:sz w:val="17"/>
              </w:rPr>
              <w:t>2,419</w:t>
            </w:r>
          </w:p>
        </w:tc>
        <w:tc>
          <w:tcPr>
            <w:tcW w:type="dxa" w:w="1296"/>
          </w:tcPr>
          <w:p>
            <w:pPr>
              <w:spacing w:line="240" w:lineRule="auto" w:before="40" w:after="40"/>
              <w:jc w:val="center"/>
            </w:pPr>
            <w:r/>
            <w:r>
              <w:rPr>
                <w:b w:val="0"/>
                <w:i w:val="0"/>
                <w:sz w:val="17"/>
              </w:rPr>
              <w:t>679,437</w:t>
            </w:r>
          </w:p>
        </w:tc>
      </w:tr>
      <w:tr>
        <w:tc>
          <w:tcPr>
            <w:tcW w:type="dxa" w:w="2304"/>
            <w:shd w:val="clear" w:color="auto" w:fill="EFEFEF"/>
          </w:tcPr>
          <w:p>
            <w:pPr>
              <w:spacing w:line="240" w:lineRule="auto" w:before="40" w:after="40"/>
              <w:jc w:val="left"/>
            </w:pPr>
            <w:r/>
            <w:r>
              <w:rPr>
                <w:b w:val="0"/>
                <w:i/>
                <w:sz w:val="17"/>
              </w:rPr>
              <w:t>Location Factor</w:t>
            </w:r>
          </w:p>
        </w:tc>
        <w:tc>
          <w:tcPr>
            <w:tcW w:type="dxa" w:w="1440"/>
            <w:shd w:val="clear" w:color="auto" w:fill="EFEFEF"/>
          </w:tcPr>
          <w:p>
            <w:pPr>
              <w:spacing w:line="240" w:lineRule="auto" w:before="40" w:after="40"/>
              <w:jc w:val="center"/>
            </w:pPr>
            <w:r/>
            <w:r>
              <w:rPr>
                <w:b w:val="0"/>
                <w:i w:val="0"/>
                <w:sz w:val="17"/>
              </w:rPr>
              <w:t>71,540,128</w:t>
            </w:r>
          </w:p>
        </w:tc>
        <w:tc>
          <w:tcPr>
            <w:tcW w:type="dxa" w:w="1296"/>
            <w:shd w:val="clear" w:color="auto" w:fill="EFEFEF"/>
          </w:tcPr>
          <w:p>
            <w:pPr>
              <w:spacing w:line="240" w:lineRule="auto" w:before="40" w:after="40"/>
              <w:jc w:val="center"/>
            </w:pPr>
            <w:r/>
            <w:r>
              <w:rPr>
                <w:b w:val="0"/>
                <w:i w:val="0"/>
                <w:sz w:val="17"/>
              </w:rPr>
              <w:t>24,680,609</w:t>
            </w:r>
          </w:p>
        </w:tc>
        <w:tc>
          <w:tcPr>
            <w:tcW w:type="dxa" w:w="864"/>
            <w:shd w:val="clear" w:color="auto" w:fill="EFEFEF"/>
          </w:tcPr>
          <w:p>
            <w:pPr>
              <w:spacing w:line="240" w:lineRule="auto" w:before="40" w:after="40"/>
              <w:jc w:val="center"/>
            </w:pPr>
            <w:r/>
            <w:r>
              <w:rPr>
                <w:b w:val="0"/>
                <w:i w:val="0"/>
                <w:sz w:val="17"/>
              </w:rPr>
              <w:t>2.899</w:t>
            </w:r>
          </w:p>
        </w:tc>
        <w:tc>
          <w:tcPr>
            <w:tcW w:type="dxa" w:w="1008"/>
            <w:shd w:val="clear" w:color="auto" w:fill="EFEFEF"/>
          </w:tcPr>
          <w:p>
            <w:pPr>
              <w:spacing w:line="240" w:lineRule="auto" w:before="40" w:after="40"/>
              <w:jc w:val="center"/>
            </w:pPr>
            <w:r/>
            <w:r>
              <w:rPr>
                <w:b w:val="0"/>
                <w:i w:val="0"/>
                <w:sz w:val="17"/>
              </w:rPr>
              <w:t>0.004*</w:t>
            </w:r>
          </w:p>
        </w:tc>
        <w:tc>
          <w:tcPr>
            <w:tcW w:type="dxa" w:w="1296"/>
            <w:shd w:val="clear" w:color="auto" w:fill="EFEFEF"/>
          </w:tcPr>
          <w:p>
            <w:pPr>
              <w:spacing w:line="240" w:lineRule="auto" w:before="40" w:after="40"/>
              <w:jc w:val="center"/>
            </w:pPr>
            <w:r/>
            <w:r>
              <w:rPr>
                <w:b w:val="0"/>
                <w:i w:val="0"/>
                <w:sz w:val="17"/>
              </w:rPr>
              <w:t>22,712,494</w:t>
            </w:r>
          </w:p>
        </w:tc>
        <w:tc>
          <w:tcPr>
            <w:tcW w:type="dxa" w:w="1296"/>
            <w:shd w:val="clear" w:color="auto" w:fill="EFEFEF"/>
          </w:tcPr>
          <w:p>
            <w:pPr>
              <w:spacing w:line="240" w:lineRule="auto" w:before="40" w:after="40"/>
              <w:jc w:val="center"/>
            </w:pPr>
            <w:r/>
            <w:r>
              <w:rPr>
                <w:b w:val="0"/>
                <w:i w:val="0"/>
                <w:sz w:val="17"/>
              </w:rPr>
              <w:t>120,367,761</w:t>
            </w:r>
          </w:p>
        </w:tc>
      </w:tr>
      <w:tr>
        <w:tc>
          <w:tcPr>
            <w:tcW w:type="dxa" w:w="2304"/>
            <w:tcBorders>
              <w:bottom w:val="single" w:sz="12" w:color="000000"/>
            </w:tcBorders>
          </w:tcPr>
          <w:p>
            <w:pPr>
              <w:spacing w:line="240" w:lineRule="auto" w:before="40" w:after="40"/>
              <w:jc w:val="left"/>
            </w:pPr>
            <w:r/>
            <w:r>
              <w:rPr>
                <w:b w:val="0"/>
                <w:i/>
                <w:sz w:val="17"/>
              </w:rPr>
              <w:t>Cost Index (Year)</w:t>
            </w:r>
          </w:p>
        </w:tc>
        <w:tc>
          <w:tcPr>
            <w:tcW w:type="dxa" w:w="1440"/>
            <w:tcBorders>
              <w:bottom w:val="single" w:sz="12" w:color="000000"/>
            </w:tcBorders>
          </w:tcPr>
          <w:p>
            <w:pPr>
              <w:spacing w:line="240" w:lineRule="auto" w:before="40" w:after="40"/>
              <w:jc w:val="center"/>
            </w:pPr>
            <w:r/>
            <w:r>
              <w:rPr>
                <w:b w:val="0"/>
                <w:i w:val="0"/>
                <w:sz w:val="17"/>
              </w:rPr>
              <w:t>30,119,933</w:t>
            </w:r>
          </w:p>
        </w:tc>
        <w:tc>
          <w:tcPr>
            <w:tcW w:type="dxa" w:w="1296"/>
            <w:tcBorders>
              <w:bottom w:val="single" w:sz="12" w:color="000000"/>
            </w:tcBorders>
          </w:tcPr>
          <w:p>
            <w:pPr>
              <w:spacing w:line="240" w:lineRule="auto" w:before="40" w:after="40"/>
              <w:jc w:val="center"/>
            </w:pPr>
            <w:r/>
            <w:r>
              <w:rPr>
                <w:b w:val="0"/>
                <w:i w:val="0"/>
                <w:sz w:val="17"/>
              </w:rPr>
              <w:t>30,007,182</w:t>
            </w:r>
          </w:p>
        </w:tc>
        <w:tc>
          <w:tcPr>
            <w:tcW w:type="dxa" w:w="864"/>
            <w:tcBorders>
              <w:bottom w:val="single" w:sz="12" w:color="000000"/>
            </w:tcBorders>
          </w:tcPr>
          <w:p>
            <w:pPr>
              <w:spacing w:line="240" w:lineRule="auto" w:before="40" w:after="40"/>
              <w:jc w:val="center"/>
            </w:pPr>
            <w:r/>
            <w:r>
              <w:rPr>
                <w:b w:val="0"/>
                <w:i w:val="0"/>
                <w:sz w:val="17"/>
              </w:rPr>
              <w:t>1.004</w:t>
            </w:r>
          </w:p>
        </w:tc>
        <w:tc>
          <w:tcPr>
            <w:tcW w:type="dxa" w:w="1008"/>
            <w:tcBorders>
              <w:bottom w:val="single" w:sz="12" w:color="000000"/>
            </w:tcBorders>
          </w:tcPr>
          <w:p>
            <w:pPr>
              <w:spacing w:line="240" w:lineRule="auto" w:before="40" w:after="40"/>
              <w:jc w:val="center"/>
            </w:pPr>
            <w:r/>
            <w:r>
              <w:rPr>
                <w:b w:val="0"/>
                <w:i w:val="0"/>
                <w:sz w:val="17"/>
              </w:rPr>
              <w:t>0.317</w:t>
            </w:r>
          </w:p>
        </w:tc>
        <w:tc>
          <w:tcPr>
            <w:tcW w:type="dxa" w:w="1296"/>
            <w:tcBorders>
              <w:bottom w:val="single" w:sz="12" w:color="000000"/>
            </w:tcBorders>
          </w:tcPr>
          <w:p>
            <w:pPr>
              <w:spacing w:line="240" w:lineRule="auto" w:before="40" w:after="40"/>
              <w:jc w:val="center"/>
            </w:pPr>
            <w:r/>
            <w:r>
              <w:rPr>
                <w:b w:val="0"/>
                <w:i w:val="0"/>
                <w:sz w:val="17"/>
              </w:rPr>
              <w:t>-29,245,688</w:t>
            </w:r>
          </w:p>
        </w:tc>
        <w:tc>
          <w:tcPr>
            <w:tcW w:type="dxa" w:w="1296"/>
            <w:tcBorders>
              <w:bottom w:val="single" w:sz="12" w:color="000000"/>
            </w:tcBorders>
          </w:tcPr>
          <w:p>
            <w:pPr>
              <w:spacing w:line="240" w:lineRule="auto" w:before="40" w:after="40"/>
              <w:jc w:val="center"/>
            </w:pPr>
            <w:r/>
            <w:r>
              <w:rPr>
                <w:b w:val="0"/>
                <w:i w:val="0"/>
                <w:sz w:val="17"/>
              </w:rPr>
              <w:t>89,485,553</w:t>
            </w:r>
          </w:p>
        </w:tc>
      </w:tr>
    </w:tbl>
    <w:p>
      <w:pPr>
        <w:spacing w:line="240" w:lineRule="auto" w:after="80"/>
      </w:pPr>
    </w:p>
    <w:p>
      <w:pPr>
        <w:spacing w:line="480" w:lineRule="auto" w:after="0"/>
        <w:ind w:firstLine="720"/>
        <w:jc w:val="both"/>
      </w:pPr>
      <w:r>
        <w:rPr>
          <w:b w:val="0"/>
          <w:i w:val="0"/>
        </w:rPr>
        <w:t>Table 17 presents the reduced bridge model (R</w:t>
      </w:r>
      <w:r>
        <w:rPr>
          <w:b w:val="0"/>
          <w:i w:val="0"/>
          <w:vertAlign w:val="superscript"/>
        </w:rPr>
        <w:t>2</w:t>
      </w:r>
      <w:r>
        <w:rPr>
          <w:b w:val="0"/>
          <w:i w:val="0"/>
        </w:rPr>
        <w:t xml:space="preserve"> = 0.8866, adjusted R</w:t>
      </w:r>
      <w:r>
        <w:rPr>
          <w:b w:val="0"/>
          <w:i w:val="0"/>
          <w:vertAlign w:val="superscript"/>
        </w:rPr>
        <w:t>2</w:t>
      </w:r>
      <w:r>
        <w:rPr>
          <w:b w:val="0"/>
          <w:i w:val="0"/>
        </w:rPr>
        <w:t xml:space="preserve"> = 0.8787, F = 112.91, p &lt; 0.001). Total length (t = 11.772) and deck width (t = 4.223) were the strongest predictors: each additional meter of length adds about ₱630,763 and each meter of width about ₱2,545,124. Foundation type, pile length, span length and location were also significant, while pier height and price year were not.</w:t>
      </w:r>
    </w:p>
    <w:p>
      <w:pPr>
        <w:spacing w:line="480" w:lineRule="auto" w:after="0"/>
        <w:ind w:firstLine="720"/>
        <w:jc w:val="both"/>
      </w:pPr>
      <w:r>
        <w:rPr>
          <w:b w:val="0"/>
          <w:i w:val="0"/>
        </w:rPr>
        <w:t>Substituting the coefficients into the general model gives the reduced working equations, rounded to four significant digits:</w:t>
      </w:r>
    </w:p>
    <w:p>
      <w:pPr>
        <w:spacing w:line="360" w:lineRule="auto" w:after="120"/>
        <w:jc w:val="center"/>
      </w:pPr>
      <w:r>
        <w:rPr>
          <w:b/>
          <w:i/>
        </w:rPr>
        <w:t>Cost</w:t>
      </w:r>
      <w:r>
        <w:rPr>
          <w:b/>
          <w:i/>
          <w:vertAlign w:val="subscript"/>
        </w:rPr>
        <w:t>building</w:t>
      </w:r>
      <w:r>
        <w:rPr>
          <w:b/>
          <w:i/>
        </w:rPr>
        <w:t xml:space="preserve"> = 20,380 GFA + 8,496 Footprint + 1,261,000 Storeys + 126,300 Span + 234,900 FloorHeight + 463,300 Type + 1,404,000 RoofRC + 18,030,000 Location + 25,040,000 Year − 46,110,000</w:t>
      </w:r>
    </w:p>
    <w:p>
      <w:pPr>
        <w:spacing w:line="360" w:lineRule="auto" w:after="120"/>
        <w:jc w:val="center"/>
      </w:pPr>
      <w:r>
        <w:rPr>
          <w:b/>
          <w:i/>
        </w:rPr>
        <w:t>Cost</w:t>
      </w:r>
      <w:r>
        <w:rPr>
          <w:b/>
          <w:i/>
          <w:vertAlign w:val="subscript"/>
        </w:rPr>
        <w:t>bridge</w:t>
      </w:r>
      <w:r>
        <w:rPr>
          <w:b/>
          <w:i/>
        </w:rPr>
        <w:t xml:space="preserve"> = 630,800 Length + 2,545,000 Width + 274,600 Span − 2,613 PierHeight + 1,314,000 AbutmentHeight + 8,727,000 Foundation + 340,900 PileLength + 71,540,000 Location + 30,120,000 Year − 141,300,000</w:t>
      </w:r>
    </w:p>
    <w:p>
      <w:pPr>
        <w:keepNext/>
        <w:spacing w:line="240" w:lineRule="auto" w:after="0" w:before="120"/>
        <w:jc w:val="left"/>
      </w:pPr>
      <w:r>
        <w:rPr>
          <w:b/>
          <w:i w:val="0"/>
        </w:rPr>
        <w:t>Table 18.</w:t>
      </w:r>
    </w:p>
    <w:p>
      <w:pPr>
        <w:keepNext/>
        <w:spacing w:line="240" w:lineRule="auto" w:after="0"/>
        <w:jc w:val="left"/>
      </w:pPr>
      <w:r>
        <w:rPr>
          <w:b w:val="0"/>
          <w:i/>
        </w:rPr>
        <w:t>Performance of the Multiple Linear Regression Models under LOOCV</w:t>
      </w:r>
    </w:p>
    <w:tbl>
      <w:tblPr>
        <w:tblW w:type="auto" w:w="0"/>
        <w:jc w:val="center"/>
        <w:tblLayout w:type="fixed"/>
        <w:tblLook w:firstColumn="1" w:firstRow="1" w:lastColumn="0" w:lastRow="0" w:noHBand="0" w:noVBand="1" w:val="04A0"/>
        <w:tblLayout w:type="fixed"/>
      </w:tblPr>
      <w:tblGrid>
        <w:gridCol w:w="4031"/>
        <w:gridCol w:w="2448"/>
        <w:gridCol w:w="2448"/>
      </w:tblGrid>
      <w:tr>
        <w:tc>
          <w:tcPr>
            <w:tcW w:type="dxa" w:w="4032"/>
            <w:tcBorders>
              <w:top w:val="single" w:sz="12" w:color="000000"/>
              <w:bottom w:val="single" w:sz="8" w:color="000000"/>
            </w:tcBorders>
          </w:tcPr>
          <w:p>
            <w:pPr>
              <w:spacing w:line="240" w:lineRule="auto" w:before="40" w:after="40"/>
              <w:jc w:val="center"/>
            </w:pPr>
            <w:r/>
            <w:r>
              <w:rPr>
                <w:b/>
                <w:i w:val="0"/>
                <w:sz w:val="20"/>
              </w:rPr>
              <w:t>METRIC (LOOCV)</w:t>
            </w:r>
          </w:p>
        </w:tc>
        <w:tc>
          <w:tcPr>
            <w:tcW w:type="dxa" w:w="2448"/>
            <w:tcBorders>
              <w:top w:val="single" w:sz="12" w:color="000000"/>
              <w:bottom w:val="single" w:sz="8" w:color="000000"/>
            </w:tcBorders>
          </w:tcPr>
          <w:p>
            <w:pPr>
              <w:spacing w:line="240" w:lineRule="auto" w:before="40" w:after="40"/>
              <w:jc w:val="center"/>
            </w:pPr>
            <w:r/>
            <w:r>
              <w:rPr>
                <w:b/>
                <w:i w:val="0"/>
                <w:sz w:val="20"/>
              </w:rPr>
              <w:t>BUILDINGS</w:t>
            </w:r>
          </w:p>
        </w:tc>
        <w:tc>
          <w:tcPr>
            <w:tcW w:type="dxa" w:w="2448"/>
            <w:tcBorders>
              <w:top w:val="single" w:sz="12" w:color="000000"/>
              <w:bottom w:val="single" w:sz="8" w:color="000000"/>
            </w:tcBorders>
          </w:tcPr>
          <w:p>
            <w:pPr>
              <w:spacing w:line="240" w:lineRule="auto" w:before="40" w:after="40"/>
              <w:jc w:val="center"/>
            </w:pPr>
            <w:r/>
            <w:r>
              <w:rPr>
                <w:b/>
                <w:i w:val="0"/>
                <w:sz w:val="20"/>
              </w:rPr>
              <w:t>BRIDGES</w:t>
            </w:r>
          </w:p>
        </w:tc>
      </w:tr>
      <w:tr>
        <w:tc>
          <w:tcPr>
            <w:tcW w:type="dxa" w:w="4032"/>
            <w:shd w:val="clear" w:color="auto" w:fill="EFEFEF"/>
          </w:tcPr>
          <w:p>
            <w:pPr>
              <w:spacing w:line="240" w:lineRule="auto" w:before="40" w:after="40"/>
              <w:jc w:val="left"/>
            </w:pPr>
            <w:r/>
            <w:r>
              <w:rPr>
                <w:b w:val="0"/>
                <w:i/>
                <w:sz w:val="20"/>
              </w:rPr>
              <w:t>R-squared</w:t>
            </w:r>
          </w:p>
        </w:tc>
        <w:tc>
          <w:tcPr>
            <w:tcW w:type="dxa" w:w="2448"/>
            <w:shd w:val="clear" w:color="auto" w:fill="EFEFEF"/>
          </w:tcPr>
          <w:p>
            <w:pPr>
              <w:spacing w:line="240" w:lineRule="auto" w:before="40" w:after="40"/>
              <w:jc w:val="center"/>
            </w:pPr>
            <w:r/>
            <w:r>
              <w:rPr>
                <w:b w:val="0"/>
                <w:i w:val="0"/>
                <w:sz w:val="20"/>
              </w:rPr>
              <w:t>0.8112</w:t>
            </w:r>
          </w:p>
        </w:tc>
        <w:tc>
          <w:tcPr>
            <w:tcW w:type="dxa" w:w="2448"/>
            <w:shd w:val="clear" w:color="auto" w:fill="EFEFEF"/>
          </w:tcPr>
          <w:p>
            <w:pPr>
              <w:spacing w:line="240" w:lineRule="auto" w:before="40" w:after="40"/>
              <w:jc w:val="center"/>
            </w:pPr>
            <w:r/>
            <w:r>
              <w:rPr>
                <w:b w:val="0"/>
                <w:i w:val="0"/>
                <w:sz w:val="20"/>
              </w:rPr>
              <w:t>0.8640</w:t>
            </w:r>
          </w:p>
        </w:tc>
      </w:tr>
      <w:tr>
        <w:tc>
          <w:tcPr>
            <w:tcW w:type="dxa" w:w="4032"/>
          </w:tcPr>
          <w:p>
            <w:pPr>
              <w:spacing w:line="240" w:lineRule="auto" w:before="40" w:after="40"/>
              <w:jc w:val="left"/>
            </w:pPr>
            <w:r/>
            <w:r>
              <w:rPr>
                <w:b w:val="0"/>
                <w:i/>
                <w:sz w:val="20"/>
              </w:rPr>
              <w:t>Root Mean Square Error</w:t>
            </w:r>
          </w:p>
        </w:tc>
        <w:tc>
          <w:tcPr>
            <w:tcW w:type="dxa" w:w="2448"/>
          </w:tcPr>
          <w:p>
            <w:pPr>
              <w:spacing w:line="240" w:lineRule="auto" w:before="40" w:after="40"/>
              <w:jc w:val="center"/>
            </w:pPr>
            <w:r/>
            <w:r>
              <w:rPr>
                <w:b w:val="0"/>
                <w:i w:val="0"/>
                <w:sz w:val="20"/>
              </w:rPr>
              <w:t>₱4,330,581</w:t>
            </w:r>
          </w:p>
        </w:tc>
        <w:tc>
          <w:tcPr>
            <w:tcW w:type="dxa" w:w="2448"/>
          </w:tcPr>
          <w:p>
            <w:pPr>
              <w:spacing w:line="240" w:lineRule="auto" w:before="40" w:after="40"/>
              <w:jc w:val="center"/>
            </w:pPr>
            <w:r/>
            <w:r>
              <w:rPr>
                <w:b w:val="0"/>
                <w:i w:val="0"/>
                <w:sz w:val="20"/>
              </w:rPr>
              <w:t>₱14,021,603</w:t>
            </w:r>
          </w:p>
        </w:tc>
      </w:tr>
      <w:tr>
        <w:tc>
          <w:tcPr>
            <w:tcW w:type="dxa" w:w="4032"/>
            <w:shd w:val="clear" w:color="auto" w:fill="EFEFEF"/>
            <w:tcBorders>
              <w:bottom w:val="single" w:sz="12" w:color="000000"/>
            </w:tcBorders>
          </w:tcPr>
          <w:p>
            <w:pPr>
              <w:spacing w:line="240" w:lineRule="auto" w:before="40" w:after="40"/>
              <w:jc w:val="left"/>
            </w:pPr>
            <w:r/>
            <w:r>
              <w:rPr>
                <w:b w:val="0"/>
                <w:i/>
                <w:sz w:val="20"/>
              </w:rPr>
              <w:t>Mean Absolute Percentage Error</w:t>
            </w:r>
          </w:p>
        </w:tc>
        <w:tc>
          <w:tcPr>
            <w:tcW w:type="dxa" w:w="2448"/>
            <w:shd w:val="clear" w:color="auto" w:fill="EFEFEF"/>
            <w:tcBorders>
              <w:bottom w:val="single" w:sz="12" w:color="000000"/>
            </w:tcBorders>
          </w:tcPr>
          <w:p>
            <w:pPr>
              <w:spacing w:line="240" w:lineRule="auto" w:before="40" w:after="40"/>
              <w:jc w:val="center"/>
            </w:pPr>
            <w:r/>
            <w:r>
              <w:rPr>
                <w:b w:val="0"/>
                <w:i w:val="0"/>
                <w:sz w:val="20"/>
              </w:rPr>
              <w:t>13.43%</w:t>
            </w:r>
          </w:p>
        </w:tc>
        <w:tc>
          <w:tcPr>
            <w:tcW w:type="dxa" w:w="2448"/>
            <w:shd w:val="clear" w:color="auto" w:fill="EFEFEF"/>
            <w:tcBorders>
              <w:bottom w:val="single" w:sz="12" w:color="000000"/>
            </w:tcBorders>
          </w:tcPr>
          <w:p>
            <w:pPr>
              <w:spacing w:line="240" w:lineRule="auto" w:before="40" w:after="40"/>
              <w:jc w:val="center"/>
            </w:pPr>
            <w:r/>
            <w:r>
              <w:rPr>
                <w:b w:val="0"/>
                <w:i w:val="0"/>
                <w:sz w:val="20"/>
              </w:rPr>
              <w:t>65.65%</w:t>
            </w:r>
          </w:p>
        </w:tc>
      </w:tr>
    </w:tbl>
    <w:p>
      <w:pPr>
        <w:spacing w:line="240" w:lineRule="auto" w:after="80"/>
      </w:pPr>
    </w:p>
    <w:p>
      <w:pPr>
        <w:spacing w:line="480" w:lineRule="auto" w:after="0"/>
        <w:ind w:firstLine="720"/>
        <w:jc w:val="both"/>
      </w:pPr>
      <w:r>
        <w:rPr>
          <w:b w:val="0"/>
          <w:i w:val="0"/>
        </w:rPr>
        <w:t>Under LOOCV (Table 18), the building model reached an R</w:t>
      </w:r>
      <w:r>
        <w:rPr>
          <w:b w:val="0"/>
          <w:i w:val="0"/>
          <w:vertAlign w:val="superscript"/>
        </w:rPr>
        <w:t>2</w:t>
      </w:r>
      <w:r>
        <w:rPr>
          <w:b w:val="0"/>
          <w:i w:val="0"/>
        </w:rPr>
        <w:t xml:space="preserve"> of 0.8112 with a MAPE of 13.43%, within the 13% to 31% range Mahamid (2011) reported for regression models of construction cost. The bridge model explained a similar share of variance (R</w:t>
      </w:r>
      <w:r>
        <w:rPr>
          <w:b w:val="0"/>
          <w:i w:val="0"/>
          <w:vertAlign w:val="superscript"/>
        </w:rPr>
        <w:t>2</w:t>
      </w:r>
      <w:r>
        <w:rPr>
          <w:b w:val="0"/>
          <w:i w:val="0"/>
        </w:rPr>
        <w:t xml:space="preserve"> = 0.8640) but its MAPE rose to 65.65%. The linear model fits the large bridges that dominate the variance but badly over-predicts small culverts, where a few million pesos of error is a large percentage; the negative intercept even pushes some small culverts toward zero or below. Linear regression is therefore a fair baseline for buildings but not for bridges.</w:t>
      </w:r>
    </w:p>
    <w:p>
      <w:pPr>
        <w:keepNext/>
        <w:spacing w:line="480" w:lineRule="auto" w:after="0"/>
        <w:ind w:left="720"/>
        <w:jc w:val="left"/>
      </w:pPr>
      <w:r>
        <w:rPr>
          <w:b/>
          <w:i w:val="0"/>
        </w:rPr>
        <w:t>b.) Extreme Gradient Boosting</w:t>
      </w:r>
    </w:p>
    <w:p>
      <w:pPr>
        <w:keepNext/>
        <w:spacing w:line="240" w:lineRule="auto" w:after="0" w:before="120"/>
        <w:jc w:val="left"/>
      </w:pPr>
      <w:r>
        <w:rPr>
          <w:b/>
          <w:i w:val="0"/>
        </w:rPr>
        <w:t>Table 19.</w:t>
      </w:r>
    </w:p>
    <w:p>
      <w:pPr>
        <w:keepNext/>
        <w:spacing w:line="240" w:lineRule="auto" w:after="0"/>
        <w:jc w:val="left"/>
      </w:pPr>
      <w:r>
        <w:rPr>
          <w:b w:val="0"/>
          <w:i/>
        </w:rPr>
        <w:t>XGBoost Feature Importance (Gain Share)</w:t>
      </w:r>
    </w:p>
    <w:tbl>
      <w:tblPr>
        <w:tblW w:type="auto" w:w="0"/>
        <w:jc w:val="center"/>
        <w:tblLayout w:type="fixed"/>
        <w:tblLook w:firstColumn="1" w:firstRow="1" w:lastColumn="0" w:lastRow="0" w:noHBand="0" w:noVBand="1" w:val="04A0"/>
        <w:tblLayout w:type="fixed"/>
      </w:tblPr>
      <w:tblGrid>
        <w:gridCol w:w="2448"/>
        <w:gridCol w:w="2015"/>
        <w:gridCol w:w="2592"/>
        <w:gridCol w:w="2015"/>
      </w:tblGrid>
      <w:tr>
        <w:tc>
          <w:tcPr>
            <w:tcW w:type="dxa" w:w="2448"/>
            <w:tcBorders>
              <w:top w:val="single" w:sz="12" w:color="000000"/>
              <w:bottom w:val="single" w:sz="8" w:color="000000"/>
            </w:tcBorders>
          </w:tcPr>
          <w:p>
            <w:pPr>
              <w:spacing w:line="240" w:lineRule="auto" w:before="40" w:after="40"/>
              <w:jc w:val="center"/>
            </w:pPr>
            <w:r/>
            <w:r>
              <w:rPr>
                <w:b/>
                <w:i w:val="0"/>
                <w:sz w:val="18"/>
              </w:rPr>
              <w:t>FEATURE</w:t>
            </w:r>
          </w:p>
        </w:tc>
        <w:tc>
          <w:tcPr>
            <w:tcW w:type="dxa" w:w="2016"/>
            <w:tcBorders>
              <w:top w:val="single" w:sz="12" w:color="000000"/>
              <w:bottom w:val="single" w:sz="8" w:color="000000"/>
            </w:tcBorders>
          </w:tcPr>
          <w:p>
            <w:pPr>
              <w:spacing w:line="240" w:lineRule="auto" w:before="40" w:after="40"/>
              <w:jc w:val="center"/>
            </w:pPr>
            <w:r/>
            <w:r>
              <w:rPr>
                <w:b/>
                <w:i w:val="0"/>
                <w:sz w:val="18"/>
              </w:rPr>
              <w:t>IMPORTANCE (BUILDINGS)</w:t>
            </w:r>
          </w:p>
        </w:tc>
        <w:tc>
          <w:tcPr>
            <w:tcW w:type="dxa" w:w="2592"/>
            <w:tcBorders>
              <w:top w:val="single" w:sz="12" w:color="000000"/>
              <w:bottom w:val="single" w:sz="8" w:color="000000"/>
            </w:tcBorders>
          </w:tcPr>
          <w:p>
            <w:pPr>
              <w:spacing w:line="240" w:lineRule="auto" w:before="40" w:after="40"/>
              <w:jc w:val="center"/>
            </w:pPr>
            <w:r/>
            <w:r>
              <w:rPr>
                <w:b/>
                <w:i w:val="0"/>
                <w:sz w:val="18"/>
              </w:rPr>
              <w:t>FEATURE</w:t>
            </w:r>
          </w:p>
        </w:tc>
        <w:tc>
          <w:tcPr>
            <w:tcW w:type="dxa" w:w="2016"/>
            <w:tcBorders>
              <w:top w:val="single" w:sz="12" w:color="000000"/>
              <w:bottom w:val="single" w:sz="8" w:color="000000"/>
            </w:tcBorders>
          </w:tcPr>
          <w:p>
            <w:pPr>
              <w:spacing w:line="240" w:lineRule="auto" w:before="40" w:after="40"/>
              <w:jc w:val="center"/>
            </w:pPr>
            <w:r/>
            <w:r>
              <w:rPr>
                <w:b/>
                <w:i w:val="0"/>
                <w:sz w:val="18"/>
              </w:rPr>
              <w:t>IMPORTANCE (BRIDGES)</w:t>
            </w:r>
          </w:p>
        </w:tc>
      </w:tr>
      <w:tr>
        <w:tc>
          <w:tcPr>
            <w:tcW w:type="dxa" w:w="2448"/>
            <w:shd w:val="clear" w:color="auto" w:fill="EFEFEF"/>
          </w:tcPr>
          <w:p>
            <w:pPr>
              <w:spacing w:line="240" w:lineRule="auto" w:before="40" w:after="40"/>
              <w:jc w:val="left"/>
            </w:pPr>
            <w:r/>
            <w:r>
              <w:rPr>
                <w:b w:val="0"/>
                <w:i/>
                <w:sz w:val="18"/>
              </w:rPr>
              <w:t>Gross Floor Area</w:t>
            </w:r>
          </w:p>
        </w:tc>
        <w:tc>
          <w:tcPr>
            <w:tcW w:type="dxa" w:w="2016"/>
            <w:shd w:val="clear" w:color="auto" w:fill="EFEFEF"/>
          </w:tcPr>
          <w:p>
            <w:pPr>
              <w:spacing w:line="240" w:lineRule="auto" w:before="40" w:after="40"/>
              <w:jc w:val="center"/>
            </w:pPr>
            <w:r/>
            <w:r>
              <w:rPr>
                <w:b w:val="0"/>
                <w:i w:val="0"/>
                <w:sz w:val="18"/>
              </w:rPr>
              <w:t>0.3937</w:t>
            </w:r>
          </w:p>
        </w:tc>
        <w:tc>
          <w:tcPr>
            <w:tcW w:type="dxa" w:w="2592"/>
            <w:shd w:val="clear" w:color="auto" w:fill="EFEFEF"/>
          </w:tcPr>
          <w:p>
            <w:pPr>
              <w:spacing w:line="240" w:lineRule="auto" w:before="40" w:after="40"/>
              <w:jc w:val="center"/>
            </w:pPr>
            <w:r/>
            <w:r>
              <w:rPr>
                <w:b w:val="0"/>
                <w:i w:val="0"/>
                <w:sz w:val="18"/>
              </w:rPr>
              <w:t>Superstructure Type Index</w:t>
            </w:r>
          </w:p>
        </w:tc>
        <w:tc>
          <w:tcPr>
            <w:tcW w:type="dxa" w:w="2016"/>
            <w:shd w:val="clear" w:color="auto" w:fill="EFEFEF"/>
          </w:tcPr>
          <w:p>
            <w:pPr>
              <w:spacing w:line="240" w:lineRule="auto" w:before="40" w:after="40"/>
              <w:jc w:val="center"/>
            </w:pPr>
            <w:r/>
            <w:r>
              <w:rPr>
                <w:b w:val="0"/>
                <w:i w:val="0"/>
                <w:sz w:val="18"/>
              </w:rPr>
              <w:t>0.8570</w:t>
            </w:r>
          </w:p>
        </w:tc>
      </w:tr>
      <w:tr>
        <w:tc>
          <w:tcPr>
            <w:tcW w:type="dxa" w:w="2448"/>
          </w:tcPr>
          <w:p>
            <w:pPr>
              <w:spacing w:line="240" w:lineRule="auto" w:before="40" w:after="40"/>
              <w:jc w:val="left"/>
            </w:pPr>
            <w:r/>
            <w:r>
              <w:rPr>
                <w:b w:val="0"/>
                <w:i/>
                <w:sz w:val="18"/>
              </w:rPr>
              <w:t>Number of Storeys</w:t>
            </w:r>
          </w:p>
        </w:tc>
        <w:tc>
          <w:tcPr>
            <w:tcW w:type="dxa" w:w="2016"/>
          </w:tcPr>
          <w:p>
            <w:pPr>
              <w:spacing w:line="240" w:lineRule="auto" w:before="40" w:after="40"/>
              <w:jc w:val="center"/>
            </w:pPr>
            <w:r/>
            <w:r>
              <w:rPr>
                <w:b w:val="0"/>
                <w:i w:val="0"/>
                <w:sz w:val="18"/>
              </w:rPr>
              <w:t>0.3848</w:t>
            </w:r>
          </w:p>
        </w:tc>
        <w:tc>
          <w:tcPr>
            <w:tcW w:type="dxa" w:w="2592"/>
          </w:tcPr>
          <w:p>
            <w:pPr>
              <w:spacing w:line="240" w:lineRule="auto" w:before="40" w:after="40"/>
              <w:jc w:val="center"/>
            </w:pPr>
            <w:r/>
            <w:r>
              <w:rPr>
                <w:b w:val="0"/>
                <w:i w:val="0"/>
                <w:sz w:val="18"/>
              </w:rPr>
              <w:t>Foundation Type Index</w:t>
            </w:r>
          </w:p>
        </w:tc>
        <w:tc>
          <w:tcPr>
            <w:tcW w:type="dxa" w:w="2016"/>
          </w:tcPr>
          <w:p>
            <w:pPr>
              <w:spacing w:line="240" w:lineRule="auto" w:before="40" w:after="40"/>
              <w:jc w:val="center"/>
            </w:pPr>
            <w:r/>
            <w:r>
              <w:rPr>
                <w:b w:val="0"/>
                <w:i w:val="0"/>
                <w:sz w:val="18"/>
              </w:rPr>
              <w:t>0.0428</w:t>
            </w:r>
          </w:p>
        </w:tc>
      </w:tr>
      <w:tr>
        <w:tc>
          <w:tcPr>
            <w:tcW w:type="dxa" w:w="2448"/>
            <w:shd w:val="clear" w:color="auto" w:fill="EFEFEF"/>
          </w:tcPr>
          <w:p>
            <w:pPr>
              <w:spacing w:line="240" w:lineRule="auto" w:before="40" w:after="40"/>
              <w:jc w:val="left"/>
            </w:pPr>
            <w:r/>
            <w:r>
              <w:rPr>
                <w:b w:val="0"/>
                <w:i/>
                <w:sz w:val="18"/>
              </w:rPr>
              <w:t>Footprint Area</w:t>
            </w:r>
          </w:p>
        </w:tc>
        <w:tc>
          <w:tcPr>
            <w:tcW w:type="dxa" w:w="2016"/>
            <w:shd w:val="clear" w:color="auto" w:fill="EFEFEF"/>
          </w:tcPr>
          <w:p>
            <w:pPr>
              <w:spacing w:line="240" w:lineRule="auto" w:before="40" w:after="40"/>
              <w:jc w:val="center"/>
            </w:pPr>
            <w:r/>
            <w:r>
              <w:rPr>
                <w:b w:val="0"/>
                <w:i w:val="0"/>
                <w:sz w:val="18"/>
              </w:rPr>
              <w:t>0.1010</w:t>
            </w:r>
          </w:p>
        </w:tc>
        <w:tc>
          <w:tcPr>
            <w:tcW w:type="dxa" w:w="2592"/>
            <w:shd w:val="clear" w:color="auto" w:fill="EFEFEF"/>
          </w:tcPr>
          <w:p>
            <w:pPr>
              <w:spacing w:line="240" w:lineRule="auto" w:before="40" w:after="40"/>
              <w:jc w:val="center"/>
            </w:pPr>
            <w:r/>
            <w:r>
              <w:rPr>
                <w:b w:val="0"/>
                <w:i w:val="0"/>
                <w:sz w:val="18"/>
              </w:rPr>
              <w:t>Total Length</w:t>
            </w:r>
          </w:p>
        </w:tc>
        <w:tc>
          <w:tcPr>
            <w:tcW w:type="dxa" w:w="2016"/>
            <w:shd w:val="clear" w:color="auto" w:fill="EFEFEF"/>
          </w:tcPr>
          <w:p>
            <w:pPr>
              <w:spacing w:line="240" w:lineRule="auto" w:before="40" w:after="40"/>
              <w:jc w:val="center"/>
            </w:pPr>
            <w:r/>
            <w:r>
              <w:rPr>
                <w:b w:val="0"/>
                <w:i w:val="0"/>
                <w:sz w:val="18"/>
              </w:rPr>
              <w:t>0.0383</w:t>
            </w:r>
          </w:p>
        </w:tc>
      </w:tr>
      <w:tr>
        <w:tc>
          <w:tcPr>
            <w:tcW w:type="dxa" w:w="2448"/>
          </w:tcPr>
          <w:p>
            <w:pPr>
              <w:spacing w:line="240" w:lineRule="auto" w:before="40" w:after="40"/>
              <w:jc w:val="left"/>
            </w:pPr>
            <w:r/>
            <w:r>
              <w:rPr>
                <w:b w:val="0"/>
                <w:i/>
                <w:sz w:val="18"/>
              </w:rPr>
              <w:t>Cost Index (Year)</w:t>
            </w:r>
          </w:p>
        </w:tc>
        <w:tc>
          <w:tcPr>
            <w:tcW w:type="dxa" w:w="2016"/>
          </w:tcPr>
          <w:p>
            <w:pPr>
              <w:spacing w:line="240" w:lineRule="auto" w:before="40" w:after="40"/>
              <w:jc w:val="center"/>
            </w:pPr>
            <w:r/>
            <w:r>
              <w:rPr>
                <w:b w:val="0"/>
                <w:i w:val="0"/>
                <w:sz w:val="18"/>
              </w:rPr>
              <w:t>0.0264</w:t>
            </w:r>
          </w:p>
        </w:tc>
        <w:tc>
          <w:tcPr>
            <w:tcW w:type="dxa" w:w="2592"/>
          </w:tcPr>
          <w:p>
            <w:pPr>
              <w:spacing w:line="240" w:lineRule="auto" w:before="40" w:after="40"/>
              <w:jc w:val="center"/>
            </w:pPr>
            <w:r/>
            <w:r>
              <w:rPr>
                <w:b w:val="0"/>
                <w:i w:val="0"/>
                <w:sz w:val="18"/>
              </w:rPr>
              <w:t>Pile Length</w:t>
            </w:r>
          </w:p>
        </w:tc>
        <w:tc>
          <w:tcPr>
            <w:tcW w:type="dxa" w:w="2016"/>
          </w:tcPr>
          <w:p>
            <w:pPr>
              <w:spacing w:line="240" w:lineRule="auto" w:before="40" w:after="40"/>
              <w:jc w:val="center"/>
            </w:pPr>
            <w:r/>
            <w:r>
              <w:rPr>
                <w:b w:val="0"/>
                <w:i w:val="0"/>
                <w:sz w:val="18"/>
              </w:rPr>
              <w:t>0.0232</w:t>
            </w:r>
          </w:p>
        </w:tc>
      </w:tr>
      <w:tr>
        <w:tc>
          <w:tcPr>
            <w:tcW w:type="dxa" w:w="2448"/>
            <w:shd w:val="clear" w:color="auto" w:fill="EFEFEF"/>
          </w:tcPr>
          <w:p>
            <w:pPr>
              <w:spacing w:line="240" w:lineRule="auto" w:before="40" w:after="40"/>
              <w:jc w:val="left"/>
            </w:pPr>
            <w:r/>
            <w:r>
              <w:rPr>
                <w:b w:val="0"/>
                <w:i/>
                <w:sz w:val="18"/>
              </w:rPr>
              <w:t>Location Factor</w:t>
            </w:r>
          </w:p>
        </w:tc>
        <w:tc>
          <w:tcPr>
            <w:tcW w:type="dxa" w:w="2016"/>
            <w:shd w:val="clear" w:color="auto" w:fill="EFEFEF"/>
          </w:tcPr>
          <w:p>
            <w:pPr>
              <w:spacing w:line="240" w:lineRule="auto" w:before="40" w:after="40"/>
              <w:jc w:val="center"/>
            </w:pPr>
            <w:r/>
            <w:r>
              <w:rPr>
                <w:b w:val="0"/>
                <w:i w:val="0"/>
                <w:sz w:val="18"/>
              </w:rPr>
              <w:t>0.0260</w:t>
            </w:r>
          </w:p>
        </w:tc>
        <w:tc>
          <w:tcPr>
            <w:tcW w:type="dxa" w:w="2592"/>
            <w:shd w:val="clear" w:color="auto" w:fill="EFEFEF"/>
          </w:tcPr>
          <w:p>
            <w:pPr>
              <w:spacing w:line="240" w:lineRule="auto" w:before="40" w:after="40"/>
              <w:jc w:val="center"/>
            </w:pPr>
            <w:r/>
            <w:r>
              <w:rPr>
                <w:b w:val="0"/>
                <w:i w:val="0"/>
                <w:sz w:val="18"/>
              </w:rPr>
              <w:t>Deck Area</w:t>
            </w:r>
          </w:p>
        </w:tc>
        <w:tc>
          <w:tcPr>
            <w:tcW w:type="dxa" w:w="2016"/>
            <w:shd w:val="clear" w:color="auto" w:fill="EFEFEF"/>
          </w:tcPr>
          <w:p>
            <w:pPr>
              <w:spacing w:line="240" w:lineRule="auto" w:before="40" w:after="40"/>
              <w:jc w:val="center"/>
            </w:pPr>
            <w:r/>
            <w:r>
              <w:rPr>
                <w:b w:val="0"/>
                <w:i w:val="0"/>
                <w:sz w:val="18"/>
              </w:rPr>
              <w:t>0.0171</w:t>
            </w:r>
          </w:p>
        </w:tc>
      </w:tr>
      <w:tr>
        <w:tc>
          <w:tcPr>
            <w:tcW w:type="dxa" w:w="2448"/>
          </w:tcPr>
          <w:p>
            <w:pPr>
              <w:spacing w:line="240" w:lineRule="auto" w:before="40" w:after="40"/>
              <w:jc w:val="left"/>
            </w:pPr>
            <w:r/>
            <w:r>
              <w:rPr>
                <w:b w:val="0"/>
                <w:i/>
                <w:sz w:val="18"/>
              </w:rPr>
              <w:t>Floor Height</w:t>
            </w:r>
          </w:p>
        </w:tc>
        <w:tc>
          <w:tcPr>
            <w:tcW w:type="dxa" w:w="2016"/>
          </w:tcPr>
          <w:p>
            <w:pPr>
              <w:spacing w:line="240" w:lineRule="auto" w:before="40" w:after="40"/>
              <w:jc w:val="center"/>
            </w:pPr>
            <w:r/>
            <w:r>
              <w:rPr>
                <w:b w:val="0"/>
                <w:i w:val="0"/>
                <w:sz w:val="18"/>
              </w:rPr>
              <w:t>0.0210</w:t>
            </w:r>
          </w:p>
        </w:tc>
        <w:tc>
          <w:tcPr>
            <w:tcW w:type="dxa" w:w="2592"/>
          </w:tcPr>
          <w:p>
            <w:pPr>
              <w:spacing w:line="240" w:lineRule="auto" w:before="40" w:after="40"/>
              <w:jc w:val="center"/>
            </w:pPr>
            <w:r/>
            <w:r>
              <w:rPr>
                <w:b w:val="0"/>
                <w:i w:val="0"/>
                <w:sz w:val="18"/>
              </w:rPr>
              <w:t>Span Length</w:t>
            </w:r>
          </w:p>
        </w:tc>
        <w:tc>
          <w:tcPr>
            <w:tcW w:type="dxa" w:w="2016"/>
          </w:tcPr>
          <w:p>
            <w:pPr>
              <w:spacing w:line="240" w:lineRule="auto" w:before="40" w:after="40"/>
              <w:jc w:val="center"/>
            </w:pPr>
            <w:r/>
            <w:r>
              <w:rPr>
                <w:b w:val="0"/>
                <w:i w:val="0"/>
                <w:sz w:val="18"/>
              </w:rPr>
              <w:t>0.0145</w:t>
            </w:r>
          </w:p>
        </w:tc>
      </w:tr>
      <w:tr>
        <w:tc>
          <w:tcPr>
            <w:tcW w:type="dxa" w:w="2448"/>
            <w:shd w:val="clear" w:color="auto" w:fill="EFEFEF"/>
          </w:tcPr>
          <w:p>
            <w:pPr>
              <w:spacing w:line="240" w:lineRule="auto" w:before="40" w:after="40"/>
              <w:jc w:val="left"/>
            </w:pPr>
            <w:r/>
            <w:r>
              <w:rPr>
                <w:b w:val="0"/>
                <w:i/>
                <w:sz w:val="18"/>
              </w:rPr>
              <w:t>Facility Type Index</w:t>
            </w:r>
          </w:p>
        </w:tc>
        <w:tc>
          <w:tcPr>
            <w:tcW w:type="dxa" w:w="2016"/>
            <w:shd w:val="clear" w:color="auto" w:fill="EFEFEF"/>
          </w:tcPr>
          <w:p>
            <w:pPr>
              <w:spacing w:line="240" w:lineRule="auto" w:before="40" w:after="40"/>
              <w:jc w:val="center"/>
            </w:pPr>
            <w:r/>
            <w:r>
              <w:rPr>
                <w:b w:val="0"/>
                <w:i w:val="0"/>
                <w:sz w:val="18"/>
              </w:rPr>
              <w:t>0.0189</w:t>
            </w:r>
          </w:p>
        </w:tc>
        <w:tc>
          <w:tcPr>
            <w:tcW w:type="dxa" w:w="2592"/>
            <w:shd w:val="clear" w:color="auto" w:fill="EFEFEF"/>
          </w:tcPr>
          <w:p>
            <w:pPr>
              <w:spacing w:line="240" w:lineRule="auto" w:before="40" w:after="40"/>
              <w:jc w:val="center"/>
            </w:pPr>
            <w:r/>
            <w:r>
              <w:rPr>
                <w:b w:val="0"/>
                <w:i w:val="0"/>
                <w:sz w:val="18"/>
              </w:rPr>
              <w:t>Deck Width</w:t>
            </w:r>
          </w:p>
        </w:tc>
        <w:tc>
          <w:tcPr>
            <w:tcW w:type="dxa" w:w="2016"/>
            <w:shd w:val="clear" w:color="auto" w:fill="EFEFEF"/>
          </w:tcPr>
          <w:p>
            <w:pPr>
              <w:spacing w:line="240" w:lineRule="auto" w:before="40" w:after="40"/>
              <w:jc w:val="center"/>
            </w:pPr>
            <w:r/>
            <w:r>
              <w:rPr>
                <w:b w:val="0"/>
                <w:i w:val="0"/>
                <w:sz w:val="18"/>
              </w:rPr>
              <w:t>0.0024</w:t>
            </w:r>
          </w:p>
        </w:tc>
      </w:tr>
      <w:tr>
        <w:tc>
          <w:tcPr>
            <w:tcW w:type="dxa" w:w="2448"/>
          </w:tcPr>
          <w:p>
            <w:pPr>
              <w:spacing w:line="240" w:lineRule="auto" w:before="40" w:after="40"/>
              <w:jc w:val="left"/>
            </w:pPr>
            <w:r/>
            <w:r>
              <w:rPr>
                <w:b w:val="0"/>
                <w:i/>
                <w:sz w:val="18"/>
              </w:rPr>
              <w:t>Structural Span</w:t>
            </w:r>
          </w:p>
        </w:tc>
        <w:tc>
          <w:tcPr>
            <w:tcW w:type="dxa" w:w="2016"/>
          </w:tcPr>
          <w:p>
            <w:pPr>
              <w:spacing w:line="240" w:lineRule="auto" w:before="40" w:after="40"/>
              <w:jc w:val="center"/>
            </w:pPr>
            <w:r/>
            <w:r>
              <w:rPr>
                <w:b w:val="0"/>
                <w:i w:val="0"/>
                <w:sz w:val="18"/>
              </w:rPr>
              <w:t>0.0175</w:t>
            </w:r>
          </w:p>
        </w:tc>
        <w:tc>
          <w:tcPr>
            <w:tcW w:type="dxa" w:w="2592"/>
          </w:tcPr>
          <w:p>
            <w:pPr>
              <w:spacing w:line="240" w:lineRule="auto" w:before="40" w:after="40"/>
              <w:jc w:val="center"/>
            </w:pPr>
            <w:r/>
            <w:r>
              <w:rPr>
                <w:b w:val="0"/>
                <w:i w:val="0"/>
                <w:sz w:val="18"/>
              </w:rPr>
              <w:t>Cost Index (Year)</w:t>
            </w:r>
          </w:p>
        </w:tc>
        <w:tc>
          <w:tcPr>
            <w:tcW w:type="dxa" w:w="2016"/>
          </w:tcPr>
          <w:p>
            <w:pPr>
              <w:spacing w:line="240" w:lineRule="auto" w:before="40" w:after="40"/>
              <w:jc w:val="center"/>
            </w:pPr>
            <w:r/>
            <w:r>
              <w:rPr>
                <w:b w:val="0"/>
                <w:i w:val="0"/>
                <w:sz w:val="18"/>
              </w:rPr>
              <w:t>0.0015</w:t>
            </w:r>
          </w:p>
        </w:tc>
      </w:tr>
      <w:tr>
        <w:tc>
          <w:tcPr>
            <w:tcW w:type="dxa" w:w="2448"/>
            <w:shd w:val="clear" w:color="auto" w:fill="EFEFEF"/>
          </w:tcPr>
          <w:p>
            <w:pPr>
              <w:spacing w:line="240" w:lineRule="auto" w:before="40" w:after="40"/>
              <w:jc w:val="left"/>
            </w:pPr>
            <w:r/>
            <w:r>
              <w:rPr>
                <w:b w:val="0"/>
                <w:i/>
                <w:sz w:val="18"/>
              </w:rPr>
              <w:t>RC Roof Deck</w:t>
            </w:r>
          </w:p>
        </w:tc>
        <w:tc>
          <w:tcPr>
            <w:tcW w:type="dxa" w:w="2016"/>
            <w:shd w:val="clear" w:color="auto" w:fill="EFEFEF"/>
          </w:tcPr>
          <w:p>
            <w:pPr>
              <w:spacing w:line="240" w:lineRule="auto" w:before="40" w:after="40"/>
              <w:jc w:val="center"/>
            </w:pPr>
            <w:r/>
            <w:r>
              <w:rPr>
                <w:b w:val="0"/>
                <w:i w:val="0"/>
                <w:sz w:val="18"/>
              </w:rPr>
              <w:t>0.0107</w:t>
            </w:r>
          </w:p>
        </w:tc>
        <w:tc>
          <w:tcPr>
            <w:tcW w:type="dxa" w:w="2592"/>
            <w:shd w:val="clear" w:color="auto" w:fill="EFEFEF"/>
          </w:tcPr>
          <w:p>
            <w:pPr>
              <w:spacing w:line="240" w:lineRule="auto" w:before="40" w:after="40"/>
              <w:jc w:val="center"/>
            </w:pPr>
            <w:r/>
            <w:r>
              <w:rPr>
                <w:b w:val="0"/>
                <w:i w:val="0"/>
                <w:sz w:val="18"/>
              </w:rPr>
              <w:t>Abutment Height</w:t>
            </w:r>
          </w:p>
        </w:tc>
        <w:tc>
          <w:tcPr>
            <w:tcW w:type="dxa" w:w="2016"/>
            <w:shd w:val="clear" w:color="auto" w:fill="EFEFEF"/>
          </w:tcPr>
          <w:p>
            <w:pPr>
              <w:spacing w:line="240" w:lineRule="auto" w:before="40" w:after="40"/>
              <w:jc w:val="center"/>
            </w:pPr>
            <w:r/>
            <w:r>
              <w:rPr>
                <w:b w:val="0"/>
                <w:i w:val="0"/>
                <w:sz w:val="18"/>
              </w:rPr>
              <w:t>0.0015</w:t>
            </w:r>
          </w:p>
        </w:tc>
      </w:tr>
      <w:tr>
        <w:tc>
          <w:tcPr>
            <w:tcW w:type="dxa" w:w="2448"/>
          </w:tcPr>
          <w:p>
            <w:pPr>
              <w:spacing w:line="240" w:lineRule="auto" w:before="40" w:after="40"/>
              <w:jc w:val="left"/>
            </w:pPr>
            <w:r/>
          </w:p>
        </w:tc>
        <w:tc>
          <w:tcPr>
            <w:tcW w:type="dxa" w:w="2016"/>
          </w:tcPr>
          <w:p>
            <w:pPr>
              <w:spacing w:line="240" w:lineRule="auto" w:before="40" w:after="40"/>
              <w:jc w:val="center"/>
            </w:pPr>
            <w:r/>
          </w:p>
        </w:tc>
        <w:tc>
          <w:tcPr>
            <w:tcW w:type="dxa" w:w="2592"/>
          </w:tcPr>
          <w:p>
            <w:pPr>
              <w:spacing w:line="240" w:lineRule="auto" w:before="40" w:after="40"/>
              <w:jc w:val="center"/>
            </w:pPr>
            <w:r/>
            <w:r>
              <w:rPr>
                <w:b w:val="0"/>
                <w:i w:val="0"/>
                <w:sz w:val="18"/>
              </w:rPr>
              <w:t>Location Factor</w:t>
            </w:r>
          </w:p>
        </w:tc>
        <w:tc>
          <w:tcPr>
            <w:tcW w:type="dxa" w:w="2016"/>
          </w:tcPr>
          <w:p>
            <w:pPr>
              <w:spacing w:line="240" w:lineRule="auto" w:before="40" w:after="40"/>
              <w:jc w:val="center"/>
            </w:pPr>
            <w:r/>
            <w:r>
              <w:rPr>
                <w:b w:val="0"/>
                <w:i w:val="0"/>
                <w:sz w:val="18"/>
              </w:rPr>
              <w:t>0.0009</w:t>
            </w:r>
          </w:p>
        </w:tc>
      </w:tr>
      <w:tr>
        <w:tc>
          <w:tcPr>
            <w:tcW w:type="dxa" w:w="2448"/>
            <w:shd w:val="clear" w:color="auto" w:fill="EFEFEF"/>
            <w:tcBorders>
              <w:bottom w:val="single" w:sz="12" w:color="000000"/>
            </w:tcBorders>
          </w:tcPr>
          <w:p>
            <w:pPr>
              <w:spacing w:line="240" w:lineRule="auto" w:before="40" w:after="40"/>
              <w:jc w:val="left"/>
            </w:pPr>
            <w:r/>
          </w:p>
        </w:tc>
        <w:tc>
          <w:tcPr>
            <w:tcW w:type="dxa" w:w="2016"/>
            <w:shd w:val="clear" w:color="auto" w:fill="EFEFEF"/>
            <w:tcBorders>
              <w:bottom w:val="single" w:sz="12" w:color="000000"/>
            </w:tcBorders>
          </w:tcPr>
          <w:p>
            <w:pPr>
              <w:spacing w:line="240" w:lineRule="auto" w:before="40" w:after="40"/>
              <w:jc w:val="center"/>
            </w:pPr>
            <w:r/>
          </w:p>
        </w:tc>
        <w:tc>
          <w:tcPr>
            <w:tcW w:type="dxa" w:w="2592"/>
            <w:shd w:val="clear" w:color="auto" w:fill="EFEFEF"/>
            <w:tcBorders>
              <w:bottom w:val="single" w:sz="12" w:color="000000"/>
            </w:tcBorders>
          </w:tcPr>
          <w:p>
            <w:pPr>
              <w:spacing w:line="240" w:lineRule="auto" w:before="40" w:after="40"/>
              <w:jc w:val="center"/>
            </w:pPr>
            <w:r/>
            <w:r>
              <w:rPr>
                <w:b w:val="0"/>
                <w:i w:val="0"/>
                <w:sz w:val="18"/>
              </w:rPr>
              <w:t>Pier Height</w:t>
            </w:r>
          </w:p>
        </w:tc>
        <w:tc>
          <w:tcPr>
            <w:tcW w:type="dxa" w:w="2016"/>
            <w:shd w:val="clear" w:color="auto" w:fill="EFEFEF"/>
            <w:tcBorders>
              <w:bottom w:val="single" w:sz="12" w:color="000000"/>
            </w:tcBorders>
          </w:tcPr>
          <w:p>
            <w:pPr>
              <w:spacing w:line="240" w:lineRule="auto" w:before="40" w:after="40"/>
              <w:jc w:val="center"/>
            </w:pPr>
            <w:r/>
            <w:r>
              <w:rPr>
                <w:b w:val="0"/>
                <w:i w:val="0"/>
                <w:sz w:val="18"/>
              </w:rPr>
              <w:t>0.0007</w:t>
            </w:r>
          </w:p>
        </w:tc>
      </w:tr>
    </w:tbl>
    <w:p>
      <w:pPr>
        <w:spacing w:line="240" w:lineRule="auto" w:after="80"/>
      </w:pPr>
    </w:p>
    <w:p>
      <w:pPr>
        <w:spacing w:line="480" w:lineRule="auto" w:after="0"/>
        <w:ind w:firstLine="720"/>
        <w:jc w:val="both"/>
      </w:pPr>
      <w:r>
        <w:rPr>
          <w:b w:val="0"/>
          <w:i w:val="0"/>
        </w:rPr>
        <w:t>Table 19 shows the share of total gain contributed by each feature. For buildings, gross floor area (0.3937) and storeys (0.3848) account for about 78% of the model's splitting gain. For bridges, superstructure type dominates (0.8570): once the tree knows whether a crossing is a culvert, an RCDG, a PSCG or a truss, most of the cost level is set, and length, foundation and pile length refine it. The tree model thus retains the superstructure type that the linear model had to drop because of collinearity.</w:t>
      </w:r>
    </w:p>
    <w:p>
      <w:pPr>
        <w:keepNext/>
        <w:spacing w:line="240" w:lineRule="auto" w:after="0" w:before="120"/>
        <w:jc w:val="left"/>
      </w:pPr>
      <w:r>
        <w:rPr>
          <w:b/>
          <w:i w:val="0"/>
        </w:rPr>
        <w:t>Table 20.</w:t>
      </w:r>
    </w:p>
    <w:p>
      <w:pPr>
        <w:keepNext/>
        <w:spacing w:line="240" w:lineRule="auto" w:after="0"/>
        <w:jc w:val="left"/>
      </w:pPr>
      <w:r>
        <w:rPr>
          <w:b w:val="0"/>
          <w:i/>
        </w:rPr>
        <w:t>Performance of the XGBoost Models under LOOCV</w:t>
      </w:r>
    </w:p>
    <w:tbl>
      <w:tblPr>
        <w:tblW w:type="auto" w:w="0"/>
        <w:jc w:val="center"/>
        <w:tblLayout w:type="fixed"/>
        <w:tblLook w:firstColumn="1" w:firstRow="1" w:lastColumn="0" w:lastRow="0" w:noHBand="0" w:noVBand="1" w:val="04A0"/>
        <w:tblLayout w:type="fixed"/>
      </w:tblPr>
      <w:tblGrid>
        <w:gridCol w:w="4031"/>
        <w:gridCol w:w="2448"/>
        <w:gridCol w:w="2448"/>
      </w:tblGrid>
      <w:tr>
        <w:tc>
          <w:tcPr>
            <w:tcW w:type="dxa" w:w="4032"/>
            <w:tcBorders>
              <w:top w:val="single" w:sz="12" w:color="000000"/>
              <w:bottom w:val="single" w:sz="8" w:color="000000"/>
            </w:tcBorders>
          </w:tcPr>
          <w:p>
            <w:pPr>
              <w:spacing w:line="240" w:lineRule="auto" w:before="40" w:after="40"/>
              <w:jc w:val="center"/>
            </w:pPr>
            <w:r/>
            <w:r>
              <w:rPr>
                <w:b/>
                <w:i w:val="0"/>
                <w:sz w:val="20"/>
              </w:rPr>
              <w:t>METRIC (LOOCV)</w:t>
            </w:r>
          </w:p>
        </w:tc>
        <w:tc>
          <w:tcPr>
            <w:tcW w:type="dxa" w:w="2448"/>
            <w:tcBorders>
              <w:top w:val="single" w:sz="12" w:color="000000"/>
              <w:bottom w:val="single" w:sz="8" w:color="000000"/>
            </w:tcBorders>
          </w:tcPr>
          <w:p>
            <w:pPr>
              <w:spacing w:line="240" w:lineRule="auto" w:before="40" w:after="40"/>
              <w:jc w:val="center"/>
            </w:pPr>
            <w:r/>
            <w:r>
              <w:rPr>
                <w:b/>
                <w:i w:val="0"/>
                <w:sz w:val="20"/>
              </w:rPr>
              <w:t>BUILDINGS</w:t>
            </w:r>
          </w:p>
        </w:tc>
        <w:tc>
          <w:tcPr>
            <w:tcW w:type="dxa" w:w="2448"/>
            <w:tcBorders>
              <w:top w:val="single" w:sz="12" w:color="000000"/>
              <w:bottom w:val="single" w:sz="8" w:color="000000"/>
            </w:tcBorders>
          </w:tcPr>
          <w:p>
            <w:pPr>
              <w:spacing w:line="240" w:lineRule="auto" w:before="40" w:after="40"/>
              <w:jc w:val="center"/>
            </w:pPr>
            <w:r/>
            <w:r>
              <w:rPr>
                <w:b/>
                <w:i w:val="0"/>
                <w:sz w:val="20"/>
              </w:rPr>
              <w:t>BRIDGES</w:t>
            </w:r>
          </w:p>
        </w:tc>
      </w:tr>
      <w:tr>
        <w:tc>
          <w:tcPr>
            <w:tcW w:type="dxa" w:w="4032"/>
            <w:shd w:val="clear" w:color="auto" w:fill="EFEFEF"/>
          </w:tcPr>
          <w:p>
            <w:pPr>
              <w:spacing w:line="240" w:lineRule="auto" w:before="40" w:after="40"/>
              <w:jc w:val="left"/>
            </w:pPr>
            <w:r/>
            <w:r>
              <w:rPr>
                <w:b w:val="0"/>
                <w:i/>
                <w:sz w:val="20"/>
              </w:rPr>
              <w:t>R-squared</w:t>
            </w:r>
          </w:p>
        </w:tc>
        <w:tc>
          <w:tcPr>
            <w:tcW w:type="dxa" w:w="2448"/>
            <w:shd w:val="clear" w:color="auto" w:fill="EFEFEF"/>
          </w:tcPr>
          <w:p>
            <w:pPr>
              <w:spacing w:line="240" w:lineRule="auto" w:before="40" w:after="40"/>
              <w:jc w:val="center"/>
            </w:pPr>
            <w:r/>
            <w:r>
              <w:rPr>
                <w:b w:val="0"/>
                <w:i w:val="0"/>
                <w:sz w:val="20"/>
              </w:rPr>
              <w:t>0.7874</w:t>
            </w:r>
          </w:p>
        </w:tc>
        <w:tc>
          <w:tcPr>
            <w:tcW w:type="dxa" w:w="2448"/>
            <w:shd w:val="clear" w:color="auto" w:fill="EFEFEF"/>
          </w:tcPr>
          <w:p>
            <w:pPr>
              <w:spacing w:line="240" w:lineRule="auto" w:before="40" w:after="40"/>
              <w:jc w:val="center"/>
            </w:pPr>
            <w:r/>
            <w:r>
              <w:rPr>
                <w:b w:val="0"/>
                <w:i w:val="0"/>
                <w:sz w:val="20"/>
              </w:rPr>
              <w:t>0.8630</w:t>
            </w:r>
          </w:p>
        </w:tc>
      </w:tr>
      <w:tr>
        <w:tc>
          <w:tcPr>
            <w:tcW w:type="dxa" w:w="4032"/>
          </w:tcPr>
          <w:p>
            <w:pPr>
              <w:spacing w:line="240" w:lineRule="auto" w:before="40" w:after="40"/>
              <w:jc w:val="left"/>
            </w:pPr>
            <w:r/>
            <w:r>
              <w:rPr>
                <w:b w:val="0"/>
                <w:i/>
                <w:sz w:val="20"/>
              </w:rPr>
              <w:t>Root Mean Square Error</w:t>
            </w:r>
          </w:p>
        </w:tc>
        <w:tc>
          <w:tcPr>
            <w:tcW w:type="dxa" w:w="2448"/>
          </w:tcPr>
          <w:p>
            <w:pPr>
              <w:spacing w:line="240" w:lineRule="auto" w:before="40" w:after="40"/>
              <w:jc w:val="center"/>
            </w:pPr>
            <w:r/>
            <w:r>
              <w:rPr>
                <w:b w:val="0"/>
                <w:i w:val="0"/>
                <w:sz w:val="20"/>
              </w:rPr>
              <w:t>₱4,594,791</w:t>
            </w:r>
          </w:p>
        </w:tc>
        <w:tc>
          <w:tcPr>
            <w:tcW w:type="dxa" w:w="2448"/>
          </w:tcPr>
          <w:p>
            <w:pPr>
              <w:spacing w:line="240" w:lineRule="auto" w:before="40" w:after="40"/>
              <w:jc w:val="center"/>
            </w:pPr>
            <w:r/>
            <w:r>
              <w:rPr>
                <w:b w:val="0"/>
                <w:i w:val="0"/>
                <w:sz w:val="20"/>
              </w:rPr>
              <w:t>₱14,070,696</w:t>
            </w:r>
          </w:p>
        </w:tc>
      </w:tr>
      <w:tr>
        <w:tc>
          <w:tcPr>
            <w:tcW w:type="dxa" w:w="4032"/>
            <w:shd w:val="clear" w:color="auto" w:fill="EFEFEF"/>
            <w:tcBorders>
              <w:bottom w:val="single" w:sz="12" w:color="000000"/>
            </w:tcBorders>
          </w:tcPr>
          <w:p>
            <w:pPr>
              <w:spacing w:line="240" w:lineRule="auto" w:before="40" w:after="40"/>
              <w:jc w:val="left"/>
            </w:pPr>
            <w:r/>
            <w:r>
              <w:rPr>
                <w:b w:val="0"/>
                <w:i/>
                <w:sz w:val="20"/>
              </w:rPr>
              <w:t>Mean Absolute Percentage Error</w:t>
            </w:r>
          </w:p>
        </w:tc>
        <w:tc>
          <w:tcPr>
            <w:tcW w:type="dxa" w:w="2448"/>
            <w:shd w:val="clear" w:color="auto" w:fill="EFEFEF"/>
            <w:tcBorders>
              <w:bottom w:val="single" w:sz="12" w:color="000000"/>
            </w:tcBorders>
          </w:tcPr>
          <w:p>
            <w:pPr>
              <w:spacing w:line="240" w:lineRule="auto" w:before="40" w:after="40"/>
              <w:jc w:val="center"/>
            </w:pPr>
            <w:r/>
            <w:r>
              <w:rPr>
                <w:b w:val="0"/>
                <w:i w:val="0"/>
                <w:sz w:val="20"/>
              </w:rPr>
              <w:t>13.94%</w:t>
            </w:r>
          </w:p>
        </w:tc>
        <w:tc>
          <w:tcPr>
            <w:tcW w:type="dxa" w:w="2448"/>
            <w:shd w:val="clear" w:color="auto" w:fill="EFEFEF"/>
            <w:tcBorders>
              <w:bottom w:val="single" w:sz="12" w:color="000000"/>
            </w:tcBorders>
          </w:tcPr>
          <w:p>
            <w:pPr>
              <w:spacing w:line="240" w:lineRule="auto" w:before="40" w:after="40"/>
              <w:jc w:val="center"/>
            </w:pPr>
            <w:r/>
            <w:r>
              <w:rPr>
                <w:b w:val="0"/>
                <w:i w:val="0"/>
                <w:sz w:val="20"/>
              </w:rPr>
              <w:t>19.18%</w:t>
            </w:r>
          </w:p>
        </w:tc>
      </w:tr>
    </w:tbl>
    <w:p>
      <w:pPr>
        <w:spacing w:line="240" w:lineRule="auto" w:after="80"/>
      </w:pPr>
    </w:p>
    <w:p>
      <w:pPr>
        <w:spacing w:line="480" w:lineRule="auto" w:after="0"/>
        <w:ind w:firstLine="720"/>
        <w:jc w:val="both"/>
      </w:pPr>
      <w:r>
        <w:rPr>
          <w:b w:val="0"/>
          <w:i w:val="0"/>
        </w:rPr>
        <w:t>Table 20 shows that XGBoost reduced the bridge MAPE from 65.65% to 19.18%, a 71% reduction, with a nearly identical R</w:t>
      </w:r>
      <w:r>
        <w:rPr>
          <w:b w:val="0"/>
          <w:i w:val="0"/>
          <w:vertAlign w:val="superscript"/>
        </w:rPr>
        <w:t>2</w:t>
      </w:r>
      <w:r>
        <w:rPr>
          <w:b w:val="0"/>
          <w:i w:val="0"/>
        </w:rPr>
        <w:t xml:space="preserve"> (0.8630). Training on log cost and splitting by superstructure type let it price culverts and long bridges on their own terms. For buildings, however, XGBoost (MAPE 13.94%, R</w:t>
      </w:r>
      <w:r>
        <w:rPr>
          <w:b w:val="0"/>
          <w:i w:val="0"/>
          <w:vertAlign w:val="superscript"/>
        </w:rPr>
        <w:t>2</w:t>
      </w:r>
      <w:r>
        <w:rPr>
          <w:b w:val="0"/>
          <w:i w:val="0"/>
        </w:rPr>
        <w:t xml:space="preserve"> = 0.7874) did slightly worse than linear regression, because building cost in this benchmark is close to linear in floor area and a tree ensemble approximates a straight line with steps. This differs from CORA, where XGBoost outperformed regression on every metric for roads (Buban, 2026), and it supports Elmousalami's (2020) observation that the best model depends on the cost structure of the asset.</w:t>
      </w:r>
    </w:p>
    <w:p>
      <w:pPr>
        <w:keepNext/>
        <w:spacing w:line="240" w:lineRule="auto" w:after="0" w:before="120"/>
        <w:jc w:val="left"/>
      </w:pPr>
      <w:r>
        <w:rPr>
          <w:b/>
          <w:i w:val="0"/>
        </w:rPr>
        <w:t>Table 21.</w:t>
      </w:r>
    </w:p>
    <w:p>
      <w:pPr>
        <w:keepNext/>
        <w:spacing w:line="240" w:lineRule="auto" w:after="0"/>
        <w:jc w:val="left"/>
      </w:pPr>
      <w:r>
        <w:rPr>
          <w:b w:val="0"/>
          <w:i/>
        </w:rPr>
        <w:t>Comparison of Multiple Linear Regression and XGBoost</w:t>
      </w:r>
    </w:p>
    <w:tbl>
      <w:tblPr>
        <w:tblW w:type="auto" w:w="0"/>
        <w:jc w:val="center"/>
        <w:tblLayout w:type="fixed"/>
        <w:tblLook w:firstColumn="1" w:firstRow="1" w:lastColumn="0" w:lastRow="0" w:noHBand="0" w:noVBand="1" w:val="04A0"/>
        <w:tblLayout w:type="fixed"/>
      </w:tblPr>
      <w:tblGrid>
        <w:gridCol w:w="2592"/>
        <w:gridCol w:w="3311"/>
        <w:gridCol w:w="3311"/>
      </w:tblGrid>
      <w:tr>
        <w:tc>
          <w:tcPr>
            <w:tcW w:type="dxa" w:w="2592"/>
            <w:tcBorders>
              <w:top w:val="single" w:sz="12" w:color="000000"/>
              <w:bottom w:val="single" w:sz="8" w:color="000000"/>
            </w:tcBorders>
          </w:tcPr>
          <w:p>
            <w:pPr>
              <w:spacing w:line="240" w:lineRule="auto" w:before="40" w:after="40"/>
              <w:jc w:val="center"/>
            </w:pPr>
            <w:r/>
            <w:r>
              <w:rPr>
                <w:b/>
                <w:i w:val="0"/>
                <w:sz w:val="19"/>
              </w:rPr>
              <w:t>ASPECT</w:t>
            </w:r>
          </w:p>
        </w:tc>
        <w:tc>
          <w:tcPr>
            <w:tcW w:type="dxa" w:w="3312"/>
            <w:tcBorders>
              <w:top w:val="single" w:sz="12" w:color="000000"/>
              <w:bottom w:val="single" w:sz="8" w:color="000000"/>
            </w:tcBorders>
          </w:tcPr>
          <w:p>
            <w:pPr>
              <w:spacing w:line="240" w:lineRule="auto" w:before="40" w:after="40"/>
              <w:jc w:val="center"/>
            </w:pPr>
            <w:r/>
            <w:r>
              <w:rPr>
                <w:b/>
                <w:i w:val="0"/>
                <w:sz w:val="19"/>
              </w:rPr>
              <w:t>MULTIPLE LINEAR REGRESSION</w:t>
            </w:r>
          </w:p>
        </w:tc>
        <w:tc>
          <w:tcPr>
            <w:tcW w:type="dxa" w:w="3312"/>
            <w:tcBorders>
              <w:top w:val="single" w:sz="12" w:color="000000"/>
              <w:bottom w:val="single" w:sz="8" w:color="000000"/>
            </w:tcBorders>
          </w:tcPr>
          <w:p>
            <w:pPr>
              <w:spacing w:line="240" w:lineRule="auto" w:before="40" w:after="40"/>
              <w:jc w:val="center"/>
            </w:pPr>
            <w:r/>
            <w:r>
              <w:rPr>
                <w:b/>
                <w:i w:val="0"/>
                <w:sz w:val="19"/>
              </w:rPr>
              <w:t>EXTREME GRADIENT BOOSTING</w:t>
            </w:r>
          </w:p>
        </w:tc>
      </w:tr>
      <w:tr>
        <w:tc>
          <w:tcPr>
            <w:tcW w:type="dxa" w:w="2592"/>
            <w:shd w:val="clear" w:color="auto" w:fill="EFEFEF"/>
          </w:tcPr>
          <w:p>
            <w:pPr>
              <w:spacing w:line="240" w:lineRule="auto" w:before="40" w:after="40"/>
              <w:jc w:val="left"/>
            </w:pPr>
            <w:r/>
            <w:r>
              <w:rPr>
                <w:b w:val="0"/>
                <w:i/>
                <w:sz w:val="19"/>
              </w:rPr>
              <w:t>Buildings: R² / MAPE</w:t>
            </w:r>
          </w:p>
        </w:tc>
        <w:tc>
          <w:tcPr>
            <w:tcW w:type="dxa" w:w="3312"/>
            <w:shd w:val="clear" w:color="auto" w:fill="EFEFEF"/>
          </w:tcPr>
          <w:p>
            <w:pPr>
              <w:spacing w:line="240" w:lineRule="auto" w:before="40" w:after="40"/>
              <w:jc w:val="center"/>
            </w:pPr>
            <w:r/>
            <w:r>
              <w:rPr>
                <w:b w:val="0"/>
                <w:i w:val="0"/>
                <w:sz w:val="19"/>
              </w:rPr>
              <w:t>0.8112 / 13.43%</w:t>
            </w:r>
          </w:p>
        </w:tc>
        <w:tc>
          <w:tcPr>
            <w:tcW w:type="dxa" w:w="3312"/>
            <w:shd w:val="clear" w:color="auto" w:fill="EFEFEF"/>
          </w:tcPr>
          <w:p>
            <w:pPr>
              <w:spacing w:line="240" w:lineRule="auto" w:before="40" w:after="40"/>
              <w:jc w:val="center"/>
            </w:pPr>
            <w:r/>
            <w:r>
              <w:rPr>
                <w:b w:val="0"/>
                <w:i w:val="0"/>
                <w:sz w:val="19"/>
              </w:rPr>
              <w:t>0.7874 / 13.94%</w:t>
            </w:r>
          </w:p>
        </w:tc>
      </w:tr>
      <w:tr>
        <w:tc>
          <w:tcPr>
            <w:tcW w:type="dxa" w:w="2592"/>
          </w:tcPr>
          <w:p>
            <w:pPr>
              <w:spacing w:line="240" w:lineRule="auto" w:before="40" w:after="40"/>
              <w:jc w:val="left"/>
            </w:pPr>
            <w:r/>
            <w:r>
              <w:rPr>
                <w:b w:val="0"/>
                <w:i/>
                <w:sz w:val="19"/>
              </w:rPr>
              <w:t>Bridges: R² / MAPE</w:t>
            </w:r>
          </w:p>
        </w:tc>
        <w:tc>
          <w:tcPr>
            <w:tcW w:type="dxa" w:w="3312"/>
          </w:tcPr>
          <w:p>
            <w:pPr>
              <w:spacing w:line="240" w:lineRule="auto" w:before="40" w:after="40"/>
              <w:jc w:val="center"/>
            </w:pPr>
            <w:r/>
            <w:r>
              <w:rPr>
                <w:b w:val="0"/>
                <w:i w:val="0"/>
                <w:sz w:val="19"/>
              </w:rPr>
              <w:t>0.8640 / 65.65%</w:t>
            </w:r>
          </w:p>
        </w:tc>
        <w:tc>
          <w:tcPr>
            <w:tcW w:type="dxa" w:w="3312"/>
          </w:tcPr>
          <w:p>
            <w:pPr>
              <w:spacing w:line="240" w:lineRule="auto" w:before="40" w:after="40"/>
              <w:jc w:val="center"/>
            </w:pPr>
            <w:r/>
            <w:r>
              <w:rPr>
                <w:b w:val="0"/>
                <w:i w:val="0"/>
                <w:sz w:val="19"/>
              </w:rPr>
              <w:t>0.8630 / 19.18%</w:t>
            </w:r>
          </w:p>
        </w:tc>
      </w:tr>
      <w:tr>
        <w:tc>
          <w:tcPr>
            <w:tcW w:type="dxa" w:w="2592"/>
            <w:shd w:val="clear" w:color="auto" w:fill="EFEFEF"/>
          </w:tcPr>
          <w:p>
            <w:pPr>
              <w:spacing w:line="240" w:lineRule="auto" w:before="40" w:after="40"/>
              <w:jc w:val="left"/>
            </w:pPr>
            <w:r/>
            <w:r>
              <w:rPr>
                <w:b w:val="0"/>
                <w:i/>
                <w:sz w:val="19"/>
              </w:rPr>
              <w:t>Collinear predictors</w:t>
            </w:r>
          </w:p>
        </w:tc>
        <w:tc>
          <w:tcPr>
            <w:tcW w:type="dxa" w:w="3312"/>
            <w:shd w:val="clear" w:color="auto" w:fill="EFEFEF"/>
          </w:tcPr>
          <w:p>
            <w:pPr>
              <w:spacing w:line="240" w:lineRule="auto" w:before="40" w:after="40"/>
              <w:jc w:val="center"/>
            </w:pPr>
            <w:r/>
            <w:r>
              <w:rPr>
                <w:b w:val="0"/>
                <w:i w:val="0"/>
                <w:sz w:val="19"/>
              </w:rPr>
              <w:t>Must be removed (deck area, superstructure)</w:t>
            </w:r>
          </w:p>
        </w:tc>
        <w:tc>
          <w:tcPr>
            <w:tcW w:type="dxa" w:w="3312"/>
            <w:shd w:val="clear" w:color="auto" w:fill="EFEFEF"/>
          </w:tcPr>
          <w:p>
            <w:pPr>
              <w:spacing w:line="240" w:lineRule="auto" w:before="40" w:after="40"/>
              <w:jc w:val="center"/>
            </w:pPr>
            <w:r/>
            <w:r>
              <w:rPr>
                <w:b w:val="0"/>
                <w:i w:val="0"/>
                <w:sz w:val="19"/>
              </w:rPr>
              <w:t>Retained</w:t>
            </w:r>
          </w:p>
        </w:tc>
      </w:tr>
      <w:tr>
        <w:tc>
          <w:tcPr>
            <w:tcW w:type="dxa" w:w="2592"/>
          </w:tcPr>
          <w:p>
            <w:pPr>
              <w:spacing w:line="240" w:lineRule="auto" w:before="40" w:after="40"/>
              <w:jc w:val="left"/>
            </w:pPr>
            <w:r/>
            <w:r>
              <w:rPr>
                <w:b w:val="0"/>
                <w:i/>
                <w:sz w:val="19"/>
              </w:rPr>
              <w:t>Small vs. large projects</w:t>
            </w:r>
          </w:p>
        </w:tc>
        <w:tc>
          <w:tcPr>
            <w:tcW w:type="dxa" w:w="3312"/>
          </w:tcPr>
          <w:p>
            <w:pPr>
              <w:spacing w:line="240" w:lineRule="auto" w:before="40" w:after="40"/>
              <w:jc w:val="center"/>
            </w:pPr>
            <w:r/>
            <w:r>
              <w:rPr>
                <w:b w:val="0"/>
                <w:i w:val="0"/>
                <w:sz w:val="19"/>
              </w:rPr>
              <w:t>Errors grow on small projects</w:t>
            </w:r>
          </w:p>
        </w:tc>
        <w:tc>
          <w:tcPr>
            <w:tcW w:type="dxa" w:w="3312"/>
          </w:tcPr>
          <w:p>
            <w:pPr>
              <w:spacing w:line="240" w:lineRule="auto" w:before="40" w:after="40"/>
              <w:jc w:val="center"/>
            </w:pPr>
            <w:r/>
            <w:r>
              <w:rPr>
                <w:b w:val="0"/>
                <w:i w:val="0"/>
                <w:sz w:val="19"/>
              </w:rPr>
              <w:t>Log target balances sizes</w:t>
            </w:r>
          </w:p>
        </w:tc>
      </w:tr>
      <w:tr>
        <w:tc>
          <w:tcPr>
            <w:tcW w:type="dxa" w:w="2592"/>
            <w:shd w:val="clear" w:color="auto" w:fill="EFEFEF"/>
          </w:tcPr>
          <w:p>
            <w:pPr>
              <w:spacing w:line="240" w:lineRule="auto" w:before="40" w:after="40"/>
              <w:jc w:val="left"/>
            </w:pPr>
            <w:r/>
            <w:r>
              <w:rPr>
                <w:b w:val="0"/>
                <w:i/>
                <w:sz w:val="19"/>
              </w:rPr>
              <w:t>Explanation</w:t>
            </w:r>
          </w:p>
        </w:tc>
        <w:tc>
          <w:tcPr>
            <w:tcW w:type="dxa" w:w="3312"/>
            <w:shd w:val="clear" w:color="auto" w:fill="EFEFEF"/>
          </w:tcPr>
          <w:p>
            <w:pPr>
              <w:spacing w:line="240" w:lineRule="auto" w:before="40" w:after="40"/>
              <w:jc w:val="center"/>
            </w:pPr>
            <w:r/>
            <w:r>
              <w:rPr>
                <w:b w:val="0"/>
                <w:i w:val="0"/>
                <w:sz w:val="19"/>
              </w:rPr>
              <w:t>Coefficients and p-values</w:t>
            </w:r>
          </w:p>
        </w:tc>
        <w:tc>
          <w:tcPr>
            <w:tcW w:type="dxa" w:w="3312"/>
            <w:shd w:val="clear" w:color="auto" w:fill="EFEFEF"/>
          </w:tcPr>
          <w:p>
            <w:pPr>
              <w:spacing w:line="240" w:lineRule="auto" w:before="40" w:after="40"/>
              <w:jc w:val="center"/>
            </w:pPr>
            <w:r/>
            <w:r>
              <w:rPr>
                <w:b w:val="0"/>
                <w:i w:val="0"/>
                <w:sz w:val="19"/>
              </w:rPr>
              <w:t>SHAP values per project</w:t>
            </w:r>
          </w:p>
        </w:tc>
      </w:tr>
      <w:tr>
        <w:tc>
          <w:tcPr>
            <w:tcW w:type="dxa" w:w="2592"/>
            <w:tcBorders>
              <w:bottom w:val="single" w:sz="12" w:color="000000"/>
            </w:tcBorders>
          </w:tcPr>
          <w:p>
            <w:pPr>
              <w:spacing w:line="240" w:lineRule="auto" w:before="40" w:after="40"/>
              <w:jc w:val="left"/>
            </w:pPr>
            <w:r/>
            <w:r>
              <w:rPr>
                <w:b w:val="0"/>
                <w:i/>
                <w:sz w:val="19"/>
              </w:rPr>
              <w:t>Role in BUHAY</w:t>
            </w:r>
          </w:p>
        </w:tc>
        <w:tc>
          <w:tcPr>
            <w:tcW w:type="dxa" w:w="3312"/>
            <w:tcBorders>
              <w:bottom w:val="single" w:sz="12" w:color="000000"/>
            </w:tcBorders>
          </w:tcPr>
          <w:p>
            <w:pPr>
              <w:spacing w:line="240" w:lineRule="auto" w:before="40" w:after="40"/>
              <w:jc w:val="center"/>
            </w:pPr>
            <w:r/>
            <w:r>
              <w:rPr>
                <w:b w:val="0"/>
                <w:i w:val="0"/>
                <w:sz w:val="19"/>
              </w:rPr>
              <w:t>Interpretable baseline</w:t>
            </w:r>
          </w:p>
        </w:tc>
        <w:tc>
          <w:tcPr>
            <w:tcW w:type="dxa" w:w="3312"/>
            <w:tcBorders>
              <w:bottom w:val="single" w:sz="12" w:color="000000"/>
            </w:tcBorders>
          </w:tcPr>
          <w:p>
            <w:pPr>
              <w:spacing w:line="240" w:lineRule="auto" w:before="40" w:after="40"/>
              <w:jc w:val="center"/>
            </w:pPr>
            <w:r/>
            <w:r>
              <w:rPr>
                <w:b w:val="0"/>
                <w:i w:val="0"/>
                <w:sz w:val="19"/>
              </w:rPr>
              <w:t>Primary expected cost and residual</w:t>
            </w:r>
          </w:p>
        </w:tc>
      </w:tr>
    </w:tbl>
    <w:p>
      <w:pPr>
        <w:spacing w:line="240" w:lineRule="auto" w:after="80"/>
      </w:pPr>
    </w:p>
    <w:p>
      <w:pPr>
        <w:spacing w:line="480" w:lineRule="auto" w:after="0"/>
        <w:ind w:firstLine="720"/>
        <w:jc w:val="both"/>
      </w:pPr>
      <w:r>
        <w:rPr>
          <w:b w:val="0"/>
          <w:i w:val="0"/>
        </w:rPr>
        <w:t>Figures 7 and 8 show how each feature drives the XGBoost predictions. Each dot is one project; its position is the SHAP value on the log-cost scale and its color the feature value.</w:t>
      </w:r>
    </w:p>
    <w:p>
      <w:pPr>
        <w:keepNext/>
        <w:spacing w:line="240" w:lineRule="auto" w:after="0" w:before="120"/>
        <w:jc w:val="left"/>
      </w:pPr>
      <w:r>
        <w:rPr>
          <w:b/>
          <w:i w:val="0"/>
        </w:rPr>
        <w:t>Figure 7.</w:t>
      </w:r>
    </w:p>
    <w:p>
      <w:pPr>
        <w:keepNext/>
        <w:spacing w:line="240" w:lineRule="auto" w:after="0"/>
        <w:jc w:val="left"/>
      </w:pPr>
      <w:r>
        <w:rPr>
          <w:b w:val="0"/>
          <w:i/>
        </w:rPr>
        <w:t>Global SHAP Values of the XGBoost Building Model</w:t>
      </w:r>
    </w:p>
    <w:p>
      <w:pPr>
        <w:spacing w:line="240" w:lineRule="auto" w:after="200"/>
        <w:jc w:val="center"/>
      </w:pPr>
      <w:r>
        <w:drawing>
          <wp:inline xmlns:a="http://schemas.openxmlformats.org/drawingml/2006/main" xmlns:pic="http://schemas.openxmlformats.org/drawingml/2006/picture">
            <wp:extent cx="5120640" cy="3271520"/>
            <wp:docPr id="24" name="Picture 24"/>
            <wp:cNvGraphicFramePr>
              <a:graphicFrameLocks noChangeAspect="1"/>
            </wp:cNvGraphicFramePr>
            <a:graphic>
              <a:graphicData uri="http://schemas.openxmlformats.org/drawingml/2006/picture">
                <pic:pic>
                  <pic:nvPicPr>
                    <pic:cNvPr id="0" name="shap_building.png"/>
                    <pic:cNvPicPr/>
                  </pic:nvPicPr>
                  <pic:blipFill>
                    <a:blip r:embed="rId34"/>
                    <a:stretch>
                      <a:fillRect/>
                    </a:stretch>
                  </pic:blipFill>
                  <pic:spPr>
                    <a:xfrm>
                      <a:off x="0" y="0"/>
                      <a:ext cx="5120640" cy="3271520"/>
                    </a:xfrm>
                    <a:prstGeom prst="rect"/>
                  </pic:spPr>
                </pic:pic>
              </a:graphicData>
            </a:graphic>
          </wp:inline>
        </w:drawing>
      </w:r>
    </w:p>
    <w:p>
      <w:pPr>
        <w:keepNext/>
        <w:spacing w:line="240" w:lineRule="auto" w:after="0" w:before="120"/>
        <w:jc w:val="left"/>
      </w:pPr>
      <w:r>
        <w:rPr>
          <w:b/>
          <w:i w:val="0"/>
        </w:rPr>
        <w:t>Figure 8.</w:t>
      </w:r>
    </w:p>
    <w:p>
      <w:pPr>
        <w:keepNext/>
        <w:spacing w:line="240" w:lineRule="auto" w:after="0"/>
        <w:jc w:val="left"/>
      </w:pPr>
      <w:r>
        <w:rPr>
          <w:b w:val="0"/>
          <w:i/>
        </w:rPr>
        <w:t>Global SHAP Values of the XGBoost Bridge Model</w:t>
      </w:r>
    </w:p>
    <w:p>
      <w:pPr>
        <w:spacing w:line="240" w:lineRule="auto" w:after="200"/>
        <w:jc w:val="center"/>
      </w:pPr>
      <w:r>
        <w:drawing>
          <wp:inline xmlns:a="http://schemas.openxmlformats.org/drawingml/2006/main" xmlns:pic="http://schemas.openxmlformats.org/drawingml/2006/picture">
            <wp:extent cx="5120640" cy="3271520"/>
            <wp:docPr id="25" name="Picture 25"/>
            <wp:cNvGraphicFramePr>
              <a:graphicFrameLocks noChangeAspect="1"/>
            </wp:cNvGraphicFramePr>
            <a:graphic>
              <a:graphicData uri="http://schemas.openxmlformats.org/drawingml/2006/picture">
                <pic:pic>
                  <pic:nvPicPr>
                    <pic:cNvPr id="0" name="shap_bridge.png"/>
                    <pic:cNvPicPr/>
                  </pic:nvPicPr>
                  <pic:blipFill>
                    <a:blip r:embed="rId35"/>
                    <a:stretch>
                      <a:fillRect/>
                    </a:stretch>
                  </pic:blipFill>
                  <pic:spPr>
                    <a:xfrm>
                      <a:off x="0" y="0"/>
                      <a:ext cx="5120640" cy="3271520"/>
                    </a:xfrm>
                    <a:prstGeom prst="rect"/>
                  </pic:spPr>
                </pic:pic>
              </a:graphicData>
            </a:graphic>
          </wp:inline>
        </w:drawing>
      </w:r>
    </w:p>
    <w:p>
      <w:pPr>
        <w:spacing w:line="480" w:lineRule="auto" w:after="0"/>
        <w:ind w:firstLine="720"/>
        <w:jc w:val="both"/>
      </w:pPr>
      <w:r>
        <w:rPr>
          <w:b w:val="0"/>
          <w:i w:val="0"/>
        </w:rPr>
        <w:t>For buildings, gross floor area dominates (mean |SHAP| = 0.343 in log cost), far above storeys (0.058) and location (0.035); high floor areas push cost up and small ones pull it down. For bridges the picture is broader: deck area (0.301), pile length (0.257), total length (0.223) and foundation type (0.163) all matter. SHAP also reveals what gain importance hides: although superstructure type wins most splits, the per-project contributions are spread across size and foundation, which is exactly what an auditor needs to explain a single price. These explanations are shown for every checked project in the application.</w:t>
      </w:r>
    </w:p>
    <w:p>
      <w:pPr>
        <w:keepNext/>
        <w:spacing w:line="480" w:lineRule="auto" w:after="0"/>
        <w:jc w:val="left"/>
      </w:pPr>
      <w:r>
        <w:rPr>
          <w:b/>
          <w:i w:val="0"/>
        </w:rPr>
        <w:t>Detection of Over-Budgeted Contracts</w:t>
      </w:r>
    </w:p>
    <w:p>
      <w:pPr>
        <w:spacing w:line="480" w:lineRule="auto" w:after="0"/>
        <w:ind w:firstLine="720"/>
        <w:jc w:val="both"/>
      </w:pPr>
      <w:r>
        <w:rPr>
          <w:b w:val="0"/>
          <w:i w:val="0"/>
        </w:rPr>
        <w:t>The fourth research question measured how well each screening rule finds the 36 contracts with injected overpricing. Table 22 reports the results per asset class and for all 300 projects.</w:t>
      </w:r>
    </w:p>
    <w:p>
      <w:pPr>
        <w:keepNext/>
        <w:spacing w:line="240" w:lineRule="auto" w:after="0" w:before="120"/>
        <w:jc w:val="left"/>
      </w:pPr>
      <w:r>
        <w:rPr>
          <w:b/>
          <w:i w:val="0"/>
        </w:rPr>
        <w:t>Table 22.</w:t>
      </w:r>
    </w:p>
    <w:p>
      <w:pPr>
        <w:keepNext/>
        <w:spacing w:line="240" w:lineRule="auto" w:after="0"/>
        <w:jc w:val="left"/>
      </w:pPr>
      <w:r>
        <w:rPr>
          <w:b w:val="0"/>
          <w:i/>
        </w:rPr>
        <w:t>Detection Performance against Injected Overpricing</w:t>
      </w:r>
    </w:p>
    <w:tbl>
      <w:tblPr>
        <w:tblW w:type="auto" w:w="0"/>
        <w:jc w:val="center"/>
        <w:tblLayout w:type="fixed"/>
        <w:tblLook w:firstColumn="1" w:firstRow="1" w:lastColumn="0" w:lastRow="0" w:noHBand="0" w:noVBand="1" w:val="04A0"/>
        <w:tblLayout w:type="fixed"/>
      </w:tblPr>
      <w:tblGrid>
        <w:gridCol w:w="3744"/>
        <w:gridCol w:w="1152"/>
        <w:gridCol w:w="1007"/>
        <w:gridCol w:w="864"/>
        <w:gridCol w:w="864"/>
        <w:gridCol w:w="1440"/>
      </w:tblGrid>
      <w:tr>
        <w:tc>
          <w:tcPr>
            <w:tcW w:type="dxa" w:w="3744"/>
            <w:tcBorders>
              <w:top w:val="single" w:sz="12" w:color="000000"/>
              <w:bottom w:val="single" w:sz="8" w:color="000000"/>
            </w:tcBorders>
          </w:tcPr>
          <w:p>
            <w:pPr>
              <w:spacing w:line="240" w:lineRule="auto" w:before="40" w:after="40"/>
              <w:jc w:val="center"/>
            </w:pPr>
            <w:r/>
            <w:r>
              <w:rPr>
                <w:b/>
                <w:i w:val="0"/>
                <w:sz w:val="17"/>
              </w:rPr>
              <w:t>SCOPE AND RULE</w:t>
            </w:r>
          </w:p>
        </w:tc>
        <w:tc>
          <w:tcPr>
            <w:tcW w:type="dxa" w:w="1152"/>
            <w:tcBorders>
              <w:top w:val="single" w:sz="12" w:color="000000"/>
              <w:bottom w:val="single" w:sz="8" w:color="000000"/>
            </w:tcBorders>
          </w:tcPr>
          <w:p>
            <w:pPr>
              <w:spacing w:line="240" w:lineRule="auto" w:before="40" w:after="40"/>
              <w:jc w:val="center"/>
            </w:pPr>
            <w:r/>
            <w:r>
              <w:rPr>
                <w:b/>
                <w:i w:val="0"/>
                <w:sz w:val="17"/>
              </w:rPr>
              <w:t>PRECISION</w:t>
            </w:r>
          </w:p>
        </w:tc>
        <w:tc>
          <w:tcPr>
            <w:tcW w:type="dxa" w:w="1008"/>
            <w:tcBorders>
              <w:top w:val="single" w:sz="12" w:color="000000"/>
              <w:bottom w:val="single" w:sz="8" w:color="000000"/>
            </w:tcBorders>
          </w:tcPr>
          <w:p>
            <w:pPr>
              <w:spacing w:line="240" w:lineRule="auto" w:before="40" w:after="40"/>
              <w:jc w:val="center"/>
            </w:pPr>
            <w:r/>
            <w:r>
              <w:rPr>
                <w:b/>
                <w:i w:val="0"/>
                <w:sz w:val="17"/>
              </w:rPr>
              <w:t>RECALL</w:t>
            </w:r>
          </w:p>
        </w:tc>
        <w:tc>
          <w:tcPr>
            <w:tcW w:type="dxa" w:w="864"/>
            <w:tcBorders>
              <w:top w:val="single" w:sz="12" w:color="000000"/>
              <w:bottom w:val="single" w:sz="8" w:color="000000"/>
            </w:tcBorders>
          </w:tcPr>
          <w:p>
            <w:pPr>
              <w:spacing w:line="240" w:lineRule="auto" w:before="40" w:after="40"/>
              <w:jc w:val="center"/>
            </w:pPr>
            <w:r/>
            <w:r>
              <w:rPr>
                <w:b/>
                <w:i w:val="0"/>
                <w:sz w:val="17"/>
              </w:rPr>
              <w:t>F1</w:t>
            </w:r>
          </w:p>
        </w:tc>
        <w:tc>
          <w:tcPr>
            <w:tcW w:type="dxa" w:w="864"/>
            <w:tcBorders>
              <w:top w:val="single" w:sz="12" w:color="000000"/>
              <w:bottom w:val="single" w:sz="8" w:color="000000"/>
            </w:tcBorders>
          </w:tcPr>
          <w:p>
            <w:pPr>
              <w:spacing w:line="240" w:lineRule="auto" w:before="40" w:after="40"/>
              <w:jc w:val="center"/>
            </w:pPr>
            <w:r/>
            <w:r>
              <w:rPr>
                <w:b/>
                <w:i w:val="0"/>
                <w:sz w:val="17"/>
              </w:rPr>
              <w:t>AUC</w:t>
            </w:r>
          </w:p>
        </w:tc>
        <w:tc>
          <w:tcPr>
            <w:tcW w:type="dxa" w:w="1440"/>
            <w:tcBorders>
              <w:top w:val="single" w:sz="12" w:color="000000"/>
              <w:bottom w:val="single" w:sz="8" w:color="000000"/>
            </w:tcBorders>
          </w:tcPr>
          <w:p>
            <w:pPr>
              <w:spacing w:line="240" w:lineRule="auto" w:before="40" w:after="40"/>
              <w:jc w:val="center"/>
            </w:pPr>
            <w:r/>
            <w:r>
              <w:rPr>
                <w:b/>
                <w:i w:val="0"/>
                <w:sz w:val="17"/>
              </w:rPr>
              <w:t>TP / FP / FN</w:t>
            </w:r>
          </w:p>
        </w:tc>
      </w:tr>
      <w:tr>
        <w:tc>
          <w:tcPr>
            <w:tcW w:type="dxa" w:w="3744"/>
            <w:shd w:val="clear" w:color="auto" w:fill="EFEFEF"/>
          </w:tcPr>
          <w:p>
            <w:pPr>
              <w:spacing w:line="240" w:lineRule="auto" w:before="40" w:after="40"/>
              <w:jc w:val="left"/>
            </w:pPr>
            <w:r/>
            <w:r>
              <w:rPr>
                <w:b w:val="0"/>
                <w:i/>
                <w:sz w:val="17"/>
              </w:rPr>
              <w:t>Buildings: standards-based rule (above ceiling)</w:t>
            </w:r>
          </w:p>
        </w:tc>
        <w:tc>
          <w:tcPr>
            <w:tcW w:type="dxa" w:w="1152"/>
            <w:shd w:val="clear" w:color="auto" w:fill="EFEFEF"/>
          </w:tcPr>
          <w:p>
            <w:pPr>
              <w:spacing w:line="240" w:lineRule="auto" w:before="40" w:after="40"/>
              <w:jc w:val="center"/>
            </w:pPr>
            <w:r/>
            <w:r>
              <w:rPr>
                <w:b w:val="0"/>
                <w:i w:val="0"/>
                <w:sz w:val="17"/>
              </w:rPr>
              <w:t>1.000</w:t>
            </w:r>
          </w:p>
        </w:tc>
        <w:tc>
          <w:tcPr>
            <w:tcW w:type="dxa" w:w="1008"/>
            <w:shd w:val="clear" w:color="auto" w:fill="EFEFEF"/>
          </w:tcPr>
          <w:p>
            <w:pPr>
              <w:spacing w:line="240" w:lineRule="auto" w:before="40" w:after="40"/>
              <w:jc w:val="center"/>
            </w:pPr>
            <w:r/>
            <w:r>
              <w:rPr>
                <w:b w:val="0"/>
                <w:i w:val="0"/>
                <w:sz w:val="17"/>
              </w:rPr>
              <w:t>0.750</w:t>
            </w:r>
          </w:p>
        </w:tc>
        <w:tc>
          <w:tcPr>
            <w:tcW w:type="dxa" w:w="864"/>
            <w:shd w:val="clear" w:color="auto" w:fill="EFEFEF"/>
          </w:tcPr>
          <w:p>
            <w:pPr>
              <w:spacing w:line="240" w:lineRule="auto" w:before="40" w:after="40"/>
              <w:jc w:val="center"/>
            </w:pPr>
            <w:r/>
            <w:r>
              <w:rPr>
                <w:b w:val="0"/>
                <w:i w:val="0"/>
                <w:sz w:val="17"/>
              </w:rPr>
              <w:t>0.857</w:t>
            </w:r>
          </w:p>
        </w:tc>
        <w:tc>
          <w:tcPr>
            <w:tcW w:type="dxa" w:w="864"/>
            <w:shd w:val="clear" w:color="auto" w:fill="EFEFEF"/>
          </w:tcPr>
          <w:p>
            <w:pPr>
              <w:spacing w:line="240" w:lineRule="auto" w:before="40" w:after="40"/>
              <w:jc w:val="center"/>
            </w:pPr>
            <w:r/>
            <w:r>
              <w:rPr>
                <w:b w:val="0"/>
                <w:i w:val="0"/>
                <w:sz w:val="17"/>
              </w:rPr>
              <w:t>1.000</w:t>
            </w:r>
          </w:p>
        </w:tc>
        <w:tc>
          <w:tcPr>
            <w:tcW w:type="dxa" w:w="1440"/>
            <w:shd w:val="clear" w:color="auto" w:fill="EFEFEF"/>
          </w:tcPr>
          <w:p>
            <w:pPr>
              <w:spacing w:line="240" w:lineRule="auto" w:before="40" w:after="40"/>
              <w:jc w:val="center"/>
            </w:pPr>
            <w:r/>
            <w:r>
              <w:rPr>
                <w:b w:val="0"/>
                <w:i w:val="0"/>
                <w:sz w:val="17"/>
              </w:rPr>
              <w:t>15 / 0 / 5</w:t>
            </w:r>
          </w:p>
        </w:tc>
      </w:tr>
      <w:tr>
        <w:tc>
          <w:tcPr>
            <w:tcW w:type="dxa" w:w="3744"/>
          </w:tcPr>
          <w:p>
            <w:pPr>
              <w:spacing w:line="240" w:lineRule="auto" w:before="40" w:after="40"/>
              <w:jc w:val="left"/>
            </w:pPr>
            <w:r/>
            <w:r>
              <w:rPr>
                <w:b w:val="0"/>
                <w:i/>
                <w:sz w:val="17"/>
              </w:rPr>
              <w:t>Buildings: XGBoost residual (&gt; 1.25 × predicted)</w:t>
            </w:r>
          </w:p>
        </w:tc>
        <w:tc>
          <w:tcPr>
            <w:tcW w:type="dxa" w:w="1152"/>
          </w:tcPr>
          <w:p>
            <w:pPr>
              <w:spacing w:line="240" w:lineRule="auto" w:before="40" w:after="40"/>
              <w:jc w:val="center"/>
            </w:pPr>
            <w:r/>
            <w:r>
              <w:rPr>
                <w:b w:val="0"/>
                <w:i w:val="0"/>
                <w:sz w:val="17"/>
              </w:rPr>
              <w:t>0.929</w:t>
            </w:r>
          </w:p>
        </w:tc>
        <w:tc>
          <w:tcPr>
            <w:tcW w:type="dxa" w:w="1008"/>
          </w:tcPr>
          <w:p>
            <w:pPr>
              <w:spacing w:line="240" w:lineRule="auto" w:before="40" w:after="40"/>
              <w:jc w:val="center"/>
            </w:pPr>
            <w:r/>
            <w:r>
              <w:rPr>
                <w:b w:val="0"/>
                <w:i w:val="0"/>
                <w:sz w:val="17"/>
              </w:rPr>
              <w:t>0.650</w:t>
            </w:r>
          </w:p>
        </w:tc>
        <w:tc>
          <w:tcPr>
            <w:tcW w:type="dxa" w:w="864"/>
          </w:tcPr>
          <w:p>
            <w:pPr>
              <w:spacing w:line="240" w:lineRule="auto" w:before="40" w:after="40"/>
              <w:jc w:val="center"/>
            </w:pPr>
            <w:r/>
            <w:r>
              <w:rPr>
                <w:b w:val="0"/>
                <w:i w:val="0"/>
                <w:sz w:val="17"/>
              </w:rPr>
              <w:t>0.765</w:t>
            </w:r>
          </w:p>
        </w:tc>
        <w:tc>
          <w:tcPr>
            <w:tcW w:type="dxa" w:w="864"/>
          </w:tcPr>
          <w:p>
            <w:pPr>
              <w:spacing w:line="240" w:lineRule="auto" w:before="40" w:after="40"/>
              <w:jc w:val="center"/>
            </w:pPr>
            <w:r/>
            <w:r>
              <w:rPr>
                <w:b w:val="0"/>
                <w:i w:val="0"/>
                <w:sz w:val="17"/>
              </w:rPr>
              <w:t>0.972</w:t>
            </w:r>
          </w:p>
        </w:tc>
        <w:tc>
          <w:tcPr>
            <w:tcW w:type="dxa" w:w="1440"/>
          </w:tcPr>
          <w:p>
            <w:pPr>
              <w:spacing w:line="240" w:lineRule="auto" w:before="40" w:after="40"/>
              <w:jc w:val="center"/>
            </w:pPr>
            <w:r/>
            <w:r>
              <w:rPr>
                <w:b w:val="0"/>
                <w:i w:val="0"/>
                <w:sz w:val="17"/>
              </w:rPr>
              <w:t>13 / 1 / 7</w:t>
            </w:r>
          </w:p>
        </w:tc>
      </w:tr>
      <w:tr>
        <w:tc>
          <w:tcPr>
            <w:tcW w:type="dxa" w:w="3744"/>
            <w:shd w:val="clear" w:color="auto" w:fill="EFEFEF"/>
          </w:tcPr>
          <w:p>
            <w:pPr>
              <w:spacing w:line="240" w:lineRule="auto" w:before="40" w:after="40"/>
              <w:jc w:val="left"/>
            </w:pPr>
            <w:r/>
            <w:r>
              <w:rPr>
                <w:b w:val="0"/>
                <w:i/>
                <w:sz w:val="17"/>
              </w:rPr>
              <w:t>Buildings: Isolation Forest (CORA-style)</w:t>
            </w:r>
          </w:p>
        </w:tc>
        <w:tc>
          <w:tcPr>
            <w:tcW w:type="dxa" w:w="1152"/>
            <w:shd w:val="clear" w:color="auto" w:fill="EFEFEF"/>
          </w:tcPr>
          <w:p>
            <w:pPr>
              <w:spacing w:line="240" w:lineRule="auto" w:before="40" w:after="40"/>
              <w:jc w:val="center"/>
            </w:pPr>
            <w:r/>
            <w:r>
              <w:rPr>
                <w:b w:val="0"/>
                <w:i w:val="0"/>
                <w:sz w:val="17"/>
              </w:rPr>
              <w:t>0.750</w:t>
            </w:r>
          </w:p>
        </w:tc>
        <w:tc>
          <w:tcPr>
            <w:tcW w:type="dxa" w:w="1008"/>
            <w:shd w:val="clear" w:color="auto" w:fill="EFEFEF"/>
          </w:tcPr>
          <w:p>
            <w:pPr>
              <w:spacing w:line="240" w:lineRule="auto" w:before="40" w:after="40"/>
              <w:jc w:val="center"/>
            </w:pPr>
            <w:r/>
            <w:r>
              <w:rPr>
                <w:b w:val="0"/>
                <w:i w:val="0"/>
                <w:sz w:val="17"/>
              </w:rPr>
              <w:t>0.300</w:t>
            </w:r>
          </w:p>
        </w:tc>
        <w:tc>
          <w:tcPr>
            <w:tcW w:type="dxa" w:w="864"/>
            <w:shd w:val="clear" w:color="auto" w:fill="EFEFEF"/>
          </w:tcPr>
          <w:p>
            <w:pPr>
              <w:spacing w:line="240" w:lineRule="auto" w:before="40" w:after="40"/>
              <w:jc w:val="center"/>
            </w:pPr>
            <w:r/>
            <w:r>
              <w:rPr>
                <w:b w:val="0"/>
                <w:i w:val="0"/>
                <w:sz w:val="17"/>
              </w:rPr>
              <w:t>0.429</w:t>
            </w:r>
          </w:p>
        </w:tc>
        <w:tc>
          <w:tcPr>
            <w:tcW w:type="dxa" w:w="864"/>
            <w:shd w:val="clear" w:color="auto" w:fill="EFEFEF"/>
          </w:tcPr>
          <w:p>
            <w:pPr>
              <w:spacing w:line="240" w:lineRule="auto" w:before="40" w:after="40"/>
              <w:jc w:val="center"/>
            </w:pPr>
            <w:r/>
            <w:r>
              <w:rPr>
                <w:b w:val="0"/>
                <w:i w:val="0"/>
                <w:sz w:val="17"/>
              </w:rPr>
              <w:t>0.802</w:t>
            </w:r>
          </w:p>
        </w:tc>
        <w:tc>
          <w:tcPr>
            <w:tcW w:type="dxa" w:w="1440"/>
            <w:shd w:val="clear" w:color="auto" w:fill="EFEFEF"/>
          </w:tcPr>
          <w:p>
            <w:pPr>
              <w:spacing w:line="240" w:lineRule="auto" w:before="40" w:after="40"/>
              <w:jc w:val="center"/>
            </w:pPr>
            <w:r/>
            <w:r>
              <w:rPr>
                <w:b w:val="0"/>
                <w:i w:val="0"/>
                <w:sz w:val="17"/>
              </w:rPr>
              <w:t>6 / 2 / 14</w:t>
            </w:r>
          </w:p>
        </w:tc>
      </w:tr>
      <w:tr>
        <w:tc>
          <w:tcPr>
            <w:tcW w:type="dxa" w:w="3744"/>
          </w:tcPr>
          <w:p>
            <w:pPr>
              <w:spacing w:line="240" w:lineRule="auto" w:before="40" w:after="40"/>
              <w:jc w:val="left"/>
            </w:pPr>
            <w:r/>
            <w:r>
              <w:rPr>
                <w:b w:val="0"/>
                <w:i/>
                <w:sz w:val="17"/>
              </w:rPr>
              <w:t>Buildings: BUHAY Risk Index (≥ 30)</w:t>
            </w:r>
          </w:p>
        </w:tc>
        <w:tc>
          <w:tcPr>
            <w:tcW w:type="dxa" w:w="1152"/>
          </w:tcPr>
          <w:p>
            <w:pPr>
              <w:spacing w:line="240" w:lineRule="auto" w:before="40" w:after="40"/>
              <w:jc w:val="center"/>
            </w:pPr>
            <w:r/>
            <w:r>
              <w:rPr>
                <w:b w:val="0"/>
                <w:i w:val="0"/>
                <w:sz w:val="17"/>
              </w:rPr>
              <w:t>0.905</w:t>
            </w:r>
          </w:p>
        </w:tc>
        <w:tc>
          <w:tcPr>
            <w:tcW w:type="dxa" w:w="1008"/>
          </w:tcPr>
          <w:p>
            <w:pPr>
              <w:spacing w:line="240" w:lineRule="auto" w:before="40" w:after="40"/>
              <w:jc w:val="center"/>
            </w:pPr>
            <w:r/>
            <w:r>
              <w:rPr>
                <w:b w:val="0"/>
                <w:i w:val="0"/>
                <w:sz w:val="17"/>
              </w:rPr>
              <w:t>0.950</w:t>
            </w:r>
          </w:p>
        </w:tc>
        <w:tc>
          <w:tcPr>
            <w:tcW w:type="dxa" w:w="864"/>
          </w:tcPr>
          <w:p>
            <w:pPr>
              <w:spacing w:line="240" w:lineRule="auto" w:before="40" w:after="40"/>
              <w:jc w:val="center"/>
            </w:pPr>
            <w:r/>
            <w:r>
              <w:rPr>
                <w:b w:val="0"/>
                <w:i w:val="0"/>
                <w:sz w:val="17"/>
              </w:rPr>
              <w:t>0.927</w:t>
            </w:r>
          </w:p>
        </w:tc>
        <w:tc>
          <w:tcPr>
            <w:tcW w:type="dxa" w:w="864"/>
          </w:tcPr>
          <w:p>
            <w:pPr>
              <w:spacing w:line="240" w:lineRule="auto" w:before="40" w:after="40"/>
              <w:jc w:val="center"/>
            </w:pPr>
            <w:r/>
            <w:r>
              <w:rPr>
                <w:b w:val="0"/>
                <w:i w:val="0"/>
                <w:sz w:val="17"/>
              </w:rPr>
              <w:t>0.999</w:t>
            </w:r>
          </w:p>
        </w:tc>
        <w:tc>
          <w:tcPr>
            <w:tcW w:type="dxa" w:w="1440"/>
          </w:tcPr>
          <w:p>
            <w:pPr>
              <w:spacing w:line="240" w:lineRule="auto" w:before="40" w:after="40"/>
              <w:jc w:val="center"/>
            </w:pPr>
            <w:r/>
            <w:r>
              <w:rPr>
                <w:b w:val="0"/>
                <w:i w:val="0"/>
                <w:sz w:val="17"/>
              </w:rPr>
              <w:t>19 / 2 / 1</w:t>
            </w:r>
          </w:p>
        </w:tc>
      </w:tr>
      <w:tr>
        <w:tc>
          <w:tcPr>
            <w:tcW w:type="dxa" w:w="3744"/>
            <w:shd w:val="clear" w:color="auto" w:fill="EFEFEF"/>
          </w:tcPr>
          <w:p>
            <w:pPr>
              <w:spacing w:line="240" w:lineRule="auto" w:before="40" w:after="40"/>
              <w:jc w:val="left"/>
            </w:pPr>
            <w:r/>
            <w:r>
              <w:rPr>
                <w:b w:val="0"/>
                <w:i/>
                <w:sz w:val="17"/>
              </w:rPr>
              <w:t>Bridges: standards-based rule (above ceiling)</w:t>
            </w:r>
          </w:p>
        </w:tc>
        <w:tc>
          <w:tcPr>
            <w:tcW w:type="dxa" w:w="1152"/>
            <w:shd w:val="clear" w:color="auto" w:fill="EFEFEF"/>
          </w:tcPr>
          <w:p>
            <w:pPr>
              <w:spacing w:line="240" w:lineRule="auto" w:before="40" w:after="40"/>
              <w:jc w:val="center"/>
            </w:pPr>
            <w:r/>
            <w:r>
              <w:rPr>
                <w:b w:val="0"/>
                <w:i w:val="0"/>
                <w:sz w:val="17"/>
              </w:rPr>
              <w:t>0.517</w:t>
            </w:r>
          </w:p>
        </w:tc>
        <w:tc>
          <w:tcPr>
            <w:tcW w:type="dxa" w:w="1008"/>
            <w:shd w:val="clear" w:color="auto" w:fill="EFEFEF"/>
          </w:tcPr>
          <w:p>
            <w:pPr>
              <w:spacing w:line="240" w:lineRule="auto" w:before="40" w:after="40"/>
              <w:jc w:val="center"/>
            </w:pPr>
            <w:r/>
            <w:r>
              <w:rPr>
                <w:b w:val="0"/>
                <w:i w:val="0"/>
                <w:sz w:val="17"/>
              </w:rPr>
              <w:t>0.938</w:t>
            </w:r>
          </w:p>
        </w:tc>
        <w:tc>
          <w:tcPr>
            <w:tcW w:type="dxa" w:w="864"/>
            <w:shd w:val="clear" w:color="auto" w:fill="EFEFEF"/>
          </w:tcPr>
          <w:p>
            <w:pPr>
              <w:spacing w:line="240" w:lineRule="auto" w:before="40" w:after="40"/>
              <w:jc w:val="center"/>
            </w:pPr>
            <w:r/>
            <w:r>
              <w:rPr>
                <w:b w:val="0"/>
                <w:i w:val="0"/>
                <w:sz w:val="17"/>
              </w:rPr>
              <w:t>0.667</w:t>
            </w:r>
          </w:p>
        </w:tc>
        <w:tc>
          <w:tcPr>
            <w:tcW w:type="dxa" w:w="864"/>
            <w:shd w:val="clear" w:color="auto" w:fill="EFEFEF"/>
          </w:tcPr>
          <w:p>
            <w:pPr>
              <w:spacing w:line="240" w:lineRule="auto" w:before="40" w:after="40"/>
              <w:jc w:val="center"/>
            </w:pPr>
            <w:r/>
            <w:r>
              <w:rPr>
                <w:b w:val="0"/>
                <w:i w:val="0"/>
                <w:sz w:val="17"/>
              </w:rPr>
              <w:t>0.982</w:t>
            </w:r>
          </w:p>
        </w:tc>
        <w:tc>
          <w:tcPr>
            <w:tcW w:type="dxa" w:w="1440"/>
            <w:shd w:val="clear" w:color="auto" w:fill="EFEFEF"/>
          </w:tcPr>
          <w:p>
            <w:pPr>
              <w:spacing w:line="240" w:lineRule="auto" w:before="40" w:after="40"/>
              <w:jc w:val="center"/>
            </w:pPr>
            <w:r/>
            <w:r>
              <w:rPr>
                <w:b w:val="0"/>
                <w:i w:val="0"/>
                <w:sz w:val="17"/>
              </w:rPr>
              <w:t>15 / 14 / 1</w:t>
            </w:r>
          </w:p>
        </w:tc>
      </w:tr>
      <w:tr>
        <w:tc>
          <w:tcPr>
            <w:tcW w:type="dxa" w:w="3744"/>
          </w:tcPr>
          <w:p>
            <w:pPr>
              <w:spacing w:line="240" w:lineRule="auto" w:before="40" w:after="40"/>
              <w:jc w:val="left"/>
            </w:pPr>
            <w:r/>
            <w:r>
              <w:rPr>
                <w:b w:val="0"/>
                <w:i/>
                <w:sz w:val="17"/>
              </w:rPr>
              <w:t>Bridges: XGBoost residual (&gt; 1.25 × predicted)</w:t>
            </w:r>
          </w:p>
        </w:tc>
        <w:tc>
          <w:tcPr>
            <w:tcW w:type="dxa" w:w="1152"/>
          </w:tcPr>
          <w:p>
            <w:pPr>
              <w:spacing w:line="240" w:lineRule="auto" w:before="40" w:after="40"/>
              <w:jc w:val="center"/>
            </w:pPr>
            <w:r/>
            <w:r>
              <w:rPr>
                <w:b w:val="0"/>
                <w:i w:val="0"/>
                <w:sz w:val="17"/>
              </w:rPr>
              <w:t>0.550</w:t>
            </w:r>
          </w:p>
        </w:tc>
        <w:tc>
          <w:tcPr>
            <w:tcW w:type="dxa" w:w="1008"/>
          </w:tcPr>
          <w:p>
            <w:pPr>
              <w:spacing w:line="240" w:lineRule="auto" w:before="40" w:after="40"/>
              <w:jc w:val="center"/>
            </w:pPr>
            <w:r/>
            <w:r>
              <w:rPr>
                <w:b w:val="0"/>
                <w:i w:val="0"/>
                <w:sz w:val="17"/>
              </w:rPr>
              <w:t>0.688</w:t>
            </w:r>
          </w:p>
        </w:tc>
        <w:tc>
          <w:tcPr>
            <w:tcW w:type="dxa" w:w="864"/>
          </w:tcPr>
          <w:p>
            <w:pPr>
              <w:spacing w:line="240" w:lineRule="auto" w:before="40" w:after="40"/>
              <w:jc w:val="center"/>
            </w:pPr>
            <w:r/>
            <w:r>
              <w:rPr>
                <w:b w:val="0"/>
                <w:i w:val="0"/>
                <w:sz w:val="17"/>
              </w:rPr>
              <w:t>0.611</w:t>
            </w:r>
          </w:p>
        </w:tc>
        <w:tc>
          <w:tcPr>
            <w:tcW w:type="dxa" w:w="864"/>
          </w:tcPr>
          <w:p>
            <w:pPr>
              <w:spacing w:line="240" w:lineRule="auto" w:before="40" w:after="40"/>
              <w:jc w:val="center"/>
            </w:pPr>
            <w:r/>
            <w:r>
              <w:rPr>
                <w:b w:val="0"/>
                <w:i w:val="0"/>
                <w:sz w:val="17"/>
              </w:rPr>
              <w:t>0.939</w:t>
            </w:r>
          </w:p>
        </w:tc>
        <w:tc>
          <w:tcPr>
            <w:tcW w:type="dxa" w:w="1440"/>
          </w:tcPr>
          <w:p>
            <w:pPr>
              <w:spacing w:line="240" w:lineRule="auto" w:before="40" w:after="40"/>
              <w:jc w:val="center"/>
            </w:pPr>
            <w:r/>
            <w:r>
              <w:rPr>
                <w:b w:val="0"/>
                <w:i w:val="0"/>
                <w:sz w:val="17"/>
              </w:rPr>
              <w:t>11 / 9 / 5</w:t>
            </w:r>
          </w:p>
        </w:tc>
      </w:tr>
      <w:tr>
        <w:tc>
          <w:tcPr>
            <w:tcW w:type="dxa" w:w="3744"/>
            <w:shd w:val="clear" w:color="auto" w:fill="EFEFEF"/>
          </w:tcPr>
          <w:p>
            <w:pPr>
              <w:spacing w:line="240" w:lineRule="auto" w:before="40" w:after="40"/>
              <w:jc w:val="left"/>
            </w:pPr>
            <w:r/>
            <w:r>
              <w:rPr>
                <w:b w:val="0"/>
                <w:i/>
                <w:sz w:val="17"/>
              </w:rPr>
              <w:t>Bridges: Isolation Forest (CORA-style)</w:t>
            </w:r>
          </w:p>
        </w:tc>
        <w:tc>
          <w:tcPr>
            <w:tcW w:type="dxa" w:w="1152"/>
            <w:shd w:val="clear" w:color="auto" w:fill="EFEFEF"/>
          </w:tcPr>
          <w:p>
            <w:pPr>
              <w:spacing w:line="240" w:lineRule="auto" w:before="40" w:after="40"/>
              <w:jc w:val="center"/>
            </w:pPr>
            <w:r/>
            <w:r>
              <w:rPr>
                <w:b w:val="0"/>
                <w:i w:val="0"/>
                <w:sz w:val="17"/>
              </w:rPr>
              <w:t>0.400</w:t>
            </w:r>
          </w:p>
        </w:tc>
        <w:tc>
          <w:tcPr>
            <w:tcW w:type="dxa" w:w="1008"/>
            <w:shd w:val="clear" w:color="auto" w:fill="EFEFEF"/>
          </w:tcPr>
          <w:p>
            <w:pPr>
              <w:spacing w:line="240" w:lineRule="auto" w:before="40" w:after="40"/>
              <w:jc w:val="center"/>
            </w:pPr>
            <w:r/>
            <w:r>
              <w:rPr>
                <w:b w:val="0"/>
                <w:i w:val="0"/>
                <w:sz w:val="17"/>
              </w:rPr>
              <w:t>0.250</w:t>
            </w:r>
          </w:p>
        </w:tc>
        <w:tc>
          <w:tcPr>
            <w:tcW w:type="dxa" w:w="864"/>
            <w:shd w:val="clear" w:color="auto" w:fill="EFEFEF"/>
          </w:tcPr>
          <w:p>
            <w:pPr>
              <w:spacing w:line="240" w:lineRule="auto" w:before="40" w:after="40"/>
              <w:jc w:val="center"/>
            </w:pPr>
            <w:r/>
            <w:r>
              <w:rPr>
                <w:b w:val="0"/>
                <w:i w:val="0"/>
                <w:sz w:val="17"/>
              </w:rPr>
              <w:t>0.308</w:t>
            </w:r>
          </w:p>
        </w:tc>
        <w:tc>
          <w:tcPr>
            <w:tcW w:type="dxa" w:w="864"/>
            <w:shd w:val="clear" w:color="auto" w:fill="EFEFEF"/>
          </w:tcPr>
          <w:p>
            <w:pPr>
              <w:spacing w:line="240" w:lineRule="auto" w:before="40" w:after="40"/>
              <w:jc w:val="center"/>
            </w:pPr>
            <w:r/>
            <w:r>
              <w:rPr>
                <w:b w:val="0"/>
                <w:i w:val="0"/>
                <w:sz w:val="17"/>
              </w:rPr>
              <w:t>0.646</w:t>
            </w:r>
          </w:p>
        </w:tc>
        <w:tc>
          <w:tcPr>
            <w:tcW w:type="dxa" w:w="1440"/>
            <w:shd w:val="clear" w:color="auto" w:fill="EFEFEF"/>
          </w:tcPr>
          <w:p>
            <w:pPr>
              <w:spacing w:line="240" w:lineRule="auto" w:before="40" w:after="40"/>
              <w:jc w:val="center"/>
            </w:pPr>
            <w:r/>
            <w:r>
              <w:rPr>
                <w:b w:val="0"/>
                <w:i w:val="0"/>
                <w:sz w:val="17"/>
              </w:rPr>
              <w:t>4 / 6 / 12</w:t>
            </w:r>
          </w:p>
        </w:tc>
      </w:tr>
      <w:tr>
        <w:tc>
          <w:tcPr>
            <w:tcW w:type="dxa" w:w="3744"/>
          </w:tcPr>
          <w:p>
            <w:pPr>
              <w:spacing w:line="240" w:lineRule="auto" w:before="40" w:after="40"/>
              <w:jc w:val="left"/>
            </w:pPr>
            <w:r/>
            <w:r>
              <w:rPr>
                <w:b w:val="0"/>
                <w:i/>
                <w:sz w:val="17"/>
              </w:rPr>
              <w:t>Bridges: BUHAY Risk Index (≥ 30)</w:t>
            </w:r>
          </w:p>
        </w:tc>
        <w:tc>
          <w:tcPr>
            <w:tcW w:type="dxa" w:w="1152"/>
          </w:tcPr>
          <w:p>
            <w:pPr>
              <w:spacing w:line="240" w:lineRule="auto" w:before="40" w:after="40"/>
              <w:jc w:val="center"/>
            </w:pPr>
            <w:r/>
            <w:r>
              <w:rPr>
                <w:b w:val="0"/>
                <w:i w:val="0"/>
                <w:sz w:val="17"/>
              </w:rPr>
              <w:t>0.469</w:t>
            </w:r>
          </w:p>
        </w:tc>
        <w:tc>
          <w:tcPr>
            <w:tcW w:type="dxa" w:w="1008"/>
          </w:tcPr>
          <w:p>
            <w:pPr>
              <w:spacing w:line="240" w:lineRule="auto" w:before="40" w:after="40"/>
              <w:jc w:val="center"/>
            </w:pPr>
            <w:r/>
            <w:r>
              <w:rPr>
                <w:b w:val="0"/>
                <w:i w:val="0"/>
                <w:sz w:val="17"/>
              </w:rPr>
              <w:t>0.938</w:t>
            </w:r>
          </w:p>
        </w:tc>
        <w:tc>
          <w:tcPr>
            <w:tcW w:type="dxa" w:w="864"/>
          </w:tcPr>
          <w:p>
            <w:pPr>
              <w:spacing w:line="240" w:lineRule="auto" w:before="40" w:after="40"/>
              <w:jc w:val="center"/>
            </w:pPr>
            <w:r/>
            <w:r>
              <w:rPr>
                <w:b w:val="0"/>
                <w:i w:val="0"/>
                <w:sz w:val="17"/>
              </w:rPr>
              <w:t>0.625</w:t>
            </w:r>
          </w:p>
        </w:tc>
        <w:tc>
          <w:tcPr>
            <w:tcW w:type="dxa" w:w="864"/>
          </w:tcPr>
          <w:p>
            <w:pPr>
              <w:spacing w:line="240" w:lineRule="auto" w:before="40" w:after="40"/>
              <w:jc w:val="center"/>
            </w:pPr>
            <w:r/>
            <w:r>
              <w:rPr>
                <w:b w:val="0"/>
                <w:i w:val="0"/>
                <w:sz w:val="17"/>
              </w:rPr>
              <w:t>0.972</w:t>
            </w:r>
          </w:p>
        </w:tc>
        <w:tc>
          <w:tcPr>
            <w:tcW w:type="dxa" w:w="1440"/>
          </w:tcPr>
          <w:p>
            <w:pPr>
              <w:spacing w:line="240" w:lineRule="auto" w:before="40" w:after="40"/>
              <w:jc w:val="center"/>
            </w:pPr>
            <w:r/>
            <w:r>
              <w:rPr>
                <w:b w:val="0"/>
                <w:i w:val="0"/>
                <w:sz w:val="17"/>
              </w:rPr>
              <w:t>15 / 17 / 1</w:t>
            </w:r>
          </w:p>
        </w:tc>
      </w:tr>
      <w:tr>
        <w:tc>
          <w:tcPr>
            <w:tcW w:type="dxa" w:w="3744"/>
            <w:shd w:val="clear" w:color="auto" w:fill="EFEFEF"/>
          </w:tcPr>
          <w:p>
            <w:pPr>
              <w:spacing w:line="240" w:lineRule="auto" w:before="40" w:after="40"/>
              <w:jc w:val="left"/>
            </w:pPr>
            <w:r/>
            <w:r>
              <w:rPr>
                <w:b w:val="0"/>
                <w:i/>
                <w:sz w:val="17"/>
              </w:rPr>
              <w:t>All projects: standards-based rule (above ceiling)</w:t>
            </w:r>
          </w:p>
        </w:tc>
        <w:tc>
          <w:tcPr>
            <w:tcW w:type="dxa" w:w="1152"/>
            <w:shd w:val="clear" w:color="auto" w:fill="EFEFEF"/>
          </w:tcPr>
          <w:p>
            <w:pPr>
              <w:spacing w:line="240" w:lineRule="auto" w:before="40" w:after="40"/>
              <w:jc w:val="center"/>
            </w:pPr>
            <w:r/>
            <w:r>
              <w:rPr>
                <w:b w:val="0"/>
                <w:i w:val="0"/>
                <w:sz w:val="17"/>
              </w:rPr>
              <w:t>0.682</w:t>
            </w:r>
          </w:p>
        </w:tc>
        <w:tc>
          <w:tcPr>
            <w:tcW w:type="dxa" w:w="1008"/>
            <w:shd w:val="clear" w:color="auto" w:fill="EFEFEF"/>
          </w:tcPr>
          <w:p>
            <w:pPr>
              <w:spacing w:line="240" w:lineRule="auto" w:before="40" w:after="40"/>
              <w:jc w:val="center"/>
            </w:pPr>
            <w:r/>
            <w:r>
              <w:rPr>
                <w:b w:val="0"/>
                <w:i w:val="0"/>
                <w:sz w:val="17"/>
              </w:rPr>
              <w:t>0.833</w:t>
            </w:r>
          </w:p>
        </w:tc>
        <w:tc>
          <w:tcPr>
            <w:tcW w:type="dxa" w:w="864"/>
            <w:shd w:val="clear" w:color="auto" w:fill="EFEFEF"/>
          </w:tcPr>
          <w:p>
            <w:pPr>
              <w:spacing w:line="240" w:lineRule="auto" w:before="40" w:after="40"/>
              <w:jc w:val="center"/>
            </w:pPr>
            <w:r/>
            <w:r>
              <w:rPr>
                <w:b w:val="0"/>
                <w:i w:val="0"/>
                <w:sz w:val="17"/>
              </w:rPr>
              <w:t>0.750</w:t>
            </w:r>
          </w:p>
        </w:tc>
        <w:tc>
          <w:tcPr>
            <w:tcW w:type="dxa" w:w="864"/>
            <w:shd w:val="clear" w:color="auto" w:fill="EFEFEF"/>
          </w:tcPr>
          <w:p>
            <w:pPr>
              <w:spacing w:line="240" w:lineRule="auto" w:before="40" w:after="40"/>
              <w:jc w:val="center"/>
            </w:pPr>
            <w:r/>
            <w:r>
              <w:rPr>
                <w:b w:val="0"/>
                <w:i w:val="0"/>
                <w:sz w:val="17"/>
              </w:rPr>
              <w:t>0.994</w:t>
            </w:r>
          </w:p>
        </w:tc>
        <w:tc>
          <w:tcPr>
            <w:tcW w:type="dxa" w:w="1440"/>
            <w:shd w:val="clear" w:color="auto" w:fill="EFEFEF"/>
          </w:tcPr>
          <w:p>
            <w:pPr>
              <w:spacing w:line="240" w:lineRule="auto" w:before="40" w:after="40"/>
              <w:jc w:val="center"/>
            </w:pPr>
            <w:r/>
            <w:r>
              <w:rPr>
                <w:b w:val="0"/>
                <w:i w:val="0"/>
                <w:sz w:val="17"/>
              </w:rPr>
              <w:t>30 / 14 / 6</w:t>
            </w:r>
          </w:p>
        </w:tc>
      </w:tr>
      <w:tr>
        <w:tc>
          <w:tcPr>
            <w:tcW w:type="dxa" w:w="3744"/>
          </w:tcPr>
          <w:p>
            <w:pPr>
              <w:spacing w:line="240" w:lineRule="auto" w:before="40" w:after="40"/>
              <w:jc w:val="left"/>
            </w:pPr>
            <w:r/>
            <w:r>
              <w:rPr>
                <w:b w:val="0"/>
                <w:i/>
                <w:sz w:val="17"/>
              </w:rPr>
              <w:t>All projects: XGBoost residual (&gt; 1.25 × predicted)</w:t>
            </w:r>
          </w:p>
        </w:tc>
        <w:tc>
          <w:tcPr>
            <w:tcW w:type="dxa" w:w="1152"/>
          </w:tcPr>
          <w:p>
            <w:pPr>
              <w:spacing w:line="240" w:lineRule="auto" w:before="40" w:after="40"/>
              <w:jc w:val="center"/>
            </w:pPr>
            <w:r/>
            <w:r>
              <w:rPr>
                <w:b w:val="0"/>
                <w:i w:val="0"/>
                <w:sz w:val="17"/>
              </w:rPr>
              <w:t>0.706</w:t>
            </w:r>
          </w:p>
        </w:tc>
        <w:tc>
          <w:tcPr>
            <w:tcW w:type="dxa" w:w="1008"/>
          </w:tcPr>
          <w:p>
            <w:pPr>
              <w:spacing w:line="240" w:lineRule="auto" w:before="40" w:after="40"/>
              <w:jc w:val="center"/>
            </w:pPr>
            <w:r/>
            <w:r>
              <w:rPr>
                <w:b w:val="0"/>
                <w:i w:val="0"/>
                <w:sz w:val="17"/>
              </w:rPr>
              <w:t>0.667</w:t>
            </w:r>
          </w:p>
        </w:tc>
        <w:tc>
          <w:tcPr>
            <w:tcW w:type="dxa" w:w="864"/>
          </w:tcPr>
          <w:p>
            <w:pPr>
              <w:spacing w:line="240" w:lineRule="auto" w:before="40" w:after="40"/>
              <w:jc w:val="center"/>
            </w:pPr>
            <w:r/>
            <w:r>
              <w:rPr>
                <w:b w:val="0"/>
                <w:i w:val="0"/>
                <w:sz w:val="17"/>
              </w:rPr>
              <w:t>0.686</w:t>
            </w:r>
          </w:p>
        </w:tc>
        <w:tc>
          <w:tcPr>
            <w:tcW w:type="dxa" w:w="864"/>
          </w:tcPr>
          <w:p>
            <w:pPr>
              <w:spacing w:line="240" w:lineRule="auto" w:before="40" w:after="40"/>
              <w:jc w:val="center"/>
            </w:pPr>
            <w:r/>
            <w:r>
              <w:rPr>
                <w:b w:val="0"/>
                <w:i w:val="0"/>
                <w:sz w:val="17"/>
              </w:rPr>
              <w:t>0.955</w:t>
            </w:r>
          </w:p>
        </w:tc>
        <w:tc>
          <w:tcPr>
            <w:tcW w:type="dxa" w:w="1440"/>
          </w:tcPr>
          <w:p>
            <w:pPr>
              <w:spacing w:line="240" w:lineRule="auto" w:before="40" w:after="40"/>
              <w:jc w:val="center"/>
            </w:pPr>
            <w:r/>
            <w:r>
              <w:rPr>
                <w:b w:val="0"/>
                <w:i w:val="0"/>
                <w:sz w:val="17"/>
              </w:rPr>
              <w:t>24 / 10 / 12</w:t>
            </w:r>
          </w:p>
        </w:tc>
      </w:tr>
      <w:tr>
        <w:tc>
          <w:tcPr>
            <w:tcW w:type="dxa" w:w="3744"/>
            <w:shd w:val="clear" w:color="auto" w:fill="EFEFEF"/>
          </w:tcPr>
          <w:p>
            <w:pPr>
              <w:spacing w:line="240" w:lineRule="auto" w:before="40" w:after="40"/>
              <w:jc w:val="left"/>
            </w:pPr>
            <w:r/>
            <w:r>
              <w:rPr>
                <w:b w:val="0"/>
                <w:i/>
                <w:sz w:val="17"/>
              </w:rPr>
              <w:t>All projects: Isolation Forest (CORA-style)</w:t>
            </w:r>
          </w:p>
        </w:tc>
        <w:tc>
          <w:tcPr>
            <w:tcW w:type="dxa" w:w="1152"/>
            <w:shd w:val="clear" w:color="auto" w:fill="EFEFEF"/>
          </w:tcPr>
          <w:p>
            <w:pPr>
              <w:spacing w:line="240" w:lineRule="auto" w:before="40" w:after="40"/>
              <w:jc w:val="center"/>
            </w:pPr>
            <w:r/>
            <w:r>
              <w:rPr>
                <w:b w:val="0"/>
                <w:i w:val="0"/>
                <w:sz w:val="17"/>
              </w:rPr>
              <w:t>0.556</w:t>
            </w:r>
          </w:p>
        </w:tc>
        <w:tc>
          <w:tcPr>
            <w:tcW w:type="dxa" w:w="1008"/>
            <w:shd w:val="clear" w:color="auto" w:fill="EFEFEF"/>
          </w:tcPr>
          <w:p>
            <w:pPr>
              <w:spacing w:line="240" w:lineRule="auto" w:before="40" w:after="40"/>
              <w:jc w:val="center"/>
            </w:pPr>
            <w:r/>
            <w:r>
              <w:rPr>
                <w:b w:val="0"/>
                <w:i w:val="0"/>
                <w:sz w:val="17"/>
              </w:rPr>
              <w:t>0.278</w:t>
            </w:r>
          </w:p>
        </w:tc>
        <w:tc>
          <w:tcPr>
            <w:tcW w:type="dxa" w:w="864"/>
            <w:shd w:val="clear" w:color="auto" w:fill="EFEFEF"/>
          </w:tcPr>
          <w:p>
            <w:pPr>
              <w:spacing w:line="240" w:lineRule="auto" w:before="40" w:after="40"/>
              <w:jc w:val="center"/>
            </w:pPr>
            <w:r/>
            <w:r>
              <w:rPr>
                <w:b w:val="0"/>
                <w:i w:val="0"/>
                <w:sz w:val="17"/>
              </w:rPr>
              <w:t>0.370</w:t>
            </w:r>
          </w:p>
        </w:tc>
        <w:tc>
          <w:tcPr>
            <w:tcW w:type="dxa" w:w="864"/>
            <w:shd w:val="clear" w:color="auto" w:fill="EFEFEF"/>
          </w:tcPr>
          <w:p>
            <w:pPr>
              <w:spacing w:line="240" w:lineRule="auto" w:before="40" w:after="40"/>
              <w:jc w:val="center"/>
            </w:pPr>
            <w:r/>
            <w:r>
              <w:rPr>
                <w:b w:val="0"/>
                <w:i w:val="0"/>
                <w:sz w:val="17"/>
              </w:rPr>
              <w:t>0.731</w:t>
            </w:r>
          </w:p>
        </w:tc>
        <w:tc>
          <w:tcPr>
            <w:tcW w:type="dxa" w:w="1440"/>
            <w:shd w:val="clear" w:color="auto" w:fill="EFEFEF"/>
          </w:tcPr>
          <w:p>
            <w:pPr>
              <w:spacing w:line="240" w:lineRule="auto" w:before="40" w:after="40"/>
              <w:jc w:val="center"/>
            </w:pPr>
            <w:r/>
            <w:r>
              <w:rPr>
                <w:b w:val="0"/>
                <w:i w:val="0"/>
                <w:sz w:val="17"/>
              </w:rPr>
              <w:t>10 / 8 / 26</w:t>
            </w:r>
          </w:p>
        </w:tc>
      </w:tr>
      <w:tr>
        <w:tc>
          <w:tcPr>
            <w:tcW w:type="dxa" w:w="3744"/>
            <w:tcBorders>
              <w:bottom w:val="single" w:sz="12" w:color="000000"/>
            </w:tcBorders>
          </w:tcPr>
          <w:p>
            <w:pPr>
              <w:spacing w:line="240" w:lineRule="auto" w:before="40" w:after="40"/>
              <w:jc w:val="left"/>
            </w:pPr>
            <w:r/>
            <w:r>
              <w:rPr>
                <w:b w:val="0"/>
                <w:i/>
                <w:sz w:val="17"/>
              </w:rPr>
              <w:t>All projects: BUHAY Risk Index (≥ 30)</w:t>
            </w:r>
          </w:p>
        </w:tc>
        <w:tc>
          <w:tcPr>
            <w:tcW w:type="dxa" w:w="1152"/>
            <w:tcBorders>
              <w:bottom w:val="single" w:sz="12" w:color="000000"/>
            </w:tcBorders>
          </w:tcPr>
          <w:p>
            <w:pPr>
              <w:spacing w:line="240" w:lineRule="auto" w:before="40" w:after="40"/>
              <w:jc w:val="center"/>
            </w:pPr>
            <w:r/>
            <w:r>
              <w:rPr>
                <w:b w:val="0"/>
                <w:i w:val="0"/>
                <w:sz w:val="17"/>
              </w:rPr>
              <w:t>0.642</w:t>
            </w:r>
          </w:p>
        </w:tc>
        <w:tc>
          <w:tcPr>
            <w:tcW w:type="dxa" w:w="1008"/>
            <w:tcBorders>
              <w:bottom w:val="single" w:sz="12" w:color="000000"/>
            </w:tcBorders>
          </w:tcPr>
          <w:p>
            <w:pPr>
              <w:spacing w:line="240" w:lineRule="auto" w:before="40" w:after="40"/>
              <w:jc w:val="center"/>
            </w:pPr>
            <w:r/>
            <w:r>
              <w:rPr>
                <w:b w:val="0"/>
                <w:i w:val="0"/>
                <w:sz w:val="17"/>
              </w:rPr>
              <w:t>0.944</w:t>
            </w:r>
          </w:p>
        </w:tc>
        <w:tc>
          <w:tcPr>
            <w:tcW w:type="dxa" w:w="864"/>
            <w:tcBorders>
              <w:bottom w:val="single" w:sz="12" w:color="000000"/>
            </w:tcBorders>
          </w:tcPr>
          <w:p>
            <w:pPr>
              <w:spacing w:line="240" w:lineRule="auto" w:before="40" w:after="40"/>
              <w:jc w:val="center"/>
            </w:pPr>
            <w:r/>
            <w:r>
              <w:rPr>
                <w:b w:val="0"/>
                <w:i w:val="0"/>
                <w:sz w:val="17"/>
              </w:rPr>
              <w:t>0.764</w:t>
            </w:r>
          </w:p>
        </w:tc>
        <w:tc>
          <w:tcPr>
            <w:tcW w:type="dxa" w:w="864"/>
            <w:tcBorders>
              <w:bottom w:val="single" w:sz="12" w:color="000000"/>
            </w:tcBorders>
          </w:tcPr>
          <w:p>
            <w:pPr>
              <w:spacing w:line="240" w:lineRule="auto" w:before="40" w:after="40"/>
              <w:jc w:val="center"/>
            </w:pPr>
            <w:r/>
            <w:r>
              <w:rPr>
                <w:b w:val="0"/>
                <w:i w:val="0"/>
                <w:sz w:val="17"/>
              </w:rPr>
              <w:t>0.987</w:t>
            </w:r>
          </w:p>
        </w:tc>
        <w:tc>
          <w:tcPr>
            <w:tcW w:type="dxa" w:w="1440"/>
            <w:tcBorders>
              <w:bottom w:val="single" w:sz="12" w:color="000000"/>
            </w:tcBorders>
          </w:tcPr>
          <w:p>
            <w:pPr>
              <w:spacing w:line="240" w:lineRule="auto" w:before="40" w:after="40"/>
              <w:jc w:val="center"/>
            </w:pPr>
            <w:r/>
            <w:r>
              <w:rPr>
                <w:b w:val="0"/>
                <w:i w:val="0"/>
                <w:sz w:val="17"/>
              </w:rPr>
              <w:t>34 / 19 / 2</w:t>
            </w:r>
          </w:p>
        </w:tc>
      </w:tr>
    </w:tbl>
    <w:p>
      <w:pPr>
        <w:spacing w:line="240" w:lineRule="auto" w:after="80"/>
      </w:pPr>
    </w:p>
    <w:p>
      <w:pPr>
        <w:spacing w:line="480" w:lineRule="auto" w:after="0"/>
        <w:ind w:firstLine="720"/>
        <w:jc w:val="both"/>
      </w:pPr>
      <w:r>
        <w:rPr>
          <w:b w:val="0"/>
          <w:i w:val="0"/>
        </w:rPr>
        <w:t>Across all projects, the BUHAY Risk Index caught 34 of 36 padded contracts (recall 0.944) with 19 false alarms, for the highest F1-score (0.764). The standards-based rule alone was the strongest single signal: its continuous ratio reached the highest AUC (0.994) and its ceiling rule had good precision (0.682) but missed 6 contracts whose padding stayed under the ceiling. The XGBoost residual rule found 66.7% of the cases; because it learns from prices that include padding, part of the overpricing becomes "normal" to it. The CORA-style Isolation Forest found only 27.8% (AUC 0.731): a padded contract for an ordinary building is not unusual in its plan features, so isolation alone cannot see it. This answers the validation gap that CORA left open and shows why a standards-based reference is needed.</w:t>
      </w:r>
    </w:p>
    <w:p>
      <w:pPr>
        <w:spacing w:line="480" w:lineRule="auto" w:after="0"/>
        <w:ind w:firstLine="720"/>
        <w:jc w:val="both"/>
      </w:pPr>
      <w:r>
        <w:rPr>
          <w:b w:val="0"/>
          <w:i w:val="0"/>
        </w:rPr>
        <w:t>By asset class, buildings were screened almost perfectly (BRI F1 = 0.927, recall 0.950). Bridges kept a high recall (0.938) but lower precision (0.469), because fair bridges with deeper-than-planned piles look over budget against a plan-based estimate. A sensitivity check found that the F1-maximizing threshold is about 24 for buildings (F1 = 0.952) and 58 for bridges (F1 = 0.839), which suggests class-specific thresholds once real data are available. Recall was 90% for moderate and 100% for severe building cases, and 88% and 100% for bridges.</w:t>
      </w:r>
    </w:p>
    <w:p>
      <w:pPr>
        <w:keepNext/>
        <w:spacing w:line="240" w:lineRule="auto" w:after="0" w:before="120"/>
        <w:jc w:val="left"/>
      </w:pPr>
      <w:r>
        <w:rPr>
          <w:b/>
          <w:i w:val="0"/>
        </w:rPr>
        <w:t>Figure 9.</w:t>
      </w:r>
    </w:p>
    <w:p>
      <w:pPr>
        <w:keepNext/>
        <w:spacing w:line="240" w:lineRule="auto" w:after="0"/>
        <w:jc w:val="left"/>
      </w:pPr>
      <w:r>
        <w:rPr>
          <w:b w:val="0"/>
          <w:i/>
        </w:rPr>
        <w:t>ROC Curves of the Screening Signals, All 300 Projects</w:t>
      </w:r>
    </w:p>
    <w:p>
      <w:pPr>
        <w:spacing w:line="240" w:lineRule="auto" w:after="200"/>
        <w:jc w:val="center"/>
      </w:pPr>
      <w:r>
        <w:drawing>
          <wp:inline xmlns:a="http://schemas.openxmlformats.org/drawingml/2006/main" xmlns:pic="http://schemas.openxmlformats.org/drawingml/2006/picture">
            <wp:extent cx="4572000" cy="3783724"/>
            <wp:docPr id="26" name="Picture 26"/>
            <wp:cNvGraphicFramePr>
              <a:graphicFrameLocks noChangeAspect="1"/>
            </wp:cNvGraphicFramePr>
            <a:graphic>
              <a:graphicData uri="http://schemas.openxmlformats.org/drawingml/2006/picture">
                <pic:pic>
                  <pic:nvPicPr>
                    <pic:cNvPr id="0" name="roc_pooled.png"/>
                    <pic:cNvPicPr/>
                  </pic:nvPicPr>
                  <pic:blipFill>
                    <a:blip r:embed="rId36"/>
                    <a:stretch>
                      <a:fillRect/>
                    </a:stretch>
                  </pic:blipFill>
                  <pic:spPr>
                    <a:xfrm>
                      <a:off x="0" y="0"/>
                      <a:ext cx="4572000" cy="3783724"/>
                    </a:xfrm>
                    <a:prstGeom prst="rect"/>
                  </pic:spPr>
                </pic:pic>
              </a:graphicData>
            </a:graphic>
          </wp:inline>
        </w:drawing>
      </w:r>
    </w:p>
    <w:p>
      <w:pPr>
        <w:keepNext/>
        <w:spacing w:line="240" w:lineRule="auto" w:after="0" w:before="120"/>
        <w:jc w:val="left"/>
      </w:pPr>
      <w:r>
        <w:rPr>
          <w:b/>
          <w:i w:val="0"/>
        </w:rPr>
        <w:t>Table 23.</w:t>
      </w:r>
    </w:p>
    <w:p>
      <w:pPr>
        <w:keepNext/>
        <w:spacing w:line="240" w:lineRule="auto" w:after="0"/>
        <w:jc w:val="left"/>
      </w:pPr>
      <w:r>
        <w:rPr>
          <w:b w:val="0"/>
          <w:i/>
        </w:rPr>
        <w:t>Highest-Risk Contracts Flagged by BUHAY</w:t>
      </w:r>
    </w:p>
    <w:tbl>
      <w:tblPr>
        <w:tblW w:type="auto" w:w="0"/>
        <w:jc w:val="center"/>
        <w:tblLayout w:type="fixed"/>
        <w:tblLook w:firstColumn="1" w:firstRow="1" w:lastColumn="0" w:lastRow="0" w:noHBand="0" w:noVBand="1" w:val="04A0"/>
        <w:tblLayout w:type="fixed"/>
      </w:tblPr>
      <w:tblGrid>
        <w:gridCol w:w="1152"/>
        <w:gridCol w:w="2448"/>
        <w:gridCol w:w="1080"/>
        <w:gridCol w:w="720"/>
        <w:gridCol w:w="720"/>
        <w:gridCol w:w="2304"/>
        <w:gridCol w:w="936"/>
      </w:tblGrid>
      <w:tr>
        <w:tc>
          <w:tcPr>
            <w:tcW w:type="dxa" w:w="1152"/>
            <w:tcBorders>
              <w:top w:val="single" w:sz="12" w:color="000000"/>
              <w:bottom w:val="single" w:sz="8" w:color="000000"/>
            </w:tcBorders>
          </w:tcPr>
          <w:p>
            <w:pPr>
              <w:spacing w:line="240" w:lineRule="auto" w:before="40" w:after="40"/>
              <w:jc w:val="center"/>
            </w:pPr>
            <w:r/>
            <w:r>
              <w:rPr>
                <w:b/>
                <w:i w:val="0"/>
                <w:sz w:val="16"/>
              </w:rPr>
              <w:t>ID</w:t>
            </w:r>
          </w:p>
        </w:tc>
        <w:tc>
          <w:tcPr>
            <w:tcW w:type="dxa" w:w="2448"/>
            <w:tcBorders>
              <w:top w:val="single" w:sz="12" w:color="000000"/>
              <w:bottom w:val="single" w:sz="8" w:color="000000"/>
            </w:tcBorders>
          </w:tcPr>
          <w:p>
            <w:pPr>
              <w:spacing w:line="240" w:lineRule="auto" w:before="40" w:after="40"/>
              <w:jc w:val="center"/>
            </w:pPr>
            <w:r/>
            <w:r>
              <w:rPr>
                <w:b/>
                <w:i w:val="0"/>
                <w:sz w:val="16"/>
              </w:rPr>
              <w:t>PROJECT</w:t>
            </w:r>
          </w:p>
        </w:tc>
        <w:tc>
          <w:tcPr>
            <w:tcW w:type="dxa" w:w="1080"/>
            <w:tcBorders>
              <w:top w:val="single" w:sz="12" w:color="000000"/>
              <w:bottom w:val="single" w:sz="8" w:color="000000"/>
            </w:tcBorders>
          </w:tcPr>
          <w:p>
            <w:pPr>
              <w:spacing w:line="240" w:lineRule="auto" w:before="40" w:after="40"/>
              <w:jc w:val="center"/>
            </w:pPr>
            <w:r/>
            <w:r>
              <w:rPr>
                <w:b/>
                <w:i w:val="0"/>
                <w:sz w:val="16"/>
              </w:rPr>
              <w:t>AWARDED</w:t>
            </w:r>
          </w:p>
        </w:tc>
        <w:tc>
          <w:tcPr>
            <w:tcW w:type="dxa" w:w="720"/>
            <w:tcBorders>
              <w:top w:val="single" w:sz="12" w:color="000000"/>
              <w:bottom w:val="single" w:sz="8" w:color="000000"/>
            </w:tcBorders>
          </w:tcPr>
          <w:p>
            <w:pPr>
              <w:spacing w:line="240" w:lineRule="auto" w:before="40" w:after="40"/>
              <w:jc w:val="center"/>
            </w:pPr>
            <w:r/>
            <w:r>
              <w:rPr>
                <w:b/>
                <w:i w:val="0"/>
                <w:sz w:val="16"/>
              </w:rPr>
              <w:t>OBR</w:t>
            </w:r>
          </w:p>
        </w:tc>
        <w:tc>
          <w:tcPr>
            <w:tcW w:type="dxa" w:w="720"/>
            <w:tcBorders>
              <w:top w:val="single" w:sz="12" w:color="000000"/>
              <w:bottom w:val="single" w:sz="8" w:color="000000"/>
            </w:tcBorders>
          </w:tcPr>
          <w:p>
            <w:pPr>
              <w:spacing w:line="240" w:lineRule="auto" w:before="40" w:after="40"/>
              <w:jc w:val="center"/>
            </w:pPr>
            <w:r/>
            <w:r>
              <w:rPr>
                <w:b/>
                <w:i w:val="0"/>
                <w:sz w:val="16"/>
              </w:rPr>
              <w:t>BRI</w:t>
            </w:r>
          </w:p>
        </w:tc>
        <w:tc>
          <w:tcPr>
            <w:tcW w:type="dxa" w:w="2304"/>
            <w:tcBorders>
              <w:top w:val="single" w:sz="12" w:color="000000"/>
              <w:bottom w:val="single" w:sz="8" w:color="000000"/>
            </w:tcBorders>
          </w:tcPr>
          <w:p>
            <w:pPr>
              <w:spacing w:line="240" w:lineRule="auto" w:before="40" w:after="40"/>
              <w:jc w:val="center"/>
            </w:pPr>
            <w:r/>
            <w:r>
              <w:rPr>
                <w:b/>
                <w:i w:val="0"/>
                <w:sz w:val="16"/>
              </w:rPr>
              <w:t>PRIMARY DRIVER</w:t>
            </w:r>
          </w:p>
        </w:tc>
        <w:tc>
          <w:tcPr>
            <w:tcW w:type="dxa" w:w="936"/>
            <w:tcBorders>
              <w:top w:val="single" w:sz="12" w:color="000000"/>
              <w:bottom w:val="single" w:sz="8" w:color="000000"/>
            </w:tcBorders>
          </w:tcPr>
          <w:p>
            <w:pPr>
              <w:spacing w:line="240" w:lineRule="auto" w:before="40" w:after="40"/>
              <w:jc w:val="center"/>
            </w:pPr>
            <w:r/>
            <w:r>
              <w:rPr>
                <w:b/>
                <w:i w:val="0"/>
                <w:sz w:val="16"/>
              </w:rPr>
              <w:t>INJECTED</w:t>
            </w:r>
          </w:p>
        </w:tc>
      </w:tr>
      <w:tr>
        <w:tc>
          <w:tcPr>
            <w:tcW w:type="dxa" w:w="1152"/>
            <w:shd w:val="clear" w:color="auto" w:fill="EFEFEF"/>
          </w:tcPr>
          <w:p>
            <w:pPr>
              <w:spacing w:line="240" w:lineRule="auto" w:before="40" w:after="40"/>
              <w:jc w:val="left"/>
            </w:pPr>
            <w:r/>
            <w:r>
              <w:rPr>
                <w:b w:val="0"/>
                <w:i w:val="0"/>
                <w:sz w:val="16"/>
              </w:rPr>
              <w:t>SIM-B-143</w:t>
            </w:r>
          </w:p>
        </w:tc>
        <w:tc>
          <w:tcPr>
            <w:tcW w:type="dxa" w:w="2448"/>
            <w:shd w:val="clear" w:color="auto" w:fill="EFEFEF"/>
          </w:tcPr>
          <w:p>
            <w:pPr>
              <w:spacing w:line="240" w:lineRule="auto" w:before="40" w:after="40"/>
              <w:jc w:val="center"/>
            </w:pPr>
            <w:r/>
            <w:r>
              <w:rPr>
                <w:b w:val="0"/>
                <w:i w:val="0"/>
                <w:sz w:val="16"/>
              </w:rPr>
              <w:t>3-storey government office building</w:t>
            </w:r>
          </w:p>
        </w:tc>
        <w:tc>
          <w:tcPr>
            <w:tcW w:type="dxa" w:w="1080"/>
            <w:shd w:val="clear" w:color="auto" w:fill="EFEFEF"/>
          </w:tcPr>
          <w:p>
            <w:pPr>
              <w:spacing w:line="240" w:lineRule="auto" w:before="40" w:after="40"/>
              <w:jc w:val="center"/>
            </w:pPr>
            <w:r/>
            <w:r>
              <w:rPr>
                <w:b w:val="0"/>
                <w:i w:val="0"/>
                <w:sz w:val="16"/>
              </w:rPr>
              <w:t>₱56.77M</w:t>
            </w:r>
          </w:p>
        </w:tc>
        <w:tc>
          <w:tcPr>
            <w:tcW w:type="dxa" w:w="720"/>
            <w:shd w:val="clear" w:color="auto" w:fill="EFEFEF"/>
          </w:tcPr>
          <w:p>
            <w:pPr>
              <w:spacing w:line="240" w:lineRule="auto" w:before="40" w:after="40"/>
              <w:jc w:val="center"/>
            </w:pPr>
            <w:r/>
            <w:r>
              <w:rPr>
                <w:b w:val="0"/>
                <w:i w:val="0"/>
                <w:sz w:val="16"/>
              </w:rPr>
              <w:t>1.89</w:t>
            </w:r>
          </w:p>
        </w:tc>
        <w:tc>
          <w:tcPr>
            <w:tcW w:type="dxa" w:w="720"/>
            <w:shd w:val="clear" w:color="auto" w:fill="EFEFEF"/>
          </w:tcPr>
          <w:p>
            <w:pPr>
              <w:spacing w:line="240" w:lineRule="auto" w:before="40" w:after="40"/>
              <w:jc w:val="center"/>
            </w:pPr>
            <w:r/>
            <w:r>
              <w:rPr>
                <w:b w:val="0"/>
                <w:i w:val="0"/>
                <w:sz w:val="16"/>
              </w:rPr>
              <w:t>97.4</w:t>
            </w:r>
          </w:p>
        </w:tc>
        <w:tc>
          <w:tcPr>
            <w:tcW w:type="dxa" w:w="2304"/>
            <w:shd w:val="clear" w:color="auto" w:fill="EFEFEF"/>
          </w:tcPr>
          <w:p>
            <w:pPr>
              <w:spacing w:line="240" w:lineRule="auto" w:before="40" w:after="40"/>
              <w:jc w:val="center"/>
            </w:pPr>
            <w:r/>
            <w:r>
              <w:rPr>
                <w:b w:val="0"/>
                <w:i w:val="0"/>
                <w:sz w:val="16"/>
              </w:rPr>
              <w:t>RC Roof Deck (0/1)</w:t>
            </w:r>
          </w:p>
        </w:tc>
        <w:tc>
          <w:tcPr>
            <w:tcW w:type="dxa" w:w="936"/>
            <w:shd w:val="clear" w:color="auto" w:fill="EFEFEF"/>
          </w:tcPr>
          <w:p>
            <w:pPr>
              <w:spacing w:line="240" w:lineRule="auto" w:before="40" w:after="40"/>
              <w:jc w:val="center"/>
            </w:pPr>
            <w:r/>
            <w:r>
              <w:rPr>
                <w:b w:val="0"/>
                <w:i w:val="0"/>
                <w:sz w:val="16"/>
              </w:rPr>
              <w:t>Yes</w:t>
            </w:r>
          </w:p>
        </w:tc>
      </w:tr>
      <w:tr>
        <w:tc>
          <w:tcPr>
            <w:tcW w:type="dxa" w:w="1152"/>
          </w:tcPr>
          <w:p>
            <w:pPr>
              <w:spacing w:line="240" w:lineRule="auto" w:before="40" w:after="40"/>
              <w:jc w:val="left"/>
            </w:pPr>
            <w:r/>
            <w:r>
              <w:rPr>
                <w:b w:val="0"/>
                <w:i w:val="0"/>
                <w:sz w:val="16"/>
              </w:rPr>
              <w:t>SIM-B-024</w:t>
            </w:r>
          </w:p>
        </w:tc>
        <w:tc>
          <w:tcPr>
            <w:tcW w:type="dxa" w:w="2448"/>
          </w:tcPr>
          <w:p>
            <w:pPr>
              <w:spacing w:line="240" w:lineRule="auto" w:before="40" w:after="40"/>
              <w:jc w:val="center"/>
            </w:pPr>
            <w:r/>
            <w:r>
              <w:rPr>
                <w:b w:val="0"/>
                <w:i w:val="0"/>
                <w:sz w:val="16"/>
              </w:rPr>
              <w:t>1-storey public market</w:t>
            </w:r>
          </w:p>
        </w:tc>
        <w:tc>
          <w:tcPr>
            <w:tcW w:type="dxa" w:w="1080"/>
          </w:tcPr>
          <w:p>
            <w:pPr>
              <w:spacing w:line="240" w:lineRule="auto" w:before="40" w:after="40"/>
              <w:jc w:val="center"/>
            </w:pPr>
            <w:r/>
            <w:r>
              <w:rPr>
                <w:b w:val="0"/>
                <w:i w:val="0"/>
                <w:sz w:val="16"/>
              </w:rPr>
              <w:t>₱48.81M</w:t>
            </w:r>
          </w:p>
        </w:tc>
        <w:tc>
          <w:tcPr>
            <w:tcW w:type="dxa" w:w="720"/>
          </w:tcPr>
          <w:p>
            <w:pPr>
              <w:spacing w:line="240" w:lineRule="auto" w:before="40" w:after="40"/>
              <w:jc w:val="center"/>
            </w:pPr>
            <w:r/>
            <w:r>
              <w:rPr>
                <w:b w:val="0"/>
                <w:i w:val="0"/>
                <w:sz w:val="16"/>
              </w:rPr>
              <w:t>1.59</w:t>
            </w:r>
          </w:p>
        </w:tc>
        <w:tc>
          <w:tcPr>
            <w:tcW w:type="dxa" w:w="720"/>
          </w:tcPr>
          <w:p>
            <w:pPr>
              <w:spacing w:line="240" w:lineRule="auto" w:before="40" w:after="40"/>
              <w:jc w:val="center"/>
            </w:pPr>
            <w:r/>
            <w:r>
              <w:rPr>
                <w:b w:val="0"/>
                <w:i w:val="0"/>
                <w:sz w:val="16"/>
              </w:rPr>
              <w:t>97.3</w:t>
            </w:r>
          </w:p>
        </w:tc>
        <w:tc>
          <w:tcPr>
            <w:tcW w:type="dxa" w:w="2304"/>
          </w:tcPr>
          <w:p>
            <w:pPr>
              <w:spacing w:line="240" w:lineRule="auto" w:before="40" w:after="40"/>
              <w:jc w:val="center"/>
            </w:pPr>
            <w:r/>
            <w:r>
              <w:rPr>
                <w:b w:val="0"/>
                <w:i w:val="0"/>
                <w:sz w:val="16"/>
              </w:rPr>
              <w:t>Footprint Area (m²)</w:t>
            </w:r>
          </w:p>
        </w:tc>
        <w:tc>
          <w:tcPr>
            <w:tcW w:type="dxa" w:w="936"/>
          </w:tcPr>
          <w:p>
            <w:pPr>
              <w:spacing w:line="240" w:lineRule="auto" w:before="40" w:after="40"/>
              <w:jc w:val="center"/>
            </w:pPr>
            <w:r/>
            <w:r>
              <w:rPr>
                <w:b w:val="0"/>
                <w:i w:val="0"/>
                <w:sz w:val="16"/>
              </w:rPr>
              <w:t>Yes</w:t>
            </w:r>
          </w:p>
        </w:tc>
      </w:tr>
      <w:tr>
        <w:tc>
          <w:tcPr>
            <w:tcW w:type="dxa" w:w="1152"/>
            <w:shd w:val="clear" w:color="auto" w:fill="EFEFEF"/>
          </w:tcPr>
          <w:p>
            <w:pPr>
              <w:spacing w:line="240" w:lineRule="auto" w:before="40" w:after="40"/>
              <w:jc w:val="left"/>
            </w:pPr>
            <w:r/>
            <w:r>
              <w:rPr>
                <w:b w:val="0"/>
                <w:i w:val="0"/>
                <w:sz w:val="16"/>
              </w:rPr>
              <w:t>SIM-B-110</w:t>
            </w:r>
          </w:p>
        </w:tc>
        <w:tc>
          <w:tcPr>
            <w:tcW w:type="dxa" w:w="2448"/>
            <w:shd w:val="clear" w:color="auto" w:fill="EFEFEF"/>
          </w:tcPr>
          <w:p>
            <w:pPr>
              <w:spacing w:line="240" w:lineRule="auto" w:before="40" w:after="40"/>
              <w:jc w:val="center"/>
            </w:pPr>
            <w:r/>
            <w:r>
              <w:rPr>
                <w:b w:val="0"/>
                <w:i w:val="0"/>
                <w:sz w:val="16"/>
              </w:rPr>
              <w:t>2-storey dormitory</w:t>
            </w:r>
          </w:p>
        </w:tc>
        <w:tc>
          <w:tcPr>
            <w:tcW w:type="dxa" w:w="1080"/>
            <w:shd w:val="clear" w:color="auto" w:fill="EFEFEF"/>
          </w:tcPr>
          <w:p>
            <w:pPr>
              <w:spacing w:line="240" w:lineRule="auto" w:before="40" w:after="40"/>
              <w:jc w:val="center"/>
            </w:pPr>
            <w:r/>
            <w:r>
              <w:rPr>
                <w:b w:val="0"/>
                <w:i w:val="0"/>
                <w:sz w:val="16"/>
              </w:rPr>
              <w:t>₱24.65M</w:t>
            </w:r>
          </w:p>
        </w:tc>
        <w:tc>
          <w:tcPr>
            <w:tcW w:type="dxa" w:w="720"/>
            <w:shd w:val="clear" w:color="auto" w:fill="EFEFEF"/>
          </w:tcPr>
          <w:p>
            <w:pPr>
              <w:spacing w:line="240" w:lineRule="auto" w:before="40" w:after="40"/>
              <w:jc w:val="center"/>
            </w:pPr>
            <w:r/>
            <w:r>
              <w:rPr>
                <w:b w:val="0"/>
                <w:i w:val="0"/>
                <w:sz w:val="16"/>
              </w:rPr>
              <w:t>1.80</w:t>
            </w:r>
          </w:p>
        </w:tc>
        <w:tc>
          <w:tcPr>
            <w:tcW w:type="dxa" w:w="720"/>
            <w:shd w:val="clear" w:color="auto" w:fill="EFEFEF"/>
          </w:tcPr>
          <w:p>
            <w:pPr>
              <w:spacing w:line="240" w:lineRule="auto" w:before="40" w:after="40"/>
              <w:jc w:val="center"/>
            </w:pPr>
            <w:r/>
            <w:r>
              <w:rPr>
                <w:b w:val="0"/>
                <w:i w:val="0"/>
                <w:sz w:val="16"/>
              </w:rPr>
              <w:t>93.4</w:t>
            </w:r>
          </w:p>
        </w:tc>
        <w:tc>
          <w:tcPr>
            <w:tcW w:type="dxa" w:w="2304"/>
            <w:shd w:val="clear" w:color="auto" w:fill="EFEFEF"/>
          </w:tcPr>
          <w:p>
            <w:pPr>
              <w:spacing w:line="240" w:lineRule="auto" w:before="40" w:after="40"/>
              <w:jc w:val="center"/>
            </w:pPr>
            <w:r/>
            <w:r>
              <w:rPr>
                <w:b w:val="0"/>
                <w:i w:val="0"/>
                <w:sz w:val="16"/>
              </w:rPr>
              <w:t>Over-Budget Ratio (vs. QTO)</w:t>
            </w:r>
          </w:p>
        </w:tc>
        <w:tc>
          <w:tcPr>
            <w:tcW w:type="dxa" w:w="936"/>
            <w:shd w:val="clear" w:color="auto" w:fill="EFEFEF"/>
          </w:tcPr>
          <w:p>
            <w:pPr>
              <w:spacing w:line="240" w:lineRule="auto" w:before="40" w:after="40"/>
              <w:jc w:val="center"/>
            </w:pPr>
            <w:r/>
            <w:r>
              <w:rPr>
                <w:b w:val="0"/>
                <w:i w:val="0"/>
                <w:sz w:val="16"/>
              </w:rPr>
              <w:t>Yes</w:t>
            </w:r>
          </w:p>
        </w:tc>
      </w:tr>
      <w:tr>
        <w:tc>
          <w:tcPr>
            <w:tcW w:type="dxa" w:w="1152"/>
          </w:tcPr>
          <w:p>
            <w:pPr>
              <w:spacing w:line="240" w:lineRule="auto" w:before="40" w:after="40"/>
              <w:jc w:val="left"/>
            </w:pPr>
            <w:r/>
            <w:r>
              <w:rPr>
                <w:b w:val="0"/>
                <w:i w:val="0"/>
                <w:sz w:val="16"/>
              </w:rPr>
              <w:t>SIM-B-035</w:t>
            </w:r>
          </w:p>
        </w:tc>
        <w:tc>
          <w:tcPr>
            <w:tcW w:type="dxa" w:w="2448"/>
          </w:tcPr>
          <w:p>
            <w:pPr>
              <w:spacing w:line="240" w:lineRule="auto" w:before="40" w:after="40"/>
              <w:jc w:val="center"/>
            </w:pPr>
            <w:r/>
            <w:r>
              <w:rPr>
                <w:b w:val="0"/>
                <w:i w:val="0"/>
                <w:sz w:val="16"/>
              </w:rPr>
              <w:t>2-storey multi-purpose / evacuation center</w:t>
            </w:r>
          </w:p>
        </w:tc>
        <w:tc>
          <w:tcPr>
            <w:tcW w:type="dxa" w:w="1080"/>
          </w:tcPr>
          <w:p>
            <w:pPr>
              <w:spacing w:line="240" w:lineRule="auto" w:before="40" w:after="40"/>
              <w:jc w:val="center"/>
            </w:pPr>
            <w:r/>
            <w:r>
              <w:rPr>
                <w:b w:val="0"/>
                <w:i w:val="0"/>
                <w:sz w:val="16"/>
              </w:rPr>
              <w:t>₱46.62M</w:t>
            </w:r>
          </w:p>
        </w:tc>
        <w:tc>
          <w:tcPr>
            <w:tcW w:type="dxa" w:w="720"/>
          </w:tcPr>
          <w:p>
            <w:pPr>
              <w:spacing w:line="240" w:lineRule="auto" w:before="40" w:after="40"/>
              <w:jc w:val="center"/>
            </w:pPr>
            <w:r/>
            <w:r>
              <w:rPr>
                <w:b w:val="0"/>
                <w:i w:val="0"/>
                <w:sz w:val="16"/>
              </w:rPr>
              <w:t>1.49</w:t>
            </w:r>
          </w:p>
        </w:tc>
        <w:tc>
          <w:tcPr>
            <w:tcW w:type="dxa" w:w="720"/>
          </w:tcPr>
          <w:p>
            <w:pPr>
              <w:spacing w:line="240" w:lineRule="auto" w:before="40" w:after="40"/>
              <w:jc w:val="center"/>
            </w:pPr>
            <w:r/>
            <w:r>
              <w:rPr>
                <w:b w:val="0"/>
                <w:i w:val="0"/>
                <w:sz w:val="16"/>
              </w:rPr>
              <w:t>91.2</w:t>
            </w:r>
          </w:p>
        </w:tc>
        <w:tc>
          <w:tcPr>
            <w:tcW w:type="dxa" w:w="2304"/>
          </w:tcPr>
          <w:p>
            <w:pPr>
              <w:spacing w:line="240" w:lineRule="auto" w:before="40" w:after="40"/>
              <w:jc w:val="center"/>
            </w:pPr>
            <w:r/>
            <w:r>
              <w:rPr>
                <w:b w:val="0"/>
                <w:i w:val="0"/>
                <w:sz w:val="16"/>
              </w:rPr>
              <w:t>Floor-to-Floor Height (m)</w:t>
            </w:r>
          </w:p>
        </w:tc>
        <w:tc>
          <w:tcPr>
            <w:tcW w:type="dxa" w:w="936"/>
          </w:tcPr>
          <w:p>
            <w:pPr>
              <w:spacing w:line="240" w:lineRule="auto" w:before="40" w:after="40"/>
              <w:jc w:val="center"/>
            </w:pPr>
            <w:r/>
            <w:r>
              <w:rPr>
                <w:b w:val="0"/>
                <w:i w:val="0"/>
                <w:sz w:val="16"/>
              </w:rPr>
              <w:t>Yes</w:t>
            </w:r>
          </w:p>
        </w:tc>
      </w:tr>
      <w:tr>
        <w:tc>
          <w:tcPr>
            <w:tcW w:type="dxa" w:w="1152"/>
            <w:shd w:val="clear" w:color="auto" w:fill="EFEFEF"/>
          </w:tcPr>
          <w:p>
            <w:pPr>
              <w:spacing w:line="240" w:lineRule="auto" w:before="40" w:after="40"/>
              <w:jc w:val="left"/>
            </w:pPr>
            <w:r/>
            <w:r>
              <w:rPr>
                <w:b w:val="0"/>
                <w:i w:val="0"/>
                <w:sz w:val="16"/>
              </w:rPr>
              <w:t>SIM-B-044</w:t>
            </w:r>
          </w:p>
        </w:tc>
        <w:tc>
          <w:tcPr>
            <w:tcW w:type="dxa" w:w="2448"/>
            <w:shd w:val="clear" w:color="auto" w:fill="EFEFEF"/>
          </w:tcPr>
          <w:p>
            <w:pPr>
              <w:spacing w:line="240" w:lineRule="auto" w:before="40" w:after="40"/>
              <w:jc w:val="center"/>
            </w:pPr>
            <w:r/>
            <w:r>
              <w:rPr>
                <w:b w:val="0"/>
                <w:i w:val="0"/>
                <w:sz w:val="16"/>
              </w:rPr>
              <w:t>1-storey school building</w:t>
            </w:r>
          </w:p>
        </w:tc>
        <w:tc>
          <w:tcPr>
            <w:tcW w:type="dxa" w:w="1080"/>
            <w:shd w:val="clear" w:color="auto" w:fill="EFEFEF"/>
          </w:tcPr>
          <w:p>
            <w:pPr>
              <w:spacing w:line="240" w:lineRule="auto" w:before="40" w:after="40"/>
              <w:jc w:val="center"/>
            </w:pPr>
            <w:r/>
            <w:r>
              <w:rPr>
                <w:b w:val="0"/>
                <w:i w:val="0"/>
                <w:sz w:val="16"/>
              </w:rPr>
              <w:t>₱11.04M</w:t>
            </w:r>
          </w:p>
        </w:tc>
        <w:tc>
          <w:tcPr>
            <w:tcW w:type="dxa" w:w="720"/>
            <w:shd w:val="clear" w:color="auto" w:fill="EFEFEF"/>
          </w:tcPr>
          <w:p>
            <w:pPr>
              <w:spacing w:line="240" w:lineRule="auto" w:before="40" w:after="40"/>
              <w:jc w:val="center"/>
            </w:pPr>
            <w:r/>
            <w:r>
              <w:rPr>
                <w:b w:val="0"/>
                <w:i w:val="0"/>
                <w:sz w:val="16"/>
              </w:rPr>
              <w:t>2.00</w:t>
            </w:r>
          </w:p>
        </w:tc>
        <w:tc>
          <w:tcPr>
            <w:tcW w:type="dxa" w:w="720"/>
            <w:shd w:val="clear" w:color="auto" w:fill="EFEFEF"/>
          </w:tcPr>
          <w:p>
            <w:pPr>
              <w:spacing w:line="240" w:lineRule="auto" w:before="40" w:after="40"/>
              <w:jc w:val="center"/>
            </w:pPr>
            <w:r/>
            <w:r>
              <w:rPr>
                <w:b w:val="0"/>
                <w:i w:val="0"/>
                <w:sz w:val="16"/>
              </w:rPr>
              <w:t>91.1</w:t>
            </w:r>
          </w:p>
        </w:tc>
        <w:tc>
          <w:tcPr>
            <w:tcW w:type="dxa" w:w="2304"/>
            <w:shd w:val="clear" w:color="auto" w:fill="EFEFEF"/>
          </w:tcPr>
          <w:p>
            <w:pPr>
              <w:spacing w:line="240" w:lineRule="auto" w:before="40" w:after="40"/>
              <w:jc w:val="center"/>
            </w:pPr>
            <w:r/>
            <w:r>
              <w:rPr>
                <w:b w:val="0"/>
                <w:i w:val="0"/>
                <w:sz w:val="16"/>
              </w:rPr>
              <w:t>Over-Budget Ratio (vs. QTO)</w:t>
            </w:r>
          </w:p>
        </w:tc>
        <w:tc>
          <w:tcPr>
            <w:tcW w:type="dxa" w:w="936"/>
            <w:shd w:val="clear" w:color="auto" w:fill="EFEFEF"/>
          </w:tcPr>
          <w:p>
            <w:pPr>
              <w:spacing w:line="240" w:lineRule="auto" w:before="40" w:after="40"/>
              <w:jc w:val="center"/>
            </w:pPr>
            <w:r/>
            <w:r>
              <w:rPr>
                <w:b w:val="0"/>
                <w:i w:val="0"/>
                <w:sz w:val="16"/>
              </w:rPr>
              <w:t>Yes</w:t>
            </w:r>
          </w:p>
        </w:tc>
      </w:tr>
      <w:tr>
        <w:tc>
          <w:tcPr>
            <w:tcW w:type="dxa" w:w="1152"/>
          </w:tcPr>
          <w:p>
            <w:pPr>
              <w:spacing w:line="240" w:lineRule="auto" w:before="40" w:after="40"/>
              <w:jc w:val="left"/>
            </w:pPr>
            <w:r/>
            <w:r>
              <w:rPr>
                <w:b w:val="0"/>
                <w:i w:val="0"/>
                <w:sz w:val="16"/>
              </w:rPr>
              <w:t>SIM-R-032</w:t>
            </w:r>
          </w:p>
        </w:tc>
        <w:tc>
          <w:tcPr>
            <w:tcW w:type="dxa" w:w="2448"/>
          </w:tcPr>
          <w:p>
            <w:pPr>
              <w:spacing w:line="240" w:lineRule="auto" w:before="40" w:after="40"/>
              <w:jc w:val="center"/>
            </w:pPr>
            <w:r/>
            <w:r>
              <w:rPr>
                <w:b w:val="0"/>
                <w:i w:val="0"/>
                <w:sz w:val="16"/>
              </w:rPr>
              <w:t>RCDG bridge, 8.4 m (1 span)</w:t>
            </w:r>
          </w:p>
        </w:tc>
        <w:tc>
          <w:tcPr>
            <w:tcW w:type="dxa" w:w="1080"/>
          </w:tcPr>
          <w:p>
            <w:pPr>
              <w:spacing w:line="240" w:lineRule="auto" w:before="40" w:after="40"/>
              <w:jc w:val="center"/>
            </w:pPr>
            <w:r/>
            <w:r>
              <w:rPr>
                <w:b w:val="0"/>
                <w:i w:val="0"/>
                <w:sz w:val="16"/>
              </w:rPr>
              <w:t>₱16.58M</w:t>
            </w:r>
          </w:p>
        </w:tc>
        <w:tc>
          <w:tcPr>
            <w:tcW w:type="dxa" w:w="720"/>
          </w:tcPr>
          <w:p>
            <w:pPr>
              <w:spacing w:line="240" w:lineRule="auto" w:before="40" w:after="40"/>
              <w:jc w:val="center"/>
            </w:pPr>
            <w:r/>
            <w:r>
              <w:rPr>
                <w:b w:val="0"/>
                <w:i w:val="0"/>
                <w:sz w:val="16"/>
              </w:rPr>
              <w:t>1.97</w:t>
            </w:r>
          </w:p>
        </w:tc>
        <w:tc>
          <w:tcPr>
            <w:tcW w:type="dxa" w:w="720"/>
          </w:tcPr>
          <w:p>
            <w:pPr>
              <w:spacing w:line="240" w:lineRule="auto" w:before="40" w:after="40"/>
              <w:jc w:val="center"/>
            </w:pPr>
            <w:r/>
            <w:r>
              <w:rPr>
                <w:b w:val="0"/>
                <w:i w:val="0"/>
                <w:sz w:val="16"/>
              </w:rPr>
              <w:t>95.3</w:t>
            </w:r>
          </w:p>
        </w:tc>
        <w:tc>
          <w:tcPr>
            <w:tcW w:type="dxa" w:w="2304"/>
          </w:tcPr>
          <w:p>
            <w:pPr>
              <w:spacing w:line="240" w:lineRule="auto" w:before="40" w:after="40"/>
              <w:jc w:val="center"/>
            </w:pPr>
            <w:r/>
            <w:r>
              <w:rPr>
                <w:b w:val="0"/>
                <w:i w:val="0"/>
                <w:sz w:val="16"/>
              </w:rPr>
              <w:t>XGBoost Cost Residual</w:t>
            </w:r>
          </w:p>
        </w:tc>
        <w:tc>
          <w:tcPr>
            <w:tcW w:type="dxa" w:w="936"/>
          </w:tcPr>
          <w:p>
            <w:pPr>
              <w:spacing w:line="240" w:lineRule="auto" w:before="40" w:after="40"/>
              <w:jc w:val="center"/>
            </w:pPr>
            <w:r/>
            <w:r>
              <w:rPr>
                <w:b w:val="0"/>
                <w:i w:val="0"/>
                <w:sz w:val="16"/>
              </w:rPr>
              <w:t>Yes</w:t>
            </w:r>
          </w:p>
        </w:tc>
      </w:tr>
      <w:tr>
        <w:tc>
          <w:tcPr>
            <w:tcW w:type="dxa" w:w="1152"/>
            <w:shd w:val="clear" w:color="auto" w:fill="EFEFEF"/>
          </w:tcPr>
          <w:p>
            <w:pPr>
              <w:spacing w:line="240" w:lineRule="auto" w:before="40" w:after="40"/>
              <w:jc w:val="left"/>
            </w:pPr>
            <w:r/>
            <w:r>
              <w:rPr>
                <w:b w:val="0"/>
                <w:i w:val="0"/>
                <w:sz w:val="16"/>
              </w:rPr>
              <w:t>SIM-R-129</w:t>
            </w:r>
          </w:p>
        </w:tc>
        <w:tc>
          <w:tcPr>
            <w:tcW w:type="dxa" w:w="2448"/>
            <w:shd w:val="clear" w:color="auto" w:fill="EFEFEF"/>
          </w:tcPr>
          <w:p>
            <w:pPr>
              <w:spacing w:line="240" w:lineRule="auto" w:before="40" w:after="40"/>
              <w:jc w:val="center"/>
            </w:pPr>
            <w:r/>
            <w:r>
              <w:rPr>
                <w:b w:val="0"/>
                <w:i w:val="0"/>
                <w:sz w:val="16"/>
              </w:rPr>
              <w:t>RCDG bridge, 41.9 m (2 spans)</w:t>
            </w:r>
          </w:p>
        </w:tc>
        <w:tc>
          <w:tcPr>
            <w:tcW w:type="dxa" w:w="1080"/>
            <w:shd w:val="clear" w:color="auto" w:fill="EFEFEF"/>
          </w:tcPr>
          <w:p>
            <w:pPr>
              <w:spacing w:line="240" w:lineRule="auto" w:before="40" w:after="40"/>
              <w:jc w:val="center"/>
            </w:pPr>
            <w:r/>
            <w:r>
              <w:rPr>
                <w:b w:val="0"/>
                <w:i w:val="0"/>
                <w:sz w:val="16"/>
              </w:rPr>
              <w:t>₱59.43M</w:t>
            </w:r>
          </w:p>
        </w:tc>
        <w:tc>
          <w:tcPr>
            <w:tcW w:type="dxa" w:w="720"/>
            <w:shd w:val="clear" w:color="auto" w:fill="EFEFEF"/>
          </w:tcPr>
          <w:p>
            <w:pPr>
              <w:spacing w:line="240" w:lineRule="auto" w:before="40" w:after="40"/>
              <w:jc w:val="center"/>
            </w:pPr>
            <w:r/>
            <w:r>
              <w:rPr>
                <w:b w:val="0"/>
                <w:i w:val="0"/>
                <w:sz w:val="16"/>
              </w:rPr>
              <w:t>2.20</w:t>
            </w:r>
          </w:p>
        </w:tc>
        <w:tc>
          <w:tcPr>
            <w:tcW w:type="dxa" w:w="720"/>
            <w:shd w:val="clear" w:color="auto" w:fill="EFEFEF"/>
          </w:tcPr>
          <w:p>
            <w:pPr>
              <w:spacing w:line="240" w:lineRule="auto" w:before="40" w:after="40"/>
              <w:jc w:val="center"/>
            </w:pPr>
            <w:r/>
            <w:r>
              <w:rPr>
                <w:b w:val="0"/>
                <w:i w:val="0"/>
                <w:sz w:val="16"/>
              </w:rPr>
              <w:t>93.8</w:t>
            </w:r>
          </w:p>
        </w:tc>
        <w:tc>
          <w:tcPr>
            <w:tcW w:type="dxa" w:w="2304"/>
            <w:shd w:val="clear" w:color="auto" w:fill="EFEFEF"/>
          </w:tcPr>
          <w:p>
            <w:pPr>
              <w:spacing w:line="240" w:lineRule="auto" w:before="40" w:after="40"/>
              <w:jc w:val="center"/>
            </w:pPr>
            <w:r/>
            <w:r>
              <w:rPr>
                <w:b w:val="0"/>
                <w:i w:val="0"/>
                <w:sz w:val="16"/>
              </w:rPr>
              <w:t>Over-Budget Ratio (vs. QTO)</w:t>
            </w:r>
          </w:p>
        </w:tc>
        <w:tc>
          <w:tcPr>
            <w:tcW w:type="dxa" w:w="936"/>
            <w:shd w:val="clear" w:color="auto" w:fill="EFEFEF"/>
          </w:tcPr>
          <w:p>
            <w:pPr>
              <w:spacing w:line="240" w:lineRule="auto" w:before="40" w:after="40"/>
              <w:jc w:val="center"/>
            </w:pPr>
            <w:r/>
            <w:r>
              <w:rPr>
                <w:b w:val="0"/>
                <w:i w:val="0"/>
                <w:sz w:val="16"/>
              </w:rPr>
              <w:t>Yes</w:t>
            </w:r>
          </w:p>
        </w:tc>
      </w:tr>
      <w:tr>
        <w:tc>
          <w:tcPr>
            <w:tcW w:type="dxa" w:w="1152"/>
          </w:tcPr>
          <w:p>
            <w:pPr>
              <w:spacing w:line="240" w:lineRule="auto" w:before="40" w:after="40"/>
              <w:jc w:val="left"/>
            </w:pPr>
            <w:r/>
            <w:r>
              <w:rPr>
                <w:b w:val="0"/>
                <w:i w:val="0"/>
                <w:sz w:val="16"/>
              </w:rPr>
              <w:t>SIM-R-049</w:t>
            </w:r>
          </w:p>
        </w:tc>
        <w:tc>
          <w:tcPr>
            <w:tcW w:type="dxa" w:w="2448"/>
          </w:tcPr>
          <w:p>
            <w:pPr>
              <w:spacing w:line="240" w:lineRule="auto" w:before="40" w:after="40"/>
              <w:jc w:val="center"/>
            </w:pPr>
            <w:r/>
            <w:r>
              <w:rPr>
                <w:b w:val="0"/>
                <w:i w:val="0"/>
                <w:sz w:val="16"/>
              </w:rPr>
              <w:t>RCDG bridge, 12.6 m (1 span)</w:t>
            </w:r>
          </w:p>
        </w:tc>
        <w:tc>
          <w:tcPr>
            <w:tcW w:type="dxa" w:w="1080"/>
          </w:tcPr>
          <w:p>
            <w:pPr>
              <w:spacing w:line="240" w:lineRule="auto" w:before="40" w:after="40"/>
              <w:jc w:val="center"/>
            </w:pPr>
            <w:r/>
            <w:r>
              <w:rPr>
                <w:b w:val="0"/>
                <w:i w:val="0"/>
                <w:sz w:val="16"/>
              </w:rPr>
              <w:t>₱64.28M</w:t>
            </w:r>
          </w:p>
        </w:tc>
        <w:tc>
          <w:tcPr>
            <w:tcW w:type="dxa" w:w="720"/>
          </w:tcPr>
          <w:p>
            <w:pPr>
              <w:spacing w:line="240" w:lineRule="auto" w:before="40" w:after="40"/>
              <w:jc w:val="center"/>
            </w:pPr>
            <w:r/>
            <w:r>
              <w:rPr>
                <w:b w:val="0"/>
                <w:i w:val="0"/>
                <w:sz w:val="16"/>
              </w:rPr>
              <w:t>1.99</w:t>
            </w:r>
          </w:p>
        </w:tc>
        <w:tc>
          <w:tcPr>
            <w:tcW w:type="dxa" w:w="720"/>
          </w:tcPr>
          <w:p>
            <w:pPr>
              <w:spacing w:line="240" w:lineRule="auto" w:before="40" w:after="40"/>
              <w:jc w:val="center"/>
            </w:pPr>
            <w:r/>
            <w:r>
              <w:rPr>
                <w:b w:val="0"/>
                <w:i w:val="0"/>
                <w:sz w:val="16"/>
              </w:rPr>
              <w:t>90.6</w:t>
            </w:r>
          </w:p>
        </w:tc>
        <w:tc>
          <w:tcPr>
            <w:tcW w:type="dxa" w:w="2304"/>
          </w:tcPr>
          <w:p>
            <w:pPr>
              <w:spacing w:line="240" w:lineRule="auto" w:before="40" w:after="40"/>
              <w:jc w:val="center"/>
            </w:pPr>
            <w:r/>
            <w:r>
              <w:rPr>
                <w:b w:val="0"/>
                <w:i w:val="0"/>
                <w:sz w:val="16"/>
              </w:rPr>
              <w:t>Over-Budget Ratio (vs. QTO)</w:t>
            </w:r>
          </w:p>
        </w:tc>
        <w:tc>
          <w:tcPr>
            <w:tcW w:type="dxa" w:w="936"/>
          </w:tcPr>
          <w:p>
            <w:pPr>
              <w:spacing w:line="240" w:lineRule="auto" w:before="40" w:after="40"/>
              <w:jc w:val="center"/>
            </w:pPr>
            <w:r/>
            <w:r>
              <w:rPr>
                <w:b w:val="0"/>
                <w:i w:val="0"/>
                <w:sz w:val="16"/>
              </w:rPr>
              <w:t>Yes</w:t>
            </w:r>
          </w:p>
        </w:tc>
      </w:tr>
      <w:tr>
        <w:tc>
          <w:tcPr>
            <w:tcW w:type="dxa" w:w="1152"/>
            <w:shd w:val="clear" w:color="auto" w:fill="EFEFEF"/>
          </w:tcPr>
          <w:p>
            <w:pPr>
              <w:spacing w:line="240" w:lineRule="auto" w:before="40" w:after="40"/>
              <w:jc w:val="left"/>
            </w:pPr>
            <w:r/>
            <w:r>
              <w:rPr>
                <w:b w:val="0"/>
                <w:i w:val="0"/>
                <w:sz w:val="16"/>
              </w:rPr>
              <w:t>SIM-R-125</w:t>
            </w:r>
          </w:p>
        </w:tc>
        <w:tc>
          <w:tcPr>
            <w:tcW w:type="dxa" w:w="2448"/>
            <w:shd w:val="clear" w:color="auto" w:fill="EFEFEF"/>
          </w:tcPr>
          <w:p>
            <w:pPr>
              <w:spacing w:line="240" w:lineRule="auto" w:before="40" w:after="40"/>
              <w:jc w:val="center"/>
            </w:pPr>
            <w:r/>
            <w:r>
              <w:rPr>
                <w:b w:val="0"/>
                <w:i w:val="0"/>
                <w:sz w:val="16"/>
              </w:rPr>
              <w:t>RCDG bridge, 63.9 m (3 spans)</w:t>
            </w:r>
          </w:p>
        </w:tc>
        <w:tc>
          <w:tcPr>
            <w:tcW w:type="dxa" w:w="1080"/>
            <w:shd w:val="clear" w:color="auto" w:fill="EFEFEF"/>
          </w:tcPr>
          <w:p>
            <w:pPr>
              <w:spacing w:line="240" w:lineRule="auto" w:before="40" w:after="40"/>
              <w:jc w:val="center"/>
            </w:pPr>
            <w:r/>
            <w:r>
              <w:rPr>
                <w:b w:val="0"/>
                <w:i w:val="0"/>
                <w:sz w:val="16"/>
              </w:rPr>
              <w:t>₱119.10M</w:t>
            </w:r>
          </w:p>
        </w:tc>
        <w:tc>
          <w:tcPr>
            <w:tcW w:type="dxa" w:w="720"/>
            <w:shd w:val="clear" w:color="auto" w:fill="EFEFEF"/>
          </w:tcPr>
          <w:p>
            <w:pPr>
              <w:spacing w:line="240" w:lineRule="auto" w:before="40" w:after="40"/>
              <w:jc w:val="center"/>
            </w:pPr>
            <w:r/>
            <w:r>
              <w:rPr>
                <w:b w:val="0"/>
                <w:i w:val="0"/>
                <w:sz w:val="16"/>
              </w:rPr>
              <w:t>1.95</w:t>
            </w:r>
          </w:p>
        </w:tc>
        <w:tc>
          <w:tcPr>
            <w:tcW w:type="dxa" w:w="720"/>
            <w:shd w:val="clear" w:color="auto" w:fill="EFEFEF"/>
          </w:tcPr>
          <w:p>
            <w:pPr>
              <w:spacing w:line="240" w:lineRule="auto" w:before="40" w:after="40"/>
              <w:jc w:val="center"/>
            </w:pPr>
            <w:r/>
            <w:r>
              <w:rPr>
                <w:b w:val="0"/>
                <w:i w:val="0"/>
                <w:sz w:val="16"/>
              </w:rPr>
              <w:t>90.2</w:t>
            </w:r>
          </w:p>
        </w:tc>
        <w:tc>
          <w:tcPr>
            <w:tcW w:type="dxa" w:w="2304"/>
            <w:shd w:val="clear" w:color="auto" w:fill="EFEFEF"/>
          </w:tcPr>
          <w:p>
            <w:pPr>
              <w:spacing w:line="240" w:lineRule="auto" w:before="40" w:after="40"/>
              <w:jc w:val="center"/>
            </w:pPr>
            <w:r/>
            <w:r>
              <w:rPr>
                <w:b w:val="0"/>
                <w:i w:val="0"/>
                <w:sz w:val="16"/>
              </w:rPr>
              <w:t>Over-Budget Ratio (vs. QTO)</w:t>
            </w:r>
          </w:p>
        </w:tc>
        <w:tc>
          <w:tcPr>
            <w:tcW w:type="dxa" w:w="936"/>
            <w:shd w:val="clear" w:color="auto" w:fill="EFEFEF"/>
          </w:tcPr>
          <w:p>
            <w:pPr>
              <w:spacing w:line="240" w:lineRule="auto" w:before="40" w:after="40"/>
              <w:jc w:val="center"/>
            </w:pPr>
            <w:r/>
            <w:r>
              <w:rPr>
                <w:b w:val="0"/>
                <w:i w:val="0"/>
                <w:sz w:val="16"/>
              </w:rPr>
              <w:t>Yes</w:t>
            </w:r>
          </w:p>
        </w:tc>
      </w:tr>
      <w:tr>
        <w:tc>
          <w:tcPr>
            <w:tcW w:type="dxa" w:w="1152"/>
            <w:tcBorders>
              <w:bottom w:val="single" w:sz="12" w:color="000000"/>
            </w:tcBorders>
          </w:tcPr>
          <w:p>
            <w:pPr>
              <w:spacing w:line="240" w:lineRule="auto" w:before="40" w:after="40"/>
              <w:jc w:val="left"/>
            </w:pPr>
            <w:r/>
            <w:r>
              <w:rPr>
                <w:b w:val="0"/>
                <w:i w:val="0"/>
                <w:sz w:val="16"/>
              </w:rPr>
              <w:t>SIM-R-030</w:t>
            </w:r>
          </w:p>
        </w:tc>
        <w:tc>
          <w:tcPr>
            <w:tcW w:type="dxa" w:w="2448"/>
            <w:tcBorders>
              <w:bottom w:val="single" w:sz="12" w:color="000000"/>
            </w:tcBorders>
          </w:tcPr>
          <w:p>
            <w:pPr>
              <w:spacing w:line="240" w:lineRule="auto" w:before="40" w:after="40"/>
              <w:jc w:val="center"/>
            </w:pPr>
            <w:r/>
            <w:r>
              <w:rPr>
                <w:b w:val="0"/>
                <w:i w:val="0"/>
                <w:sz w:val="16"/>
              </w:rPr>
              <w:t>RCDG bridge, 17.8 m (1 span)</w:t>
            </w:r>
          </w:p>
        </w:tc>
        <w:tc>
          <w:tcPr>
            <w:tcW w:type="dxa" w:w="1080"/>
            <w:tcBorders>
              <w:bottom w:val="single" w:sz="12" w:color="000000"/>
            </w:tcBorders>
          </w:tcPr>
          <w:p>
            <w:pPr>
              <w:spacing w:line="240" w:lineRule="auto" w:before="40" w:after="40"/>
              <w:jc w:val="center"/>
            </w:pPr>
            <w:r/>
            <w:r>
              <w:rPr>
                <w:b w:val="0"/>
                <w:i w:val="0"/>
                <w:sz w:val="16"/>
              </w:rPr>
              <w:t>₱49.07M</w:t>
            </w:r>
          </w:p>
        </w:tc>
        <w:tc>
          <w:tcPr>
            <w:tcW w:type="dxa" w:w="720"/>
            <w:tcBorders>
              <w:bottom w:val="single" w:sz="12" w:color="000000"/>
            </w:tcBorders>
          </w:tcPr>
          <w:p>
            <w:pPr>
              <w:spacing w:line="240" w:lineRule="auto" w:before="40" w:after="40"/>
              <w:jc w:val="center"/>
            </w:pPr>
            <w:r/>
            <w:r>
              <w:rPr>
                <w:b w:val="0"/>
                <w:i w:val="0"/>
                <w:sz w:val="16"/>
              </w:rPr>
              <w:t>1.97</w:t>
            </w:r>
          </w:p>
        </w:tc>
        <w:tc>
          <w:tcPr>
            <w:tcW w:type="dxa" w:w="720"/>
            <w:tcBorders>
              <w:bottom w:val="single" w:sz="12" w:color="000000"/>
            </w:tcBorders>
          </w:tcPr>
          <w:p>
            <w:pPr>
              <w:spacing w:line="240" w:lineRule="auto" w:before="40" w:after="40"/>
              <w:jc w:val="center"/>
            </w:pPr>
            <w:r/>
            <w:r>
              <w:rPr>
                <w:b w:val="0"/>
                <w:i w:val="0"/>
                <w:sz w:val="16"/>
              </w:rPr>
              <w:t>88.1</w:t>
            </w:r>
          </w:p>
        </w:tc>
        <w:tc>
          <w:tcPr>
            <w:tcW w:type="dxa" w:w="2304"/>
            <w:tcBorders>
              <w:bottom w:val="single" w:sz="12" w:color="000000"/>
            </w:tcBorders>
          </w:tcPr>
          <w:p>
            <w:pPr>
              <w:spacing w:line="240" w:lineRule="auto" w:before="40" w:after="40"/>
              <w:jc w:val="center"/>
            </w:pPr>
            <w:r/>
            <w:r>
              <w:rPr>
                <w:b w:val="0"/>
                <w:i w:val="0"/>
                <w:sz w:val="16"/>
              </w:rPr>
              <w:t>Over-Budget Ratio (vs. QTO)</w:t>
            </w:r>
          </w:p>
        </w:tc>
        <w:tc>
          <w:tcPr>
            <w:tcW w:type="dxa" w:w="936"/>
            <w:tcBorders>
              <w:bottom w:val="single" w:sz="12" w:color="000000"/>
            </w:tcBorders>
          </w:tcPr>
          <w:p>
            <w:pPr>
              <w:spacing w:line="240" w:lineRule="auto" w:before="40" w:after="40"/>
              <w:jc w:val="center"/>
            </w:pPr>
            <w:r/>
            <w:r>
              <w:rPr>
                <w:b w:val="0"/>
                <w:i w:val="0"/>
                <w:sz w:val="16"/>
              </w:rPr>
              <w:t>Yes</w:t>
            </w:r>
          </w:p>
        </w:tc>
      </w:tr>
    </w:tbl>
    <w:p>
      <w:pPr>
        <w:spacing w:line="240" w:lineRule="auto" w:after="80"/>
      </w:pPr>
    </w:p>
    <w:p>
      <w:pPr>
        <w:spacing w:line="480" w:lineRule="auto" w:after="0"/>
        <w:ind w:firstLine="720"/>
        <w:jc w:val="both"/>
      </w:pPr>
      <w:r>
        <w:rPr>
          <w:b w:val="0"/>
          <w:i w:val="0"/>
        </w:rPr>
        <w:t>Table 23 lists the five highest-risk buildings and bridges. All were injected cases, with over-budget ratios from about 1.5 to 2.2. The primary driver, the input with the largest standardized deviation, was most often the over-budget ratio itself or the XGBoost residual, and occasionally an unusual plan feature such as a reinforced concrete roof deck or a large footprint, which tells a reviewer where to look first. In pesos, the flagged contracts exceeded their ceilings by ₱339.62 million and their standard estimates by ₱656.05 million, against ₱517.25 million of padding injected in total. These amounts illustrate the scale a screening tool can bring to attention; they are not findings about any real contract.</w:t>
      </w:r>
    </w:p>
    <w:p>
      <w:pPr>
        <w:keepNext/>
        <w:spacing w:line="480" w:lineRule="auto" w:after="0"/>
        <w:jc w:val="left"/>
      </w:pPr>
      <w:r>
        <w:rPr>
          <w:b/>
          <w:i w:val="0"/>
        </w:rPr>
        <w:t>Deployment of BUHAY as a Mobile Application and Download Website</w:t>
      </w:r>
    </w:p>
    <w:p>
      <w:pPr>
        <w:spacing w:line="480" w:lineRule="auto" w:after="0"/>
        <w:ind w:firstLine="720"/>
        <w:jc w:val="both"/>
      </w:pPr>
      <w:r>
        <w:rPr>
          <w:b w:val="0"/>
          <w:i w:val="0"/>
        </w:rPr>
        <w:t>The fifth research question concerned how the system reaches its users. BUHAY was deployed as an installable mobile application with five screens (Home, Quote, Check, Map and Library), an Android package, an offline ZIP package and a download website.</w:t>
      </w:r>
    </w:p>
    <w:p>
      <w:pPr>
        <w:keepNext/>
        <w:spacing w:line="480" w:lineRule="auto" w:after="0"/>
        <w:ind w:left="720"/>
        <w:jc w:val="left"/>
      </w:pPr>
      <w:r>
        <w:rPr>
          <w:b/>
          <w:i w:val="0"/>
        </w:rPr>
        <w:t>a.) Mobile Application</w:t>
      </w:r>
    </w:p>
    <w:p>
      <w:pPr>
        <w:keepNext/>
        <w:spacing w:line="240" w:lineRule="auto" w:after="0" w:before="120"/>
        <w:jc w:val="left"/>
      </w:pPr>
      <w:r>
        <w:rPr>
          <w:b/>
          <w:i w:val="0"/>
        </w:rPr>
        <w:t>Figure 10.</w:t>
      </w:r>
    </w:p>
    <w:p>
      <w:pPr>
        <w:keepNext/>
        <w:spacing w:line="240" w:lineRule="auto" w:after="0"/>
        <w:jc w:val="left"/>
      </w:pPr>
      <w:r>
        <w:rPr>
          <w:b w:val="0"/>
          <w:i/>
        </w:rPr>
        <w:t>Home Screen of the BUHAY Application</w:t>
      </w:r>
    </w:p>
    <w:p>
      <w:pPr>
        <w:spacing w:line="240" w:lineRule="auto" w:after="200"/>
        <w:jc w:val="center"/>
      </w:pPr>
      <w:r>
        <w:drawing>
          <wp:inline xmlns:a="http://schemas.openxmlformats.org/drawingml/2006/main" xmlns:pic="http://schemas.openxmlformats.org/drawingml/2006/picture">
            <wp:extent cx="5669280" cy="3569239"/>
            <wp:docPr id="27" name="Picture 27"/>
            <wp:cNvGraphicFramePr>
              <a:graphicFrameLocks noChangeAspect="1"/>
            </wp:cNvGraphicFramePr>
            <a:graphic>
              <a:graphicData uri="http://schemas.openxmlformats.org/drawingml/2006/picture">
                <pic:pic>
                  <pic:nvPicPr>
                    <pic:cNvPr id="0" name="app_home.png"/>
                    <pic:cNvPicPr/>
                  </pic:nvPicPr>
                  <pic:blipFill>
                    <a:blip r:embed="rId37"/>
                    <a:stretch>
                      <a:fillRect/>
                    </a:stretch>
                  </pic:blipFill>
                  <pic:spPr>
                    <a:xfrm>
                      <a:off x="0" y="0"/>
                      <a:ext cx="5669280" cy="3569239"/>
                    </a:xfrm>
                    <a:prstGeom prst="rect"/>
                  </pic:spPr>
                </pic:pic>
              </a:graphicData>
            </a:graphic>
          </wp:inline>
        </w:drawing>
      </w:r>
    </w:p>
    <w:p>
      <w:pPr>
        <w:spacing w:line="480" w:lineRule="auto" w:after="0"/>
        <w:ind w:firstLine="720"/>
        <w:jc w:val="both"/>
      </w:pPr>
      <w:r>
        <w:rPr>
          <w:b w:val="0"/>
          <w:i w:val="0"/>
        </w:rPr>
        <w:t>The home screen states the purpose of the system, shows the current plan as a 3D model with its start quotation and standard estimate, and offers four actions: a building quotation, a bridge quotation, a contract check and the project map. It also summarizes the benchmark screening, clearly labelled as simulated data.</w:t>
      </w:r>
    </w:p>
    <w:p>
      <w:pPr>
        <w:keepNext/>
        <w:spacing w:line="240" w:lineRule="auto" w:after="0" w:before="120"/>
        <w:jc w:val="left"/>
      </w:pPr>
      <w:r>
        <w:rPr>
          <w:b/>
          <w:i w:val="0"/>
        </w:rPr>
        <w:t>Figure 11.</w:t>
      </w:r>
    </w:p>
    <w:p>
      <w:pPr>
        <w:keepNext/>
        <w:spacing w:line="240" w:lineRule="auto" w:after="0"/>
        <w:jc w:val="left"/>
      </w:pPr>
      <w:r>
        <w:rPr>
          <w:b w:val="0"/>
          <w:i/>
        </w:rPr>
        <w:t>Quote Screen with the Three Quotation Tiers and the ABC</w:t>
      </w:r>
    </w:p>
    <w:p>
      <w:pPr>
        <w:spacing w:line="240" w:lineRule="auto" w:after="200"/>
        <w:jc w:val="center"/>
      </w:pPr>
      <w:r>
        <w:drawing>
          <wp:inline xmlns:a="http://schemas.openxmlformats.org/drawingml/2006/main" xmlns:pic="http://schemas.openxmlformats.org/drawingml/2006/picture">
            <wp:extent cx="5669280" cy="3569239"/>
            <wp:docPr id="28" name="Picture 28"/>
            <wp:cNvGraphicFramePr>
              <a:graphicFrameLocks noChangeAspect="1"/>
            </wp:cNvGraphicFramePr>
            <a:graphic>
              <a:graphicData uri="http://schemas.openxmlformats.org/drawingml/2006/picture">
                <pic:pic>
                  <pic:nvPicPr>
                    <pic:cNvPr id="0" name="app_quote.png"/>
                    <pic:cNvPicPr/>
                  </pic:nvPicPr>
                  <pic:blipFill>
                    <a:blip r:embed="rId38"/>
                    <a:stretch>
                      <a:fillRect/>
                    </a:stretch>
                  </pic:blipFill>
                  <pic:spPr>
                    <a:xfrm>
                      <a:off x="0" y="0"/>
                      <a:ext cx="5669280" cy="3569239"/>
                    </a:xfrm>
                    <a:prstGeom prst="rect"/>
                  </pic:spPr>
                </pic:pic>
              </a:graphicData>
            </a:graphic>
          </wp:inline>
        </w:drawing>
      </w:r>
    </w:p>
    <w:p>
      <w:pPr>
        <w:spacing w:line="480" w:lineRule="auto" w:after="0"/>
        <w:ind w:firstLine="720"/>
        <w:jc w:val="both"/>
      </w:pPr>
      <w:r>
        <w:rPr>
          <w:b w:val="0"/>
          <w:i w:val="0"/>
        </w:rPr>
        <w:t>On the Quote screen, the user picks a reference or saved plan, imports a DXF or plan file, or types the plan variables. The three tiers update as the user types, with the lean start quotation highlighted. Beside the 3D model, the ABC is broken down into estimated direct cost, OCM, profit and VAT, and the XGBoost expectation with its 80% band is shown as a second opinion.</w:t>
      </w:r>
    </w:p>
    <w:p>
      <w:pPr>
        <w:keepNext/>
        <w:spacing w:line="240" w:lineRule="auto" w:after="0" w:before="120"/>
        <w:jc w:val="left"/>
      </w:pPr>
      <w:r>
        <w:rPr>
          <w:b/>
          <w:i w:val="0"/>
        </w:rPr>
        <w:t>Figure 12.</w:t>
      </w:r>
    </w:p>
    <w:p>
      <w:pPr>
        <w:keepNext/>
        <w:spacing w:line="240" w:lineRule="auto" w:after="0"/>
        <w:jc w:val="left"/>
      </w:pPr>
      <w:r>
        <w:rPr>
          <w:b w:val="0"/>
          <w:i/>
        </w:rPr>
        <w:t>Bill of Quantities Generated from the Plan</w:t>
      </w:r>
    </w:p>
    <w:p>
      <w:pPr>
        <w:spacing w:line="240" w:lineRule="auto" w:after="200"/>
        <w:jc w:val="center"/>
      </w:pPr>
      <w:r>
        <w:drawing>
          <wp:inline xmlns:a="http://schemas.openxmlformats.org/drawingml/2006/main" xmlns:pic="http://schemas.openxmlformats.org/drawingml/2006/picture">
            <wp:extent cx="5669280" cy="3569239"/>
            <wp:docPr id="29" name="Picture 29"/>
            <wp:cNvGraphicFramePr>
              <a:graphicFrameLocks noChangeAspect="1"/>
            </wp:cNvGraphicFramePr>
            <a:graphic>
              <a:graphicData uri="http://schemas.openxmlformats.org/drawingml/2006/picture">
                <pic:pic>
                  <pic:nvPicPr>
                    <pic:cNvPr id="0" name="app_boq.png"/>
                    <pic:cNvPicPr/>
                  </pic:nvPicPr>
                  <pic:blipFill>
                    <a:blip r:embed="rId39"/>
                    <a:stretch>
                      <a:fillRect/>
                    </a:stretch>
                  </pic:blipFill>
                  <pic:spPr>
                    <a:xfrm>
                      <a:off x="0" y="0"/>
                      <a:ext cx="5669280" cy="3569239"/>
                    </a:xfrm>
                    <a:prstGeom prst="rect"/>
                  </pic:spPr>
                </pic:pic>
              </a:graphicData>
            </a:graphic>
          </wp:inline>
        </w:drawing>
      </w:r>
    </w:p>
    <w:p>
      <w:pPr>
        <w:spacing w:line="480" w:lineRule="auto" w:after="0"/>
        <w:ind w:firstLine="720"/>
        <w:jc w:val="both"/>
      </w:pPr>
      <w:r>
        <w:rPr>
          <w:b w:val="0"/>
          <w:i w:val="0"/>
        </w:rPr>
        <w:t>The bill of quantities lists every pay item with its quantity, unit, unit cost and amount, grouped into DPWH parts with subtotals. It can be exported as CSV for spreadsheets, the plan can be saved or exported as a plan file, and the quotation can be printed to PDF. Further tabs show the quantity summary and the standards and code checks applied.</w:t>
      </w:r>
    </w:p>
    <w:p>
      <w:pPr>
        <w:keepNext/>
        <w:spacing w:line="240" w:lineRule="auto" w:after="0" w:before="120"/>
        <w:jc w:val="left"/>
      </w:pPr>
      <w:r>
        <w:rPr>
          <w:b/>
          <w:i w:val="0"/>
        </w:rPr>
        <w:t>Figure 13.</w:t>
      </w:r>
    </w:p>
    <w:p>
      <w:pPr>
        <w:keepNext/>
        <w:spacing w:line="240" w:lineRule="auto" w:after="0"/>
        <w:jc w:val="left"/>
      </w:pPr>
      <w:r>
        <w:rPr>
          <w:b w:val="0"/>
          <w:i/>
        </w:rPr>
        <w:t>Plan Panel after Importing the Sample DXF Floor Plan</w:t>
      </w:r>
    </w:p>
    <w:p>
      <w:pPr>
        <w:spacing w:line="240" w:lineRule="auto" w:after="200"/>
        <w:jc w:val="center"/>
      </w:pPr>
      <w:r>
        <w:drawing>
          <wp:inline xmlns:a="http://schemas.openxmlformats.org/drawingml/2006/main" xmlns:pic="http://schemas.openxmlformats.org/drawingml/2006/picture">
            <wp:extent cx="3291840" cy="9159400"/>
            <wp:docPr id="30" name="Picture 30"/>
            <wp:cNvGraphicFramePr>
              <a:graphicFrameLocks noChangeAspect="1"/>
            </wp:cNvGraphicFramePr>
            <a:graphic>
              <a:graphicData uri="http://schemas.openxmlformats.org/drawingml/2006/picture">
                <pic:pic>
                  <pic:nvPicPr>
                    <pic:cNvPr id="0" name="app_dxf.png"/>
                    <pic:cNvPicPr/>
                  </pic:nvPicPr>
                  <pic:blipFill>
                    <a:blip r:embed="rId40"/>
                    <a:stretch>
                      <a:fillRect/>
                    </a:stretch>
                  </pic:blipFill>
                  <pic:spPr>
                    <a:xfrm>
                      <a:off x="0" y="0"/>
                      <a:ext cx="3291840" cy="9159400"/>
                    </a:xfrm>
                    <a:prstGeom prst="rect"/>
                  </pic:spPr>
                </pic:pic>
              </a:graphicData>
            </a:graphic>
          </wp:inline>
        </w:drawing>
      </w:r>
    </w:p>
    <w:p>
      <w:pPr>
        <w:spacing w:line="480" w:lineRule="auto" w:after="0"/>
        <w:ind w:firstLine="720"/>
        <w:jc w:val="both"/>
      </w:pPr>
      <w:r>
        <w:rPr>
          <w:b w:val="0"/>
          <w:i w:val="0"/>
        </w:rPr>
        <w:t>Importing the sample DXF plan of a two-classroom school building read an outline of 171 m², a perimeter of 55 m and 25 m of interior walls, which the engine used in place of a rectangular estimate.</w:t>
      </w:r>
    </w:p>
    <w:p>
      <w:pPr>
        <w:keepNext/>
        <w:spacing w:line="240" w:lineRule="auto" w:after="0" w:before="120"/>
        <w:jc w:val="left"/>
      </w:pPr>
      <w:r>
        <w:rPr>
          <w:b/>
          <w:i w:val="0"/>
        </w:rPr>
        <w:t>Figure 14.</w:t>
      </w:r>
    </w:p>
    <w:p>
      <w:pPr>
        <w:keepNext/>
        <w:spacing w:line="240" w:lineRule="auto" w:after="0"/>
        <w:jc w:val="left"/>
      </w:pPr>
      <w:r>
        <w:rPr>
          <w:b w:val="0"/>
          <w:i/>
        </w:rPr>
        <w:t>Check Screen Screening a Padded Contract</w:t>
      </w:r>
    </w:p>
    <w:p>
      <w:pPr>
        <w:spacing w:line="240" w:lineRule="auto" w:after="200"/>
        <w:jc w:val="center"/>
      </w:pPr>
      <w:r>
        <w:drawing>
          <wp:inline xmlns:a="http://schemas.openxmlformats.org/drawingml/2006/main" xmlns:pic="http://schemas.openxmlformats.org/drawingml/2006/picture">
            <wp:extent cx="5669280" cy="3569239"/>
            <wp:docPr id="31" name="Picture 31"/>
            <wp:cNvGraphicFramePr>
              <a:graphicFrameLocks noChangeAspect="1"/>
            </wp:cNvGraphicFramePr>
            <a:graphic>
              <a:graphicData uri="http://schemas.openxmlformats.org/drawingml/2006/picture">
                <pic:pic>
                  <pic:nvPicPr>
                    <pic:cNvPr id="0" name="app_check.png"/>
                    <pic:cNvPicPr/>
                  </pic:nvPicPr>
                  <pic:blipFill>
                    <a:blip r:embed="rId41"/>
                    <a:stretch>
                      <a:fillRect/>
                    </a:stretch>
                  </pic:blipFill>
                  <pic:spPr>
                    <a:xfrm>
                      <a:off x="0" y="0"/>
                      <a:ext cx="5669280" cy="3569239"/>
                    </a:xfrm>
                    <a:prstGeom prst="rect"/>
                  </pic:spPr>
                </pic:pic>
              </a:graphicData>
            </a:graphic>
          </wp:inline>
        </w:drawing>
      </w:r>
    </w:p>
    <w:p>
      <w:pPr>
        <w:spacing w:line="480" w:lineRule="auto" w:after="0"/>
        <w:ind w:firstLine="720"/>
        <w:jc w:val="both"/>
      </w:pPr>
      <w:r>
        <w:rPr>
          <w:b w:val="0"/>
          <w:i w:val="0"/>
        </w:rPr>
        <w:t>On the Check screen, the user enters the contract amount. The verdict shows the risk index on a gauge, a range strip places the amount against the lean, standard and ceiling estimates and the model's band, and four metrics give the over-budget ratio, the model ratio, the anomaly score and the risk index. In the example, an amount 60% above the standard estimate was flagged with a risk index above 80. The SHAP panel then explains the expected cost, the ABC markup checker tests submitted OCM, profit and VAT rates against the DPWH caps, and a note reminds users that a flag calls for review by the implementing office, COA, the Ombudsman or the ICI.</w:t>
      </w:r>
    </w:p>
    <w:p>
      <w:pPr>
        <w:keepNext/>
        <w:spacing w:line="240" w:lineRule="auto" w:after="0" w:before="120"/>
        <w:jc w:val="left"/>
      </w:pPr>
      <w:r>
        <w:rPr>
          <w:b/>
          <w:i w:val="0"/>
        </w:rPr>
        <w:t>Figure 15.</w:t>
      </w:r>
    </w:p>
    <w:p>
      <w:pPr>
        <w:keepNext/>
        <w:spacing w:line="240" w:lineRule="auto" w:after="0"/>
        <w:jc w:val="left"/>
      </w:pPr>
      <w:r>
        <w:rPr>
          <w:b w:val="0"/>
          <w:i/>
        </w:rPr>
        <w:t>Line-Item Check of a Contractor's Bill of Quantities</w:t>
      </w:r>
    </w:p>
    <w:p>
      <w:pPr>
        <w:spacing w:line="240" w:lineRule="auto" w:after="200"/>
        <w:jc w:val="center"/>
      </w:pPr>
      <w:r>
        <w:drawing>
          <wp:inline xmlns:a="http://schemas.openxmlformats.org/drawingml/2006/main" xmlns:pic="http://schemas.openxmlformats.org/drawingml/2006/picture">
            <wp:extent cx="5669280" cy="4085701"/>
            <wp:docPr id="32" name="Picture 32"/>
            <wp:cNvGraphicFramePr>
              <a:graphicFrameLocks noChangeAspect="1"/>
            </wp:cNvGraphicFramePr>
            <a:graphic>
              <a:graphicData uri="http://schemas.openxmlformats.org/drawingml/2006/picture">
                <pic:pic>
                  <pic:nvPicPr>
                    <pic:cNvPr id="0" name="app_lineitem.png"/>
                    <pic:cNvPicPr/>
                  </pic:nvPicPr>
                  <pic:blipFill>
                    <a:blip r:embed="rId42"/>
                    <a:stretch>
                      <a:fillRect/>
                    </a:stretch>
                  </pic:blipFill>
                  <pic:spPr>
                    <a:xfrm>
                      <a:off x="0" y="0"/>
                      <a:ext cx="5669280" cy="4085701"/>
                    </a:xfrm>
                    <a:prstGeom prst="rect"/>
                  </pic:spPr>
                </pic:pic>
              </a:graphicData>
            </a:graphic>
          </wp:inline>
        </w:drawing>
      </w:r>
    </w:p>
    <w:p>
      <w:pPr>
        <w:spacing w:line="480" w:lineRule="auto" w:after="0"/>
        <w:ind w:firstLine="720"/>
        <w:jc w:val="both"/>
      </w:pPr>
      <w:r>
        <w:rPr>
          <w:b w:val="0"/>
          <w:i w:val="0"/>
        </w:rPr>
        <w:t>The line-item check compares each unit cost in a contractor's bill of quantities with the BUHAY all-in rate (direct rate × location × OCM, profit and VAT). Items more than 25% above the rate are marked overpriced and their excess over a 10% tolerance is totalled, so that a reviewer sees which items carry the padding.</w:t>
      </w:r>
    </w:p>
    <w:p>
      <w:pPr>
        <w:keepNext/>
        <w:spacing w:line="240" w:lineRule="auto" w:after="0" w:before="120"/>
        <w:jc w:val="left"/>
      </w:pPr>
      <w:r>
        <w:rPr>
          <w:b/>
          <w:i w:val="0"/>
        </w:rPr>
        <w:t>Figure 16.</w:t>
      </w:r>
    </w:p>
    <w:p>
      <w:pPr>
        <w:keepNext/>
        <w:spacing w:line="240" w:lineRule="auto" w:after="0"/>
        <w:jc w:val="left"/>
      </w:pPr>
      <w:r>
        <w:rPr>
          <w:b w:val="0"/>
          <w:i/>
        </w:rPr>
        <w:t>Project Map of the BUHAY Application</w:t>
      </w:r>
    </w:p>
    <w:p>
      <w:pPr>
        <w:spacing w:line="240" w:lineRule="auto" w:after="200"/>
        <w:jc w:val="center"/>
      </w:pPr>
      <w:r>
        <w:drawing>
          <wp:inline xmlns:a="http://schemas.openxmlformats.org/drawingml/2006/main" xmlns:pic="http://schemas.openxmlformats.org/drawingml/2006/picture">
            <wp:extent cx="5669280" cy="3569239"/>
            <wp:docPr id="33" name="Picture 33"/>
            <wp:cNvGraphicFramePr>
              <a:graphicFrameLocks noChangeAspect="1"/>
            </wp:cNvGraphicFramePr>
            <a:graphic>
              <a:graphicData uri="http://schemas.openxmlformats.org/drawingml/2006/picture">
                <pic:pic>
                  <pic:nvPicPr>
                    <pic:cNvPr id="0" name="app_map.png"/>
                    <pic:cNvPicPr/>
                  </pic:nvPicPr>
                  <pic:blipFill>
                    <a:blip r:embed="rId43"/>
                    <a:stretch>
                      <a:fillRect/>
                    </a:stretch>
                  </pic:blipFill>
                  <pic:spPr>
                    <a:xfrm>
                      <a:off x="0" y="0"/>
                      <a:ext cx="5669280" cy="3569239"/>
                    </a:xfrm>
                    <a:prstGeom prst="rect"/>
                  </pic:spPr>
                </pic:pic>
              </a:graphicData>
            </a:graphic>
          </wp:inline>
        </w:drawing>
      </w:r>
    </w:p>
    <w:p>
      <w:pPr>
        <w:spacing w:line="480" w:lineRule="auto" w:after="0"/>
        <w:ind w:firstLine="720"/>
        <w:jc w:val="both"/>
      </w:pPr>
      <w:r>
        <w:rPr>
          <w:b w:val="0"/>
          <w:i w:val="0"/>
        </w:rPr>
        <w:t>The Map screen plots projects on the provinces of Bicol, colored by risk, with filters for asset type and risk level. Tapping a pin opens the project in the Check screen. The demo pins are the simulated benchmark, labelled as such, and the user's own saved checks appear with a dark outline. The province boundaries are bundled so the map works offline, with street tiles added when online.</w:t>
      </w:r>
    </w:p>
    <w:p>
      <w:pPr>
        <w:keepNext/>
        <w:spacing w:line="240" w:lineRule="auto" w:after="0" w:before="120"/>
        <w:jc w:val="left"/>
      </w:pPr>
      <w:r>
        <w:rPr>
          <w:b/>
          <w:i w:val="0"/>
        </w:rPr>
        <w:t>Figure 17.</w:t>
      </w:r>
    </w:p>
    <w:p>
      <w:pPr>
        <w:keepNext/>
        <w:spacing w:line="240" w:lineRule="auto" w:after="0"/>
        <w:jc w:val="left"/>
      </w:pPr>
      <w:r>
        <w:rPr>
          <w:b w:val="0"/>
          <w:i/>
        </w:rPr>
        <w:t>Library Screen with Reference Plans and the Unit Price Book</w:t>
      </w:r>
    </w:p>
    <w:p>
      <w:pPr>
        <w:spacing w:line="240" w:lineRule="auto" w:after="200"/>
        <w:jc w:val="center"/>
      </w:pPr>
      <w:r>
        <w:drawing>
          <wp:inline xmlns:a="http://schemas.openxmlformats.org/drawingml/2006/main" xmlns:pic="http://schemas.openxmlformats.org/drawingml/2006/picture">
            <wp:extent cx="5669280" cy="3569239"/>
            <wp:docPr id="34" name="Picture 34"/>
            <wp:cNvGraphicFramePr>
              <a:graphicFrameLocks noChangeAspect="1"/>
            </wp:cNvGraphicFramePr>
            <a:graphic>
              <a:graphicData uri="http://schemas.openxmlformats.org/drawingml/2006/picture">
                <pic:pic>
                  <pic:nvPicPr>
                    <pic:cNvPr id="0" name="app_library.png"/>
                    <pic:cNvPicPr/>
                  </pic:nvPicPr>
                  <pic:blipFill>
                    <a:blip r:embed="rId44"/>
                    <a:stretch>
                      <a:fillRect/>
                    </a:stretch>
                  </pic:blipFill>
                  <pic:spPr>
                    <a:xfrm>
                      <a:off x="0" y="0"/>
                      <a:ext cx="5669280" cy="3569239"/>
                    </a:xfrm>
                    <a:prstGeom prst="rect"/>
                  </pic:spPr>
                </pic:pic>
              </a:graphicData>
            </a:graphic>
          </wp:inline>
        </w:drawing>
      </w:r>
    </w:p>
    <w:p>
      <w:pPr>
        <w:spacing w:line="480" w:lineRule="auto" w:after="0"/>
        <w:ind w:firstLine="720"/>
        <w:jc w:val="both"/>
      </w:pPr>
      <w:r>
        <w:rPr>
          <w:b w:val="0"/>
          <w:i w:val="0"/>
        </w:rPr>
        <w:t>The Library holds the 19 reference plans, the user's saved plans and checks, and the editable unit price book, where an implementing office can load its own rates so that every quotation follows them.</w:t>
      </w:r>
    </w:p>
    <w:p>
      <w:pPr>
        <w:keepNext/>
        <w:spacing w:line="480" w:lineRule="auto" w:after="0"/>
        <w:ind w:left="720"/>
        <w:jc w:val="left"/>
      </w:pPr>
      <w:r>
        <w:rPr>
          <w:b/>
          <w:i w:val="0"/>
        </w:rPr>
        <w:t>b.) Download Website with Interactive Map</w:t>
      </w:r>
    </w:p>
    <w:p>
      <w:pPr>
        <w:keepNext/>
        <w:spacing w:line="240" w:lineRule="auto" w:after="0" w:before="120"/>
        <w:jc w:val="left"/>
      </w:pPr>
      <w:r>
        <w:rPr>
          <w:b/>
          <w:i w:val="0"/>
        </w:rPr>
        <w:t>Figure 18.</w:t>
      </w:r>
    </w:p>
    <w:p>
      <w:pPr>
        <w:keepNext/>
        <w:spacing w:line="240" w:lineRule="auto" w:after="0"/>
        <w:jc w:val="left"/>
      </w:pPr>
      <w:r>
        <w:rPr>
          <w:b w:val="0"/>
          <w:i/>
        </w:rPr>
        <w:t>Download Website of BUHAY</w:t>
      </w:r>
    </w:p>
    <w:p>
      <w:pPr>
        <w:spacing w:line="240" w:lineRule="auto" w:after="200"/>
        <w:jc w:val="center"/>
      </w:pPr>
      <w:r>
        <w:drawing>
          <wp:inline xmlns:a="http://schemas.openxmlformats.org/drawingml/2006/main" xmlns:pic="http://schemas.openxmlformats.org/drawingml/2006/picture">
            <wp:extent cx="5669280" cy="3569239"/>
            <wp:docPr id="35" name="Picture 35"/>
            <wp:cNvGraphicFramePr>
              <a:graphicFrameLocks noChangeAspect="1"/>
            </wp:cNvGraphicFramePr>
            <a:graphic>
              <a:graphicData uri="http://schemas.openxmlformats.org/drawingml/2006/picture">
                <pic:pic>
                  <pic:nvPicPr>
                    <pic:cNvPr id="0" name="site_home.png"/>
                    <pic:cNvPicPr/>
                  </pic:nvPicPr>
                  <pic:blipFill>
                    <a:blip r:embed="rId45"/>
                    <a:stretch>
                      <a:fillRect/>
                    </a:stretch>
                  </pic:blipFill>
                  <pic:spPr>
                    <a:xfrm>
                      <a:off x="0" y="0"/>
                      <a:ext cx="5669280" cy="3569239"/>
                    </a:xfrm>
                    <a:prstGeom prst="rect"/>
                  </pic:spPr>
                </pic:pic>
              </a:graphicData>
            </a:graphic>
          </wp:inline>
        </w:drawing>
      </w:r>
    </w:p>
    <w:p>
      <w:pPr>
        <w:spacing w:line="480" w:lineRule="auto" w:after="0"/>
        <w:ind w:firstLine="720"/>
        <w:jc w:val="both"/>
      </w:pPr>
      <w:r>
        <w:rPr>
          <w:b w:val="0"/>
          <w:i w:val="0"/>
        </w:rPr>
        <w:t>The download website introduces BUHAY, explains the four-step method, presents a live quotation computed in the browser by the same engine, and links to the Android package, the installable web application, the offline package, the sample plan and the research paper.</w:t>
      </w:r>
    </w:p>
    <w:p>
      <w:pPr>
        <w:keepNext/>
        <w:spacing w:line="240" w:lineRule="auto" w:after="0" w:before="120"/>
        <w:jc w:val="left"/>
      </w:pPr>
      <w:r>
        <w:rPr>
          <w:b/>
          <w:i w:val="0"/>
        </w:rPr>
        <w:t>Figure 19.</w:t>
      </w:r>
    </w:p>
    <w:p>
      <w:pPr>
        <w:keepNext/>
        <w:spacing w:line="240" w:lineRule="auto" w:after="0"/>
        <w:jc w:val="left"/>
      </w:pPr>
      <w:r>
        <w:rPr>
          <w:b w:val="0"/>
          <w:i/>
        </w:rPr>
        <w:t>Interactive Project Map on the Website</w:t>
      </w:r>
    </w:p>
    <w:p>
      <w:pPr>
        <w:spacing w:line="240" w:lineRule="auto" w:after="200"/>
        <w:jc w:val="center"/>
      </w:pPr>
      <w:r>
        <w:drawing>
          <wp:inline xmlns:a="http://schemas.openxmlformats.org/drawingml/2006/main" xmlns:pic="http://schemas.openxmlformats.org/drawingml/2006/picture">
            <wp:extent cx="5669280" cy="3569239"/>
            <wp:docPr id="36" name="Picture 36"/>
            <wp:cNvGraphicFramePr>
              <a:graphicFrameLocks noChangeAspect="1"/>
            </wp:cNvGraphicFramePr>
            <a:graphic>
              <a:graphicData uri="http://schemas.openxmlformats.org/drawingml/2006/picture">
                <pic:pic>
                  <pic:nvPicPr>
                    <pic:cNvPr id="0" name="site_map.png"/>
                    <pic:cNvPicPr/>
                  </pic:nvPicPr>
                  <pic:blipFill>
                    <a:blip r:embed="rId46"/>
                    <a:stretch>
                      <a:fillRect/>
                    </a:stretch>
                  </pic:blipFill>
                  <pic:spPr>
                    <a:xfrm>
                      <a:off x="0" y="0"/>
                      <a:ext cx="5669280" cy="3569239"/>
                    </a:xfrm>
                    <a:prstGeom prst="rect"/>
                  </pic:spPr>
                </pic:pic>
              </a:graphicData>
            </a:graphic>
          </wp:inline>
        </w:drawing>
      </w:r>
    </w:p>
    <w:p>
      <w:pPr>
        <w:spacing w:line="480" w:lineRule="auto" w:after="0"/>
        <w:ind w:firstLine="720"/>
        <w:jc w:val="both"/>
      </w:pPr>
      <w:r>
        <w:rPr>
          <w:b w:val="0"/>
          <w:i w:val="0"/>
        </w:rPr>
        <w:t>Its interactive map shows the screened projects with summary figures for the number of projects, high-risk flags and the amount above the ceiling, and it can be filtered by buildings and bridges.</w:t>
      </w:r>
    </w:p>
    <w:p>
      <w:pPr>
        <w:keepNext/>
        <w:spacing w:line="240" w:lineRule="auto" w:after="0" w:before="120"/>
        <w:jc w:val="left"/>
      </w:pPr>
      <w:r>
        <w:rPr>
          <w:b/>
          <w:i w:val="0"/>
        </w:rPr>
        <w:t>Figure 20.</w:t>
      </w:r>
    </w:p>
    <w:p>
      <w:pPr>
        <w:keepNext/>
        <w:spacing w:line="240" w:lineRule="auto" w:after="0"/>
        <w:jc w:val="left"/>
      </w:pPr>
      <w:r>
        <w:rPr>
          <w:b w:val="0"/>
          <w:i/>
        </w:rPr>
        <w:t>Download Section of the Website</w:t>
      </w:r>
    </w:p>
    <w:p>
      <w:pPr>
        <w:spacing w:line="240" w:lineRule="auto" w:after="200"/>
        <w:jc w:val="center"/>
      </w:pPr>
      <w:r>
        <w:drawing>
          <wp:inline xmlns:a="http://schemas.openxmlformats.org/drawingml/2006/main" xmlns:pic="http://schemas.openxmlformats.org/drawingml/2006/picture">
            <wp:extent cx="5669280" cy="3569239"/>
            <wp:docPr id="37" name="Picture 37"/>
            <wp:cNvGraphicFramePr>
              <a:graphicFrameLocks noChangeAspect="1"/>
            </wp:cNvGraphicFramePr>
            <a:graphic>
              <a:graphicData uri="http://schemas.openxmlformats.org/drawingml/2006/picture">
                <pic:pic>
                  <pic:nvPicPr>
                    <pic:cNvPr id="0" name="site_download.png"/>
                    <pic:cNvPicPr/>
                  </pic:nvPicPr>
                  <pic:blipFill>
                    <a:blip r:embed="rId47"/>
                    <a:stretch>
                      <a:fillRect/>
                    </a:stretch>
                  </pic:blipFill>
                  <pic:spPr>
                    <a:xfrm>
                      <a:off x="0" y="0"/>
                      <a:ext cx="5669280" cy="3569239"/>
                    </a:xfrm>
                    <a:prstGeom prst="rect"/>
                  </pic:spPr>
                </pic:pic>
              </a:graphicData>
            </a:graphic>
          </wp:inline>
        </w:drawing>
      </w:r>
    </w:p>
    <w:p>
      <w:pPr>
        <w:keepNext/>
        <w:spacing w:line="480" w:lineRule="auto" w:after="0"/>
        <w:ind w:left="720"/>
        <w:jc w:val="left"/>
      </w:pPr>
      <w:r>
        <w:rPr>
          <w:b/>
          <w:i w:val="0"/>
        </w:rPr>
        <w:t>c.) Parametric 3D Visualization and SHAP Explanations</w:t>
      </w:r>
    </w:p>
    <w:p>
      <w:pPr>
        <w:keepNext/>
        <w:spacing w:line="240" w:lineRule="auto" w:after="0" w:before="120"/>
        <w:jc w:val="left"/>
      </w:pPr>
      <w:r>
        <w:rPr>
          <w:b/>
          <w:i w:val="0"/>
        </w:rPr>
        <w:t>Figure 21.</w:t>
      </w:r>
    </w:p>
    <w:p>
      <w:pPr>
        <w:keepNext/>
        <w:spacing w:line="240" w:lineRule="auto" w:after="0"/>
        <w:jc w:val="left"/>
      </w:pPr>
      <w:r>
        <w:rPr>
          <w:b w:val="0"/>
          <w:i/>
        </w:rPr>
        <w:t>Parametric 3D Model of a 2-Storey 4-Classroom School Building</w:t>
      </w:r>
    </w:p>
    <w:p>
      <w:pPr>
        <w:spacing w:line="240" w:lineRule="auto" w:after="200"/>
        <w:jc w:val="center"/>
      </w:pPr>
      <w:r>
        <w:drawing>
          <wp:inline xmlns:a="http://schemas.openxmlformats.org/drawingml/2006/main" xmlns:pic="http://schemas.openxmlformats.org/drawingml/2006/picture">
            <wp:extent cx="3291840" cy="2799311"/>
            <wp:docPr id="38" name="Picture 38"/>
            <wp:cNvGraphicFramePr>
              <a:graphicFrameLocks noChangeAspect="1"/>
            </wp:cNvGraphicFramePr>
            <a:graphic>
              <a:graphicData uri="http://schemas.openxmlformats.org/drawingml/2006/picture">
                <pic:pic>
                  <pic:nvPicPr>
                    <pic:cNvPr id="0" name="viz_building.png"/>
                    <pic:cNvPicPr/>
                  </pic:nvPicPr>
                  <pic:blipFill>
                    <a:blip r:embed="rId48"/>
                    <a:stretch>
                      <a:fillRect/>
                    </a:stretch>
                  </pic:blipFill>
                  <pic:spPr>
                    <a:xfrm>
                      <a:off x="0" y="0"/>
                      <a:ext cx="3291840" cy="2799311"/>
                    </a:xfrm>
                    <a:prstGeom prst="rect"/>
                  </pic:spPr>
                </pic:pic>
              </a:graphicData>
            </a:graphic>
          </wp:inline>
        </w:drawing>
      </w:r>
    </w:p>
    <w:p>
      <w:pPr>
        <w:keepNext/>
        <w:spacing w:line="240" w:lineRule="auto" w:after="0" w:before="120"/>
        <w:jc w:val="left"/>
      </w:pPr>
      <w:r>
        <w:rPr>
          <w:b/>
          <w:i w:val="0"/>
        </w:rPr>
        <w:t>Figure 22.</w:t>
      </w:r>
    </w:p>
    <w:p>
      <w:pPr>
        <w:keepNext/>
        <w:spacing w:line="240" w:lineRule="auto" w:after="0"/>
        <w:jc w:val="left"/>
      </w:pPr>
      <w:r>
        <w:rPr>
          <w:b w:val="0"/>
          <w:i/>
        </w:rPr>
        <w:t>Parametric 3D Model of a Three-Span RCDG Bridge</w:t>
      </w:r>
    </w:p>
    <w:p>
      <w:pPr>
        <w:spacing w:line="240" w:lineRule="auto" w:after="200"/>
        <w:jc w:val="center"/>
      </w:pPr>
      <w:r>
        <w:drawing>
          <wp:inline xmlns:a="http://schemas.openxmlformats.org/drawingml/2006/main" xmlns:pic="http://schemas.openxmlformats.org/drawingml/2006/picture">
            <wp:extent cx="3291840" cy="2799311"/>
            <wp:docPr id="39" name="Picture 39"/>
            <wp:cNvGraphicFramePr>
              <a:graphicFrameLocks noChangeAspect="1"/>
            </wp:cNvGraphicFramePr>
            <a:graphic>
              <a:graphicData uri="http://schemas.openxmlformats.org/drawingml/2006/picture">
                <pic:pic>
                  <pic:nvPicPr>
                    <pic:cNvPr id="0" name="viz_bridge_rcdg.png"/>
                    <pic:cNvPicPr/>
                  </pic:nvPicPr>
                  <pic:blipFill>
                    <a:blip r:embed="rId49"/>
                    <a:stretch>
                      <a:fillRect/>
                    </a:stretch>
                  </pic:blipFill>
                  <pic:spPr>
                    <a:xfrm>
                      <a:off x="0" y="0"/>
                      <a:ext cx="3291840" cy="2799311"/>
                    </a:xfrm>
                    <a:prstGeom prst="rect"/>
                  </pic:spPr>
                </pic:pic>
              </a:graphicData>
            </a:graphic>
          </wp:inline>
        </w:drawing>
      </w:r>
    </w:p>
    <w:p>
      <w:pPr>
        <w:keepNext/>
        <w:spacing w:line="240" w:lineRule="auto" w:after="0" w:before="120"/>
        <w:jc w:val="left"/>
      </w:pPr>
      <w:r>
        <w:rPr>
          <w:b/>
          <w:i w:val="0"/>
        </w:rPr>
        <w:t>Figure 23.</w:t>
      </w:r>
    </w:p>
    <w:p>
      <w:pPr>
        <w:keepNext/>
        <w:spacing w:line="240" w:lineRule="auto" w:after="0"/>
        <w:jc w:val="left"/>
      </w:pPr>
      <w:r>
        <w:rPr>
          <w:b w:val="0"/>
          <w:i/>
        </w:rPr>
        <w:t>Parametric 3D Model of a 50 m Steel Truss Bridge</w:t>
      </w:r>
    </w:p>
    <w:p>
      <w:pPr>
        <w:spacing w:line="240" w:lineRule="auto" w:after="200"/>
        <w:jc w:val="center"/>
      </w:pPr>
      <w:r>
        <w:drawing>
          <wp:inline xmlns:a="http://schemas.openxmlformats.org/drawingml/2006/main" xmlns:pic="http://schemas.openxmlformats.org/drawingml/2006/picture">
            <wp:extent cx="3291840" cy="2799311"/>
            <wp:docPr id="40" name="Picture 40"/>
            <wp:cNvGraphicFramePr>
              <a:graphicFrameLocks noChangeAspect="1"/>
            </wp:cNvGraphicFramePr>
            <a:graphic>
              <a:graphicData uri="http://schemas.openxmlformats.org/drawingml/2006/picture">
                <pic:pic>
                  <pic:nvPicPr>
                    <pic:cNvPr id="0" name="viz_bridge_truss.png"/>
                    <pic:cNvPicPr/>
                  </pic:nvPicPr>
                  <pic:blipFill>
                    <a:blip r:embed="rId50"/>
                    <a:stretch>
                      <a:fillRect/>
                    </a:stretch>
                  </pic:blipFill>
                  <pic:spPr>
                    <a:xfrm>
                      <a:off x="0" y="0"/>
                      <a:ext cx="3291840" cy="2799311"/>
                    </a:xfrm>
                    <a:prstGeom prst="rect"/>
                  </pic:spPr>
                </pic:pic>
              </a:graphicData>
            </a:graphic>
          </wp:inline>
        </w:drawing>
      </w:r>
    </w:p>
    <w:p>
      <w:pPr>
        <w:spacing w:line="480" w:lineRule="auto" w:after="0"/>
        <w:ind w:firstLine="720"/>
        <w:jc w:val="both"/>
      </w:pPr>
      <w:r>
        <w:rPr>
          <w:b w:val="0"/>
          <w:i w:val="0"/>
        </w:rPr>
        <w:t>The 3D models are drawn from the engine's geometry: the school building shows its 3 × 5 column grid, two slabs, window bands and gable roof; the RCDG bridge shows four girder lines on two piers between abutments; and the truss bridge shows its panels, chords and portal bracing. Because the models follow the plan variables, a change in the number of storeys, spans or girders is visible at once, and the tint shows the screening result. Together with the SHAP panel, they let non-engineers see what they are paying for and why the expected cost is what it is.</w:t>
      </w:r>
    </w:p>
    <w:p>
      <w:pPr>
        <w:keepNext/>
        <w:spacing w:line="480" w:lineRule="auto" w:after="0"/>
        <w:jc w:val="center"/>
      </w:pPr>
      <w:r>
        <w:rPr>
          <w:b/>
          <w:i w:val="0"/>
        </w:rPr>
        <w:t>CONCLUSION</w:t>
      </w:r>
    </w:p>
    <w:p>
      <w:pPr>
        <w:spacing w:line="480" w:lineRule="auto" w:after="0"/>
        <w:jc w:val="both"/>
      </w:pPr>
      <w:r>
        <w:rPr>
          <w:b w:val="0"/>
          <w:i w:val="0"/>
        </w:rPr>
        <w:t>In pursuit of developing a blueprint-driven quantity take-off and hybrid machine-learning system for standards-based start quotations and over-budget detection in public buildings and bridges, the study concludes the following:</w:t>
      </w:r>
    </w:p>
    <w:p>
      <w:pPr>
        <w:tabs>
          <w:tab w:pos="1080" w:val="left"/>
        </w:tabs>
        <w:spacing w:line="480" w:lineRule="auto"/>
        <w:ind w:left="1080" w:hanging="360"/>
        <w:jc w:val="both"/>
      </w:pPr>
      <w:r>
        <w:rPr>
          <w:b w:val="0"/>
          <w:i w:val="0"/>
        </w:rPr>
        <w:t>1.</w:t>
        <w:tab/>
        <w:t>Nine plan variables for buildings (gross floor area, footprint, storeys, span, floor height, facility type, roof system, location factor and cost index) and eleven for bridges (total length, deck width, deck area, span length, pier and abutment heights, superstructure and foundation types, pile length, location factor and cost index) can be read from plans and standards and are sufficient to price a project. Bridge sizes and costs varied far more than building sizes and costs, with contracts from ₱1.00 million to ₱179.23 million.</w:t>
      </w:r>
    </w:p>
    <w:p>
      <w:pPr>
        <w:tabs>
          <w:tab w:pos="1080" w:val="left"/>
        </w:tabs>
        <w:spacing w:line="480" w:lineRule="auto"/>
        <w:ind w:left="1080" w:hanging="360"/>
        <w:jc w:val="both"/>
      </w:pPr>
      <w:r>
        <w:rPr>
          <w:b w:val="0"/>
          <w:i w:val="0"/>
        </w:rPr>
        <w:t>2.</w:t>
        <w:tab/>
        <w:t>The standards-based engine produced itemized lean, standard and ceiling quotations that came within a MAPE of 5.21% for buildings and 7.67% for bridges of fair awarded costs in the benchmark, less than half the error of the best data-driven model. The lean start quotation averaged 14.4% below the standard estimate for buildings and 5.9% for bridges while keeping code minimums, and stayed below the fair cost in most projects.</w:t>
      </w:r>
    </w:p>
    <w:p>
      <w:pPr>
        <w:tabs>
          <w:tab w:pos="1080" w:val="left"/>
        </w:tabs>
        <w:spacing w:line="480" w:lineRule="auto"/>
        <w:ind w:left="1080" w:hanging="360"/>
        <w:jc w:val="both"/>
      </w:pPr>
      <w:r>
        <w:rPr>
          <w:b w:val="0"/>
          <w:i w:val="0"/>
        </w:rPr>
        <w:t>3.</w:t>
        <w:tab/>
      </w:r>
      <w:r>
        <w:rPr>
          <w:b/>
          <w:i w:val="0"/>
        </w:rPr>
        <w:t>a.) Multiple Linear Regression:</w:t>
      </w:r>
      <w:r>
        <w:rPr>
          <w:b w:val="0"/>
          <w:i w:val="0"/>
        </w:rPr>
        <w:t xml:space="preserve"> no building predictor exceeded a VIF of 10, while deck area and superstructure type were removed from the bridge model. Under LOOCV, the building model reached R</w:t>
      </w:r>
      <w:r>
        <w:rPr>
          <w:b w:val="0"/>
          <w:i w:val="0"/>
          <w:vertAlign w:val="superscript"/>
        </w:rPr>
        <w:t>2</w:t>
      </w:r>
      <w:r>
        <w:rPr>
          <w:b w:val="0"/>
          <w:i w:val="0"/>
        </w:rPr>
        <w:t xml:space="preserve"> = 0.8112 and MAPE = 13.43%, and the bridge model R</w:t>
      </w:r>
      <w:r>
        <w:rPr>
          <w:b w:val="0"/>
          <w:i w:val="0"/>
          <w:vertAlign w:val="superscript"/>
        </w:rPr>
        <w:t>2</w:t>
      </w:r>
      <w:r>
        <w:rPr>
          <w:b w:val="0"/>
          <w:i w:val="0"/>
        </w:rPr>
        <w:t xml:space="preserve"> = 0.8640 and MAPE = 65.65%. </w:t>
      </w:r>
      <w:r>
        <w:rPr>
          <w:b/>
          <w:i w:val="0"/>
        </w:rPr>
        <w:t>b.) XGBoost:</w:t>
      </w:r>
      <w:r>
        <w:rPr>
          <w:b w:val="0"/>
          <w:i w:val="0"/>
        </w:rPr>
        <w:t xml:space="preserve"> the model reached R</w:t>
      </w:r>
      <w:r>
        <w:rPr>
          <w:b w:val="0"/>
          <w:i w:val="0"/>
          <w:vertAlign w:val="superscript"/>
        </w:rPr>
        <w:t>2</w:t>
      </w:r>
      <w:r>
        <w:rPr>
          <w:b w:val="0"/>
          <w:i w:val="0"/>
        </w:rPr>
        <w:t xml:space="preserve"> = 0.7874 and MAPE = 13.94% for buildings and R</w:t>
      </w:r>
      <w:r>
        <w:rPr>
          <w:b w:val="0"/>
          <w:i w:val="0"/>
          <w:vertAlign w:val="superscript"/>
        </w:rPr>
        <w:t>2</w:t>
      </w:r>
      <w:r>
        <w:rPr>
          <w:b w:val="0"/>
          <w:i w:val="0"/>
        </w:rPr>
        <w:t xml:space="preserve"> = 0.8630 and MAPE = 19.18% for bridges, a large gain on bridges and a small loss on buildings, so the better model depends on the asset class.</w:t>
      </w:r>
    </w:p>
    <w:p>
      <w:pPr>
        <w:tabs>
          <w:tab w:pos="1080" w:val="left"/>
        </w:tabs>
        <w:spacing w:line="480" w:lineRule="auto"/>
        <w:ind w:left="1080" w:hanging="360"/>
        <w:jc w:val="both"/>
      </w:pPr>
      <w:r>
        <w:rPr>
          <w:b w:val="0"/>
          <w:i w:val="0"/>
        </w:rPr>
        <w:t>4.</w:t>
        <w:tab/>
        <w:t>The BUHAY Risk Index detected 94.4% of injected overpricing with an F1-score of 0.764 and an AUC of 0.987, the best balance among the four rules. The standards-based ratio was the strongest single signal, the XGBoost residual partly absorbed padding from its training data, and an Isolation Forest alone found only 27.8%. These flags identify contracts for review and do not establish irregularity, error or fraud.</w:t>
      </w:r>
    </w:p>
    <w:p>
      <w:pPr>
        <w:tabs>
          <w:tab w:pos="1080" w:val="left"/>
        </w:tabs>
        <w:spacing w:line="480" w:lineRule="auto"/>
        <w:ind w:left="1080" w:hanging="360"/>
        <w:jc w:val="both"/>
      </w:pPr>
      <w:r>
        <w:rPr>
          <w:b w:val="0"/>
          <w:i w:val="0"/>
        </w:rPr>
        <w:t>5.</w:t>
        <w:tab/>
        <w:t>BUHAY was deployed as an installable offline-capable mobile application, an Android package, an offline ZIP package and a download website with an interactive project map, integrating plan import, itemized quotations, parametric 3D models, SHAP explanations, line-item checks and over-budget screening that run entirely on the user's device.</w:t>
      </w:r>
    </w:p>
    <w:p>
      <w:pPr>
        <w:keepNext/>
        <w:spacing w:line="480" w:lineRule="auto" w:after="0"/>
        <w:jc w:val="center"/>
      </w:pPr>
      <w:r>
        <w:rPr>
          <w:b/>
          <w:i w:val="0"/>
        </w:rPr>
        <w:t>RECOMMENDATIONS</w:t>
      </w:r>
    </w:p>
    <w:p>
      <w:pPr>
        <w:spacing w:line="480" w:lineRule="auto" w:after="0"/>
        <w:jc w:val="both"/>
      </w:pPr>
      <w:r>
        <w:rPr>
          <w:b w:val="0"/>
          <w:i w:val="0"/>
        </w:rPr>
        <w:t>Based on these findings, the researcher recommends the following:</w:t>
      </w:r>
    </w:p>
    <w:p>
      <w:pPr>
        <w:tabs>
          <w:tab w:pos="1080" w:val="left"/>
        </w:tabs>
        <w:spacing w:line="480" w:lineRule="auto"/>
        <w:ind w:left="1080" w:hanging="360"/>
        <w:jc w:val="both"/>
      </w:pPr>
      <w:r>
        <w:rPr>
          <w:b w:val="0"/>
          <w:i w:val="0"/>
        </w:rPr>
        <w:t>1.</w:t>
        <w:tab/>
      </w:r>
      <w:r>
        <w:rPr>
          <w:b/>
          <w:i w:val="0"/>
        </w:rPr>
        <w:t>Validate on actual contracts.</w:t>
      </w:r>
      <w:r>
        <w:rPr>
          <w:b w:val="0"/>
          <w:i w:val="0"/>
        </w:rPr>
        <w:t xml:space="preserve"> Replace the simulated benchmark with completed DPWH building and bridge contracts from the DPWH Transparency Portal, PhilGEPS and COA reports, including their programs of works, and re-estimate the accuracy and detection figures.</w:t>
      </w:r>
    </w:p>
    <w:p>
      <w:pPr>
        <w:tabs>
          <w:tab w:pos="1080" w:val="left"/>
        </w:tabs>
        <w:spacing w:line="480" w:lineRule="auto"/>
        <w:ind w:left="1080" w:hanging="360"/>
        <w:jc w:val="both"/>
      </w:pPr>
      <w:r>
        <w:rPr>
          <w:b w:val="0"/>
          <w:i w:val="0"/>
        </w:rPr>
        <w:t>2.</w:t>
        <w:tab/>
      </w:r>
      <w:r>
        <w:rPr>
          <w:b/>
          <w:i w:val="0"/>
        </w:rPr>
        <w:t>Add geotechnical data for bridges.</w:t>
      </w:r>
      <w:r>
        <w:rPr>
          <w:b w:val="0"/>
          <w:i w:val="0"/>
        </w:rPr>
        <w:t xml:space="preserve"> Since unseen pile lengths caused most false alarms, include borehole logs and design pile tips in the plan input, or widen the bridge ceiling by a site-class allowance.</w:t>
      </w:r>
    </w:p>
    <w:p>
      <w:pPr>
        <w:tabs>
          <w:tab w:pos="1080" w:val="left"/>
        </w:tabs>
        <w:spacing w:line="480" w:lineRule="auto"/>
        <w:ind w:left="1080" w:hanging="360"/>
        <w:jc w:val="both"/>
      </w:pPr>
      <w:r>
        <w:rPr>
          <w:b w:val="0"/>
          <w:i w:val="0"/>
        </w:rPr>
        <w:t>3.</w:t>
        <w:tab/>
      </w:r>
      <w:r>
        <w:rPr>
          <w:b/>
          <w:i w:val="0"/>
        </w:rPr>
        <w:t>Connect current price data.</w:t>
      </w:r>
      <w:r>
        <w:rPr>
          <w:b w:val="0"/>
          <w:i w:val="0"/>
        </w:rPr>
        <w:t xml:space="preserve"> Load regional DPWH unit costs and the PSA construction materials price indices automatically so the price book stays current.</w:t>
      </w:r>
    </w:p>
    <w:p>
      <w:pPr>
        <w:tabs>
          <w:tab w:pos="1080" w:val="left"/>
        </w:tabs>
        <w:spacing w:line="480" w:lineRule="auto"/>
        <w:ind w:left="1080" w:hanging="360"/>
        <w:jc w:val="both"/>
      </w:pPr>
      <w:r>
        <w:rPr>
          <w:b w:val="0"/>
          <w:i w:val="0"/>
        </w:rPr>
        <w:t>4.</w:t>
        <w:tab/>
      </w:r>
      <w:r>
        <w:rPr>
          <w:b/>
          <w:i w:val="0"/>
        </w:rPr>
        <w:t>Calibrate thresholds by asset class.</w:t>
      </w:r>
      <w:r>
        <w:rPr>
          <w:b w:val="0"/>
          <w:i w:val="0"/>
        </w:rPr>
        <w:t xml:space="preserve"> Set separate BUHAY Risk Index thresholds for buildings and bridges, about 24 and 58 in the benchmark, once real cases are confirmed.</w:t>
      </w:r>
    </w:p>
    <w:p>
      <w:pPr>
        <w:tabs>
          <w:tab w:pos="1080" w:val="left"/>
        </w:tabs>
        <w:spacing w:line="480" w:lineRule="auto"/>
        <w:ind w:left="1080" w:hanging="360"/>
        <w:jc w:val="both"/>
      </w:pPr>
      <w:r>
        <w:rPr>
          <w:b w:val="0"/>
          <w:i w:val="0"/>
        </w:rPr>
        <w:t>5.</w:t>
        <w:tab/>
      </w:r>
      <w:r>
        <w:rPr>
          <w:b/>
          <w:i w:val="0"/>
        </w:rPr>
        <w:t>Extend plan import.</w:t>
      </w:r>
      <w:r>
        <w:rPr>
          <w:b w:val="0"/>
          <w:i w:val="0"/>
        </w:rPr>
        <w:t xml:space="preserve"> Read IFC building information models and scanned PDF plans through optical character recognition, and support multi-storey DXF layers.</w:t>
      </w:r>
    </w:p>
    <w:p>
      <w:pPr>
        <w:tabs>
          <w:tab w:pos="1080" w:val="left"/>
        </w:tabs>
        <w:spacing w:line="480" w:lineRule="auto"/>
        <w:ind w:left="1080" w:hanging="360"/>
        <w:jc w:val="both"/>
      </w:pPr>
      <w:r>
        <w:rPr>
          <w:b w:val="0"/>
          <w:i w:val="0"/>
        </w:rPr>
        <w:t>6.</w:t>
        <w:tab/>
      </w:r>
      <w:r>
        <w:rPr>
          <w:b/>
          <w:i w:val="0"/>
        </w:rPr>
        <w:t>Extend to other project types.</w:t>
      </w:r>
      <w:r>
        <w:rPr>
          <w:b w:val="0"/>
          <w:i w:val="0"/>
        </w:rPr>
        <w:t xml:space="preserve"> Apply the same engine and models to flood-control structures, water systems and roads, joining CORA and BUHAY in one screening tool.</w:t>
      </w:r>
    </w:p>
    <w:p>
      <w:pPr>
        <w:tabs>
          <w:tab w:pos="1080" w:val="left"/>
        </w:tabs>
        <w:spacing w:line="480" w:lineRule="auto"/>
        <w:ind w:left="1080" w:hanging="360"/>
        <w:jc w:val="both"/>
      </w:pPr>
      <w:r>
        <w:rPr>
          <w:b w:val="0"/>
          <w:i w:val="0"/>
        </w:rPr>
        <w:t>7.</w:t>
        <w:tab/>
      </w:r>
      <w:r>
        <w:rPr>
          <w:b/>
          <w:i w:val="0"/>
        </w:rPr>
        <w:t>Pilot with oversight bodies and publish open data.</w:t>
      </w:r>
      <w:r>
        <w:rPr>
          <w:b w:val="0"/>
          <w:i w:val="0"/>
        </w:rPr>
        <w:t xml:space="preserve"> Test BUHAY with a district engineering office, COA auditors and a local government, run a usability study, and publish screened records following the Open Contracting Data Standard and the CoST Infrastructure Data Standard.</w:t>
      </w:r>
    </w:p>
    <w:p>
      <w:pPr>
        <w:keepNext/>
        <w:spacing w:line="480" w:lineRule="auto" w:after="0"/>
        <w:jc w:val="center"/>
      </w:pPr>
      <w:r>
        <w:rPr>
          <w:b/>
          <w:i w:val="0"/>
        </w:rPr>
        <w:t>REFERENCES</w:t>
      </w:r>
    </w:p>
    <w:p>
      <w:pPr>
        <w:spacing w:line="480" w:lineRule="auto" w:after="0"/>
        <w:ind w:left="720" w:hanging="720"/>
        <w:jc w:val="left"/>
      </w:pPr>
      <w:r>
        <w:rPr>
          <w:b w:val="0"/>
          <w:i w:val="0"/>
        </w:rPr>
        <w:t xml:space="preserve">American Association of State Highway and Transportation Officials. (2020). </w:t>
      </w:r>
      <w:r>
        <w:rPr>
          <w:b w:val="0"/>
          <w:i/>
        </w:rPr>
        <w:t>AASHTO LRFD bridge design specifications</w:t>
      </w:r>
      <w:r>
        <w:rPr>
          <w:b w:val="0"/>
          <w:i w:val="0"/>
        </w:rPr>
        <w:t xml:space="preserve"> (9th ed.).</w:t>
      </w:r>
    </w:p>
    <w:p>
      <w:pPr>
        <w:spacing w:line="480" w:lineRule="auto" w:after="0"/>
        <w:ind w:left="720" w:hanging="720"/>
        <w:jc w:val="left"/>
      </w:pPr>
      <w:r>
        <w:rPr>
          <w:b w:val="0"/>
          <w:i w:val="0"/>
        </w:rPr>
        <w:t xml:space="preserve">Association of Structural Engineers of the Philippines. (2016). </w:t>
      </w:r>
      <w:r>
        <w:rPr>
          <w:b w:val="0"/>
          <w:i/>
        </w:rPr>
        <w:t>National structural code of the Philippines 2015: Volume I, buildings, towers and other vertical structures</w:t>
      </w:r>
      <w:r>
        <w:rPr>
          <w:b w:val="0"/>
          <w:i w:val="0"/>
        </w:rPr>
        <w:t xml:space="preserve"> (7th ed.).</w:t>
      </w:r>
    </w:p>
    <w:p>
      <w:pPr>
        <w:spacing w:line="480" w:lineRule="auto" w:after="0"/>
        <w:ind w:left="720" w:hanging="720"/>
        <w:jc w:val="left"/>
      </w:pPr>
      <w:r>
        <w:rPr>
          <w:b w:val="0"/>
          <w:i w:val="0"/>
        </w:rPr>
        <w:t xml:space="preserve">Buban, E. M. C. (2026). </w:t>
      </w:r>
      <w:r>
        <w:rPr>
          <w:b w:val="0"/>
          <w:i/>
        </w:rPr>
        <w:t>CORA: Computational outlier recognition and analytics for road construction cost prediction and potential anomaly detection via a hybrid machine learning system</w:t>
      </w:r>
      <w:r>
        <w:rPr>
          <w:b w:val="0"/>
          <w:i w:val="0"/>
        </w:rPr>
        <w:t xml:space="preserve"> [Unpublished research paper].</w:t>
      </w:r>
    </w:p>
    <w:p>
      <w:pPr>
        <w:spacing w:line="480" w:lineRule="auto" w:after="0"/>
        <w:ind w:left="720" w:hanging="720"/>
        <w:jc w:val="left"/>
      </w:pPr>
      <w:r>
        <w:rPr>
          <w:b w:val="0"/>
          <w:i w:val="0"/>
        </w:rPr>
        <w:t xml:space="preserve">Cebu Daily News. (2023, July 21). </w:t>
      </w:r>
      <w:r>
        <w:rPr>
          <w:b w:val="0"/>
          <w:i/>
        </w:rPr>
        <w:t>COA: CCMC project contract price was bloated by P62M</w:t>
      </w:r>
      <w:r>
        <w:rPr>
          <w:b w:val="0"/>
          <w:i w:val="0"/>
        </w:rPr>
        <w:t>. https://cebudailynews.inquirer.net/517377/coa-ccmc-project-contract-price-was-bloated-by-p62m</w:t>
      </w:r>
    </w:p>
    <w:p>
      <w:pPr>
        <w:spacing w:line="480" w:lineRule="auto" w:after="0"/>
        <w:ind w:left="720" w:hanging="720"/>
        <w:jc w:val="left"/>
      </w:pPr>
      <w:r>
        <w:rPr>
          <w:b w:val="0"/>
          <w:i w:val="0"/>
        </w:rPr>
        <w:t xml:space="preserve">Chen, T., &amp; Guestrin, C. (2016). XGBoost: A scalable tree boosting system. In </w:t>
      </w:r>
      <w:r>
        <w:rPr>
          <w:b w:val="0"/>
          <w:i/>
        </w:rPr>
        <w:t>Proceedings of the 22nd ACM SIGKDD International Conference on Knowledge Discovery and Data Mining</w:t>
      </w:r>
      <w:r>
        <w:rPr>
          <w:b w:val="0"/>
          <w:i w:val="0"/>
        </w:rPr>
        <w:t xml:space="preserve"> (pp. 785–794). https://doi.org/10.1145/2939672.2939785</w:t>
      </w:r>
    </w:p>
    <w:p>
      <w:pPr>
        <w:spacing w:line="480" w:lineRule="auto" w:after="0"/>
        <w:ind w:left="720" w:hanging="720"/>
        <w:jc w:val="left"/>
      </w:pPr>
      <w:r>
        <w:rPr>
          <w:b w:val="0"/>
          <w:i w:val="0"/>
        </w:rPr>
        <w:t xml:space="preserve">Coffie, G. H., &amp; Cudjoe, S. K. F. (2024). Using extreme gradient boosting (XGBoost) machine learning to predict construction cost overruns. </w:t>
      </w:r>
      <w:r>
        <w:rPr>
          <w:b w:val="0"/>
          <w:i/>
        </w:rPr>
        <w:t>International Journal of Construction Management, 24</w:t>
      </w:r>
      <w:r>
        <w:rPr>
          <w:b w:val="0"/>
          <w:i w:val="0"/>
        </w:rPr>
        <w:t>(16), 1742–1750. https://doi.org/10.1080/15623599.2023.2289754</w:t>
      </w:r>
    </w:p>
    <w:p>
      <w:pPr>
        <w:spacing w:line="480" w:lineRule="auto" w:after="0"/>
        <w:ind w:left="720" w:hanging="720"/>
        <w:jc w:val="left"/>
      </w:pPr>
      <w:r>
        <w:rPr>
          <w:b w:val="0"/>
          <w:i w:val="0"/>
        </w:rPr>
        <w:t xml:space="preserve">CoST – The Infrastructure Transparency Initiative. (n.d.). </w:t>
      </w:r>
      <w:r>
        <w:rPr>
          <w:b w:val="0"/>
          <w:i/>
        </w:rPr>
        <w:t>Why infrastructure transparency matters</w:t>
      </w:r>
      <w:r>
        <w:rPr>
          <w:b w:val="0"/>
          <w:i w:val="0"/>
        </w:rPr>
        <w:t>. https://infrastructuretransparency.org/</w:t>
      </w:r>
    </w:p>
    <w:p>
      <w:pPr>
        <w:spacing w:line="480" w:lineRule="auto" w:after="0"/>
        <w:ind w:left="720" w:hanging="720"/>
        <w:jc w:val="left"/>
      </w:pPr>
      <w:r>
        <w:rPr>
          <w:b w:val="0"/>
          <w:i w:val="0"/>
        </w:rPr>
        <w:t xml:space="preserve">Department of Public Works and Highways. (2013). </w:t>
      </w:r>
      <w:r>
        <w:rPr>
          <w:b w:val="0"/>
          <w:i/>
        </w:rPr>
        <w:t>DPWH standard specifications for highways, bridges and airports</w:t>
      </w:r>
      <w:r>
        <w:rPr>
          <w:b w:val="0"/>
          <w:i w:val="0"/>
        </w:rPr>
        <w:t xml:space="preserve"> (Vol. II).</w:t>
      </w:r>
    </w:p>
    <w:p>
      <w:pPr>
        <w:spacing w:line="480" w:lineRule="auto" w:after="0"/>
        <w:ind w:left="720" w:hanging="720"/>
        <w:jc w:val="left"/>
      </w:pPr>
      <w:r>
        <w:rPr>
          <w:b w:val="0"/>
          <w:i w:val="0"/>
        </w:rPr>
        <w:t xml:space="preserve">Department of Public Works and Highways. (2016). </w:t>
      </w:r>
      <w:r>
        <w:rPr>
          <w:b w:val="0"/>
          <w:i/>
        </w:rPr>
        <w:t>Department Order No. 197, series of 2016: Guidelines on the preparation of the approved budget for the contract</w:t>
      </w:r>
      <w:r>
        <w:rPr>
          <w:b w:val="0"/>
          <w:i w:val="0"/>
        </w:rPr>
        <w:t>.</w:t>
      </w:r>
    </w:p>
    <w:p>
      <w:pPr>
        <w:spacing w:line="480" w:lineRule="auto" w:after="0"/>
        <w:ind w:left="720" w:hanging="720"/>
        <w:jc w:val="left"/>
      </w:pPr>
      <w:r>
        <w:rPr>
          <w:b w:val="0"/>
          <w:i w:val="0"/>
        </w:rPr>
        <w:t xml:space="preserve">Department of Public Works and Highways. (2021). </w:t>
      </w:r>
      <w:r>
        <w:rPr>
          <w:b w:val="0"/>
          <w:i/>
        </w:rPr>
        <w:t>Department Order No. 42, series of 2021: Adoption of the DPWH standard specifications for public works structures, Volume III, 2019 edition</w:t>
      </w:r>
      <w:r>
        <w:rPr>
          <w:b w:val="0"/>
          <w:i w:val="0"/>
        </w:rPr>
        <w:t>.</w:t>
      </w:r>
    </w:p>
    <w:p>
      <w:pPr>
        <w:spacing w:line="480" w:lineRule="auto" w:after="0"/>
        <w:ind w:left="720" w:hanging="720"/>
        <w:jc w:val="left"/>
      </w:pPr>
      <w:r>
        <w:rPr>
          <w:b w:val="0"/>
          <w:i w:val="0"/>
        </w:rPr>
        <w:t xml:space="preserve">Department of Public Works and Highways. (2025). </w:t>
      </w:r>
      <w:r>
        <w:rPr>
          <w:b w:val="0"/>
          <w:i/>
        </w:rPr>
        <w:t>Department Order No. 30, series of 2025</w:t>
      </w:r>
      <w:r>
        <w:rPr>
          <w:b w:val="0"/>
          <w:i w:val="0"/>
        </w:rPr>
        <w:t>.</w:t>
      </w:r>
    </w:p>
    <w:p>
      <w:pPr>
        <w:spacing w:line="480" w:lineRule="auto" w:after="0"/>
        <w:ind w:left="720" w:hanging="720"/>
        <w:jc w:val="left"/>
      </w:pPr>
      <w:r>
        <w:rPr>
          <w:b w:val="0"/>
          <w:i w:val="0"/>
        </w:rPr>
        <w:t xml:space="preserve">DZRH News. (2025, August 11). </w:t>
      </w:r>
      <w:r>
        <w:rPr>
          <w:b w:val="0"/>
          <w:i/>
        </w:rPr>
        <w:t>20 percent of the entire P545-B flood control project went to 15 contractors — Pres. Marcos</w:t>
      </w:r>
      <w:r>
        <w:rPr>
          <w:b w:val="0"/>
          <w:i w:val="0"/>
        </w:rPr>
        <w:t>. https://dzrh.com.ph/</w:t>
      </w:r>
    </w:p>
    <w:p>
      <w:pPr>
        <w:spacing w:line="480" w:lineRule="auto" w:after="0"/>
        <w:ind w:left="720" w:hanging="720"/>
        <w:jc w:val="left"/>
      </w:pPr>
      <w:r>
        <w:rPr>
          <w:b w:val="0"/>
          <w:i w:val="0"/>
        </w:rPr>
        <w:t xml:space="preserve">Elmousalami, H. H. (2020). Artificial intelligence and parametric construction cost estimate modeling: State-of-the-art review. </w:t>
      </w:r>
      <w:r>
        <w:rPr>
          <w:b w:val="0"/>
          <w:i/>
        </w:rPr>
        <w:t>Journal of Construction Engineering and Management, 146</w:t>
      </w:r>
      <w:r>
        <w:rPr>
          <w:b w:val="0"/>
          <w:i w:val="0"/>
        </w:rPr>
        <w:t>(1), 03119008. https://doi.org/10.1061/(ASCE)CO.1943-7862.0001678</w:t>
      </w:r>
    </w:p>
    <w:p>
      <w:pPr>
        <w:spacing w:line="480" w:lineRule="auto" w:after="0"/>
        <w:ind w:left="720" w:hanging="720"/>
        <w:jc w:val="left"/>
      </w:pPr>
      <w:r>
        <w:rPr>
          <w:b w:val="0"/>
          <w:i w:val="0"/>
        </w:rPr>
        <w:t xml:space="preserve">Fazekas, M., &amp; Tóth, I. J. (2016). From corruption to state capture: A new analytical framework with empirical applications from Hungary. </w:t>
      </w:r>
      <w:r>
        <w:rPr>
          <w:b w:val="0"/>
          <w:i/>
        </w:rPr>
        <w:t>Political Research Quarterly, 69</w:t>
      </w:r>
      <w:r>
        <w:rPr>
          <w:b w:val="0"/>
          <w:i w:val="0"/>
        </w:rPr>
        <w:t>(2), 320–334. https://doi.org/10.1177/1065912916639137</w:t>
      </w:r>
    </w:p>
    <w:p>
      <w:pPr>
        <w:spacing w:line="480" w:lineRule="auto" w:after="0"/>
        <w:ind w:left="720" w:hanging="720"/>
        <w:jc w:val="left"/>
      </w:pPr>
      <w:r>
        <w:rPr>
          <w:b w:val="0"/>
          <w:i w:val="0"/>
        </w:rPr>
        <w:t xml:space="preserve">Flyvbjerg, B., Holm, M. S., &amp; Buhl, S. (2002). Underestimating costs in public works projects: Error or lie? </w:t>
      </w:r>
      <w:r>
        <w:rPr>
          <w:b w:val="0"/>
          <w:i/>
        </w:rPr>
        <w:t>Journal of the American Planning Association, 68</w:t>
      </w:r>
      <w:r>
        <w:rPr>
          <w:b w:val="0"/>
          <w:i w:val="0"/>
        </w:rPr>
        <w:t>(3), 279–295. https://doi.org/10.1080/01944360208976273</w:t>
      </w:r>
    </w:p>
    <w:p>
      <w:pPr>
        <w:spacing w:line="480" w:lineRule="auto" w:after="0"/>
        <w:ind w:left="720" w:hanging="720"/>
        <w:jc w:val="left"/>
      </w:pPr>
      <w:r>
        <w:rPr>
          <w:b w:val="0"/>
          <w:i w:val="0"/>
        </w:rPr>
        <w:t xml:space="preserve">Interaksyon. (2025, September 11). </w:t>
      </w:r>
      <w:r>
        <w:rPr>
          <w:b w:val="0"/>
          <w:i/>
        </w:rPr>
        <w:t>Philippines forms independent body to probe anomalies in infrastructure projects</w:t>
      </w:r>
      <w:r>
        <w:rPr>
          <w:b w:val="0"/>
          <w:i w:val="0"/>
        </w:rPr>
        <w:t>. https://interaksyon.philstar.com/politics-issues/2025/09/11/302050/</w:t>
      </w:r>
    </w:p>
    <w:p>
      <w:pPr>
        <w:spacing w:line="480" w:lineRule="auto" w:after="0"/>
        <w:ind w:left="720" w:hanging="720"/>
        <w:jc w:val="left"/>
      </w:pPr>
      <w:r>
        <w:rPr>
          <w:b w:val="0"/>
          <w:i w:val="0"/>
        </w:rPr>
        <w:t xml:space="preserve">Jensen, M. C., &amp; Meckling, W. H. (1976). Theory of the firm: Managerial behavior, agency costs and ownership structure. </w:t>
      </w:r>
      <w:r>
        <w:rPr>
          <w:b w:val="0"/>
          <w:i/>
        </w:rPr>
        <w:t>Journal of Financial Economics, 3</w:t>
      </w:r>
      <w:r>
        <w:rPr>
          <w:b w:val="0"/>
          <w:i w:val="0"/>
        </w:rPr>
        <w:t>(4), 305–360. https://doi.org/10.1016/0304-405X(76)90026-X</w:t>
      </w:r>
    </w:p>
    <w:p>
      <w:pPr>
        <w:spacing w:line="480" w:lineRule="auto" w:after="0"/>
        <w:ind w:left="720" w:hanging="720"/>
        <w:jc w:val="left"/>
      </w:pPr>
      <w:r>
        <w:rPr>
          <w:b w:val="0"/>
          <w:i w:val="0"/>
        </w:rPr>
        <w:t xml:space="preserve">Kenny, C. (2007). </w:t>
      </w:r>
      <w:r>
        <w:rPr>
          <w:b w:val="0"/>
          <w:i/>
        </w:rPr>
        <w:t>Construction, corruption, and developing countries</w:t>
      </w:r>
      <w:r>
        <w:rPr>
          <w:b w:val="0"/>
          <w:i w:val="0"/>
        </w:rPr>
        <w:t xml:space="preserve"> (Policy Research Working Paper No. 4271). World Bank.</w:t>
      </w:r>
    </w:p>
    <w:p>
      <w:pPr>
        <w:spacing w:line="480" w:lineRule="auto" w:after="0"/>
        <w:ind w:left="720" w:hanging="720"/>
        <w:jc w:val="left"/>
      </w:pPr>
      <w:r>
        <w:rPr>
          <w:b w:val="0"/>
          <w:i w:val="0"/>
        </w:rPr>
        <w:t xml:space="preserve">Kutner, M. H., Nachtsheim, C. J., &amp; Neter, J. (2004). </w:t>
      </w:r>
      <w:r>
        <w:rPr>
          <w:b w:val="0"/>
          <w:i/>
        </w:rPr>
        <w:t>Applied linear regression models</w:t>
      </w:r>
      <w:r>
        <w:rPr>
          <w:b w:val="0"/>
          <w:i w:val="0"/>
        </w:rPr>
        <w:t xml:space="preserve"> (4th ed.). McGraw-Hill/Irwin.</w:t>
      </w:r>
    </w:p>
    <w:p>
      <w:pPr>
        <w:spacing w:line="480" w:lineRule="auto" w:after="0"/>
        <w:ind w:left="720" w:hanging="720"/>
        <w:jc w:val="left"/>
      </w:pPr>
      <w:r>
        <w:rPr>
          <w:b w:val="0"/>
          <w:i w:val="0"/>
        </w:rPr>
        <w:t xml:space="preserve">Larocque, R., Boulé, A.-M., &amp; Cappart, Q. (2025). Estimating road construction costs with explainable machine learning. </w:t>
      </w:r>
      <w:r>
        <w:rPr>
          <w:b w:val="0"/>
          <w:i/>
        </w:rPr>
        <w:t>INFORMS Journal on Applied Analytics, 55</w:t>
      </w:r>
      <w:r>
        <w:rPr>
          <w:b w:val="0"/>
          <w:i w:val="0"/>
        </w:rPr>
        <w:t>(2), 137–153. https://doi.org/10.1287/inte.2023.0027</w:t>
      </w:r>
    </w:p>
    <w:p>
      <w:pPr>
        <w:spacing w:line="480" w:lineRule="auto" w:after="0"/>
        <w:ind w:left="720" w:hanging="720"/>
        <w:jc w:val="left"/>
      </w:pPr>
      <w:r>
        <w:rPr>
          <w:b w:val="0"/>
          <w:i w:val="0"/>
        </w:rPr>
        <w:t xml:space="preserve">Liu, F. T., Ting, K. M., &amp; Zhou, Z.-H. (2008). Isolation forest. In </w:t>
      </w:r>
      <w:r>
        <w:rPr>
          <w:b w:val="0"/>
          <w:i/>
        </w:rPr>
        <w:t>2008 Eighth IEEE International Conference on Data Mining</w:t>
      </w:r>
      <w:r>
        <w:rPr>
          <w:b w:val="0"/>
          <w:i w:val="0"/>
        </w:rPr>
        <w:t xml:space="preserve"> (pp. 413–422). IEEE. https://doi.org/10.1109/ICDM.2008.17</w:t>
      </w:r>
    </w:p>
    <w:p>
      <w:pPr>
        <w:spacing w:line="480" w:lineRule="auto" w:after="0"/>
        <w:ind w:left="720" w:hanging="720"/>
        <w:jc w:val="left"/>
      </w:pPr>
      <w:r>
        <w:rPr>
          <w:b w:val="0"/>
          <w:i w:val="0"/>
        </w:rPr>
        <w:t xml:space="preserve">Locatelli, G., Mariani, G., Sainati, T., &amp; Greco, M. (2017). Corruption in public projects and megaprojects: There is an elephant in the room! </w:t>
      </w:r>
      <w:r>
        <w:rPr>
          <w:b w:val="0"/>
          <w:i/>
        </w:rPr>
        <w:t>International Journal of Project Management, 35</w:t>
      </w:r>
      <w:r>
        <w:rPr>
          <w:b w:val="0"/>
          <w:i w:val="0"/>
        </w:rPr>
        <w:t>(3), 252–268. https://doi.org/10.1016/j.ijproman.2016.09.010</w:t>
      </w:r>
    </w:p>
    <w:p>
      <w:pPr>
        <w:spacing w:line="480" w:lineRule="auto" w:after="0"/>
        <w:ind w:left="720" w:hanging="720"/>
        <w:jc w:val="left"/>
      </w:pPr>
      <w:r>
        <w:rPr>
          <w:b w:val="0"/>
          <w:i w:val="0"/>
        </w:rPr>
        <w:t xml:space="preserve">Lundberg, S. M., Erion, G. G., &amp; Lee, S.-I. (2018). </w:t>
      </w:r>
      <w:r>
        <w:rPr>
          <w:b w:val="0"/>
          <w:i/>
        </w:rPr>
        <w:t>Consistent individualized feature attribution for tree ensembles</w:t>
      </w:r>
      <w:r>
        <w:rPr>
          <w:b w:val="0"/>
          <w:i w:val="0"/>
        </w:rPr>
        <w:t xml:space="preserve"> (arXiv:1802.03888). https://arxiv.org/abs/1802.03888</w:t>
      </w:r>
    </w:p>
    <w:p>
      <w:pPr>
        <w:spacing w:line="480" w:lineRule="auto" w:after="0"/>
        <w:ind w:left="720" w:hanging="720"/>
        <w:jc w:val="left"/>
      </w:pPr>
      <w:r>
        <w:rPr>
          <w:b w:val="0"/>
          <w:i w:val="0"/>
        </w:rPr>
        <w:t xml:space="preserve">Lundberg, S. M., &amp; Lee, S.-I. (2017). A unified approach to interpreting model predictions. </w:t>
      </w:r>
      <w:r>
        <w:rPr>
          <w:b w:val="0"/>
          <w:i/>
        </w:rPr>
        <w:t>Advances in Neural Information Processing Systems, 30</w:t>
      </w:r>
      <w:r>
        <w:rPr>
          <w:b w:val="0"/>
          <w:i w:val="0"/>
        </w:rPr>
        <w:t>. https://arxiv.org/abs/1705.07874</w:t>
      </w:r>
    </w:p>
    <w:p>
      <w:pPr>
        <w:spacing w:line="480" w:lineRule="auto" w:after="0"/>
        <w:ind w:left="720" w:hanging="720"/>
        <w:jc w:val="left"/>
      </w:pPr>
      <w:r>
        <w:rPr>
          <w:b w:val="0"/>
          <w:i w:val="0"/>
        </w:rPr>
        <w:t xml:space="preserve">Mahamid, I. (2011). Early cost estimating for road construction projects using multiple regression techniques. </w:t>
      </w:r>
      <w:r>
        <w:rPr>
          <w:b w:val="0"/>
          <w:i/>
        </w:rPr>
        <w:t>Australasian Journal of Construction Economics and Building, 11</w:t>
      </w:r>
      <w:r>
        <w:rPr>
          <w:b w:val="0"/>
          <w:i w:val="0"/>
        </w:rPr>
        <w:t>(4), 87–101. https://doi.org/10.5130/AJCEB.v11i4.2195</w:t>
      </w:r>
    </w:p>
    <w:p>
      <w:pPr>
        <w:spacing w:line="480" w:lineRule="auto" w:after="0"/>
        <w:ind w:left="720" w:hanging="720"/>
        <w:jc w:val="left"/>
      </w:pPr>
      <w:r>
        <w:rPr>
          <w:b w:val="0"/>
          <w:i w:val="0"/>
        </w:rPr>
        <w:t xml:space="preserve">Molinaro, A. M., Simon, R., &amp; Pfeiffer, R. M. (2005). Prediction error estimation: A comparison of resampling methods. </w:t>
      </w:r>
      <w:r>
        <w:rPr>
          <w:b w:val="0"/>
          <w:i/>
        </w:rPr>
        <w:t>Bioinformatics, 21</w:t>
      </w:r>
      <w:r>
        <w:rPr>
          <w:b w:val="0"/>
          <w:i w:val="0"/>
        </w:rPr>
        <w:t>(15), 3301–3307. https://doi.org/10.1093/bioinformatics/bti499</w:t>
      </w:r>
    </w:p>
    <w:p>
      <w:pPr>
        <w:spacing w:line="480" w:lineRule="auto" w:after="0"/>
        <w:ind w:left="720" w:hanging="720"/>
        <w:jc w:val="left"/>
      </w:pPr>
      <w:r>
        <w:rPr>
          <w:b w:val="0"/>
          <w:i w:val="0"/>
        </w:rPr>
        <w:t xml:space="preserve">O'Brien, R. M. (2007). A caution regarding rules of thumb for variance inflation factors. </w:t>
      </w:r>
      <w:r>
        <w:rPr>
          <w:b w:val="0"/>
          <w:i/>
        </w:rPr>
        <w:t>Quality &amp; Quantity, 41</w:t>
      </w:r>
      <w:r>
        <w:rPr>
          <w:b w:val="0"/>
          <w:i w:val="0"/>
        </w:rPr>
        <w:t>(5), 673–690. https://doi.org/10.1007/s11135-006-9018-6</w:t>
      </w:r>
    </w:p>
    <w:p>
      <w:pPr>
        <w:spacing w:line="480" w:lineRule="auto" w:after="0"/>
        <w:ind w:left="720" w:hanging="720"/>
        <w:jc w:val="left"/>
      </w:pPr>
      <w:r>
        <w:rPr>
          <w:b w:val="0"/>
          <w:i w:val="0"/>
        </w:rPr>
        <w:t xml:space="preserve">OECD. (2016). </w:t>
      </w:r>
      <w:r>
        <w:rPr>
          <w:b w:val="0"/>
          <w:i/>
        </w:rPr>
        <w:t>Preventing corruption in public procurement</w:t>
      </w:r>
      <w:r>
        <w:rPr>
          <w:b w:val="0"/>
          <w:i w:val="0"/>
        </w:rPr>
        <w:t>. OECD Publishing.</w:t>
      </w:r>
    </w:p>
    <w:p>
      <w:pPr>
        <w:spacing w:line="480" w:lineRule="auto" w:after="0"/>
        <w:ind w:left="720" w:hanging="720"/>
        <w:jc w:val="left"/>
      </w:pPr>
      <w:r>
        <w:rPr>
          <w:b w:val="0"/>
          <w:i w:val="0"/>
        </w:rPr>
        <w:t xml:space="preserve">Pedregosa, F., Varoquaux, G., Gramfort, A., Michel, V., Thirion, B., Grisel, O., Blondel, M., Prettenhofer, P., Weiss, R., Dubourg, V., Vanderplas, J., Passos, A., Cournapeau, D., Brucher, M., Perrot, M., &amp; Duchesnay, É. (2011). Scikit-learn: Machine learning in Python. </w:t>
      </w:r>
      <w:r>
        <w:rPr>
          <w:b w:val="0"/>
          <w:i/>
        </w:rPr>
        <w:t>Journal of Machine Learning Research, 12</w:t>
      </w:r>
      <w:r>
        <w:rPr>
          <w:b w:val="0"/>
          <w:i w:val="0"/>
        </w:rPr>
        <w:t>, 2825–2830.</w:t>
      </w:r>
    </w:p>
    <w:p>
      <w:pPr>
        <w:spacing w:line="480" w:lineRule="auto" w:after="0"/>
        <w:ind w:left="720" w:hanging="720"/>
        <w:jc w:val="left"/>
      </w:pPr>
      <w:r>
        <w:rPr>
          <w:b w:val="0"/>
          <w:i w:val="0"/>
        </w:rPr>
        <w:t xml:space="preserve">Philippine Center for Investigative Journalism. (2025, August 31). </w:t>
      </w:r>
      <w:r>
        <w:rPr>
          <w:b w:val="0"/>
          <w:i/>
        </w:rPr>
        <w:t>5 reveals from the flood control data</w:t>
      </w:r>
      <w:r>
        <w:rPr>
          <w:b w:val="0"/>
          <w:i w:val="0"/>
        </w:rPr>
        <w:t>. https://pcij.org/2025/08/31/5-reveals-from-the-flood-control-data/</w:t>
      </w:r>
    </w:p>
    <w:p>
      <w:pPr>
        <w:spacing w:line="480" w:lineRule="auto" w:after="0"/>
        <w:ind w:left="720" w:hanging="720"/>
        <w:jc w:val="left"/>
      </w:pPr>
      <w:r>
        <w:rPr>
          <w:b w:val="0"/>
          <w:i w:val="0"/>
        </w:rPr>
        <w:t xml:space="preserve">Philstar. (2025, March 1). </w:t>
      </w:r>
      <w:r>
        <w:rPr>
          <w:b w:val="0"/>
          <w:i/>
        </w:rPr>
        <w:t>Newly opened P1.2 billion Isabela bridge collapses</w:t>
      </w:r>
      <w:r>
        <w:rPr>
          <w:b w:val="0"/>
          <w:i w:val="0"/>
        </w:rPr>
        <w:t>. https://www.philstar.com/headlines/2025/03/01/2425019/newly-opened-p12-billion-isabela-bridge-collapses</w:t>
      </w:r>
    </w:p>
    <w:p>
      <w:pPr>
        <w:spacing w:line="480" w:lineRule="auto" w:after="0"/>
        <w:ind w:left="720" w:hanging="720"/>
        <w:jc w:val="left"/>
      </w:pPr>
      <w:r>
        <w:rPr>
          <w:b w:val="0"/>
          <w:i w:val="0"/>
        </w:rPr>
        <w:t xml:space="preserve">Philstar. (2026, February 12). </w:t>
      </w:r>
      <w:r>
        <w:rPr>
          <w:b w:val="0"/>
          <w:i/>
        </w:rPr>
        <w:t>Philippines falls in corruption index, among worst in SEA</w:t>
      </w:r>
      <w:r>
        <w:rPr>
          <w:b w:val="0"/>
          <w:i w:val="0"/>
        </w:rPr>
        <w:t>. https://www.philstar.com/headlines/2026/02/12/2507429/philippines-falls-corruption-index-among-worst-sea</w:t>
      </w:r>
    </w:p>
    <w:p>
      <w:pPr>
        <w:spacing w:line="480" w:lineRule="auto" w:after="0"/>
        <w:ind w:left="720" w:hanging="720"/>
        <w:jc w:val="left"/>
      </w:pPr>
      <w:r>
        <w:rPr>
          <w:b w:val="0"/>
          <w:i w:val="0"/>
        </w:rPr>
        <w:t xml:space="preserve">Presidential Decree No. 1096. (1977). </w:t>
      </w:r>
      <w:r>
        <w:rPr>
          <w:b w:val="0"/>
          <w:i/>
        </w:rPr>
        <w:t>National building code of the Philippines</w:t>
      </w:r>
      <w:r>
        <w:rPr>
          <w:b w:val="0"/>
          <w:i w:val="0"/>
        </w:rPr>
        <w:t>.</w:t>
      </w:r>
    </w:p>
    <w:p>
      <w:pPr>
        <w:spacing w:line="480" w:lineRule="auto" w:after="0"/>
        <w:ind w:left="720" w:hanging="720"/>
        <w:jc w:val="left"/>
      </w:pPr>
      <w:r>
        <w:rPr>
          <w:b w:val="0"/>
          <w:i w:val="0"/>
        </w:rPr>
        <w:t xml:space="preserve">Republic Act No. 9514. (2008). </w:t>
      </w:r>
      <w:r>
        <w:rPr>
          <w:b w:val="0"/>
          <w:i/>
        </w:rPr>
        <w:t>Fire code of the Philippines of 2008</w:t>
      </w:r>
      <w:r>
        <w:rPr>
          <w:b w:val="0"/>
          <w:i w:val="0"/>
        </w:rPr>
        <w:t>.</w:t>
      </w:r>
    </w:p>
    <w:p>
      <w:pPr>
        <w:spacing w:line="480" w:lineRule="auto" w:after="0"/>
        <w:ind w:left="720" w:hanging="720"/>
        <w:jc w:val="left"/>
      </w:pPr>
      <w:r>
        <w:rPr>
          <w:b w:val="0"/>
          <w:i w:val="0"/>
        </w:rPr>
        <w:t xml:space="preserve">Republic Act No. 12009. (2024). </w:t>
      </w:r>
      <w:r>
        <w:rPr>
          <w:b w:val="0"/>
          <w:i/>
        </w:rPr>
        <w:t>New government procurement act</w:t>
      </w:r>
      <w:r>
        <w:rPr>
          <w:b w:val="0"/>
          <w:i w:val="0"/>
        </w:rPr>
        <w:t>.</w:t>
      </w:r>
    </w:p>
    <w:p>
      <w:pPr>
        <w:spacing w:line="480" w:lineRule="auto" w:after="0"/>
        <w:ind w:left="720" w:hanging="720"/>
        <w:jc w:val="left"/>
      </w:pPr>
      <w:r>
        <w:rPr>
          <w:b w:val="0"/>
          <w:i w:val="0"/>
        </w:rPr>
        <w:t xml:space="preserve">Seabold, S., &amp; Perktold, J. (2010). Statsmodels: Econometric and statistical modeling with Python. In </w:t>
      </w:r>
      <w:r>
        <w:rPr>
          <w:b w:val="0"/>
          <w:i/>
        </w:rPr>
        <w:t>Proceedings of the 9th Python in Science Conference</w:t>
      </w:r>
      <w:r>
        <w:rPr>
          <w:b w:val="0"/>
          <w:i w:val="0"/>
        </w:rPr>
        <w:t xml:space="preserve"> (pp. 92–96).</w:t>
      </w:r>
    </w:p>
    <w:p>
      <w:pPr>
        <w:spacing w:line="480" w:lineRule="auto" w:after="0"/>
        <w:ind w:left="720" w:hanging="720"/>
        <w:jc w:val="left"/>
      </w:pPr>
      <w:r>
        <w:rPr>
          <w:b w:val="0"/>
          <w:i w:val="0"/>
        </w:rPr>
        <w:t xml:space="preserve">Shapley, L. S. (1953). A value for n-person games. In H. W. Kuhn &amp; A. W. Tucker (Eds.), </w:t>
      </w:r>
      <w:r>
        <w:rPr>
          <w:b w:val="0"/>
          <w:i/>
        </w:rPr>
        <w:t>Contributions to the theory of games</w:t>
      </w:r>
      <w:r>
        <w:rPr>
          <w:b w:val="0"/>
          <w:i w:val="0"/>
        </w:rPr>
        <w:t xml:space="preserve"> (Vol. 2, pp. 307–317). Princeton University Press.</w:t>
      </w:r>
    </w:p>
    <w:p>
      <w:pPr>
        <w:spacing w:line="480" w:lineRule="auto" w:after="0"/>
        <w:ind w:left="720" w:hanging="720"/>
        <w:jc w:val="left"/>
      </w:pPr>
      <w:r>
        <w:rPr>
          <w:b w:val="0"/>
          <w:i w:val="0"/>
        </w:rPr>
        <w:t xml:space="preserve">Transparency International. (2026). </w:t>
      </w:r>
      <w:r>
        <w:rPr>
          <w:b w:val="0"/>
          <w:i/>
        </w:rPr>
        <w:t>Corruption perceptions index 2025</w:t>
      </w:r>
      <w:r>
        <w:rPr>
          <w:b w:val="0"/>
          <w:i w:val="0"/>
        </w:rPr>
        <w:t>. https://www.transparency.org/en/cpi/2025</w:t>
      </w:r>
    </w:p>
    <w:p>
      <w:pPr>
        <w:spacing w:line="480" w:lineRule="auto" w:after="0"/>
        <w:ind w:left="720" w:hanging="720"/>
        <w:jc w:val="left"/>
      </w:pPr>
      <w:r>
        <w:rPr>
          <w:b w:val="0"/>
          <w:i w:val="0"/>
        </w:rPr>
        <w:t xml:space="preserve">United Nations. (2015). </w:t>
      </w:r>
      <w:r>
        <w:rPr>
          <w:b w:val="0"/>
          <w:i/>
        </w:rPr>
        <w:t>Transforming our world: The 2030 agenda for sustainable development</w:t>
      </w:r>
      <w:r>
        <w:rPr>
          <w:b w:val="0"/>
          <w:i w:val="0"/>
        </w:rPr>
        <w:t xml:space="preserve"> (A/RES/70/1).</w:t>
      </w:r>
    </w:p>
    <w:p>
      <w:pPr>
        <w:spacing w:line="480" w:lineRule="auto" w:after="0"/>
        <w:ind w:left="720" w:hanging="720"/>
        <w:jc w:val="left"/>
      </w:pPr>
      <w:r>
        <w:rPr>
          <w:b w:val="0"/>
          <w:i w:val="0"/>
        </w:rPr>
        <w:t xml:space="preserve">U.S. Government Accountability Office. (2020). </w:t>
      </w:r>
      <w:r>
        <w:rPr>
          <w:b w:val="0"/>
          <w:i/>
        </w:rPr>
        <w:t>Cost estimating and assessment guide: Best practices for developing and managing program costs</w:t>
      </w:r>
      <w:r>
        <w:rPr>
          <w:b w:val="0"/>
          <w:i w:val="0"/>
        </w:rPr>
        <w:t xml:space="preserve"> (GAO-20-195G).</w:t>
      </w:r>
    </w:p>
    <w:p>
      <w:pPr>
        <w:spacing w:line="480" w:lineRule="auto" w:after="0"/>
        <w:ind w:left="720" w:hanging="720"/>
        <w:jc w:val="left"/>
      </w:pPr>
      <w:r>
        <w:rPr>
          <w:b w:val="0"/>
          <w:i w:val="0"/>
        </w:rPr>
        <w:t xml:space="preserve">Vapnik, V. N. (1998). </w:t>
      </w:r>
      <w:r>
        <w:rPr>
          <w:b w:val="0"/>
          <w:i/>
        </w:rPr>
        <w:t>Statistical learning theory</w:t>
      </w:r>
      <w:r>
        <w:rPr>
          <w:b w:val="0"/>
          <w:i w:val="0"/>
        </w:rPr>
        <w:t>. Wiley.</w:t>
      </w:r>
    </w:p>
    <w:p>
      <w:pPr>
        <w:keepNext/>
        <w:spacing w:line="480" w:lineRule="auto" w:after="0"/>
        <w:jc w:val="center"/>
      </w:pPr>
      <w:r>
        <w:rPr>
          <w:b/>
          <w:i w:val="0"/>
        </w:rPr>
        <w:t>APPENDICES</w:t>
      </w:r>
    </w:p>
    <w:p>
      <w:pPr>
        <w:spacing w:line="360" w:lineRule="auto" w:after="0"/>
        <w:jc w:val="center"/>
      </w:pPr>
      <w:r>
        <w:rPr>
          <w:b/>
          <w:i w:val="0"/>
        </w:rPr>
        <w:t>Appendix A. Sample Records of the Simulated Benchmark Dataset (SBD-300)</w:t>
      </w:r>
    </w:p>
    <w:tbl>
      <w:tblPr>
        <w:tblW w:type="auto" w:w="0"/>
        <w:jc w:val="center"/>
        <w:tblLayout w:type="fixed"/>
        <w:tblLook w:firstColumn="1" w:firstRow="1" w:lastColumn="0" w:lastRow="0" w:noHBand="0" w:noVBand="1" w:val="04A0"/>
        <w:tblLayout w:type="fixed"/>
      </w:tblPr>
      <w:tblGrid>
        <w:gridCol w:w="1224"/>
        <w:gridCol w:w="1512"/>
        <w:gridCol w:w="792"/>
        <w:gridCol w:w="2592"/>
        <w:gridCol w:w="1080"/>
        <w:gridCol w:w="1080"/>
        <w:gridCol w:w="1080"/>
      </w:tblGrid>
      <w:tr>
        <w:tc>
          <w:tcPr>
            <w:tcW w:type="dxa" w:w="1224"/>
            <w:tcBorders>
              <w:top w:val="single" w:sz="12" w:color="000000"/>
              <w:bottom w:val="single" w:sz="8" w:color="000000"/>
            </w:tcBorders>
          </w:tcPr>
          <w:p>
            <w:pPr>
              <w:spacing w:line="240" w:lineRule="auto" w:before="40" w:after="40"/>
              <w:jc w:val="center"/>
            </w:pPr>
            <w:r/>
            <w:r>
              <w:rPr>
                <w:b/>
                <w:i w:val="0"/>
                <w:sz w:val="18"/>
              </w:rPr>
              <w:t>ID</w:t>
            </w:r>
          </w:p>
        </w:tc>
        <w:tc>
          <w:tcPr>
            <w:tcW w:type="dxa" w:w="1512"/>
            <w:tcBorders>
              <w:top w:val="single" w:sz="12" w:color="000000"/>
              <w:bottom w:val="single" w:sz="8" w:color="000000"/>
            </w:tcBorders>
          </w:tcPr>
          <w:p>
            <w:pPr>
              <w:spacing w:line="240" w:lineRule="auto" w:before="40" w:after="40"/>
              <w:jc w:val="center"/>
            </w:pPr>
            <w:r/>
            <w:r>
              <w:rPr>
                <w:b/>
                <w:i w:val="0"/>
                <w:sz w:val="18"/>
              </w:rPr>
              <w:t>PROVINCE</w:t>
            </w:r>
          </w:p>
        </w:tc>
        <w:tc>
          <w:tcPr>
            <w:tcW w:type="dxa" w:w="792"/>
            <w:tcBorders>
              <w:top w:val="single" w:sz="12" w:color="000000"/>
              <w:bottom w:val="single" w:sz="8" w:color="000000"/>
            </w:tcBorders>
          </w:tcPr>
          <w:p>
            <w:pPr>
              <w:spacing w:line="240" w:lineRule="auto" w:before="40" w:after="40"/>
              <w:jc w:val="center"/>
            </w:pPr>
            <w:r/>
            <w:r>
              <w:rPr>
                <w:b/>
                <w:i w:val="0"/>
                <w:sz w:val="18"/>
              </w:rPr>
              <w:t>YEAR</w:t>
            </w:r>
          </w:p>
        </w:tc>
        <w:tc>
          <w:tcPr>
            <w:tcW w:type="dxa" w:w="2592"/>
            <w:tcBorders>
              <w:top w:val="single" w:sz="12" w:color="000000"/>
              <w:bottom w:val="single" w:sz="8" w:color="000000"/>
            </w:tcBorders>
          </w:tcPr>
          <w:p>
            <w:pPr>
              <w:spacing w:line="240" w:lineRule="auto" w:before="40" w:after="40"/>
              <w:jc w:val="center"/>
            </w:pPr>
            <w:r/>
            <w:r>
              <w:rPr>
                <w:b/>
                <w:i w:val="0"/>
                <w:sz w:val="18"/>
              </w:rPr>
              <w:t>PLAN</w:t>
            </w:r>
          </w:p>
        </w:tc>
        <w:tc>
          <w:tcPr>
            <w:tcW w:type="dxa" w:w="1080"/>
            <w:tcBorders>
              <w:top w:val="single" w:sz="12" w:color="000000"/>
              <w:bottom w:val="single" w:sz="8" w:color="000000"/>
            </w:tcBorders>
          </w:tcPr>
          <w:p>
            <w:pPr>
              <w:spacing w:line="240" w:lineRule="auto" w:before="40" w:after="40"/>
              <w:jc w:val="center"/>
            </w:pPr>
            <w:r/>
            <w:r>
              <w:rPr>
                <w:b/>
                <w:i w:val="0"/>
                <w:sz w:val="18"/>
              </w:rPr>
              <w:t>STANDARD (₱M)</w:t>
            </w:r>
          </w:p>
        </w:tc>
        <w:tc>
          <w:tcPr>
            <w:tcW w:type="dxa" w:w="1080"/>
            <w:tcBorders>
              <w:top w:val="single" w:sz="12" w:color="000000"/>
              <w:bottom w:val="single" w:sz="8" w:color="000000"/>
            </w:tcBorders>
          </w:tcPr>
          <w:p>
            <w:pPr>
              <w:spacing w:line="240" w:lineRule="auto" w:before="40" w:after="40"/>
              <w:jc w:val="center"/>
            </w:pPr>
            <w:r/>
            <w:r>
              <w:rPr>
                <w:b/>
                <w:i w:val="0"/>
                <w:sz w:val="18"/>
              </w:rPr>
              <w:t>AWARDED (₱M)</w:t>
            </w:r>
          </w:p>
        </w:tc>
        <w:tc>
          <w:tcPr>
            <w:tcW w:type="dxa" w:w="1080"/>
            <w:tcBorders>
              <w:top w:val="single" w:sz="12" w:color="000000"/>
              <w:bottom w:val="single" w:sz="8" w:color="000000"/>
            </w:tcBorders>
          </w:tcPr>
          <w:p>
            <w:pPr>
              <w:spacing w:line="240" w:lineRule="auto" w:before="40" w:after="40"/>
              <w:jc w:val="center"/>
            </w:pPr>
            <w:r/>
            <w:r>
              <w:rPr>
                <w:b/>
                <w:i w:val="0"/>
                <w:sz w:val="18"/>
              </w:rPr>
              <w:t>INJECTED</w:t>
            </w:r>
          </w:p>
        </w:tc>
      </w:tr>
      <w:tr>
        <w:tc>
          <w:tcPr>
            <w:tcW w:type="dxa" w:w="1224"/>
            <w:shd w:val="clear" w:color="auto" w:fill="EFEFEF"/>
          </w:tcPr>
          <w:p>
            <w:pPr>
              <w:spacing w:line="240" w:lineRule="auto" w:before="40" w:after="40"/>
              <w:jc w:val="left"/>
            </w:pPr>
            <w:r/>
            <w:r>
              <w:rPr>
                <w:b w:val="0"/>
                <w:i w:val="0"/>
                <w:sz w:val="18"/>
              </w:rPr>
              <w:t>SIM-B-001</w:t>
            </w:r>
          </w:p>
        </w:tc>
        <w:tc>
          <w:tcPr>
            <w:tcW w:type="dxa" w:w="1512"/>
            <w:shd w:val="clear" w:color="auto" w:fill="EFEFEF"/>
          </w:tcPr>
          <w:p>
            <w:pPr>
              <w:spacing w:line="240" w:lineRule="auto" w:before="40" w:after="40"/>
              <w:jc w:val="left"/>
            </w:pPr>
            <w:r/>
            <w:r>
              <w:rPr>
                <w:b w:val="0"/>
                <w:i w:val="0"/>
                <w:sz w:val="18"/>
              </w:rPr>
              <w:t>Sorsogon</w:t>
            </w:r>
          </w:p>
        </w:tc>
        <w:tc>
          <w:tcPr>
            <w:tcW w:type="dxa" w:w="792"/>
            <w:shd w:val="clear" w:color="auto" w:fill="EFEFEF"/>
          </w:tcPr>
          <w:p>
            <w:pPr>
              <w:spacing w:line="240" w:lineRule="auto" w:before="40" w:after="40"/>
              <w:jc w:val="right"/>
            </w:pPr>
            <w:r/>
            <w:r>
              <w:rPr>
                <w:b w:val="0"/>
                <w:i w:val="0"/>
                <w:sz w:val="18"/>
              </w:rPr>
              <w:t>2023</w:t>
            </w:r>
          </w:p>
        </w:tc>
        <w:tc>
          <w:tcPr>
            <w:tcW w:type="dxa" w:w="2592"/>
            <w:shd w:val="clear" w:color="auto" w:fill="EFEFEF"/>
          </w:tcPr>
          <w:p>
            <w:pPr>
              <w:spacing w:line="240" w:lineRule="auto" w:before="40" w:after="40"/>
              <w:jc w:val="left"/>
            </w:pPr>
            <w:r/>
            <w:r>
              <w:rPr>
                <w:b w:val="0"/>
                <w:i w:val="0"/>
                <w:sz w:val="18"/>
              </w:rPr>
              <w:t>2-st school, 27.0×9.1 m</w:t>
            </w:r>
          </w:p>
        </w:tc>
        <w:tc>
          <w:tcPr>
            <w:tcW w:type="dxa" w:w="1080"/>
            <w:shd w:val="clear" w:color="auto" w:fill="EFEFEF"/>
          </w:tcPr>
          <w:p>
            <w:pPr>
              <w:spacing w:line="240" w:lineRule="auto" w:before="40" w:after="40"/>
              <w:jc w:val="right"/>
            </w:pPr>
            <w:r/>
            <w:r>
              <w:rPr>
                <w:b w:val="0"/>
                <w:i w:val="0"/>
                <w:sz w:val="18"/>
              </w:rPr>
              <w:t>13.74</w:t>
            </w:r>
          </w:p>
        </w:tc>
        <w:tc>
          <w:tcPr>
            <w:tcW w:type="dxa" w:w="1080"/>
            <w:shd w:val="clear" w:color="auto" w:fill="EFEFEF"/>
          </w:tcPr>
          <w:p>
            <w:pPr>
              <w:spacing w:line="240" w:lineRule="auto" w:before="40" w:after="40"/>
              <w:jc w:val="right"/>
            </w:pPr>
            <w:r/>
            <w:r>
              <w:rPr>
                <w:b w:val="0"/>
                <w:i w:val="0"/>
                <w:sz w:val="18"/>
              </w:rPr>
              <w:t>13.53</w:t>
            </w:r>
          </w:p>
        </w:tc>
        <w:tc>
          <w:tcPr>
            <w:tcW w:type="dxa" w:w="1080"/>
            <w:shd w:val="clear" w:color="auto" w:fill="EFEFEF"/>
          </w:tcPr>
          <w:p>
            <w:pPr>
              <w:spacing w:line="240" w:lineRule="auto" w:before="40" w:after="40"/>
              <w:jc w:val="left"/>
            </w:pPr>
            <w:r/>
            <w:r>
              <w:rPr>
                <w:b w:val="0"/>
                <w:i w:val="0"/>
                <w:sz w:val="18"/>
              </w:rPr>
              <w:t>No</w:t>
            </w:r>
          </w:p>
        </w:tc>
      </w:tr>
      <w:tr>
        <w:tc>
          <w:tcPr>
            <w:tcW w:type="dxa" w:w="1224"/>
          </w:tcPr>
          <w:p>
            <w:pPr>
              <w:spacing w:line="240" w:lineRule="auto" w:before="40" w:after="40"/>
              <w:jc w:val="left"/>
            </w:pPr>
            <w:r/>
            <w:r>
              <w:rPr>
                <w:b w:val="0"/>
                <w:i w:val="0"/>
                <w:sz w:val="18"/>
              </w:rPr>
              <w:t>SIM-B-002</w:t>
            </w:r>
          </w:p>
        </w:tc>
        <w:tc>
          <w:tcPr>
            <w:tcW w:type="dxa" w:w="1512"/>
          </w:tcPr>
          <w:p>
            <w:pPr>
              <w:spacing w:line="240" w:lineRule="auto" w:before="40" w:after="40"/>
              <w:jc w:val="left"/>
            </w:pPr>
            <w:r/>
            <w:r>
              <w:rPr>
                <w:b w:val="0"/>
                <w:i w:val="0"/>
                <w:sz w:val="18"/>
              </w:rPr>
              <w:t>Camarines Sur</w:t>
            </w:r>
          </w:p>
        </w:tc>
        <w:tc>
          <w:tcPr>
            <w:tcW w:type="dxa" w:w="792"/>
          </w:tcPr>
          <w:p>
            <w:pPr>
              <w:spacing w:line="240" w:lineRule="auto" w:before="40" w:after="40"/>
              <w:jc w:val="right"/>
            </w:pPr>
            <w:r/>
            <w:r>
              <w:rPr>
                <w:b w:val="0"/>
                <w:i w:val="0"/>
                <w:sz w:val="18"/>
              </w:rPr>
              <w:t>2022</w:t>
            </w:r>
          </w:p>
        </w:tc>
        <w:tc>
          <w:tcPr>
            <w:tcW w:type="dxa" w:w="2592"/>
          </w:tcPr>
          <w:p>
            <w:pPr>
              <w:spacing w:line="240" w:lineRule="auto" w:before="40" w:after="40"/>
              <w:jc w:val="left"/>
            </w:pPr>
            <w:r/>
            <w:r>
              <w:rPr>
                <w:b w:val="0"/>
                <w:i w:val="0"/>
                <w:sz w:val="18"/>
              </w:rPr>
              <w:t>1-st market, 40.9×19.7 m</w:t>
            </w:r>
          </w:p>
        </w:tc>
        <w:tc>
          <w:tcPr>
            <w:tcW w:type="dxa" w:w="1080"/>
          </w:tcPr>
          <w:p>
            <w:pPr>
              <w:spacing w:line="240" w:lineRule="auto" w:before="40" w:after="40"/>
              <w:jc w:val="right"/>
            </w:pPr>
            <w:r/>
            <w:r>
              <w:rPr>
                <w:b w:val="0"/>
                <w:i w:val="0"/>
                <w:sz w:val="18"/>
              </w:rPr>
              <w:t>20.57</w:t>
            </w:r>
          </w:p>
        </w:tc>
        <w:tc>
          <w:tcPr>
            <w:tcW w:type="dxa" w:w="1080"/>
          </w:tcPr>
          <w:p>
            <w:pPr>
              <w:spacing w:line="240" w:lineRule="auto" w:before="40" w:after="40"/>
              <w:jc w:val="right"/>
            </w:pPr>
            <w:r/>
            <w:r>
              <w:rPr>
                <w:b w:val="0"/>
                <w:i w:val="0"/>
                <w:sz w:val="18"/>
              </w:rPr>
              <w:t>19.03</w:t>
            </w:r>
          </w:p>
        </w:tc>
        <w:tc>
          <w:tcPr>
            <w:tcW w:type="dxa" w:w="1080"/>
          </w:tcPr>
          <w:p>
            <w:pPr>
              <w:spacing w:line="240" w:lineRule="auto" w:before="40" w:after="40"/>
              <w:jc w:val="left"/>
            </w:pPr>
            <w:r/>
            <w:r>
              <w:rPr>
                <w:b w:val="0"/>
                <w:i w:val="0"/>
                <w:sz w:val="18"/>
              </w:rPr>
              <w:t>No</w:t>
            </w:r>
          </w:p>
        </w:tc>
      </w:tr>
      <w:tr>
        <w:tc>
          <w:tcPr>
            <w:tcW w:type="dxa" w:w="1224"/>
            <w:shd w:val="clear" w:color="auto" w:fill="EFEFEF"/>
          </w:tcPr>
          <w:p>
            <w:pPr>
              <w:spacing w:line="240" w:lineRule="auto" w:before="40" w:after="40"/>
              <w:jc w:val="left"/>
            </w:pPr>
            <w:r/>
            <w:r>
              <w:rPr>
                <w:b w:val="0"/>
                <w:i w:val="0"/>
                <w:sz w:val="18"/>
              </w:rPr>
              <w:t>SIM-B-003</w:t>
            </w:r>
          </w:p>
        </w:tc>
        <w:tc>
          <w:tcPr>
            <w:tcW w:type="dxa" w:w="1512"/>
            <w:shd w:val="clear" w:color="auto" w:fill="EFEFEF"/>
          </w:tcPr>
          <w:p>
            <w:pPr>
              <w:spacing w:line="240" w:lineRule="auto" w:before="40" w:after="40"/>
              <w:jc w:val="left"/>
            </w:pPr>
            <w:r/>
            <w:r>
              <w:rPr>
                <w:b w:val="0"/>
                <w:i w:val="0"/>
                <w:sz w:val="18"/>
              </w:rPr>
              <w:t>Camarines Sur</w:t>
            </w:r>
          </w:p>
        </w:tc>
        <w:tc>
          <w:tcPr>
            <w:tcW w:type="dxa" w:w="792"/>
            <w:shd w:val="clear" w:color="auto" w:fill="EFEFEF"/>
          </w:tcPr>
          <w:p>
            <w:pPr>
              <w:spacing w:line="240" w:lineRule="auto" w:before="40" w:after="40"/>
              <w:jc w:val="right"/>
            </w:pPr>
            <w:r/>
            <w:r>
              <w:rPr>
                <w:b w:val="0"/>
                <w:i w:val="0"/>
                <w:sz w:val="18"/>
              </w:rPr>
              <w:t>2024</w:t>
            </w:r>
          </w:p>
        </w:tc>
        <w:tc>
          <w:tcPr>
            <w:tcW w:type="dxa" w:w="2592"/>
            <w:shd w:val="clear" w:color="auto" w:fill="EFEFEF"/>
          </w:tcPr>
          <w:p>
            <w:pPr>
              <w:spacing w:line="240" w:lineRule="auto" w:before="40" w:after="40"/>
              <w:jc w:val="left"/>
            </w:pPr>
            <w:r/>
            <w:r>
              <w:rPr>
                <w:b w:val="0"/>
                <w:i w:val="0"/>
                <w:sz w:val="18"/>
              </w:rPr>
              <w:t>1-st health, 30.8×8.2 m</w:t>
            </w:r>
          </w:p>
        </w:tc>
        <w:tc>
          <w:tcPr>
            <w:tcW w:type="dxa" w:w="1080"/>
            <w:shd w:val="clear" w:color="auto" w:fill="EFEFEF"/>
          </w:tcPr>
          <w:p>
            <w:pPr>
              <w:spacing w:line="240" w:lineRule="auto" w:before="40" w:after="40"/>
              <w:jc w:val="right"/>
            </w:pPr>
            <w:r/>
            <w:r>
              <w:rPr>
                <w:b w:val="0"/>
                <w:i w:val="0"/>
                <w:sz w:val="18"/>
              </w:rPr>
              <w:t>9.78</w:t>
            </w:r>
          </w:p>
        </w:tc>
        <w:tc>
          <w:tcPr>
            <w:tcW w:type="dxa" w:w="1080"/>
            <w:shd w:val="clear" w:color="auto" w:fill="EFEFEF"/>
          </w:tcPr>
          <w:p>
            <w:pPr>
              <w:spacing w:line="240" w:lineRule="auto" w:before="40" w:after="40"/>
              <w:jc w:val="right"/>
            </w:pPr>
            <w:r/>
            <w:r>
              <w:rPr>
                <w:b w:val="0"/>
                <w:i w:val="0"/>
                <w:sz w:val="18"/>
              </w:rPr>
              <w:t>9.48</w:t>
            </w:r>
          </w:p>
        </w:tc>
        <w:tc>
          <w:tcPr>
            <w:tcW w:type="dxa" w:w="1080"/>
            <w:shd w:val="clear" w:color="auto" w:fill="EFEFEF"/>
          </w:tcPr>
          <w:p>
            <w:pPr>
              <w:spacing w:line="240" w:lineRule="auto" w:before="40" w:after="40"/>
              <w:jc w:val="left"/>
            </w:pPr>
            <w:r/>
            <w:r>
              <w:rPr>
                <w:b w:val="0"/>
                <w:i w:val="0"/>
                <w:sz w:val="18"/>
              </w:rPr>
              <w:t>No</w:t>
            </w:r>
          </w:p>
        </w:tc>
      </w:tr>
      <w:tr>
        <w:tc>
          <w:tcPr>
            <w:tcW w:type="dxa" w:w="1224"/>
          </w:tcPr>
          <w:p>
            <w:pPr>
              <w:spacing w:line="240" w:lineRule="auto" w:before="40" w:after="40"/>
              <w:jc w:val="left"/>
            </w:pPr>
            <w:r/>
            <w:r>
              <w:rPr>
                <w:b w:val="0"/>
                <w:i w:val="0"/>
                <w:sz w:val="18"/>
              </w:rPr>
              <w:t>SIM-B-004</w:t>
            </w:r>
          </w:p>
        </w:tc>
        <w:tc>
          <w:tcPr>
            <w:tcW w:type="dxa" w:w="1512"/>
          </w:tcPr>
          <w:p>
            <w:pPr>
              <w:spacing w:line="240" w:lineRule="auto" w:before="40" w:after="40"/>
              <w:jc w:val="left"/>
            </w:pPr>
            <w:r/>
            <w:r>
              <w:rPr>
                <w:b w:val="0"/>
                <w:i w:val="0"/>
                <w:sz w:val="18"/>
              </w:rPr>
              <w:t>Masbate</w:t>
            </w:r>
          </w:p>
        </w:tc>
        <w:tc>
          <w:tcPr>
            <w:tcW w:type="dxa" w:w="792"/>
          </w:tcPr>
          <w:p>
            <w:pPr>
              <w:spacing w:line="240" w:lineRule="auto" w:before="40" w:after="40"/>
              <w:jc w:val="right"/>
            </w:pPr>
            <w:r/>
            <w:r>
              <w:rPr>
                <w:b w:val="0"/>
                <w:i w:val="0"/>
                <w:sz w:val="18"/>
              </w:rPr>
              <w:t>2024</w:t>
            </w:r>
          </w:p>
        </w:tc>
        <w:tc>
          <w:tcPr>
            <w:tcW w:type="dxa" w:w="2592"/>
          </w:tcPr>
          <w:p>
            <w:pPr>
              <w:spacing w:line="240" w:lineRule="auto" w:before="40" w:after="40"/>
              <w:jc w:val="left"/>
            </w:pPr>
            <w:r/>
            <w:r>
              <w:rPr>
                <w:b w:val="0"/>
                <w:i w:val="0"/>
                <w:sz w:val="18"/>
              </w:rPr>
              <w:t>2-st school, 45.0×9.8 m</w:t>
            </w:r>
          </w:p>
        </w:tc>
        <w:tc>
          <w:tcPr>
            <w:tcW w:type="dxa" w:w="1080"/>
          </w:tcPr>
          <w:p>
            <w:pPr>
              <w:spacing w:line="240" w:lineRule="auto" w:before="40" w:after="40"/>
              <w:jc w:val="right"/>
            </w:pPr>
            <w:r/>
            <w:r>
              <w:rPr>
                <w:b w:val="0"/>
                <w:i w:val="0"/>
                <w:sz w:val="18"/>
              </w:rPr>
              <w:t>23.77</w:t>
            </w:r>
          </w:p>
        </w:tc>
        <w:tc>
          <w:tcPr>
            <w:tcW w:type="dxa" w:w="1080"/>
          </w:tcPr>
          <w:p>
            <w:pPr>
              <w:spacing w:line="240" w:lineRule="auto" w:before="40" w:after="40"/>
              <w:jc w:val="right"/>
            </w:pPr>
            <w:r/>
            <w:r>
              <w:rPr>
                <w:b w:val="0"/>
                <w:i w:val="0"/>
                <w:sz w:val="18"/>
              </w:rPr>
              <w:t>22.11</w:t>
            </w:r>
          </w:p>
        </w:tc>
        <w:tc>
          <w:tcPr>
            <w:tcW w:type="dxa" w:w="1080"/>
          </w:tcPr>
          <w:p>
            <w:pPr>
              <w:spacing w:line="240" w:lineRule="auto" w:before="40" w:after="40"/>
              <w:jc w:val="left"/>
            </w:pPr>
            <w:r/>
            <w:r>
              <w:rPr>
                <w:b w:val="0"/>
                <w:i w:val="0"/>
                <w:sz w:val="18"/>
              </w:rPr>
              <w:t>No</w:t>
            </w:r>
          </w:p>
        </w:tc>
      </w:tr>
      <w:tr>
        <w:tc>
          <w:tcPr>
            <w:tcW w:type="dxa" w:w="1224"/>
            <w:shd w:val="clear" w:color="auto" w:fill="EFEFEF"/>
          </w:tcPr>
          <w:p>
            <w:pPr>
              <w:spacing w:line="240" w:lineRule="auto" w:before="40" w:after="40"/>
              <w:jc w:val="left"/>
            </w:pPr>
            <w:r/>
            <w:r>
              <w:rPr>
                <w:b w:val="0"/>
                <w:i w:val="0"/>
                <w:sz w:val="18"/>
              </w:rPr>
              <w:t>SIM-B-005</w:t>
            </w:r>
          </w:p>
        </w:tc>
        <w:tc>
          <w:tcPr>
            <w:tcW w:type="dxa" w:w="1512"/>
            <w:shd w:val="clear" w:color="auto" w:fill="EFEFEF"/>
          </w:tcPr>
          <w:p>
            <w:pPr>
              <w:spacing w:line="240" w:lineRule="auto" w:before="40" w:after="40"/>
              <w:jc w:val="left"/>
            </w:pPr>
            <w:r/>
            <w:r>
              <w:rPr>
                <w:b w:val="0"/>
                <w:i w:val="0"/>
                <w:sz w:val="18"/>
              </w:rPr>
              <w:t>Masbate</w:t>
            </w:r>
          </w:p>
        </w:tc>
        <w:tc>
          <w:tcPr>
            <w:tcW w:type="dxa" w:w="792"/>
            <w:shd w:val="clear" w:color="auto" w:fill="EFEFEF"/>
          </w:tcPr>
          <w:p>
            <w:pPr>
              <w:spacing w:line="240" w:lineRule="auto" w:before="40" w:after="40"/>
              <w:jc w:val="right"/>
            </w:pPr>
            <w:r/>
            <w:r>
              <w:rPr>
                <w:b w:val="0"/>
                <w:i w:val="0"/>
                <w:sz w:val="18"/>
              </w:rPr>
              <w:t>2022</w:t>
            </w:r>
          </w:p>
        </w:tc>
        <w:tc>
          <w:tcPr>
            <w:tcW w:type="dxa" w:w="2592"/>
            <w:shd w:val="clear" w:color="auto" w:fill="EFEFEF"/>
          </w:tcPr>
          <w:p>
            <w:pPr>
              <w:spacing w:line="240" w:lineRule="auto" w:before="40" w:after="40"/>
              <w:jc w:val="left"/>
            </w:pPr>
            <w:r/>
            <w:r>
              <w:rPr>
                <w:b w:val="0"/>
                <w:i w:val="0"/>
                <w:sz w:val="18"/>
              </w:rPr>
              <w:t>2-st school, 27.0×9.5 m</w:t>
            </w:r>
          </w:p>
        </w:tc>
        <w:tc>
          <w:tcPr>
            <w:tcW w:type="dxa" w:w="1080"/>
            <w:shd w:val="clear" w:color="auto" w:fill="EFEFEF"/>
          </w:tcPr>
          <w:p>
            <w:pPr>
              <w:spacing w:line="240" w:lineRule="auto" w:before="40" w:after="40"/>
              <w:jc w:val="right"/>
            </w:pPr>
            <w:r/>
            <w:r>
              <w:rPr>
                <w:b w:val="0"/>
                <w:i w:val="0"/>
                <w:sz w:val="18"/>
              </w:rPr>
              <w:t>14.71</w:t>
            </w:r>
          </w:p>
        </w:tc>
        <w:tc>
          <w:tcPr>
            <w:tcW w:type="dxa" w:w="1080"/>
            <w:shd w:val="clear" w:color="auto" w:fill="EFEFEF"/>
          </w:tcPr>
          <w:p>
            <w:pPr>
              <w:spacing w:line="240" w:lineRule="auto" w:before="40" w:after="40"/>
              <w:jc w:val="right"/>
            </w:pPr>
            <w:r/>
            <w:r>
              <w:rPr>
                <w:b w:val="0"/>
                <w:i w:val="0"/>
                <w:sz w:val="18"/>
              </w:rPr>
              <w:t>16.00</w:t>
            </w:r>
          </w:p>
        </w:tc>
        <w:tc>
          <w:tcPr>
            <w:tcW w:type="dxa" w:w="1080"/>
            <w:shd w:val="clear" w:color="auto" w:fill="EFEFEF"/>
          </w:tcPr>
          <w:p>
            <w:pPr>
              <w:spacing w:line="240" w:lineRule="auto" w:before="40" w:after="40"/>
              <w:jc w:val="left"/>
            </w:pPr>
            <w:r/>
            <w:r>
              <w:rPr>
                <w:b w:val="0"/>
                <w:i w:val="0"/>
                <w:sz w:val="18"/>
              </w:rPr>
              <w:t>No</w:t>
            </w:r>
          </w:p>
        </w:tc>
      </w:tr>
      <w:tr>
        <w:tc>
          <w:tcPr>
            <w:tcW w:type="dxa" w:w="1224"/>
          </w:tcPr>
          <w:p>
            <w:pPr>
              <w:spacing w:line="240" w:lineRule="auto" w:before="40" w:after="40"/>
              <w:jc w:val="left"/>
            </w:pPr>
            <w:r/>
            <w:r>
              <w:rPr>
                <w:b w:val="0"/>
                <w:i w:val="0"/>
                <w:sz w:val="18"/>
              </w:rPr>
              <w:t>SIM-B-006</w:t>
            </w:r>
          </w:p>
        </w:tc>
        <w:tc>
          <w:tcPr>
            <w:tcW w:type="dxa" w:w="1512"/>
          </w:tcPr>
          <w:p>
            <w:pPr>
              <w:spacing w:line="240" w:lineRule="auto" w:before="40" w:after="40"/>
              <w:jc w:val="left"/>
            </w:pPr>
            <w:r/>
            <w:r>
              <w:rPr>
                <w:b w:val="0"/>
                <w:i w:val="0"/>
                <w:sz w:val="18"/>
              </w:rPr>
              <w:t>Camarines Sur</w:t>
            </w:r>
          </w:p>
        </w:tc>
        <w:tc>
          <w:tcPr>
            <w:tcW w:type="dxa" w:w="792"/>
          </w:tcPr>
          <w:p>
            <w:pPr>
              <w:spacing w:line="240" w:lineRule="auto" w:before="40" w:after="40"/>
              <w:jc w:val="right"/>
            </w:pPr>
            <w:r/>
            <w:r>
              <w:rPr>
                <w:b w:val="0"/>
                <w:i w:val="0"/>
                <w:sz w:val="18"/>
              </w:rPr>
              <w:t>2024</w:t>
            </w:r>
          </w:p>
        </w:tc>
        <w:tc>
          <w:tcPr>
            <w:tcW w:type="dxa" w:w="2592"/>
          </w:tcPr>
          <w:p>
            <w:pPr>
              <w:spacing w:line="240" w:lineRule="auto" w:before="40" w:after="40"/>
              <w:jc w:val="left"/>
            </w:pPr>
            <w:r/>
            <w:r>
              <w:rPr>
                <w:b w:val="0"/>
                <w:i w:val="0"/>
                <w:sz w:val="18"/>
              </w:rPr>
              <w:t>2-st evacuation, 31.9×12.8 m</w:t>
            </w:r>
          </w:p>
        </w:tc>
        <w:tc>
          <w:tcPr>
            <w:tcW w:type="dxa" w:w="1080"/>
          </w:tcPr>
          <w:p>
            <w:pPr>
              <w:spacing w:line="240" w:lineRule="auto" w:before="40" w:after="40"/>
              <w:jc w:val="right"/>
            </w:pPr>
            <w:r/>
            <w:r>
              <w:rPr>
                <w:b w:val="0"/>
                <w:i w:val="0"/>
                <w:sz w:val="18"/>
              </w:rPr>
              <w:t>19.00</w:t>
            </w:r>
          </w:p>
        </w:tc>
        <w:tc>
          <w:tcPr>
            <w:tcW w:type="dxa" w:w="1080"/>
          </w:tcPr>
          <w:p>
            <w:pPr>
              <w:spacing w:line="240" w:lineRule="auto" w:before="40" w:after="40"/>
              <w:jc w:val="right"/>
            </w:pPr>
            <w:r/>
            <w:r>
              <w:rPr>
                <w:b w:val="0"/>
                <w:i w:val="0"/>
                <w:sz w:val="18"/>
              </w:rPr>
              <w:t>31.25</w:t>
            </w:r>
          </w:p>
        </w:tc>
        <w:tc>
          <w:tcPr>
            <w:tcW w:type="dxa" w:w="1080"/>
          </w:tcPr>
          <w:p>
            <w:pPr>
              <w:spacing w:line="240" w:lineRule="auto" w:before="40" w:after="40"/>
              <w:jc w:val="left"/>
            </w:pPr>
            <w:r/>
            <w:r>
              <w:rPr>
                <w:b w:val="0"/>
                <w:i w:val="0"/>
                <w:sz w:val="18"/>
              </w:rPr>
              <w:t>Yes</w:t>
            </w:r>
          </w:p>
        </w:tc>
      </w:tr>
      <w:tr>
        <w:tc>
          <w:tcPr>
            <w:tcW w:type="dxa" w:w="1224"/>
            <w:shd w:val="clear" w:color="auto" w:fill="EFEFEF"/>
          </w:tcPr>
          <w:p>
            <w:pPr>
              <w:spacing w:line="240" w:lineRule="auto" w:before="40" w:after="40"/>
              <w:jc w:val="left"/>
            </w:pPr>
            <w:r/>
            <w:r>
              <w:rPr>
                <w:b w:val="0"/>
                <w:i w:val="0"/>
                <w:sz w:val="18"/>
              </w:rPr>
              <w:t>SIM-B-007</w:t>
            </w:r>
          </w:p>
        </w:tc>
        <w:tc>
          <w:tcPr>
            <w:tcW w:type="dxa" w:w="1512"/>
            <w:shd w:val="clear" w:color="auto" w:fill="EFEFEF"/>
          </w:tcPr>
          <w:p>
            <w:pPr>
              <w:spacing w:line="240" w:lineRule="auto" w:before="40" w:after="40"/>
              <w:jc w:val="left"/>
            </w:pPr>
            <w:r/>
            <w:r>
              <w:rPr>
                <w:b w:val="0"/>
                <w:i w:val="0"/>
                <w:sz w:val="18"/>
              </w:rPr>
              <w:t>Camarines Sur</w:t>
            </w:r>
          </w:p>
        </w:tc>
        <w:tc>
          <w:tcPr>
            <w:tcW w:type="dxa" w:w="792"/>
            <w:shd w:val="clear" w:color="auto" w:fill="EFEFEF"/>
          </w:tcPr>
          <w:p>
            <w:pPr>
              <w:spacing w:line="240" w:lineRule="auto" w:before="40" w:after="40"/>
              <w:jc w:val="right"/>
            </w:pPr>
            <w:r/>
            <w:r>
              <w:rPr>
                <w:b w:val="0"/>
                <w:i w:val="0"/>
                <w:sz w:val="18"/>
              </w:rPr>
              <w:t>2023</w:t>
            </w:r>
          </w:p>
        </w:tc>
        <w:tc>
          <w:tcPr>
            <w:tcW w:type="dxa" w:w="2592"/>
            <w:shd w:val="clear" w:color="auto" w:fill="EFEFEF"/>
          </w:tcPr>
          <w:p>
            <w:pPr>
              <w:spacing w:line="240" w:lineRule="auto" w:before="40" w:after="40"/>
              <w:jc w:val="left"/>
            </w:pPr>
            <w:r/>
            <w:r>
              <w:rPr>
                <w:b w:val="0"/>
                <w:i w:val="0"/>
                <w:sz w:val="18"/>
              </w:rPr>
              <w:t>1-st office, 15.6×14.0 m</w:t>
            </w:r>
          </w:p>
        </w:tc>
        <w:tc>
          <w:tcPr>
            <w:tcW w:type="dxa" w:w="1080"/>
            <w:shd w:val="clear" w:color="auto" w:fill="EFEFEF"/>
          </w:tcPr>
          <w:p>
            <w:pPr>
              <w:spacing w:line="240" w:lineRule="auto" w:before="40" w:after="40"/>
              <w:jc w:val="right"/>
            </w:pPr>
            <w:r/>
            <w:r>
              <w:rPr>
                <w:b w:val="0"/>
                <w:i w:val="0"/>
                <w:sz w:val="18"/>
              </w:rPr>
              <w:t>6.77</w:t>
            </w:r>
          </w:p>
        </w:tc>
        <w:tc>
          <w:tcPr>
            <w:tcW w:type="dxa" w:w="1080"/>
            <w:shd w:val="clear" w:color="auto" w:fill="EFEFEF"/>
          </w:tcPr>
          <w:p>
            <w:pPr>
              <w:spacing w:line="240" w:lineRule="auto" w:before="40" w:after="40"/>
              <w:jc w:val="right"/>
            </w:pPr>
            <w:r/>
            <w:r>
              <w:rPr>
                <w:b w:val="0"/>
                <w:i w:val="0"/>
                <w:sz w:val="18"/>
              </w:rPr>
              <w:t>8.55</w:t>
            </w:r>
          </w:p>
        </w:tc>
        <w:tc>
          <w:tcPr>
            <w:tcW w:type="dxa" w:w="1080"/>
            <w:shd w:val="clear" w:color="auto" w:fill="EFEFEF"/>
          </w:tcPr>
          <w:p>
            <w:pPr>
              <w:spacing w:line="240" w:lineRule="auto" w:before="40" w:after="40"/>
              <w:jc w:val="left"/>
            </w:pPr>
            <w:r/>
            <w:r>
              <w:rPr>
                <w:b w:val="0"/>
                <w:i w:val="0"/>
                <w:sz w:val="18"/>
              </w:rPr>
              <w:t>Yes</w:t>
            </w:r>
          </w:p>
        </w:tc>
      </w:tr>
      <w:tr>
        <w:tc>
          <w:tcPr>
            <w:tcW w:type="dxa" w:w="1224"/>
          </w:tcPr>
          <w:p>
            <w:pPr>
              <w:spacing w:line="240" w:lineRule="auto" w:before="40" w:after="40"/>
              <w:jc w:val="left"/>
            </w:pPr>
            <w:r/>
            <w:r>
              <w:rPr>
                <w:b w:val="0"/>
                <w:i w:val="0"/>
                <w:sz w:val="18"/>
              </w:rPr>
              <w:t>SIM-B-008</w:t>
            </w:r>
          </w:p>
        </w:tc>
        <w:tc>
          <w:tcPr>
            <w:tcW w:type="dxa" w:w="1512"/>
          </w:tcPr>
          <w:p>
            <w:pPr>
              <w:spacing w:line="240" w:lineRule="auto" w:before="40" w:after="40"/>
              <w:jc w:val="left"/>
            </w:pPr>
            <w:r/>
            <w:r>
              <w:rPr>
                <w:b w:val="0"/>
                <w:i w:val="0"/>
                <w:sz w:val="18"/>
              </w:rPr>
              <w:t>Masbate</w:t>
            </w:r>
          </w:p>
        </w:tc>
        <w:tc>
          <w:tcPr>
            <w:tcW w:type="dxa" w:w="792"/>
          </w:tcPr>
          <w:p>
            <w:pPr>
              <w:spacing w:line="240" w:lineRule="auto" w:before="40" w:after="40"/>
              <w:jc w:val="right"/>
            </w:pPr>
            <w:r/>
            <w:r>
              <w:rPr>
                <w:b w:val="0"/>
                <w:i w:val="0"/>
                <w:sz w:val="18"/>
              </w:rPr>
              <w:t>2025</w:t>
            </w:r>
          </w:p>
        </w:tc>
        <w:tc>
          <w:tcPr>
            <w:tcW w:type="dxa" w:w="2592"/>
          </w:tcPr>
          <w:p>
            <w:pPr>
              <w:spacing w:line="240" w:lineRule="auto" w:before="40" w:after="40"/>
              <w:jc w:val="left"/>
            </w:pPr>
            <w:r/>
            <w:r>
              <w:rPr>
                <w:b w:val="0"/>
                <w:i w:val="0"/>
                <w:sz w:val="18"/>
              </w:rPr>
              <w:t>2-st school, 27.0×8.8 m</w:t>
            </w:r>
          </w:p>
        </w:tc>
        <w:tc>
          <w:tcPr>
            <w:tcW w:type="dxa" w:w="1080"/>
          </w:tcPr>
          <w:p>
            <w:pPr>
              <w:spacing w:line="240" w:lineRule="auto" w:before="40" w:after="40"/>
              <w:jc w:val="right"/>
            </w:pPr>
            <w:r/>
            <w:r>
              <w:rPr>
                <w:b w:val="0"/>
                <w:i w:val="0"/>
                <w:sz w:val="18"/>
              </w:rPr>
              <w:t>14.27</w:t>
            </w:r>
          </w:p>
        </w:tc>
        <w:tc>
          <w:tcPr>
            <w:tcW w:type="dxa" w:w="1080"/>
          </w:tcPr>
          <w:p>
            <w:pPr>
              <w:spacing w:line="240" w:lineRule="auto" w:before="40" w:after="40"/>
              <w:jc w:val="right"/>
            </w:pPr>
            <w:r/>
            <w:r>
              <w:rPr>
                <w:b w:val="0"/>
                <w:i w:val="0"/>
                <w:sz w:val="18"/>
              </w:rPr>
              <w:t>14.29</w:t>
            </w:r>
          </w:p>
        </w:tc>
        <w:tc>
          <w:tcPr>
            <w:tcW w:type="dxa" w:w="1080"/>
          </w:tcPr>
          <w:p>
            <w:pPr>
              <w:spacing w:line="240" w:lineRule="auto" w:before="40" w:after="40"/>
              <w:jc w:val="left"/>
            </w:pPr>
            <w:r/>
            <w:r>
              <w:rPr>
                <w:b w:val="0"/>
                <w:i w:val="0"/>
                <w:sz w:val="18"/>
              </w:rPr>
              <w:t>No</w:t>
            </w:r>
          </w:p>
        </w:tc>
      </w:tr>
      <w:tr>
        <w:tc>
          <w:tcPr>
            <w:tcW w:type="dxa" w:w="1224"/>
            <w:shd w:val="clear" w:color="auto" w:fill="EFEFEF"/>
          </w:tcPr>
          <w:p>
            <w:pPr>
              <w:spacing w:line="240" w:lineRule="auto" w:before="40" w:after="40"/>
              <w:jc w:val="left"/>
            </w:pPr>
            <w:r/>
            <w:r>
              <w:rPr>
                <w:b w:val="0"/>
                <w:i w:val="0"/>
                <w:sz w:val="18"/>
              </w:rPr>
              <w:t>SIM-B-009</w:t>
            </w:r>
          </w:p>
        </w:tc>
        <w:tc>
          <w:tcPr>
            <w:tcW w:type="dxa" w:w="1512"/>
            <w:shd w:val="clear" w:color="auto" w:fill="EFEFEF"/>
          </w:tcPr>
          <w:p>
            <w:pPr>
              <w:spacing w:line="240" w:lineRule="auto" w:before="40" w:after="40"/>
              <w:jc w:val="left"/>
            </w:pPr>
            <w:r/>
            <w:r>
              <w:rPr>
                <w:b w:val="0"/>
                <w:i w:val="0"/>
                <w:sz w:val="18"/>
              </w:rPr>
              <w:t>Albay</w:t>
            </w:r>
          </w:p>
        </w:tc>
        <w:tc>
          <w:tcPr>
            <w:tcW w:type="dxa" w:w="792"/>
            <w:shd w:val="clear" w:color="auto" w:fill="EFEFEF"/>
          </w:tcPr>
          <w:p>
            <w:pPr>
              <w:spacing w:line="240" w:lineRule="auto" w:before="40" w:after="40"/>
              <w:jc w:val="right"/>
            </w:pPr>
            <w:r/>
            <w:r>
              <w:rPr>
                <w:b w:val="0"/>
                <w:i w:val="0"/>
                <w:sz w:val="18"/>
              </w:rPr>
              <w:t>2025</w:t>
            </w:r>
          </w:p>
        </w:tc>
        <w:tc>
          <w:tcPr>
            <w:tcW w:type="dxa" w:w="2592"/>
            <w:shd w:val="clear" w:color="auto" w:fill="EFEFEF"/>
          </w:tcPr>
          <w:p>
            <w:pPr>
              <w:spacing w:line="240" w:lineRule="auto" w:before="40" w:after="40"/>
              <w:jc w:val="left"/>
            </w:pPr>
            <w:r/>
            <w:r>
              <w:rPr>
                <w:b w:val="0"/>
                <w:i w:val="0"/>
                <w:sz w:val="18"/>
              </w:rPr>
              <w:t>3-st school, 36.0×9.1 m</w:t>
            </w:r>
          </w:p>
        </w:tc>
        <w:tc>
          <w:tcPr>
            <w:tcW w:type="dxa" w:w="1080"/>
            <w:shd w:val="clear" w:color="auto" w:fill="EFEFEF"/>
          </w:tcPr>
          <w:p>
            <w:pPr>
              <w:spacing w:line="240" w:lineRule="auto" w:before="40" w:after="40"/>
              <w:jc w:val="right"/>
            </w:pPr>
            <w:r/>
            <w:r>
              <w:rPr>
                <w:b w:val="0"/>
                <w:i w:val="0"/>
                <w:sz w:val="18"/>
              </w:rPr>
              <w:t>25.21</w:t>
            </w:r>
          </w:p>
        </w:tc>
        <w:tc>
          <w:tcPr>
            <w:tcW w:type="dxa" w:w="1080"/>
            <w:shd w:val="clear" w:color="auto" w:fill="EFEFEF"/>
          </w:tcPr>
          <w:p>
            <w:pPr>
              <w:spacing w:line="240" w:lineRule="auto" w:before="40" w:after="40"/>
              <w:jc w:val="right"/>
            </w:pPr>
            <w:r/>
            <w:r>
              <w:rPr>
                <w:b w:val="0"/>
                <w:i w:val="0"/>
                <w:sz w:val="18"/>
              </w:rPr>
              <w:t>25.34</w:t>
            </w:r>
          </w:p>
        </w:tc>
        <w:tc>
          <w:tcPr>
            <w:tcW w:type="dxa" w:w="1080"/>
            <w:shd w:val="clear" w:color="auto" w:fill="EFEFEF"/>
          </w:tcPr>
          <w:p>
            <w:pPr>
              <w:spacing w:line="240" w:lineRule="auto" w:before="40" w:after="40"/>
              <w:jc w:val="left"/>
            </w:pPr>
            <w:r/>
            <w:r>
              <w:rPr>
                <w:b w:val="0"/>
                <w:i w:val="0"/>
                <w:sz w:val="18"/>
              </w:rPr>
              <w:t>No</w:t>
            </w:r>
          </w:p>
        </w:tc>
      </w:tr>
      <w:tr>
        <w:tc>
          <w:tcPr>
            <w:tcW w:type="dxa" w:w="1224"/>
          </w:tcPr>
          <w:p>
            <w:pPr>
              <w:spacing w:line="240" w:lineRule="auto" w:before="40" w:after="40"/>
              <w:jc w:val="left"/>
            </w:pPr>
            <w:r/>
            <w:r>
              <w:rPr>
                <w:b w:val="0"/>
                <w:i w:val="0"/>
                <w:sz w:val="18"/>
              </w:rPr>
              <w:t>SIM-B-010</w:t>
            </w:r>
          </w:p>
        </w:tc>
        <w:tc>
          <w:tcPr>
            <w:tcW w:type="dxa" w:w="1512"/>
          </w:tcPr>
          <w:p>
            <w:pPr>
              <w:spacing w:line="240" w:lineRule="auto" w:before="40" w:after="40"/>
              <w:jc w:val="left"/>
            </w:pPr>
            <w:r/>
            <w:r>
              <w:rPr>
                <w:b w:val="0"/>
                <w:i w:val="0"/>
                <w:sz w:val="18"/>
              </w:rPr>
              <w:t>Catanduanes</w:t>
            </w:r>
          </w:p>
        </w:tc>
        <w:tc>
          <w:tcPr>
            <w:tcW w:type="dxa" w:w="792"/>
          </w:tcPr>
          <w:p>
            <w:pPr>
              <w:spacing w:line="240" w:lineRule="auto" w:before="40" w:after="40"/>
              <w:jc w:val="right"/>
            </w:pPr>
            <w:r/>
            <w:r>
              <w:rPr>
                <w:b w:val="0"/>
                <w:i w:val="0"/>
                <w:sz w:val="18"/>
              </w:rPr>
              <w:t>2024</w:t>
            </w:r>
          </w:p>
        </w:tc>
        <w:tc>
          <w:tcPr>
            <w:tcW w:type="dxa" w:w="2592"/>
          </w:tcPr>
          <w:p>
            <w:pPr>
              <w:spacing w:line="240" w:lineRule="auto" w:before="40" w:after="40"/>
              <w:jc w:val="left"/>
            </w:pPr>
            <w:r/>
            <w:r>
              <w:rPr>
                <w:b w:val="0"/>
                <w:i w:val="0"/>
                <w:sz w:val="18"/>
              </w:rPr>
              <w:t>1-st evacuation, 26.4×14.9 m</w:t>
            </w:r>
          </w:p>
        </w:tc>
        <w:tc>
          <w:tcPr>
            <w:tcW w:type="dxa" w:w="1080"/>
          </w:tcPr>
          <w:p>
            <w:pPr>
              <w:spacing w:line="240" w:lineRule="auto" w:before="40" w:after="40"/>
              <w:jc w:val="right"/>
            </w:pPr>
            <w:r/>
            <w:r>
              <w:rPr>
                <w:b w:val="0"/>
                <w:i w:val="0"/>
                <w:sz w:val="18"/>
              </w:rPr>
              <w:t>12.21</w:t>
            </w:r>
          </w:p>
        </w:tc>
        <w:tc>
          <w:tcPr>
            <w:tcW w:type="dxa" w:w="1080"/>
          </w:tcPr>
          <w:p>
            <w:pPr>
              <w:spacing w:line="240" w:lineRule="auto" w:before="40" w:after="40"/>
              <w:jc w:val="right"/>
            </w:pPr>
            <w:r/>
            <w:r>
              <w:rPr>
                <w:b w:val="0"/>
                <w:i w:val="0"/>
                <w:sz w:val="18"/>
              </w:rPr>
              <w:t>11.97</w:t>
            </w:r>
          </w:p>
        </w:tc>
        <w:tc>
          <w:tcPr>
            <w:tcW w:type="dxa" w:w="1080"/>
          </w:tcPr>
          <w:p>
            <w:pPr>
              <w:spacing w:line="240" w:lineRule="auto" w:before="40" w:after="40"/>
              <w:jc w:val="left"/>
            </w:pPr>
            <w:r/>
            <w:r>
              <w:rPr>
                <w:b w:val="0"/>
                <w:i w:val="0"/>
                <w:sz w:val="18"/>
              </w:rPr>
              <w:t>No</w:t>
            </w:r>
          </w:p>
        </w:tc>
      </w:tr>
      <w:tr>
        <w:tc>
          <w:tcPr>
            <w:tcW w:type="dxa" w:w="1224"/>
            <w:shd w:val="clear" w:color="auto" w:fill="EFEFEF"/>
          </w:tcPr>
          <w:p>
            <w:pPr>
              <w:spacing w:line="240" w:lineRule="auto" w:before="40" w:after="40"/>
              <w:jc w:val="left"/>
            </w:pPr>
            <w:r/>
            <w:r>
              <w:rPr>
                <w:b w:val="0"/>
                <w:i w:val="0"/>
                <w:sz w:val="18"/>
              </w:rPr>
              <w:t>SIM-R-001</w:t>
            </w:r>
          </w:p>
        </w:tc>
        <w:tc>
          <w:tcPr>
            <w:tcW w:type="dxa" w:w="1512"/>
            <w:shd w:val="clear" w:color="auto" w:fill="EFEFEF"/>
          </w:tcPr>
          <w:p>
            <w:pPr>
              <w:spacing w:line="240" w:lineRule="auto" w:before="40" w:after="40"/>
              <w:jc w:val="left"/>
            </w:pPr>
            <w:r/>
            <w:r>
              <w:rPr>
                <w:b w:val="0"/>
                <w:i w:val="0"/>
                <w:sz w:val="18"/>
              </w:rPr>
              <w:t>Catanduanes</w:t>
            </w:r>
          </w:p>
        </w:tc>
        <w:tc>
          <w:tcPr>
            <w:tcW w:type="dxa" w:w="792"/>
            <w:shd w:val="clear" w:color="auto" w:fill="EFEFEF"/>
          </w:tcPr>
          <w:p>
            <w:pPr>
              <w:spacing w:line="240" w:lineRule="auto" w:before="40" w:after="40"/>
              <w:jc w:val="right"/>
            </w:pPr>
            <w:r/>
            <w:r>
              <w:rPr>
                <w:b w:val="0"/>
                <w:i w:val="0"/>
                <w:sz w:val="18"/>
              </w:rPr>
              <w:t>2022</w:t>
            </w:r>
          </w:p>
        </w:tc>
        <w:tc>
          <w:tcPr>
            <w:tcW w:type="dxa" w:w="2592"/>
            <w:shd w:val="clear" w:color="auto" w:fill="EFEFEF"/>
          </w:tcPr>
          <w:p>
            <w:pPr>
              <w:spacing w:line="240" w:lineRule="auto" w:before="40" w:after="40"/>
              <w:jc w:val="left"/>
            </w:pPr>
            <w:r/>
            <w:r>
              <w:rPr>
                <w:b w:val="0"/>
                <w:i w:val="0"/>
                <w:sz w:val="18"/>
              </w:rPr>
              <w:t>box_culvert, 2.5 m, 1 span(s)</w:t>
            </w:r>
          </w:p>
        </w:tc>
        <w:tc>
          <w:tcPr>
            <w:tcW w:type="dxa" w:w="1080"/>
            <w:shd w:val="clear" w:color="auto" w:fill="EFEFEF"/>
          </w:tcPr>
          <w:p>
            <w:pPr>
              <w:spacing w:line="240" w:lineRule="auto" w:before="40" w:after="40"/>
              <w:jc w:val="right"/>
            </w:pPr>
            <w:r/>
            <w:r>
              <w:rPr>
                <w:b w:val="0"/>
                <w:i w:val="0"/>
                <w:sz w:val="18"/>
              </w:rPr>
              <w:t>1.51</w:t>
            </w:r>
          </w:p>
        </w:tc>
        <w:tc>
          <w:tcPr>
            <w:tcW w:type="dxa" w:w="1080"/>
            <w:shd w:val="clear" w:color="auto" w:fill="EFEFEF"/>
          </w:tcPr>
          <w:p>
            <w:pPr>
              <w:spacing w:line="240" w:lineRule="auto" w:before="40" w:after="40"/>
              <w:jc w:val="right"/>
            </w:pPr>
            <w:r/>
            <w:r>
              <w:rPr>
                <w:b w:val="0"/>
                <w:i w:val="0"/>
                <w:sz w:val="18"/>
              </w:rPr>
              <w:t>1.42</w:t>
            </w:r>
          </w:p>
        </w:tc>
        <w:tc>
          <w:tcPr>
            <w:tcW w:type="dxa" w:w="1080"/>
            <w:shd w:val="clear" w:color="auto" w:fill="EFEFEF"/>
          </w:tcPr>
          <w:p>
            <w:pPr>
              <w:spacing w:line="240" w:lineRule="auto" w:before="40" w:after="40"/>
              <w:jc w:val="left"/>
            </w:pPr>
            <w:r/>
            <w:r>
              <w:rPr>
                <w:b w:val="0"/>
                <w:i w:val="0"/>
                <w:sz w:val="18"/>
              </w:rPr>
              <w:t>No</w:t>
            </w:r>
          </w:p>
        </w:tc>
      </w:tr>
      <w:tr>
        <w:tc>
          <w:tcPr>
            <w:tcW w:type="dxa" w:w="1224"/>
          </w:tcPr>
          <w:p>
            <w:pPr>
              <w:spacing w:line="240" w:lineRule="auto" w:before="40" w:after="40"/>
              <w:jc w:val="left"/>
            </w:pPr>
            <w:r/>
            <w:r>
              <w:rPr>
                <w:b w:val="0"/>
                <w:i w:val="0"/>
                <w:sz w:val="18"/>
              </w:rPr>
              <w:t>SIM-R-002</w:t>
            </w:r>
          </w:p>
        </w:tc>
        <w:tc>
          <w:tcPr>
            <w:tcW w:type="dxa" w:w="1512"/>
          </w:tcPr>
          <w:p>
            <w:pPr>
              <w:spacing w:line="240" w:lineRule="auto" w:before="40" w:after="40"/>
              <w:jc w:val="left"/>
            </w:pPr>
            <w:r/>
            <w:r>
              <w:rPr>
                <w:b w:val="0"/>
                <w:i w:val="0"/>
                <w:sz w:val="18"/>
              </w:rPr>
              <w:t>Camarines Sur</w:t>
            </w:r>
          </w:p>
        </w:tc>
        <w:tc>
          <w:tcPr>
            <w:tcW w:type="dxa" w:w="792"/>
          </w:tcPr>
          <w:p>
            <w:pPr>
              <w:spacing w:line="240" w:lineRule="auto" w:before="40" w:after="40"/>
              <w:jc w:val="right"/>
            </w:pPr>
            <w:r/>
            <w:r>
              <w:rPr>
                <w:b w:val="0"/>
                <w:i w:val="0"/>
                <w:sz w:val="18"/>
              </w:rPr>
              <w:t>2024</w:t>
            </w:r>
          </w:p>
        </w:tc>
        <w:tc>
          <w:tcPr>
            <w:tcW w:type="dxa" w:w="2592"/>
          </w:tcPr>
          <w:p>
            <w:pPr>
              <w:spacing w:line="240" w:lineRule="auto" w:before="40" w:after="40"/>
              <w:jc w:val="left"/>
            </w:pPr>
            <w:r/>
            <w:r>
              <w:rPr>
                <w:b w:val="0"/>
                <w:i w:val="0"/>
                <w:sz w:val="18"/>
              </w:rPr>
              <w:t>pscg, 79.3 m, 3 span(s)</w:t>
            </w:r>
          </w:p>
        </w:tc>
        <w:tc>
          <w:tcPr>
            <w:tcW w:type="dxa" w:w="1080"/>
          </w:tcPr>
          <w:p>
            <w:pPr>
              <w:spacing w:line="240" w:lineRule="auto" w:before="40" w:after="40"/>
              <w:jc w:val="right"/>
            </w:pPr>
            <w:r/>
            <w:r>
              <w:rPr>
                <w:b w:val="0"/>
                <w:i w:val="0"/>
                <w:sz w:val="18"/>
              </w:rPr>
              <w:t>67.59</w:t>
            </w:r>
          </w:p>
        </w:tc>
        <w:tc>
          <w:tcPr>
            <w:tcW w:type="dxa" w:w="1080"/>
          </w:tcPr>
          <w:p>
            <w:pPr>
              <w:spacing w:line="240" w:lineRule="auto" w:before="40" w:after="40"/>
              <w:jc w:val="right"/>
            </w:pPr>
            <w:r/>
            <w:r>
              <w:rPr>
                <w:b w:val="0"/>
                <w:i w:val="0"/>
                <w:sz w:val="18"/>
              </w:rPr>
              <w:t>69.05</w:t>
            </w:r>
          </w:p>
        </w:tc>
        <w:tc>
          <w:tcPr>
            <w:tcW w:type="dxa" w:w="1080"/>
          </w:tcPr>
          <w:p>
            <w:pPr>
              <w:spacing w:line="240" w:lineRule="auto" w:before="40" w:after="40"/>
              <w:jc w:val="left"/>
            </w:pPr>
            <w:r/>
            <w:r>
              <w:rPr>
                <w:b w:val="0"/>
                <w:i w:val="0"/>
                <w:sz w:val="18"/>
              </w:rPr>
              <w:t>No</w:t>
            </w:r>
          </w:p>
        </w:tc>
      </w:tr>
      <w:tr>
        <w:tc>
          <w:tcPr>
            <w:tcW w:type="dxa" w:w="1224"/>
            <w:shd w:val="clear" w:color="auto" w:fill="EFEFEF"/>
          </w:tcPr>
          <w:p>
            <w:pPr>
              <w:spacing w:line="240" w:lineRule="auto" w:before="40" w:after="40"/>
              <w:jc w:val="left"/>
            </w:pPr>
            <w:r/>
            <w:r>
              <w:rPr>
                <w:b w:val="0"/>
                <w:i w:val="0"/>
                <w:sz w:val="18"/>
              </w:rPr>
              <w:t>SIM-R-003</w:t>
            </w:r>
          </w:p>
        </w:tc>
        <w:tc>
          <w:tcPr>
            <w:tcW w:type="dxa" w:w="1512"/>
            <w:shd w:val="clear" w:color="auto" w:fill="EFEFEF"/>
          </w:tcPr>
          <w:p>
            <w:pPr>
              <w:spacing w:line="240" w:lineRule="auto" w:before="40" w:after="40"/>
              <w:jc w:val="left"/>
            </w:pPr>
            <w:r/>
            <w:r>
              <w:rPr>
                <w:b w:val="0"/>
                <w:i w:val="0"/>
                <w:sz w:val="18"/>
              </w:rPr>
              <w:t>Camarines Sur</w:t>
            </w:r>
          </w:p>
        </w:tc>
        <w:tc>
          <w:tcPr>
            <w:tcW w:type="dxa" w:w="792"/>
            <w:shd w:val="clear" w:color="auto" w:fill="EFEFEF"/>
          </w:tcPr>
          <w:p>
            <w:pPr>
              <w:spacing w:line="240" w:lineRule="auto" w:before="40" w:after="40"/>
              <w:jc w:val="right"/>
            </w:pPr>
            <w:r/>
            <w:r>
              <w:rPr>
                <w:b w:val="0"/>
                <w:i w:val="0"/>
                <w:sz w:val="18"/>
              </w:rPr>
              <w:t>2022</w:t>
            </w:r>
          </w:p>
        </w:tc>
        <w:tc>
          <w:tcPr>
            <w:tcW w:type="dxa" w:w="2592"/>
            <w:shd w:val="clear" w:color="auto" w:fill="EFEFEF"/>
          </w:tcPr>
          <w:p>
            <w:pPr>
              <w:spacing w:line="240" w:lineRule="auto" w:before="40" w:after="40"/>
              <w:jc w:val="left"/>
            </w:pPr>
            <w:r/>
            <w:r>
              <w:rPr>
                <w:b w:val="0"/>
                <w:i w:val="0"/>
                <w:sz w:val="18"/>
              </w:rPr>
              <w:t>rcdg, 18.1 m, 1 span(s)</w:t>
            </w:r>
          </w:p>
        </w:tc>
        <w:tc>
          <w:tcPr>
            <w:tcW w:type="dxa" w:w="1080"/>
            <w:shd w:val="clear" w:color="auto" w:fill="EFEFEF"/>
          </w:tcPr>
          <w:p>
            <w:pPr>
              <w:spacing w:line="240" w:lineRule="auto" w:before="40" w:after="40"/>
              <w:jc w:val="right"/>
            </w:pPr>
            <w:r/>
            <w:r>
              <w:rPr>
                <w:b w:val="0"/>
                <w:i w:val="0"/>
                <w:sz w:val="18"/>
              </w:rPr>
              <w:t>10.20</w:t>
            </w:r>
          </w:p>
        </w:tc>
        <w:tc>
          <w:tcPr>
            <w:tcW w:type="dxa" w:w="1080"/>
            <w:shd w:val="clear" w:color="auto" w:fill="EFEFEF"/>
          </w:tcPr>
          <w:p>
            <w:pPr>
              <w:spacing w:line="240" w:lineRule="auto" w:before="40" w:after="40"/>
              <w:jc w:val="right"/>
            </w:pPr>
            <w:r/>
            <w:r>
              <w:rPr>
                <w:b w:val="0"/>
                <w:i w:val="0"/>
                <w:sz w:val="18"/>
              </w:rPr>
              <w:t>10.48</w:t>
            </w:r>
          </w:p>
        </w:tc>
        <w:tc>
          <w:tcPr>
            <w:tcW w:type="dxa" w:w="1080"/>
            <w:shd w:val="clear" w:color="auto" w:fill="EFEFEF"/>
          </w:tcPr>
          <w:p>
            <w:pPr>
              <w:spacing w:line="240" w:lineRule="auto" w:before="40" w:after="40"/>
              <w:jc w:val="left"/>
            </w:pPr>
            <w:r/>
            <w:r>
              <w:rPr>
                <w:b w:val="0"/>
                <w:i w:val="0"/>
                <w:sz w:val="18"/>
              </w:rPr>
              <w:t>No</w:t>
            </w:r>
          </w:p>
        </w:tc>
      </w:tr>
      <w:tr>
        <w:tc>
          <w:tcPr>
            <w:tcW w:type="dxa" w:w="1224"/>
          </w:tcPr>
          <w:p>
            <w:pPr>
              <w:spacing w:line="240" w:lineRule="auto" w:before="40" w:after="40"/>
              <w:jc w:val="left"/>
            </w:pPr>
            <w:r/>
            <w:r>
              <w:rPr>
                <w:b w:val="0"/>
                <w:i w:val="0"/>
                <w:sz w:val="18"/>
              </w:rPr>
              <w:t>SIM-R-004</w:t>
            </w:r>
          </w:p>
        </w:tc>
        <w:tc>
          <w:tcPr>
            <w:tcW w:type="dxa" w:w="1512"/>
          </w:tcPr>
          <w:p>
            <w:pPr>
              <w:spacing w:line="240" w:lineRule="auto" w:before="40" w:after="40"/>
              <w:jc w:val="left"/>
            </w:pPr>
            <w:r/>
            <w:r>
              <w:rPr>
                <w:b w:val="0"/>
                <w:i w:val="0"/>
                <w:sz w:val="18"/>
              </w:rPr>
              <w:t>Masbate</w:t>
            </w:r>
          </w:p>
        </w:tc>
        <w:tc>
          <w:tcPr>
            <w:tcW w:type="dxa" w:w="792"/>
          </w:tcPr>
          <w:p>
            <w:pPr>
              <w:spacing w:line="240" w:lineRule="auto" w:before="40" w:after="40"/>
              <w:jc w:val="right"/>
            </w:pPr>
            <w:r/>
            <w:r>
              <w:rPr>
                <w:b w:val="0"/>
                <w:i w:val="0"/>
                <w:sz w:val="18"/>
              </w:rPr>
              <w:t>2022</w:t>
            </w:r>
          </w:p>
        </w:tc>
        <w:tc>
          <w:tcPr>
            <w:tcW w:type="dxa" w:w="2592"/>
          </w:tcPr>
          <w:p>
            <w:pPr>
              <w:spacing w:line="240" w:lineRule="auto" w:before="40" w:after="40"/>
              <w:jc w:val="left"/>
            </w:pPr>
            <w:r/>
            <w:r>
              <w:rPr>
                <w:b w:val="0"/>
                <w:i w:val="0"/>
                <w:sz w:val="18"/>
              </w:rPr>
              <w:t>pscg, 111.9 m, 4 span(s)</w:t>
            </w:r>
          </w:p>
        </w:tc>
        <w:tc>
          <w:tcPr>
            <w:tcW w:type="dxa" w:w="1080"/>
          </w:tcPr>
          <w:p>
            <w:pPr>
              <w:spacing w:line="240" w:lineRule="auto" w:before="40" w:after="40"/>
              <w:jc w:val="right"/>
            </w:pPr>
            <w:r/>
            <w:r>
              <w:rPr>
                <w:b w:val="0"/>
                <w:i w:val="0"/>
                <w:sz w:val="18"/>
              </w:rPr>
              <w:t>103.52</w:t>
            </w:r>
          </w:p>
        </w:tc>
        <w:tc>
          <w:tcPr>
            <w:tcW w:type="dxa" w:w="1080"/>
          </w:tcPr>
          <w:p>
            <w:pPr>
              <w:spacing w:line="240" w:lineRule="auto" w:before="40" w:after="40"/>
              <w:jc w:val="right"/>
            </w:pPr>
            <w:r/>
            <w:r>
              <w:rPr>
                <w:b w:val="0"/>
                <w:i w:val="0"/>
                <w:sz w:val="18"/>
              </w:rPr>
              <w:t>110.73</w:t>
            </w:r>
          </w:p>
        </w:tc>
        <w:tc>
          <w:tcPr>
            <w:tcW w:type="dxa" w:w="1080"/>
          </w:tcPr>
          <w:p>
            <w:pPr>
              <w:spacing w:line="240" w:lineRule="auto" w:before="40" w:after="40"/>
              <w:jc w:val="left"/>
            </w:pPr>
            <w:r/>
            <w:r>
              <w:rPr>
                <w:b w:val="0"/>
                <w:i w:val="0"/>
                <w:sz w:val="18"/>
              </w:rPr>
              <w:t>No</w:t>
            </w:r>
          </w:p>
        </w:tc>
      </w:tr>
      <w:tr>
        <w:tc>
          <w:tcPr>
            <w:tcW w:type="dxa" w:w="1224"/>
            <w:shd w:val="clear" w:color="auto" w:fill="EFEFEF"/>
          </w:tcPr>
          <w:p>
            <w:pPr>
              <w:spacing w:line="240" w:lineRule="auto" w:before="40" w:after="40"/>
              <w:jc w:val="left"/>
            </w:pPr>
            <w:r/>
            <w:r>
              <w:rPr>
                <w:b w:val="0"/>
                <w:i w:val="0"/>
                <w:sz w:val="18"/>
              </w:rPr>
              <w:t>SIM-R-005</w:t>
            </w:r>
          </w:p>
        </w:tc>
        <w:tc>
          <w:tcPr>
            <w:tcW w:type="dxa" w:w="1512"/>
            <w:shd w:val="clear" w:color="auto" w:fill="EFEFEF"/>
          </w:tcPr>
          <w:p>
            <w:pPr>
              <w:spacing w:line="240" w:lineRule="auto" w:before="40" w:after="40"/>
              <w:jc w:val="left"/>
            </w:pPr>
            <w:r/>
            <w:r>
              <w:rPr>
                <w:b w:val="0"/>
                <w:i w:val="0"/>
                <w:sz w:val="18"/>
              </w:rPr>
              <w:t>Masbate</w:t>
            </w:r>
          </w:p>
        </w:tc>
        <w:tc>
          <w:tcPr>
            <w:tcW w:type="dxa" w:w="792"/>
            <w:shd w:val="clear" w:color="auto" w:fill="EFEFEF"/>
          </w:tcPr>
          <w:p>
            <w:pPr>
              <w:spacing w:line="240" w:lineRule="auto" w:before="40" w:after="40"/>
              <w:jc w:val="right"/>
            </w:pPr>
            <w:r/>
            <w:r>
              <w:rPr>
                <w:b w:val="0"/>
                <w:i w:val="0"/>
                <w:sz w:val="18"/>
              </w:rPr>
              <w:t>2022</w:t>
            </w:r>
          </w:p>
        </w:tc>
        <w:tc>
          <w:tcPr>
            <w:tcW w:type="dxa" w:w="2592"/>
            <w:shd w:val="clear" w:color="auto" w:fill="EFEFEF"/>
          </w:tcPr>
          <w:p>
            <w:pPr>
              <w:spacing w:line="240" w:lineRule="auto" w:before="40" w:after="40"/>
              <w:jc w:val="left"/>
            </w:pPr>
            <w:r/>
            <w:r>
              <w:rPr>
                <w:b w:val="0"/>
                <w:i w:val="0"/>
                <w:sz w:val="18"/>
              </w:rPr>
              <w:t>pscg, 28.6 m, 1 span(s)</w:t>
            </w:r>
          </w:p>
        </w:tc>
        <w:tc>
          <w:tcPr>
            <w:tcW w:type="dxa" w:w="1080"/>
            <w:shd w:val="clear" w:color="auto" w:fill="EFEFEF"/>
          </w:tcPr>
          <w:p>
            <w:pPr>
              <w:spacing w:line="240" w:lineRule="auto" w:before="40" w:after="40"/>
              <w:jc w:val="right"/>
            </w:pPr>
            <w:r/>
            <w:r>
              <w:rPr>
                <w:b w:val="0"/>
                <w:i w:val="0"/>
                <w:sz w:val="18"/>
              </w:rPr>
              <w:t>46.97</w:t>
            </w:r>
          </w:p>
        </w:tc>
        <w:tc>
          <w:tcPr>
            <w:tcW w:type="dxa" w:w="1080"/>
            <w:shd w:val="clear" w:color="auto" w:fill="EFEFEF"/>
          </w:tcPr>
          <w:p>
            <w:pPr>
              <w:spacing w:line="240" w:lineRule="auto" w:before="40" w:after="40"/>
              <w:jc w:val="right"/>
            </w:pPr>
            <w:r/>
            <w:r>
              <w:rPr>
                <w:b w:val="0"/>
                <w:i w:val="0"/>
                <w:sz w:val="18"/>
              </w:rPr>
              <w:t>45.09</w:t>
            </w:r>
          </w:p>
        </w:tc>
        <w:tc>
          <w:tcPr>
            <w:tcW w:type="dxa" w:w="1080"/>
            <w:shd w:val="clear" w:color="auto" w:fill="EFEFEF"/>
          </w:tcPr>
          <w:p>
            <w:pPr>
              <w:spacing w:line="240" w:lineRule="auto" w:before="40" w:after="40"/>
              <w:jc w:val="left"/>
            </w:pPr>
            <w:r/>
            <w:r>
              <w:rPr>
                <w:b w:val="0"/>
                <w:i w:val="0"/>
                <w:sz w:val="18"/>
              </w:rPr>
              <w:t>No</w:t>
            </w:r>
          </w:p>
        </w:tc>
      </w:tr>
      <w:tr>
        <w:tc>
          <w:tcPr>
            <w:tcW w:type="dxa" w:w="1224"/>
          </w:tcPr>
          <w:p>
            <w:pPr>
              <w:spacing w:line="240" w:lineRule="auto" w:before="40" w:after="40"/>
              <w:jc w:val="left"/>
            </w:pPr>
            <w:r/>
            <w:r>
              <w:rPr>
                <w:b w:val="0"/>
                <w:i w:val="0"/>
                <w:sz w:val="18"/>
              </w:rPr>
              <w:t>SIM-R-006</w:t>
            </w:r>
          </w:p>
        </w:tc>
        <w:tc>
          <w:tcPr>
            <w:tcW w:type="dxa" w:w="1512"/>
          </w:tcPr>
          <w:p>
            <w:pPr>
              <w:spacing w:line="240" w:lineRule="auto" w:before="40" w:after="40"/>
              <w:jc w:val="left"/>
            </w:pPr>
            <w:r/>
            <w:r>
              <w:rPr>
                <w:b w:val="0"/>
                <w:i w:val="0"/>
                <w:sz w:val="18"/>
              </w:rPr>
              <w:t>Camarines Sur</w:t>
            </w:r>
          </w:p>
        </w:tc>
        <w:tc>
          <w:tcPr>
            <w:tcW w:type="dxa" w:w="792"/>
          </w:tcPr>
          <w:p>
            <w:pPr>
              <w:spacing w:line="240" w:lineRule="auto" w:before="40" w:after="40"/>
              <w:jc w:val="right"/>
            </w:pPr>
            <w:r/>
            <w:r>
              <w:rPr>
                <w:b w:val="0"/>
                <w:i w:val="0"/>
                <w:sz w:val="18"/>
              </w:rPr>
              <w:t>2022</w:t>
            </w:r>
          </w:p>
        </w:tc>
        <w:tc>
          <w:tcPr>
            <w:tcW w:type="dxa" w:w="2592"/>
          </w:tcPr>
          <w:p>
            <w:pPr>
              <w:spacing w:line="240" w:lineRule="auto" w:before="40" w:after="40"/>
              <w:jc w:val="left"/>
            </w:pPr>
            <w:r/>
            <w:r>
              <w:rPr>
                <w:b w:val="0"/>
                <w:i w:val="0"/>
                <w:sz w:val="18"/>
              </w:rPr>
              <w:t>rcdg, 36.8 m, 2 span(s)</w:t>
            </w:r>
          </w:p>
        </w:tc>
        <w:tc>
          <w:tcPr>
            <w:tcW w:type="dxa" w:w="1080"/>
          </w:tcPr>
          <w:p>
            <w:pPr>
              <w:spacing w:line="240" w:lineRule="auto" w:before="40" w:after="40"/>
              <w:jc w:val="right"/>
            </w:pPr>
            <w:r/>
            <w:r>
              <w:rPr>
                <w:b w:val="0"/>
                <w:i w:val="0"/>
                <w:sz w:val="18"/>
              </w:rPr>
              <w:t>28.98</w:t>
            </w:r>
          </w:p>
        </w:tc>
        <w:tc>
          <w:tcPr>
            <w:tcW w:type="dxa" w:w="1080"/>
          </w:tcPr>
          <w:p>
            <w:pPr>
              <w:spacing w:line="240" w:lineRule="auto" w:before="40" w:after="40"/>
              <w:jc w:val="right"/>
            </w:pPr>
            <w:r/>
            <w:r>
              <w:rPr>
                <w:b w:val="0"/>
                <w:i w:val="0"/>
                <w:sz w:val="18"/>
              </w:rPr>
              <w:t>35.83</w:t>
            </w:r>
          </w:p>
        </w:tc>
        <w:tc>
          <w:tcPr>
            <w:tcW w:type="dxa" w:w="1080"/>
          </w:tcPr>
          <w:p>
            <w:pPr>
              <w:spacing w:line="240" w:lineRule="auto" w:before="40" w:after="40"/>
              <w:jc w:val="left"/>
            </w:pPr>
            <w:r/>
            <w:r>
              <w:rPr>
                <w:b w:val="0"/>
                <w:i w:val="0"/>
                <w:sz w:val="18"/>
              </w:rPr>
              <w:t>Yes</w:t>
            </w:r>
          </w:p>
        </w:tc>
      </w:tr>
      <w:tr>
        <w:tc>
          <w:tcPr>
            <w:tcW w:type="dxa" w:w="1224"/>
            <w:shd w:val="clear" w:color="auto" w:fill="EFEFEF"/>
          </w:tcPr>
          <w:p>
            <w:pPr>
              <w:spacing w:line="240" w:lineRule="auto" w:before="40" w:after="40"/>
              <w:jc w:val="left"/>
            </w:pPr>
            <w:r/>
            <w:r>
              <w:rPr>
                <w:b w:val="0"/>
                <w:i w:val="0"/>
                <w:sz w:val="18"/>
              </w:rPr>
              <w:t>SIM-R-007</w:t>
            </w:r>
          </w:p>
        </w:tc>
        <w:tc>
          <w:tcPr>
            <w:tcW w:type="dxa" w:w="1512"/>
            <w:shd w:val="clear" w:color="auto" w:fill="EFEFEF"/>
          </w:tcPr>
          <w:p>
            <w:pPr>
              <w:spacing w:line="240" w:lineRule="auto" w:before="40" w:after="40"/>
              <w:jc w:val="left"/>
            </w:pPr>
            <w:r/>
            <w:r>
              <w:rPr>
                <w:b w:val="0"/>
                <w:i w:val="0"/>
                <w:sz w:val="18"/>
              </w:rPr>
              <w:t>Albay</w:t>
            </w:r>
          </w:p>
        </w:tc>
        <w:tc>
          <w:tcPr>
            <w:tcW w:type="dxa" w:w="792"/>
            <w:shd w:val="clear" w:color="auto" w:fill="EFEFEF"/>
          </w:tcPr>
          <w:p>
            <w:pPr>
              <w:spacing w:line="240" w:lineRule="auto" w:before="40" w:after="40"/>
              <w:jc w:val="right"/>
            </w:pPr>
            <w:r/>
            <w:r>
              <w:rPr>
                <w:b w:val="0"/>
                <w:i w:val="0"/>
                <w:sz w:val="18"/>
              </w:rPr>
              <w:t>2023</w:t>
            </w:r>
          </w:p>
        </w:tc>
        <w:tc>
          <w:tcPr>
            <w:tcW w:type="dxa" w:w="2592"/>
            <w:shd w:val="clear" w:color="auto" w:fill="EFEFEF"/>
          </w:tcPr>
          <w:p>
            <w:pPr>
              <w:spacing w:line="240" w:lineRule="auto" w:before="40" w:after="40"/>
              <w:jc w:val="left"/>
            </w:pPr>
            <w:r/>
            <w:r>
              <w:rPr>
                <w:b w:val="0"/>
                <w:i w:val="0"/>
                <w:sz w:val="18"/>
              </w:rPr>
              <w:t>rcdg, 24 m, 2 span(s)</w:t>
            </w:r>
          </w:p>
        </w:tc>
        <w:tc>
          <w:tcPr>
            <w:tcW w:type="dxa" w:w="1080"/>
            <w:shd w:val="clear" w:color="auto" w:fill="EFEFEF"/>
          </w:tcPr>
          <w:p>
            <w:pPr>
              <w:spacing w:line="240" w:lineRule="auto" w:before="40" w:after="40"/>
              <w:jc w:val="right"/>
            </w:pPr>
            <w:r/>
            <w:r>
              <w:rPr>
                <w:b w:val="0"/>
                <w:i w:val="0"/>
                <w:sz w:val="18"/>
              </w:rPr>
              <w:t>26.68</w:t>
            </w:r>
          </w:p>
        </w:tc>
        <w:tc>
          <w:tcPr>
            <w:tcW w:type="dxa" w:w="1080"/>
            <w:shd w:val="clear" w:color="auto" w:fill="EFEFEF"/>
          </w:tcPr>
          <w:p>
            <w:pPr>
              <w:spacing w:line="240" w:lineRule="auto" w:before="40" w:after="40"/>
              <w:jc w:val="right"/>
            </w:pPr>
            <w:r/>
            <w:r>
              <w:rPr>
                <w:b w:val="0"/>
                <w:i w:val="0"/>
                <w:sz w:val="18"/>
              </w:rPr>
              <w:t>26.15</w:t>
            </w:r>
          </w:p>
        </w:tc>
        <w:tc>
          <w:tcPr>
            <w:tcW w:type="dxa" w:w="1080"/>
            <w:shd w:val="clear" w:color="auto" w:fill="EFEFEF"/>
          </w:tcPr>
          <w:p>
            <w:pPr>
              <w:spacing w:line="240" w:lineRule="auto" w:before="40" w:after="40"/>
              <w:jc w:val="left"/>
            </w:pPr>
            <w:r/>
            <w:r>
              <w:rPr>
                <w:b w:val="0"/>
                <w:i w:val="0"/>
                <w:sz w:val="18"/>
              </w:rPr>
              <w:t>No</w:t>
            </w:r>
          </w:p>
        </w:tc>
      </w:tr>
      <w:tr>
        <w:tc>
          <w:tcPr>
            <w:tcW w:type="dxa" w:w="1224"/>
            <w:tcBorders>
              <w:bottom w:val="single" w:sz="12" w:color="000000"/>
            </w:tcBorders>
          </w:tcPr>
          <w:p>
            <w:pPr>
              <w:spacing w:line="240" w:lineRule="auto" w:before="40" w:after="40"/>
              <w:jc w:val="left"/>
            </w:pPr>
            <w:r/>
            <w:r>
              <w:rPr>
                <w:b w:val="0"/>
                <w:i w:val="0"/>
                <w:sz w:val="18"/>
              </w:rPr>
              <w:t>SIM-R-008</w:t>
            </w:r>
          </w:p>
        </w:tc>
        <w:tc>
          <w:tcPr>
            <w:tcW w:type="dxa" w:w="1512"/>
            <w:tcBorders>
              <w:bottom w:val="single" w:sz="12" w:color="000000"/>
            </w:tcBorders>
          </w:tcPr>
          <w:p>
            <w:pPr>
              <w:spacing w:line="240" w:lineRule="auto" w:before="40" w:after="40"/>
              <w:jc w:val="left"/>
            </w:pPr>
            <w:r/>
            <w:r>
              <w:rPr>
                <w:b w:val="0"/>
                <w:i w:val="0"/>
                <w:sz w:val="18"/>
              </w:rPr>
              <w:t>Albay</w:t>
            </w:r>
          </w:p>
        </w:tc>
        <w:tc>
          <w:tcPr>
            <w:tcW w:type="dxa" w:w="792"/>
            <w:tcBorders>
              <w:bottom w:val="single" w:sz="12" w:color="000000"/>
            </w:tcBorders>
          </w:tcPr>
          <w:p>
            <w:pPr>
              <w:spacing w:line="240" w:lineRule="auto" w:before="40" w:after="40"/>
              <w:jc w:val="right"/>
            </w:pPr>
            <w:r/>
            <w:r>
              <w:rPr>
                <w:b w:val="0"/>
                <w:i w:val="0"/>
                <w:sz w:val="18"/>
              </w:rPr>
              <w:t>2022</w:t>
            </w:r>
          </w:p>
        </w:tc>
        <w:tc>
          <w:tcPr>
            <w:tcW w:type="dxa" w:w="2592"/>
            <w:tcBorders>
              <w:bottom w:val="single" w:sz="12" w:color="000000"/>
            </w:tcBorders>
          </w:tcPr>
          <w:p>
            <w:pPr>
              <w:spacing w:line="240" w:lineRule="auto" w:before="40" w:after="40"/>
              <w:jc w:val="left"/>
            </w:pPr>
            <w:r/>
            <w:r>
              <w:rPr>
                <w:b w:val="0"/>
                <w:i w:val="0"/>
                <w:sz w:val="18"/>
              </w:rPr>
              <w:t>pscg, 111.8 m, 3 span(s)</w:t>
            </w:r>
          </w:p>
        </w:tc>
        <w:tc>
          <w:tcPr>
            <w:tcW w:type="dxa" w:w="1080"/>
            <w:tcBorders>
              <w:bottom w:val="single" w:sz="12" w:color="000000"/>
            </w:tcBorders>
          </w:tcPr>
          <w:p>
            <w:pPr>
              <w:spacing w:line="240" w:lineRule="auto" w:before="40" w:after="40"/>
              <w:jc w:val="right"/>
            </w:pPr>
            <w:r/>
            <w:r>
              <w:rPr>
                <w:b w:val="0"/>
                <w:i w:val="0"/>
                <w:sz w:val="18"/>
              </w:rPr>
              <w:t>87.78</w:t>
            </w:r>
          </w:p>
        </w:tc>
        <w:tc>
          <w:tcPr>
            <w:tcW w:type="dxa" w:w="1080"/>
            <w:tcBorders>
              <w:bottom w:val="single" w:sz="12" w:color="000000"/>
            </w:tcBorders>
          </w:tcPr>
          <w:p>
            <w:pPr>
              <w:spacing w:line="240" w:lineRule="auto" w:before="40" w:after="40"/>
              <w:jc w:val="right"/>
            </w:pPr>
            <w:r/>
            <w:r>
              <w:rPr>
                <w:b w:val="0"/>
                <w:i w:val="0"/>
                <w:sz w:val="18"/>
              </w:rPr>
              <w:t>123.09</w:t>
            </w:r>
          </w:p>
        </w:tc>
        <w:tc>
          <w:tcPr>
            <w:tcW w:type="dxa" w:w="1080"/>
            <w:tcBorders>
              <w:bottom w:val="single" w:sz="12" w:color="000000"/>
            </w:tcBorders>
          </w:tcPr>
          <w:p>
            <w:pPr>
              <w:spacing w:line="240" w:lineRule="auto" w:before="40" w:after="40"/>
              <w:jc w:val="left"/>
            </w:pPr>
            <w:r/>
            <w:r>
              <w:rPr>
                <w:b w:val="0"/>
                <w:i w:val="0"/>
                <w:sz w:val="18"/>
              </w:rPr>
              <w:t>Yes</w:t>
            </w:r>
          </w:p>
        </w:tc>
      </w:tr>
    </w:tbl>
    <w:p>
      <w:pPr>
        <w:spacing w:line="360" w:lineRule="auto" w:after="0"/>
        <w:jc w:val="center"/>
      </w:pPr>
      <w:r>
        <w:rPr>
          <w:b w:val="0"/>
          <w:i/>
        </w:rPr>
        <w:t>The full dataset (300 records, 40 columns) is in research/data/buhay_sbd300.csv.</w:t>
      </w:r>
    </w:p>
    <w:p>
      <w:r>
        <w:br w:type="page"/>
      </w:r>
    </w:p>
    <w:p>
      <w:pPr>
        <w:spacing w:line="360" w:lineRule="auto" w:after="0"/>
        <w:jc w:val="center"/>
      </w:pPr>
      <w:r>
        <w:rPr>
          <w:b/>
          <w:i w:val="0"/>
        </w:rPr>
        <w:t>Appendix B. BUHAY Unit Price Book (Direct Costs, Bicol Region V, 2025)</w:t>
      </w:r>
    </w:p>
    <w:tbl>
      <w:tblPr>
        <w:tblW w:type="auto" w:w="0"/>
        <w:jc w:val="center"/>
        <w:tblLayout w:type="fixed"/>
        <w:tblLook w:firstColumn="1" w:firstRow="1" w:lastColumn="0" w:lastRow="0" w:noHBand="0" w:noVBand="1" w:val="04A0"/>
        <w:tblLayout w:type="fixed"/>
      </w:tblPr>
      <w:tblGrid>
        <w:gridCol w:w="1296"/>
        <w:gridCol w:w="5760"/>
        <w:gridCol w:w="864"/>
        <w:gridCol w:w="1584"/>
      </w:tblGrid>
      <w:tr>
        <w:tc>
          <w:tcPr>
            <w:tcW w:type="dxa" w:w="1296"/>
            <w:tcBorders>
              <w:top w:val="single" w:sz="12" w:color="000000"/>
              <w:bottom w:val="single" w:sz="8" w:color="000000"/>
            </w:tcBorders>
          </w:tcPr>
          <w:p>
            <w:pPr>
              <w:spacing w:line="240" w:lineRule="auto" w:before="40" w:after="40"/>
              <w:jc w:val="center"/>
            </w:pPr>
            <w:r/>
            <w:r>
              <w:rPr>
                <w:b/>
                <w:i w:val="0"/>
                <w:sz w:val="16"/>
              </w:rPr>
              <w:t>PAY ITEM</w:t>
            </w:r>
          </w:p>
        </w:tc>
        <w:tc>
          <w:tcPr>
            <w:tcW w:type="dxa" w:w="5760"/>
            <w:tcBorders>
              <w:top w:val="single" w:sz="12" w:color="000000"/>
              <w:bottom w:val="single" w:sz="8" w:color="000000"/>
            </w:tcBorders>
          </w:tcPr>
          <w:p>
            <w:pPr>
              <w:spacing w:line="240" w:lineRule="auto" w:before="40" w:after="40"/>
              <w:jc w:val="center"/>
            </w:pPr>
            <w:r/>
            <w:r>
              <w:rPr>
                <w:b/>
                <w:i w:val="0"/>
                <w:sz w:val="16"/>
              </w:rPr>
              <w:t>DESCRIPTION</w:t>
            </w:r>
          </w:p>
        </w:tc>
        <w:tc>
          <w:tcPr>
            <w:tcW w:type="dxa" w:w="864"/>
            <w:tcBorders>
              <w:top w:val="single" w:sz="12" w:color="000000"/>
              <w:bottom w:val="single" w:sz="8" w:color="000000"/>
            </w:tcBorders>
          </w:tcPr>
          <w:p>
            <w:pPr>
              <w:spacing w:line="240" w:lineRule="auto" w:before="40" w:after="40"/>
              <w:jc w:val="center"/>
            </w:pPr>
            <w:r/>
            <w:r>
              <w:rPr>
                <w:b/>
                <w:i w:val="0"/>
                <w:sz w:val="16"/>
              </w:rPr>
              <w:t>UNIT</w:t>
            </w:r>
          </w:p>
        </w:tc>
        <w:tc>
          <w:tcPr>
            <w:tcW w:type="dxa" w:w="1584"/>
            <w:tcBorders>
              <w:top w:val="single" w:sz="12" w:color="000000"/>
              <w:bottom w:val="single" w:sz="8" w:color="000000"/>
            </w:tcBorders>
          </w:tcPr>
          <w:p>
            <w:pPr>
              <w:spacing w:line="240" w:lineRule="auto" w:before="40" w:after="40"/>
              <w:jc w:val="center"/>
            </w:pPr>
            <w:r/>
            <w:r>
              <w:rPr>
                <w:b/>
                <w:i w:val="0"/>
                <w:sz w:val="16"/>
              </w:rPr>
              <w:t>RATE (₱)</w:t>
            </w:r>
          </w:p>
        </w:tc>
      </w:tr>
      <w:tr>
        <w:tc>
          <w:tcPr>
            <w:tcW w:type="dxa" w:w="1296"/>
            <w:shd w:val="clear" w:color="auto" w:fill="EFEFEF"/>
          </w:tcPr>
          <w:p>
            <w:pPr>
              <w:spacing w:line="240" w:lineRule="auto" w:before="40" w:after="40"/>
              <w:jc w:val="left"/>
            </w:pPr>
            <w:r/>
            <w:r>
              <w:rPr>
                <w:b w:val="0"/>
                <w:i w:val="0"/>
                <w:sz w:val="16"/>
              </w:rPr>
              <w:t>B.9</w:t>
            </w:r>
          </w:p>
        </w:tc>
        <w:tc>
          <w:tcPr>
            <w:tcW w:type="dxa" w:w="5760"/>
            <w:shd w:val="clear" w:color="auto" w:fill="EFEFEF"/>
          </w:tcPr>
          <w:p>
            <w:pPr>
              <w:spacing w:line="240" w:lineRule="auto" w:before="40" w:after="40"/>
              <w:jc w:val="left"/>
            </w:pPr>
            <w:r/>
            <w:r>
              <w:rPr>
                <w:b w:val="0"/>
                <w:i w:val="0"/>
                <w:sz w:val="16"/>
              </w:rPr>
              <w:t>Mobilization / demobilization</w:t>
            </w:r>
          </w:p>
        </w:tc>
        <w:tc>
          <w:tcPr>
            <w:tcW w:type="dxa" w:w="864"/>
            <w:shd w:val="clear" w:color="auto" w:fill="EFEFEF"/>
          </w:tcPr>
          <w:p>
            <w:pPr>
              <w:spacing w:line="240" w:lineRule="auto" w:before="40" w:after="40"/>
              <w:jc w:val="left"/>
            </w:pPr>
            <w:r/>
            <w:r>
              <w:rPr>
                <w:b w:val="0"/>
                <w:i w:val="0"/>
                <w:sz w:val="16"/>
              </w:rPr>
              <w:t>l.s.</w:t>
            </w:r>
          </w:p>
        </w:tc>
        <w:tc>
          <w:tcPr>
            <w:tcW w:type="dxa" w:w="1584"/>
            <w:shd w:val="clear" w:color="auto" w:fill="EFEFEF"/>
          </w:tcPr>
          <w:p>
            <w:pPr>
              <w:spacing w:line="240" w:lineRule="auto" w:before="40" w:after="40"/>
              <w:jc w:val="left"/>
            </w:pPr>
            <w:r/>
            <w:r>
              <w:rPr>
                <w:b w:val="0"/>
                <w:i w:val="0"/>
                <w:sz w:val="16"/>
              </w:rPr>
              <w:t>allowance / %</w:t>
            </w:r>
          </w:p>
        </w:tc>
      </w:tr>
      <w:tr>
        <w:tc>
          <w:tcPr>
            <w:tcW w:type="dxa" w:w="1296"/>
          </w:tcPr>
          <w:p>
            <w:pPr>
              <w:spacing w:line="240" w:lineRule="auto" w:before="40" w:after="40"/>
              <w:jc w:val="left"/>
            </w:pPr>
            <w:r/>
            <w:r>
              <w:rPr>
                <w:b w:val="0"/>
                <w:i w:val="0"/>
                <w:sz w:val="16"/>
              </w:rPr>
              <w:t>B.7 (1)</w:t>
            </w:r>
          </w:p>
        </w:tc>
        <w:tc>
          <w:tcPr>
            <w:tcW w:type="dxa" w:w="5760"/>
          </w:tcPr>
          <w:p>
            <w:pPr>
              <w:spacing w:line="240" w:lineRule="auto" w:before="40" w:after="40"/>
              <w:jc w:val="left"/>
            </w:pPr>
            <w:r/>
            <w:r>
              <w:rPr>
                <w:b w:val="0"/>
                <w:i w:val="0"/>
                <w:sz w:val="16"/>
              </w:rPr>
              <w:t>Occupational safety &amp; health program</w:t>
            </w:r>
          </w:p>
        </w:tc>
        <w:tc>
          <w:tcPr>
            <w:tcW w:type="dxa" w:w="864"/>
          </w:tcPr>
          <w:p>
            <w:pPr>
              <w:spacing w:line="240" w:lineRule="auto" w:before="40" w:after="40"/>
              <w:jc w:val="left"/>
            </w:pPr>
            <w:r/>
            <w:r>
              <w:rPr>
                <w:b w:val="0"/>
                <w:i w:val="0"/>
                <w:sz w:val="16"/>
              </w:rPr>
              <w:t>l.s.</w:t>
            </w:r>
          </w:p>
        </w:tc>
        <w:tc>
          <w:tcPr>
            <w:tcW w:type="dxa" w:w="1584"/>
          </w:tcPr>
          <w:p>
            <w:pPr>
              <w:spacing w:line="240" w:lineRule="auto" w:before="40" w:after="40"/>
              <w:jc w:val="left"/>
            </w:pPr>
            <w:r/>
            <w:r>
              <w:rPr>
                <w:b w:val="0"/>
                <w:i w:val="0"/>
                <w:sz w:val="16"/>
              </w:rPr>
              <w:t>allowance / %</w:t>
            </w:r>
          </w:p>
        </w:tc>
      </w:tr>
      <w:tr>
        <w:tc>
          <w:tcPr>
            <w:tcW w:type="dxa" w:w="1296"/>
            <w:shd w:val="clear" w:color="auto" w:fill="EFEFEF"/>
          </w:tcPr>
          <w:p>
            <w:pPr>
              <w:spacing w:line="240" w:lineRule="auto" w:before="40" w:after="40"/>
              <w:jc w:val="left"/>
            </w:pPr>
            <w:r/>
            <w:r>
              <w:rPr>
                <w:b w:val="0"/>
                <w:i w:val="0"/>
                <w:sz w:val="16"/>
              </w:rPr>
              <w:t>B.5</w:t>
            </w:r>
          </w:p>
        </w:tc>
        <w:tc>
          <w:tcPr>
            <w:tcW w:type="dxa" w:w="5760"/>
            <w:shd w:val="clear" w:color="auto" w:fill="EFEFEF"/>
          </w:tcPr>
          <w:p>
            <w:pPr>
              <w:spacing w:line="240" w:lineRule="auto" w:before="40" w:after="40"/>
              <w:jc w:val="left"/>
            </w:pPr>
            <w:r/>
            <w:r>
              <w:rPr>
                <w:b w:val="0"/>
                <w:i w:val="0"/>
                <w:sz w:val="16"/>
              </w:rPr>
              <w:t>Project billboard / signboard</w:t>
            </w:r>
          </w:p>
        </w:tc>
        <w:tc>
          <w:tcPr>
            <w:tcW w:type="dxa" w:w="864"/>
            <w:shd w:val="clear" w:color="auto" w:fill="EFEFEF"/>
          </w:tcPr>
          <w:p>
            <w:pPr>
              <w:spacing w:line="240" w:lineRule="auto" w:before="40" w:after="40"/>
              <w:jc w:val="left"/>
            </w:pPr>
            <w:r/>
            <w:r>
              <w:rPr>
                <w:b w:val="0"/>
                <w:i w:val="0"/>
                <w:sz w:val="16"/>
              </w:rPr>
              <w:t>each</w:t>
            </w:r>
          </w:p>
        </w:tc>
        <w:tc>
          <w:tcPr>
            <w:tcW w:type="dxa" w:w="1584"/>
            <w:shd w:val="clear" w:color="auto" w:fill="EFEFEF"/>
          </w:tcPr>
          <w:p>
            <w:pPr>
              <w:spacing w:line="240" w:lineRule="auto" w:before="40" w:after="40"/>
              <w:jc w:val="right"/>
            </w:pPr>
            <w:r/>
            <w:r>
              <w:rPr>
                <w:b w:val="0"/>
                <w:i w:val="0"/>
                <w:sz w:val="16"/>
              </w:rPr>
              <w:t>7,500</w:t>
            </w:r>
          </w:p>
        </w:tc>
      </w:tr>
      <w:tr>
        <w:tc>
          <w:tcPr>
            <w:tcW w:type="dxa" w:w="1296"/>
          </w:tcPr>
          <w:p>
            <w:pPr>
              <w:spacing w:line="240" w:lineRule="auto" w:before="40" w:after="40"/>
              <w:jc w:val="left"/>
            </w:pPr>
            <w:r/>
            <w:r>
              <w:rPr>
                <w:b w:val="0"/>
                <w:i w:val="0"/>
                <w:sz w:val="16"/>
              </w:rPr>
              <w:t>B.8</w:t>
            </w:r>
          </w:p>
        </w:tc>
        <w:tc>
          <w:tcPr>
            <w:tcW w:type="dxa" w:w="5760"/>
          </w:tcPr>
          <w:p>
            <w:pPr>
              <w:spacing w:line="240" w:lineRule="auto" w:before="40" w:after="40"/>
              <w:jc w:val="left"/>
            </w:pPr>
            <w:r/>
            <w:r>
              <w:rPr>
                <w:b w:val="0"/>
                <w:i w:val="0"/>
                <w:sz w:val="16"/>
              </w:rPr>
              <w:t>Traffic management &amp; detour</w:t>
            </w:r>
          </w:p>
        </w:tc>
        <w:tc>
          <w:tcPr>
            <w:tcW w:type="dxa" w:w="864"/>
          </w:tcPr>
          <w:p>
            <w:pPr>
              <w:spacing w:line="240" w:lineRule="auto" w:before="40" w:after="40"/>
              <w:jc w:val="left"/>
            </w:pPr>
            <w:r/>
            <w:r>
              <w:rPr>
                <w:b w:val="0"/>
                <w:i w:val="0"/>
                <w:sz w:val="16"/>
              </w:rPr>
              <w:t>l.s.</w:t>
            </w:r>
          </w:p>
        </w:tc>
        <w:tc>
          <w:tcPr>
            <w:tcW w:type="dxa" w:w="1584"/>
          </w:tcPr>
          <w:p>
            <w:pPr>
              <w:spacing w:line="240" w:lineRule="auto" w:before="40" w:after="40"/>
              <w:jc w:val="left"/>
            </w:pPr>
            <w:r/>
            <w:r>
              <w:rPr>
                <w:b w:val="0"/>
                <w:i w:val="0"/>
                <w:sz w:val="16"/>
              </w:rPr>
              <w:t>allowance / %</w:t>
            </w:r>
          </w:p>
        </w:tc>
      </w:tr>
      <w:tr>
        <w:tc>
          <w:tcPr>
            <w:tcW w:type="dxa" w:w="1296"/>
            <w:shd w:val="clear" w:color="auto" w:fill="EFEFEF"/>
          </w:tcPr>
          <w:p>
            <w:pPr>
              <w:spacing w:line="240" w:lineRule="auto" w:before="40" w:after="40"/>
              <w:jc w:val="left"/>
            </w:pPr>
            <w:r/>
            <w:r>
              <w:rPr>
                <w:b w:val="0"/>
                <w:i w:val="0"/>
                <w:sz w:val="16"/>
              </w:rPr>
              <w:t>B.3</w:t>
            </w:r>
          </w:p>
        </w:tc>
        <w:tc>
          <w:tcPr>
            <w:tcW w:type="dxa" w:w="5760"/>
            <w:shd w:val="clear" w:color="auto" w:fill="EFEFEF"/>
          </w:tcPr>
          <w:p>
            <w:pPr>
              <w:spacing w:line="240" w:lineRule="auto" w:before="40" w:after="40"/>
              <w:jc w:val="left"/>
            </w:pPr>
            <w:r/>
            <w:r>
              <w:rPr>
                <w:b w:val="0"/>
                <w:i w:val="0"/>
                <w:sz w:val="16"/>
              </w:rPr>
              <w:t>Survey, staking, testing &amp; as-built plans</w:t>
            </w:r>
          </w:p>
        </w:tc>
        <w:tc>
          <w:tcPr>
            <w:tcW w:type="dxa" w:w="864"/>
            <w:shd w:val="clear" w:color="auto" w:fill="EFEFEF"/>
          </w:tcPr>
          <w:p>
            <w:pPr>
              <w:spacing w:line="240" w:lineRule="auto" w:before="40" w:after="40"/>
              <w:jc w:val="left"/>
            </w:pPr>
            <w:r/>
            <w:r>
              <w:rPr>
                <w:b w:val="0"/>
                <w:i w:val="0"/>
                <w:sz w:val="16"/>
              </w:rPr>
              <w:t>l.s.</w:t>
            </w:r>
          </w:p>
        </w:tc>
        <w:tc>
          <w:tcPr>
            <w:tcW w:type="dxa" w:w="1584"/>
            <w:shd w:val="clear" w:color="auto" w:fill="EFEFEF"/>
          </w:tcPr>
          <w:p>
            <w:pPr>
              <w:spacing w:line="240" w:lineRule="auto" w:before="40" w:after="40"/>
              <w:jc w:val="left"/>
            </w:pPr>
            <w:r/>
            <w:r>
              <w:rPr>
                <w:b w:val="0"/>
                <w:i w:val="0"/>
                <w:sz w:val="16"/>
              </w:rPr>
              <w:t>allowance / %</w:t>
            </w:r>
          </w:p>
        </w:tc>
      </w:tr>
      <w:tr>
        <w:tc>
          <w:tcPr>
            <w:tcW w:type="dxa" w:w="1296"/>
          </w:tcPr>
          <w:p>
            <w:pPr>
              <w:spacing w:line="240" w:lineRule="auto" w:before="40" w:after="40"/>
              <w:jc w:val="left"/>
            </w:pPr>
            <w:r/>
            <w:r>
              <w:rPr>
                <w:b w:val="0"/>
                <w:i w:val="0"/>
                <w:sz w:val="16"/>
              </w:rPr>
              <w:t>800 (3)</w:t>
            </w:r>
          </w:p>
        </w:tc>
        <w:tc>
          <w:tcPr>
            <w:tcW w:type="dxa" w:w="5760"/>
          </w:tcPr>
          <w:p>
            <w:pPr>
              <w:spacing w:line="240" w:lineRule="auto" w:before="40" w:after="40"/>
              <w:jc w:val="left"/>
            </w:pPr>
            <w:r/>
            <w:r>
              <w:rPr>
                <w:b w:val="0"/>
                <w:i w:val="0"/>
                <w:sz w:val="16"/>
              </w:rPr>
              <w:t>Clearing and grubbing</w:t>
            </w:r>
          </w:p>
        </w:tc>
        <w:tc>
          <w:tcPr>
            <w:tcW w:type="dxa" w:w="864"/>
          </w:tcPr>
          <w:p>
            <w:pPr>
              <w:spacing w:line="240" w:lineRule="auto" w:before="40" w:after="40"/>
              <w:jc w:val="left"/>
            </w:pPr>
            <w:r/>
            <w:r>
              <w:rPr>
                <w:b w:val="0"/>
                <w:i w:val="0"/>
                <w:sz w:val="16"/>
              </w:rPr>
              <w:t>m²</w:t>
            </w:r>
          </w:p>
        </w:tc>
        <w:tc>
          <w:tcPr>
            <w:tcW w:type="dxa" w:w="1584"/>
          </w:tcPr>
          <w:p>
            <w:pPr>
              <w:spacing w:line="240" w:lineRule="auto" w:before="40" w:after="40"/>
              <w:jc w:val="right"/>
            </w:pPr>
            <w:r/>
            <w:r>
              <w:rPr>
                <w:b w:val="0"/>
                <w:i w:val="0"/>
                <w:sz w:val="16"/>
              </w:rPr>
              <w:t>45</w:t>
            </w:r>
          </w:p>
        </w:tc>
      </w:tr>
      <w:tr>
        <w:tc>
          <w:tcPr>
            <w:tcW w:type="dxa" w:w="1296"/>
            <w:shd w:val="clear" w:color="auto" w:fill="EFEFEF"/>
          </w:tcPr>
          <w:p>
            <w:pPr>
              <w:spacing w:line="240" w:lineRule="auto" w:before="40" w:after="40"/>
              <w:jc w:val="left"/>
            </w:pPr>
            <w:r/>
            <w:r>
              <w:rPr>
                <w:b w:val="0"/>
                <w:i w:val="0"/>
                <w:sz w:val="16"/>
              </w:rPr>
              <w:t>803 (1)a</w:t>
            </w:r>
          </w:p>
        </w:tc>
        <w:tc>
          <w:tcPr>
            <w:tcW w:type="dxa" w:w="5760"/>
            <w:shd w:val="clear" w:color="auto" w:fill="EFEFEF"/>
          </w:tcPr>
          <w:p>
            <w:pPr>
              <w:spacing w:line="240" w:lineRule="auto" w:before="40" w:after="40"/>
              <w:jc w:val="left"/>
            </w:pPr>
            <w:r/>
            <w:r>
              <w:rPr>
                <w:b w:val="0"/>
                <w:i w:val="0"/>
                <w:sz w:val="16"/>
              </w:rPr>
              <w:t>Structure excavation, common soil</w:t>
            </w:r>
          </w:p>
        </w:tc>
        <w:tc>
          <w:tcPr>
            <w:tcW w:type="dxa" w:w="864"/>
            <w:shd w:val="clear" w:color="auto" w:fill="EFEFEF"/>
          </w:tcPr>
          <w:p>
            <w:pPr>
              <w:spacing w:line="240" w:lineRule="auto" w:before="40" w:after="40"/>
              <w:jc w:val="left"/>
            </w:pPr>
            <w:r/>
            <w:r>
              <w:rPr>
                <w:b w:val="0"/>
                <w:i w:val="0"/>
                <w:sz w:val="16"/>
              </w:rPr>
              <w:t>m³</w:t>
            </w:r>
          </w:p>
        </w:tc>
        <w:tc>
          <w:tcPr>
            <w:tcW w:type="dxa" w:w="1584"/>
            <w:shd w:val="clear" w:color="auto" w:fill="EFEFEF"/>
          </w:tcPr>
          <w:p>
            <w:pPr>
              <w:spacing w:line="240" w:lineRule="auto" w:before="40" w:after="40"/>
              <w:jc w:val="right"/>
            </w:pPr>
            <w:r/>
            <w:r>
              <w:rPr>
                <w:b w:val="0"/>
                <w:i w:val="0"/>
                <w:sz w:val="16"/>
              </w:rPr>
              <w:t>380</w:t>
            </w:r>
          </w:p>
        </w:tc>
      </w:tr>
      <w:tr>
        <w:tc>
          <w:tcPr>
            <w:tcW w:type="dxa" w:w="1296"/>
          </w:tcPr>
          <w:p>
            <w:pPr>
              <w:spacing w:line="240" w:lineRule="auto" w:before="40" w:after="40"/>
              <w:jc w:val="left"/>
            </w:pPr>
            <w:r/>
            <w:r>
              <w:rPr>
                <w:b w:val="0"/>
                <w:i w:val="0"/>
                <w:sz w:val="16"/>
              </w:rPr>
              <w:t>804 (1)a</w:t>
            </w:r>
          </w:p>
        </w:tc>
        <w:tc>
          <w:tcPr>
            <w:tcW w:type="dxa" w:w="5760"/>
          </w:tcPr>
          <w:p>
            <w:pPr>
              <w:spacing w:line="240" w:lineRule="auto" w:before="40" w:after="40"/>
              <w:jc w:val="left"/>
            </w:pPr>
            <w:r/>
            <w:r>
              <w:rPr>
                <w:b w:val="0"/>
                <w:i w:val="0"/>
                <w:sz w:val="16"/>
              </w:rPr>
              <w:t>Backfill from structure excavation, compacted</w:t>
            </w:r>
          </w:p>
        </w:tc>
        <w:tc>
          <w:tcPr>
            <w:tcW w:type="dxa" w:w="864"/>
          </w:tcPr>
          <w:p>
            <w:pPr>
              <w:spacing w:line="240" w:lineRule="auto" w:before="40" w:after="40"/>
              <w:jc w:val="left"/>
            </w:pPr>
            <w:r/>
            <w:r>
              <w:rPr>
                <w:b w:val="0"/>
                <w:i w:val="0"/>
                <w:sz w:val="16"/>
              </w:rPr>
              <w:t>m³</w:t>
            </w:r>
          </w:p>
        </w:tc>
        <w:tc>
          <w:tcPr>
            <w:tcW w:type="dxa" w:w="1584"/>
          </w:tcPr>
          <w:p>
            <w:pPr>
              <w:spacing w:line="240" w:lineRule="auto" w:before="40" w:after="40"/>
              <w:jc w:val="right"/>
            </w:pPr>
            <w:r/>
            <w:r>
              <w:rPr>
                <w:b w:val="0"/>
                <w:i w:val="0"/>
                <w:sz w:val="16"/>
              </w:rPr>
              <w:t>260</w:t>
            </w:r>
          </w:p>
        </w:tc>
      </w:tr>
      <w:tr>
        <w:tc>
          <w:tcPr>
            <w:tcW w:type="dxa" w:w="1296"/>
            <w:shd w:val="clear" w:color="auto" w:fill="EFEFEF"/>
          </w:tcPr>
          <w:p>
            <w:pPr>
              <w:spacing w:line="240" w:lineRule="auto" w:before="40" w:after="40"/>
              <w:jc w:val="left"/>
            </w:pPr>
            <w:r/>
            <w:r>
              <w:rPr>
                <w:b w:val="0"/>
                <w:i w:val="0"/>
                <w:sz w:val="16"/>
              </w:rPr>
              <w:t>804 (4)</w:t>
            </w:r>
          </w:p>
        </w:tc>
        <w:tc>
          <w:tcPr>
            <w:tcW w:type="dxa" w:w="5760"/>
            <w:shd w:val="clear" w:color="auto" w:fill="EFEFEF"/>
          </w:tcPr>
          <w:p>
            <w:pPr>
              <w:spacing w:line="240" w:lineRule="auto" w:before="40" w:after="40"/>
              <w:jc w:val="left"/>
            </w:pPr>
            <w:r/>
            <w:r>
              <w:rPr>
                <w:b w:val="0"/>
                <w:i w:val="0"/>
                <w:sz w:val="16"/>
              </w:rPr>
              <w:t>Gravel fill / bedding, compacted</w:t>
            </w:r>
          </w:p>
        </w:tc>
        <w:tc>
          <w:tcPr>
            <w:tcW w:type="dxa" w:w="864"/>
            <w:shd w:val="clear" w:color="auto" w:fill="EFEFEF"/>
          </w:tcPr>
          <w:p>
            <w:pPr>
              <w:spacing w:line="240" w:lineRule="auto" w:before="40" w:after="40"/>
              <w:jc w:val="left"/>
            </w:pPr>
            <w:r/>
            <w:r>
              <w:rPr>
                <w:b w:val="0"/>
                <w:i w:val="0"/>
                <w:sz w:val="16"/>
              </w:rPr>
              <w:t>m³</w:t>
            </w:r>
          </w:p>
        </w:tc>
        <w:tc>
          <w:tcPr>
            <w:tcW w:type="dxa" w:w="1584"/>
            <w:shd w:val="clear" w:color="auto" w:fill="EFEFEF"/>
          </w:tcPr>
          <w:p>
            <w:pPr>
              <w:spacing w:line="240" w:lineRule="auto" w:before="40" w:after="40"/>
              <w:jc w:val="right"/>
            </w:pPr>
            <w:r/>
            <w:r>
              <w:rPr>
                <w:b w:val="0"/>
                <w:i w:val="0"/>
                <w:sz w:val="16"/>
              </w:rPr>
              <w:t>1,550</w:t>
            </w:r>
          </w:p>
        </w:tc>
      </w:tr>
      <w:tr>
        <w:tc>
          <w:tcPr>
            <w:tcW w:type="dxa" w:w="1296"/>
          </w:tcPr>
          <w:p>
            <w:pPr>
              <w:spacing w:line="240" w:lineRule="auto" w:before="40" w:after="40"/>
              <w:jc w:val="left"/>
            </w:pPr>
            <w:r/>
            <w:r>
              <w:rPr>
                <w:b w:val="0"/>
                <w:i w:val="0"/>
                <w:sz w:val="16"/>
              </w:rPr>
              <w:t>1000 (1)</w:t>
            </w:r>
          </w:p>
        </w:tc>
        <w:tc>
          <w:tcPr>
            <w:tcW w:type="dxa" w:w="5760"/>
          </w:tcPr>
          <w:p>
            <w:pPr>
              <w:spacing w:line="240" w:lineRule="auto" w:before="40" w:after="40"/>
              <w:jc w:val="left"/>
            </w:pPr>
            <w:r/>
            <w:r>
              <w:rPr>
                <w:b w:val="0"/>
                <w:i w:val="0"/>
                <w:sz w:val="16"/>
              </w:rPr>
              <w:t>Soil poisoning (termite control)</w:t>
            </w:r>
          </w:p>
        </w:tc>
        <w:tc>
          <w:tcPr>
            <w:tcW w:type="dxa" w:w="864"/>
          </w:tcPr>
          <w:p>
            <w:pPr>
              <w:spacing w:line="240" w:lineRule="auto" w:before="40" w:after="40"/>
              <w:jc w:val="left"/>
            </w:pPr>
            <w:r/>
            <w:r>
              <w:rPr>
                <w:b w:val="0"/>
                <w:i w:val="0"/>
                <w:sz w:val="16"/>
              </w:rPr>
              <w:t>m²</w:t>
            </w:r>
          </w:p>
        </w:tc>
        <w:tc>
          <w:tcPr>
            <w:tcW w:type="dxa" w:w="1584"/>
          </w:tcPr>
          <w:p>
            <w:pPr>
              <w:spacing w:line="240" w:lineRule="auto" w:before="40" w:after="40"/>
              <w:jc w:val="right"/>
            </w:pPr>
            <w:r/>
            <w:r>
              <w:rPr>
                <w:b w:val="0"/>
                <w:i w:val="0"/>
                <w:sz w:val="16"/>
              </w:rPr>
              <w:t>65</w:t>
            </w:r>
          </w:p>
        </w:tc>
      </w:tr>
      <w:tr>
        <w:tc>
          <w:tcPr>
            <w:tcW w:type="dxa" w:w="1296"/>
            <w:shd w:val="clear" w:color="auto" w:fill="EFEFEF"/>
          </w:tcPr>
          <w:p>
            <w:pPr>
              <w:spacing w:line="240" w:lineRule="auto" w:before="40" w:after="40"/>
              <w:jc w:val="left"/>
            </w:pPr>
            <w:r/>
            <w:r>
              <w:rPr>
                <w:b w:val="0"/>
                <w:i w:val="0"/>
                <w:sz w:val="16"/>
              </w:rPr>
              <w:t>900 (1)c</w:t>
            </w:r>
          </w:p>
        </w:tc>
        <w:tc>
          <w:tcPr>
            <w:tcW w:type="dxa" w:w="5760"/>
            <w:shd w:val="clear" w:color="auto" w:fill="EFEFEF"/>
          </w:tcPr>
          <w:p>
            <w:pPr>
              <w:spacing w:line="240" w:lineRule="auto" w:before="40" w:after="40"/>
              <w:jc w:val="left"/>
            </w:pPr>
            <w:r/>
            <w:r>
              <w:rPr>
                <w:b w:val="0"/>
                <w:i w:val="0"/>
                <w:sz w:val="16"/>
              </w:rPr>
              <w:t>Structural concrete, fc′ 20.7 MPa (3000 psi), 28 days</w:t>
            </w:r>
          </w:p>
        </w:tc>
        <w:tc>
          <w:tcPr>
            <w:tcW w:type="dxa" w:w="864"/>
            <w:shd w:val="clear" w:color="auto" w:fill="EFEFEF"/>
          </w:tcPr>
          <w:p>
            <w:pPr>
              <w:spacing w:line="240" w:lineRule="auto" w:before="40" w:after="40"/>
              <w:jc w:val="left"/>
            </w:pPr>
            <w:r/>
            <w:r>
              <w:rPr>
                <w:b w:val="0"/>
                <w:i w:val="0"/>
                <w:sz w:val="16"/>
              </w:rPr>
              <w:t>m³</w:t>
            </w:r>
          </w:p>
        </w:tc>
        <w:tc>
          <w:tcPr>
            <w:tcW w:type="dxa" w:w="1584"/>
            <w:shd w:val="clear" w:color="auto" w:fill="EFEFEF"/>
          </w:tcPr>
          <w:p>
            <w:pPr>
              <w:spacing w:line="240" w:lineRule="auto" w:before="40" w:after="40"/>
              <w:jc w:val="right"/>
            </w:pPr>
            <w:r/>
            <w:r>
              <w:rPr>
                <w:b w:val="0"/>
                <w:i w:val="0"/>
                <w:sz w:val="16"/>
              </w:rPr>
              <w:t>7,900</w:t>
            </w:r>
          </w:p>
        </w:tc>
      </w:tr>
      <w:tr>
        <w:tc>
          <w:tcPr>
            <w:tcW w:type="dxa" w:w="1296"/>
          </w:tcPr>
          <w:p>
            <w:pPr>
              <w:spacing w:line="240" w:lineRule="auto" w:before="40" w:after="40"/>
              <w:jc w:val="left"/>
            </w:pPr>
            <w:r/>
            <w:r>
              <w:rPr>
                <w:b w:val="0"/>
                <w:i w:val="0"/>
                <w:sz w:val="16"/>
              </w:rPr>
              <w:t>900 (1)b</w:t>
            </w:r>
          </w:p>
        </w:tc>
        <w:tc>
          <w:tcPr>
            <w:tcW w:type="dxa" w:w="5760"/>
          </w:tcPr>
          <w:p>
            <w:pPr>
              <w:spacing w:line="240" w:lineRule="auto" w:before="40" w:after="40"/>
              <w:jc w:val="left"/>
            </w:pPr>
            <w:r/>
            <w:r>
              <w:rPr>
                <w:b w:val="0"/>
                <w:i w:val="0"/>
                <w:sz w:val="16"/>
              </w:rPr>
              <w:t>Concrete slab on grade, fc′ 17.2 MPa (2500 psi)</w:t>
            </w:r>
          </w:p>
        </w:tc>
        <w:tc>
          <w:tcPr>
            <w:tcW w:type="dxa" w:w="864"/>
          </w:tcPr>
          <w:p>
            <w:pPr>
              <w:spacing w:line="240" w:lineRule="auto" w:before="40" w:after="40"/>
              <w:jc w:val="left"/>
            </w:pPr>
            <w:r/>
            <w:r>
              <w:rPr>
                <w:b w:val="0"/>
                <w:i w:val="0"/>
                <w:sz w:val="16"/>
              </w:rPr>
              <w:t>m³</w:t>
            </w:r>
          </w:p>
        </w:tc>
        <w:tc>
          <w:tcPr>
            <w:tcW w:type="dxa" w:w="1584"/>
          </w:tcPr>
          <w:p>
            <w:pPr>
              <w:spacing w:line="240" w:lineRule="auto" w:before="40" w:after="40"/>
              <w:jc w:val="right"/>
            </w:pPr>
            <w:r/>
            <w:r>
              <w:rPr>
                <w:b w:val="0"/>
                <w:i w:val="0"/>
                <w:sz w:val="16"/>
              </w:rPr>
              <w:t>7,200</w:t>
            </w:r>
          </w:p>
        </w:tc>
      </w:tr>
      <w:tr>
        <w:tc>
          <w:tcPr>
            <w:tcW w:type="dxa" w:w="1296"/>
            <w:shd w:val="clear" w:color="auto" w:fill="EFEFEF"/>
          </w:tcPr>
          <w:p>
            <w:pPr>
              <w:spacing w:line="240" w:lineRule="auto" w:before="40" w:after="40"/>
              <w:jc w:val="left"/>
            </w:pPr>
            <w:r/>
            <w:r>
              <w:rPr>
                <w:b w:val="0"/>
                <w:i w:val="0"/>
                <w:sz w:val="16"/>
              </w:rPr>
              <w:t>902 (1)</w:t>
            </w:r>
          </w:p>
        </w:tc>
        <w:tc>
          <w:tcPr>
            <w:tcW w:type="dxa" w:w="5760"/>
            <w:shd w:val="clear" w:color="auto" w:fill="EFEFEF"/>
          </w:tcPr>
          <w:p>
            <w:pPr>
              <w:spacing w:line="240" w:lineRule="auto" w:before="40" w:after="40"/>
              <w:jc w:val="left"/>
            </w:pPr>
            <w:r/>
            <w:r>
              <w:rPr>
                <w:b w:val="0"/>
                <w:i w:val="0"/>
                <w:sz w:val="16"/>
              </w:rPr>
              <w:t>Reinforcing steel bars, deformed, Gr. 40/60, incl. tie wire</w:t>
            </w:r>
          </w:p>
        </w:tc>
        <w:tc>
          <w:tcPr>
            <w:tcW w:type="dxa" w:w="864"/>
            <w:shd w:val="clear" w:color="auto" w:fill="EFEFEF"/>
          </w:tcPr>
          <w:p>
            <w:pPr>
              <w:spacing w:line="240" w:lineRule="auto" w:before="40" w:after="40"/>
              <w:jc w:val="left"/>
            </w:pPr>
            <w:r/>
            <w:r>
              <w:rPr>
                <w:b w:val="0"/>
                <w:i w:val="0"/>
                <w:sz w:val="16"/>
              </w:rPr>
              <w:t>kg</w:t>
            </w:r>
          </w:p>
        </w:tc>
        <w:tc>
          <w:tcPr>
            <w:tcW w:type="dxa" w:w="1584"/>
            <w:shd w:val="clear" w:color="auto" w:fill="EFEFEF"/>
          </w:tcPr>
          <w:p>
            <w:pPr>
              <w:spacing w:line="240" w:lineRule="auto" w:before="40" w:after="40"/>
              <w:jc w:val="right"/>
            </w:pPr>
            <w:r/>
            <w:r>
              <w:rPr>
                <w:b w:val="0"/>
                <w:i w:val="0"/>
                <w:sz w:val="16"/>
              </w:rPr>
              <w:t>82</w:t>
            </w:r>
          </w:p>
        </w:tc>
      </w:tr>
      <w:tr>
        <w:tc>
          <w:tcPr>
            <w:tcW w:type="dxa" w:w="1296"/>
          </w:tcPr>
          <w:p>
            <w:pPr>
              <w:spacing w:line="240" w:lineRule="auto" w:before="40" w:after="40"/>
              <w:jc w:val="left"/>
            </w:pPr>
            <w:r/>
            <w:r>
              <w:rPr>
                <w:b w:val="0"/>
                <w:i w:val="0"/>
                <w:sz w:val="16"/>
              </w:rPr>
              <w:t>903 (2)</w:t>
            </w:r>
          </w:p>
        </w:tc>
        <w:tc>
          <w:tcPr>
            <w:tcW w:type="dxa" w:w="5760"/>
          </w:tcPr>
          <w:p>
            <w:pPr>
              <w:spacing w:line="240" w:lineRule="auto" w:before="40" w:after="40"/>
              <w:jc w:val="left"/>
            </w:pPr>
            <w:r/>
            <w:r>
              <w:rPr>
                <w:b w:val="0"/>
                <w:i w:val="0"/>
                <w:sz w:val="16"/>
              </w:rPr>
              <w:t>Formworks and falseworks</w:t>
            </w:r>
          </w:p>
        </w:tc>
        <w:tc>
          <w:tcPr>
            <w:tcW w:type="dxa" w:w="864"/>
          </w:tcPr>
          <w:p>
            <w:pPr>
              <w:spacing w:line="240" w:lineRule="auto" w:before="40" w:after="40"/>
              <w:jc w:val="left"/>
            </w:pPr>
            <w:r/>
            <w:r>
              <w:rPr>
                <w:b w:val="0"/>
                <w:i w:val="0"/>
                <w:sz w:val="16"/>
              </w:rPr>
              <w:t>m²</w:t>
            </w:r>
          </w:p>
        </w:tc>
        <w:tc>
          <w:tcPr>
            <w:tcW w:type="dxa" w:w="1584"/>
          </w:tcPr>
          <w:p>
            <w:pPr>
              <w:spacing w:line="240" w:lineRule="auto" w:before="40" w:after="40"/>
              <w:jc w:val="right"/>
            </w:pPr>
            <w:r/>
            <w:r>
              <w:rPr>
                <w:b w:val="0"/>
                <w:i w:val="0"/>
                <w:sz w:val="16"/>
              </w:rPr>
              <w:t>850</w:t>
            </w:r>
          </w:p>
        </w:tc>
      </w:tr>
      <w:tr>
        <w:tc>
          <w:tcPr>
            <w:tcW w:type="dxa" w:w="1296"/>
            <w:shd w:val="clear" w:color="auto" w:fill="EFEFEF"/>
          </w:tcPr>
          <w:p>
            <w:pPr>
              <w:spacing w:line="240" w:lineRule="auto" w:before="40" w:after="40"/>
              <w:jc w:val="left"/>
            </w:pPr>
            <w:r/>
            <w:r>
              <w:rPr>
                <w:b w:val="0"/>
                <w:i w:val="0"/>
                <w:sz w:val="16"/>
              </w:rPr>
              <w:t>1046 (3)</w:t>
            </w:r>
          </w:p>
        </w:tc>
        <w:tc>
          <w:tcPr>
            <w:tcW w:type="dxa" w:w="5760"/>
            <w:shd w:val="clear" w:color="auto" w:fill="EFEFEF"/>
          </w:tcPr>
          <w:p>
            <w:pPr>
              <w:spacing w:line="240" w:lineRule="auto" w:before="40" w:after="40"/>
              <w:jc w:val="left"/>
            </w:pPr>
            <w:r/>
            <w:r>
              <w:rPr>
                <w:b w:val="0"/>
                <w:i w:val="0"/>
                <w:sz w:val="16"/>
              </w:rPr>
              <w:t>CHB masonry 150 mm, reinforced &amp; grouted (exterior)</w:t>
            </w:r>
          </w:p>
        </w:tc>
        <w:tc>
          <w:tcPr>
            <w:tcW w:type="dxa" w:w="864"/>
            <w:shd w:val="clear" w:color="auto" w:fill="EFEFEF"/>
          </w:tcPr>
          <w:p>
            <w:pPr>
              <w:spacing w:line="240" w:lineRule="auto" w:before="40" w:after="40"/>
              <w:jc w:val="left"/>
            </w:pPr>
            <w:r/>
            <w:r>
              <w:rPr>
                <w:b w:val="0"/>
                <w:i w:val="0"/>
                <w:sz w:val="16"/>
              </w:rPr>
              <w:t>m²</w:t>
            </w:r>
          </w:p>
        </w:tc>
        <w:tc>
          <w:tcPr>
            <w:tcW w:type="dxa" w:w="1584"/>
            <w:shd w:val="clear" w:color="auto" w:fill="EFEFEF"/>
          </w:tcPr>
          <w:p>
            <w:pPr>
              <w:spacing w:line="240" w:lineRule="auto" w:before="40" w:after="40"/>
              <w:jc w:val="right"/>
            </w:pPr>
            <w:r/>
            <w:r>
              <w:rPr>
                <w:b w:val="0"/>
                <w:i w:val="0"/>
                <w:sz w:val="16"/>
              </w:rPr>
              <w:t>1,080</w:t>
            </w:r>
          </w:p>
        </w:tc>
      </w:tr>
      <w:tr>
        <w:tc>
          <w:tcPr>
            <w:tcW w:type="dxa" w:w="1296"/>
          </w:tcPr>
          <w:p>
            <w:pPr>
              <w:spacing w:line="240" w:lineRule="auto" w:before="40" w:after="40"/>
              <w:jc w:val="left"/>
            </w:pPr>
            <w:r/>
            <w:r>
              <w:rPr>
                <w:b w:val="0"/>
                <w:i w:val="0"/>
                <w:sz w:val="16"/>
              </w:rPr>
              <w:t>1046 (2)</w:t>
            </w:r>
          </w:p>
        </w:tc>
        <w:tc>
          <w:tcPr>
            <w:tcW w:type="dxa" w:w="5760"/>
          </w:tcPr>
          <w:p>
            <w:pPr>
              <w:spacing w:line="240" w:lineRule="auto" w:before="40" w:after="40"/>
              <w:jc w:val="left"/>
            </w:pPr>
            <w:r/>
            <w:r>
              <w:rPr>
                <w:b w:val="0"/>
                <w:i w:val="0"/>
                <w:sz w:val="16"/>
              </w:rPr>
              <w:t>CHB masonry 100 mm (partitions)</w:t>
            </w:r>
          </w:p>
        </w:tc>
        <w:tc>
          <w:tcPr>
            <w:tcW w:type="dxa" w:w="864"/>
          </w:tcPr>
          <w:p>
            <w:pPr>
              <w:spacing w:line="240" w:lineRule="auto" w:before="40" w:after="40"/>
              <w:jc w:val="left"/>
            </w:pPr>
            <w:r/>
            <w:r>
              <w:rPr>
                <w:b w:val="0"/>
                <w:i w:val="0"/>
                <w:sz w:val="16"/>
              </w:rPr>
              <w:t>m²</w:t>
            </w:r>
          </w:p>
        </w:tc>
        <w:tc>
          <w:tcPr>
            <w:tcW w:type="dxa" w:w="1584"/>
          </w:tcPr>
          <w:p>
            <w:pPr>
              <w:spacing w:line="240" w:lineRule="auto" w:before="40" w:after="40"/>
              <w:jc w:val="right"/>
            </w:pPr>
            <w:r/>
            <w:r>
              <w:rPr>
                <w:b w:val="0"/>
                <w:i w:val="0"/>
                <w:sz w:val="16"/>
              </w:rPr>
              <w:t>880</w:t>
            </w:r>
          </w:p>
        </w:tc>
      </w:tr>
      <w:tr>
        <w:tc>
          <w:tcPr>
            <w:tcW w:type="dxa" w:w="1296"/>
            <w:shd w:val="clear" w:color="auto" w:fill="EFEFEF"/>
          </w:tcPr>
          <w:p>
            <w:pPr>
              <w:spacing w:line="240" w:lineRule="auto" w:before="40" w:after="40"/>
              <w:jc w:val="left"/>
            </w:pPr>
            <w:r/>
            <w:r>
              <w:rPr>
                <w:b w:val="0"/>
                <w:i w:val="0"/>
                <w:sz w:val="16"/>
              </w:rPr>
              <w:t>1027 (1)</w:t>
            </w:r>
          </w:p>
        </w:tc>
        <w:tc>
          <w:tcPr>
            <w:tcW w:type="dxa" w:w="5760"/>
            <w:shd w:val="clear" w:color="auto" w:fill="EFEFEF"/>
          </w:tcPr>
          <w:p>
            <w:pPr>
              <w:spacing w:line="240" w:lineRule="auto" w:before="40" w:after="40"/>
              <w:jc w:val="left"/>
            </w:pPr>
            <w:r/>
            <w:r>
              <w:rPr>
                <w:b w:val="0"/>
                <w:i w:val="0"/>
                <w:sz w:val="16"/>
              </w:rPr>
              <w:t>Cement plaster finish</w:t>
            </w:r>
          </w:p>
        </w:tc>
        <w:tc>
          <w:tcPr>
            <w:tcW w:type="dxa" w:w="864"/>
            <w:shd w:val="clear" w:color="auto" w:fill="EFEFEF"/>
          </w:tcPr>
          <w:p>
            <w:pPr>
              <w:spacing w:line="240" w:lineRule="auto" w:before="40" w:after="40"/>
              <w:jc w:val="left"/>
            </w:pPr>
            <w:r/>
            <w:r>
              <w:rPr>
                <w:b w:val="0"/>
                <w:i w:val="0"/>
                <w:sz w:val="16"/>
              </w:rPr>
              <w:t>m²</w:t>
            </w:r>
          </w:p>
        </w:tc>
        <w:tc>
          <w:tcPr>
            <w:tcW w:type="dxa" w:w="1584"/>
            <w:shd w:val="clear" w:color="auto" w:fill="EFEFEF"/>
          </w:tcPr>
          <w:p>
            <w:pPr>
              <w:spacing w:line="240" w:lineRule="auto" w:before="40" w:after="40"/>
              <w:jc w:val="right"/>
            </w:pPr>
            <w:r/>
            <w:r>
              <w:rPr>
                <w:b w:val="0"/>
                <w:i w:val="0"/>
                <w:sz w:val="16"/>
              </w:rPr>
              <w:t>360</w:t>
            </w:r>
          </w:p>
        </w:tc>
      </w:tr>
      <w:tr>
        <w:tc>
          <w:tcPr>
            <w:tcW w:type="dxa" w:w="1296"/>
          </w:tcPr>
          <w:p>
            <w:pPr>
              <w:spacing w:line="240" w:lineRule="auto" w:before="40" w:after="40"/>
              <w:jc w:val="left"/>
            </w:pPr>
            <w:r/>
            <w:r>
              <w:rPr>
                <w:b w:val="0"/>
                <w:i w:val="0"/>
                <w:sz w:val="16"/>
              </w:rPr>
              <w:t>1032 (1)</w:t>
            </w:r>
          </w:p>
        </w:tc>
        <w:tc>
          <w:tcPr>
            <w:tcW w:type="dxa" w:w="5760"/>
          </w:tcPr>
          <w:p>
            <w:pPr>
              <w:spacing w:line="240" w:lineRule="auto" w:before="40" w:after="40"/>
              <w:jc w:val="left"/>
            </w:pPr>
            <w:r/>
            <w:r>
              <w:rPr>
                <w:b w:val="0"/>
                <w:i w:val="0"/>
                <w:sz w:val="16"/>
              </w:rPr>
              <w:t>Painting works, masonry/concrete (acrylic, 3 coats)</w:t>
            </w:r>
          </w:p>
        </w:tc>
        <w:tc>
          <w:tcPr>
            <w:tcW w:type="dxa" w:w="864"/>
          </w:tcPr>
          <w:p>
            <w:pPr>
              <w:spacing w:line="240" w:lineRule="auto" w:before="40" w:after="40"/>
              <w:jc w:val="left"/>
            </w:pPr>
            <w:r/>
            <w:r>
              <w:rPr>
                <w:b w:val="0"/>
                <w:i w:val="0"/>
                <w:sz w:val="16"/>
              </w:rPr>
              <w:t>m²</w:t>
            </w:r>
          </w:p>
        </w:tc>
        <w:tc>
          <w:tcPr>
            <w:tcW w:type="dxa" w:w="1584"/>
          </w:tcPr>
          <w:p>
            <w:pPr>
              <w:spacing w:line="240" w:lineRule="auto" w:before="40" w:after="40"/>
              <w:jc w:val="right"/>
            </w:pPr>
            <w:r/>
            <w:r>
              <w:rPr>
                <w:b w:val="0"/>
                <w:i w:val="0"/>
                <w:sz w:val="16"/>
              </w:rPr>
              <w:t>230</w:t>
            </w:r>
          </w:p>
        </w:tc>
      </w:tr>
      <w:tr>
        <w:tc>
          <w:tcPr>
            <w:tcW w:type="dxa" w:w="1296"/>
            <w:shd w:val="clear" w:color="auto" w:fill="EFEFEF"/>
          </w:tcPr>
          <w:p>
            <w:pPr>
              <w:spacing w:line="240" w:lineRule="auto" w:before="40" w:after="40"/>
              <w:jc w:val="left"/>
            </w:pPr>
            <w:r/>
            <w:r>
              <w:rPr>
                <w:b w:val="0"/>
                <w:i w:val="0"/>
                <w:sz w:val="16"/>
              </w:rPr>
              <w:t>1047 (3)</w:t>
            </w:r>
          </w:p>
        </w:tc>
        <w:tc>
          <w:tcPr>
            <w:tcW w:type="dxa" w:w="5760"/>
            <w:shd w:val="clear" w:color="auto" w:fill="EFEFEF"/>
          </w:tcPr>
          <w:p>
            <w:pPr>
              <w:spacing w:line="240" w:lineRule="auto" w:before="40" w:after="40"/>
              <w:jc w:val="left"/>
            </w:pPr>
            <w:r/>
            <w:r>
              <w:rPr>
                <w:b w:val="0"/>
                <w:i w:val="0"/>
                <w:sz w:val="16"/>
              </w:rPr>
              <w:t>Structural steel trusses &amp; purlins, fabricated &amp; installed</w:t>
            </w:r>
          </w:p>
        </w:tc>
        <w:tc>
          <w:tcPr>
            <w:tcW w:type="dxa" w:w="864"/>
            <w:shd w:val="clear" w:color="auto" w:fill="EFEFEF"/>
          </w:tcPr>
          <w:p>
            <w:pPr>
              <w:spacing w:line="240" w:lineRule="auto" w:before="40" w:after="40"/>
              <w:jc w:val="left"/>
            </w:pPr>
            <w:r/>
            <w:r>
              <w:rPr>
                <w:b w:val="0"/>
                <w:i w:val="0"/>
                <w:sz w:val="16"/>
              </w:rPr>
              <w:t>kg</w:t>
            </w:r>
          </w:p>
        </w:tc>
        <w:tc>
          <w:tcPr>
            <w:tcW w:type="dxa" w:w="1584"/>
            <w:shd w:val="clear" w:color="auto" w:fill="EFEFEF"/>
          </w:tcPr>
          <w:p>
            <w:pPr>
              <w:spacing w:line="240" w:lineRule="auto" w:before="40" w:after="40"/>
              <w:jc w:val="right"/>
            </w:pPr>
            <w:r/>
            <w:r>
              <w:rPr>
                <w:b w:val="0"/>
                <w:i w:val="0"/>
                <w:sz w:val="16"/>
              </w:rPr>
              <w:t>140</w:t>
            </w:r>
          </w:p>
        </w:tc>
      </w:tr>
      <w:tr>
        <w:tc>
          <w:tcPr>
            <w:tcW w:type="dxa" w:w="1296"/>
          </w:tcPr>
          <w:p>
            <w:pPr>
              <w:spacing w:line="240" w:lineRule="auto" w:before="40" w:after="40"/>
              <w:jc w:val="left"/>
            </w:pPr>
            <w:r/>
            <w:r>
              <w:rPr>
                <w:b w:val="0"/>
                <w:i w:val="0"/>
                <w:sz w:val="16"/>
              </w:rPr>
              <w:t>1013 (2)</w:t>
            </w:r>
          </w:p>
        </w:tc>
        <w:tc>
          <w:tcPr>
            <w:tcW w:type="dxa" w:w="5760"/>
          </w:tcPr>
          <w:p>
            <w:pPr>
              <w:spacing w:line="240" w:lineRule="auto" w:before="40" w:after="40"/>
              <w:jc w:val="left"/>
            </w:pPr>
            <w:r/>
            <w:r>
              <w:rPr>
                <w:b w:val="0"/>
                <w:i w:val="0"/>
                <w:sz w:val="16"/>
              </w:rPr>
              <w:t>Pre-painted long-span metal roofing 0.50 mm, incl. accessories</w:t>
            </w:r>
          </w:p>
        </w:tc>
        <w:tc>
          <w:tcPr>
            <w:tcW w:type="dxa" w:w="864"/>
          </w:tcPr>
          <w:p>
            <w:pPr>
              <w:spacing w:line="240" w:lineRule="auto" w:before="40" w:after="40"/>
              <w:jc w:val="left"/>
            </w:pPr>
            <w:r/>
            <w:r>
              <w:rPr>
                <w:b w:val="0"/>
                <w:i w:val="0"/>
                <w:sz w:val="16"/>
              </w:rPr>
              <w:t>m²</w:t>
            </w:r>
          </w:p>
        </w:tc>
        <w:tc>
          <w:tcPr>
            <w:tcW w:type="dxa" w:w="1584"/>
          </w:tcPr>
          <w:p>
            <w:pPr>
              <w:spacing w:line="240" w:lineRule="auto" w:before="40" w:after="40"/>
              <w:jc w:val="right"/>
            </w:pPr>
            <w:r/>
            <w:r>
              <w:rPr>
                <w:b w:val="0"/>
                <w:i w:val="0"/>
                <w:sz w:val="16"/>
              </w:rPr>
              <w:t>760</w:t>
            </w:r>
          </w:p>
        </w:tc>
      </w:tr>
      <w:tr>
        <w:tc>
          <w:tcPr>
            <w:tcW w:type="dxa" w:w="1296"/>
            <w:shd w:val="clear" w:color="auto" w:fill="EFEFEF"/>
          </w:tcPr>
          <w:p>
            <w:pPr>
              <w:spacing w:line="240" w:lineRule="auto" w:before="40" w:after="40"/>
              <w:jc w:val="left"/>
            </w:pPr>
            <w:r/>
            <w:r>
              <w:rPr>
                <w:b w:val="0"/>
                <w:i w:val="0"/>
                <w:sz w:val="16"/>
              </w:rPr>
              <w:t>1013 (5)</w:t>
            </w:r>
          </w:p>
        </w:tc>
        <w:tc>
          <w:tcPr>
            <w:tcW w:type="dxa" w:w="5760"/>
            <w:shd w:val="clear" w:color="auto" w:fill="EFEFEF"/>
          </w:tcPr>
          <w:p>
            <w:pPr>
              <w:spacing w:line="240" w:lineRule="auto" w:before="40" w:after="40"/>
              <w:jc w:val="left"/>
            </w:pPr>
            <w:r/>
            <w:r>
              <w:rPr>
                <w:b w:val="0"/>
                <w:i w:val="0"/>
                <w:sz w:val="16"/>
              </w:rPr>
              <w:t>Gutters, flashing &amp; downspouts</w:t>
            </w:r>
          </w:p>
        </w:tc>
        <w:tc>
          <w:tcPr>
            <w:tcW w:type="dxa" w:w="864"/>
            <w:shd w:val="clear" w:color="auto" w:fill="EFEFEF"/>
          </w:tcPr>
          <w:p>
            <w:pPr>
              <w:spacing w:line="240" w:lineRule="auto" w:before="40" w:after="40"/>
              <w:jc w:val="left"/>
            </w:pPr>
            <w:r/>
            <w:r>
              <w:rPr>
                <w:b w:val="0"/>
                <w:i w:val="0"/>
                <w:sz w:val="16"/>
              </w:rPr>
              <w:t>m</w:t>
            </w:r>
          </w:p>
        </w:tc>
        <w:tc>
          <w:tcPr>
            <w:tcW w:type="dxa" w:w="1584"/>
            <w:shd w:val="clear" w:color="auto" w:fill="EFEFEF"/>
          </w:tcPr>
          <w:p>
            <w:pPr>
              <w:spacing w:line="240" w:lineRule="auto" w:before="40" w:after="40"/>
              <w:jc w:val="right"/>
            </w:pPr>
            <w:r/>
            <w:r>
              <w:rPr>
                <w:b w:val="0"/>
                <w:i w:val="0"/>
                <w:sz w:val="16"/>
              </w:rPr>
              <w:t>950</w:t>
            </w:r>
          </w:p>
        </w:tc>
      </w:tr>
      <w:tr>
        <w:tc>
          <w:tcPr>
            <w:tcW w:type="dxa" w:w="1296"/>
          </w:tcPr>
          <w:p>
            <w:pPr>
              <w:spacing w:line="240" w:lineRule="auto" w:before="40" w:after="40"/>
              <w:jc w:val="left"/>
            </w:pPr>
            <w:r/>
            <w:r>
              <w:rPr>
                <w:b w:val="0"/>
                <w:i w:val="0"/>
                <w:sz w:val="16"/>
              </w:rPr>
              <w:t>—</w:t>
            </w:r>
          </w:p>
        </w:tc>
        <w:tc>
          <w:tcPr>
            <w:tcW w:type="dxa" w:w="5760"/>
          </w:tcPr>
          <w:p>
            <w:pPr>
              <w:spacing w:line="240" w:lineRule="auto" w:before="40" w:after="40"/>
              <w:jc w:val="left"/>
            </w:pPr>
            <w:r/>
            <w:r>
              <w:rPr>
                <w:b w:val="0"/>
                <w:i w:val="0"/>
                <w:sz w:val="16"/>
              </w:rPr>
              <w:t>Waterproofing membrane, RC roof deck</w:t>
            </w:r>
          </w:p>
        </w:tc>
        <w:tc>
          <w:tcPr>
            <w:tcW w:type="dxa" w:w="864"/>
          </w:tcPr>
          <w:p>
            <w:pPr>
              <w:spacing w:line="240" w:lineRule="auto" w:before="40" w:after="40"/>
              <w:jc w:val="left"/>
            </w:pPr>
            <w:r/>
            <w:r>
              <w:rPr>
                <w:b w:val="0"/>
                <w:i w:val="0"/>
                <w:sz w:val="16"/>
              </w:rPr>
              <w:t>m²</w:t>
            </w:r>
          </w:p>
        </w:tc>
        <w:tc>
          <w:tcPr>
            <w:tcW w:type="dxa" w:w="1584"/>
          </w:tcPr>
          <w:p>
            <w:pPr>
              <w:spacing w:line="240" w:lineRule="auto" w:before="40" w:after="40"/>
              <w:jc w:val="right"/>
            </w:pPr>
            <w:r/>
            <w:r>
              <w:rPr>
                <w:b w:val="0"/>
                <w:i w:val="0"/>
                <w:sz w:val="16"/>
              </w:rPr>
              <w:t>480</w:t>
            </w:r>
          </w:p>
        </w:tc>
      </w:tr>
      <w:tr>
        <w:tc>
          <w:tcPr>
            <w:tcW w:type="dxa" w:w="1296"/>
            <w:shd w:val="clear" w:color="auto" w:fill="EFEFEF"/>
          </w:tcPr>
          <w:p>
            <w:pPr>
              <w:spacing w:line="240" w:lineRule="auto" w:before="40" w:after="40"/>
              <w:jc w:val="left"/>
            </w:pPr>
            <w:r/>
            <w:r>
              <w:rPr>
                <w:b w:val="0"/>
                <w:i w:val="0"/>
                <w:sz w:val="16"/>
              </w:rPr>
              <w:t>—</w:t>
            </w:r>
          </w:p>
        </w:tc>
        <w:tc>
          <w:tcPr>
            <w:tcW w:type="dxa" w:w="5760"/>
            <w:shd w:val="clear" w:color="auto" w:fill="EFEFEF"/>
          </w:tcPr>
          <w:p>
            <w:pPr>
              <w:spacing w:line="240" w:lineRule="auto" w:before="40" w:after="40"/>
              <w:jc w:val="left"/>
            </w:pPr>
            <w:r/>
            <w:r>
              <w:rPr>
                <w:b w:val="0"/>
                <w:i w:val="0"/>
                <w:sz w:val="16"/>
              </w:rPr>
              <w:t>Ceiling: fiber-cement board on metal furring</w:t>
            </w:r>
          </w:p>
        </w:tc>
        <w:tc>
          <w:tcPr>
            <w:tcW w:type="dxa" w:w="864"/>
            <w:shd w:val="clear" w:color="auto" w:fill="EFEFEF"/>
          </w:tcPr>
          <w:p>
            <w:pPr>
              <w:spacing w:line="240" w:lineRule="auto" w:before="40" w:after="40"/>
              <w:jc w:val="left"/>
            </w:pPr>
            <w:r/>
            <w:r>
              <w:rPr>
                <w:b w:val="0"/>
                <w:i w:val="0"/>
                <w:sz w:val="16"/>
              </w:rPr>
              <w:t>m²</w:t>
            </w:r>
          </w:p>
        </w:tc>
        <w:tc>
          <w:tcPr>
            <w:tcW w:type="dxa" w:w="1584"/>
            <w:shd w:val="clear" w:color="auto" w:fill="EFEFEF"/>
          </w:tcPr>
          <w:p>
            <w:pPr>
              <w:spacing w:line="240" w:lineRule="auto" w:before="40" w:after="40"/>
              <w:jc w:val="right"/>
            </w:pPr>
            <w:r/>
            <w:r>
              <w:rPr>
                <w:b w:val="0"/>
                <w:i w:val="0"/>
                <w:sz w:val="16"/>
              </w:rPr>
              <w:t>1,050</w:t>
            </w:r>
          </w:p>
        </w:tc>
      </w:tr>
      <w:tr>
        <w:tc>
          <w:tcPr>
            <w:tcW w:type="dxa" w:w="1296"/>
          </w:tcPr>
          <w:p>
            <w:pPr>
              <w:spacing w:line="240" w:lineRule="auto" w:before="40" w:after="40"/>
              <w:jc w:val="left"/>
            </w:pPr>
            <w:r/>
            <w:r>
              <w:rPr>
                <w:b w:val="0"/>
                <w:i w:val="0"/>
                <w:sz w:val="16"/>
              </w:rPr>
              <w:t>1018 (2)</w:t>
            </w:r>
          </w:p>
        </w:tc>
        <w:tc>
          <w:tcPr>
            <w:tcW w:type="dxa" w:w="5760"/>
          </w:tcPr>
          <w:p>
            <w:pPr>
              <w:spacing w:line="240" w:lineRule="auto" w:before="40" w:after="40"/>
              <w:jc w:val="left"/>
            </w:pPr>
            <w:r/>
            <w:r>
              <w:rPr>
                <w:b w:val="0"/>
                <w:i w:val="0"/>
                <w:sz w:val="16"/>
              </w:rPr>
              <w:t>Ceramic floor tiles 600 × 600 mm</w:t>
            </w:r>
          </w:p>
        </w:tc>
        <w:tc>
          <w:tcPr>
            <w:tcW w:type="dxa" w:w="864"/>
          </w:tcPr>
          <w:p>
            <w:pPr>
              <w:spacing w:line="240" w:lineRule="auto" w:before="40" w:after="40"/>
              <w:jc w:val="left"/>
            </w:pPr>
            <w:r/>
            <w:r>
              <w:rPr>
                <w:b w:val="0"/>
                <w:i w:val="0"/>
                <w:sz w:val="16"/>
              </w:rPr>
              <w:t>m²</w:t>
            </w:r>
          </w:p>
        </w:tc>
        <w:tc>
          <w:tcPr>
            <w:tcW w:type="dxa" w:w="1584"/>
          </w:tcPr>
          <w:p>
            <w:pPr>
              <w:spacing w:line="240" w:lineRule="auto" w:before="40" w:after="40"/>
              <w:jc w:val="right"/>
            </w:pPr>
            <w:r/>
            <w:r>
              <w:rPr>
                <w:b w:val="0"/>
                <w:i w:val="0"/>
                <w:sz w:val="16"/>
              </w:rPr>
              <w:t>1,180</w:t>
            </w:r>
          </w:p>
        </w:tc>
      </w:tr>
      <w:tr>
        <w:tc>
          <w:tcPr>
            <w:tcW w:type="dxa" w:w="1296"/>
            <w:shd w:val="clear" w:color="auto" w:fill="EFEFEF"/>
          </w:tcPr>
          <w:p>
            <w:pPr>
              <w:spacing w:line="240" w:lineRule="auto" w:before="40" w:after="40"/>
              <w:jc w:val="left"/>
            </w:pPr>
            <w:r/>
            <w:r>
              <w:rPr>
                <w:b w:val="0"/>
                <w:i w:val="0"/>
                <w:sz w:val="16"/>
              </w:rPr>
              <w:t>—</w:t>
            </w:r>
          </w:p>
        </w:tc>
        <w:tc>
          <w:tcPr>
            <w:tcW w:type="dxa" w:w="5760"/>
            <w:shd w:val="clear" w:color="auto" w:fill="EFEFEF"/>
          </w:tcPr>
          <w:p>
            <w:pPr>
              <w:spacing w:line="240" w:lineRule="auto" w:before="40" w:after="40"/>
              <w:jc w:val="left"/>
            </w:pPr>
            <w:r/>
            <w:r>
              <w:rPr>
                <w:b w:val="0"/>
                <w:i w:val="0"/>
                <w:sz w:val="16"/>
              </w:rPr>
              <w:t>Cement floor topping, steel-trowel finish</w:t>
            </w:r>
          </w:p>
        </w:tc>
        <w:tc>
          <w:tcPr>
            <w:tcW w:type="dxa" w:w="864"/>
            <w:shd w:val="clear" w:color="auto" w:fill="EFEFEF"/>
          </w:tcPr>
          <w:p>
            <w:pPr>
              <w:spacing w:line="240" w:lineRule="auto" w:before="40" w:after="40"/>
              <w:jc w:val="left"/>
            </w:pPr>
            <w:r/>
            <w:r>
              <w:rPr>
                <w:b w:val="0"/>
                <w:i w:val="0"/>
                <w:sz w:val="16"/>
              </w:rPr>
              <w:t>m²</w:t>
            </w:r>
          </w:p>
        </w:tc>
        <w:tc>
          <w:tcPr>
            <w:tcW w:type="dxa" w:w="1584"/>
            <w:shd w:val="clear" w:color="auto" w:fill="EFEFEF"/>
          </w:tcPr>
          <w:p>
            <w:pPr>
              <w:spacing w:line="240" w:lineRule="auto" w:before="40" w:after="40"/>
              <w:jc w:val="right"/>
            </w:pPr>
            <w:r/>
            <w:r>
              <w:rPr>
                <w:b w:val="0"/>
                <w:i w:val="0"/>
                <w:sz w:val="16"/>
              </w:rPr>
              <w:t>320</w:t>
            </w:r>
          </w:p>
        </w:tc>
      </w:tr>
      <w:tr>
        <w:tc>
          <w:tcPr>
            <w:tcW w:type="dxa" w:w="1296"/>
          </w:tcPr>
          <w:p>
            <w:pPr>
              <w:spacing w:line="240" w:lineRule="auto" w:before="40" w:after="40"/>
              <w:jc w:val="left"/>
            </w:pPr>
            <w:r/>
            <w:r>
              <w:rPr>
                <w:b w:val="0"/>
                <w:i w:val="0"/>
                <w:sz w:val="16"/>
              </w:rPr>
              <w:t>—</w:t>
            </w:r>
          </w:p>
        </w:tc>
        <w:tc>
          <w:tcPr>
            <w:tcW w:type="dxa" w:w="5760"/>
          </w:tcPr>
          <w:p>
            <w:pPr>
              <w:spacing w:line="240" w:lineRule="auto" w:before="40" w:after="40"/>
              <w:jc w:val="left"/>
            </w:pPr>
            <w:r/>
            <w:r>
              <w:rPr>
                <w:b w:val="0"/>
                <w:i w:val="0"/>
                <w:sz w:val="16"/>
              </w:rPr>
              <w:t>Porcelain / granite floor tiles (premium)</w:t>
            </w:r>
          </w:p>
        </w:tc>
        <w:tc>
          <w:tcPr>
            <w:tcW w:type="dxa" w:w="864"/>
          </w:tcPr>
          <w:p>
            <w:pPr>
              <w:spacing w:line="240" w:lineRule="auto" w:before="40" w:after="40"/>
              <w:jc w:val="left"/>
            </w:pPr>
            <w:r/>
            <w:r>
              <w:rPr>
                <w:b w:val="0"/>
                <w:i w:val="0"/>
                <w:sz w:val="16"/>
              </w:rPr>
              <w:t>m²</w:t>
            </w:r>
          </w:p>
        </w:tc>
        <w:tc>
          <w:tcPr>
            <w:tcW w:type="dxa" w:w="1584"/>
          </w:tcPr>
          <w:p>
            <w:pPr>
              <w:spacing w:line="240" w:lineRule="auto" w:before="40" w:after="40"/>
              <w:jc w:val="right"/>
            </w:pPr>
            <w:r/>
            <w:r>
              <w:rPr>
                <w:b w:val="0"/>
                <w:i w:val="0"/>
                <w:sz w:val="16"/>
              </w:rPr>
              <w:t>1,650</w:t>
            </w:r>
          </w:p>
        </w:tc>
      </w:tr>
      <w:tr>
        <w:tc>
          <w:tcPr>
            <w:tcW w:type="dxa" w:w="1296"/>
            <w:shd w:val="clear" w:color="auto" w:fill="EFEFEF"/>
          </w:tcPr>
          <w:p>
            <w:pPr>
              <w:spacing w:line="240" w:lineRule="auto" w:before="40" w:after="40"/>
              <w:jc w:val="left"/>
            </w:pPr>
            <w:r/>
            <w:r>
              <w:rPr>
                <w:b w:val="0"/>
                <w:i w:val="0"/>
                <w:sz w:val="16"/>
              </w:rPr>
              <w:t>1010</w:t>
            </w:r>
          </w:p>
        </w:tc>
        <w:tc>
          <w:tcPr>
            <w:tcW w:type="dxa" w:w="5760"/>
            <w:shd w:val="clear" w:color="auto" w:fill="EFEFEF"/>
          </w:tcPr>
          <w:p>
            <w:pPr>
              <w:spacing w:line="240" w:lineRule="auto" w:before="40" w:after="40"/>
              <w:jc w:val="left"/>
            </w:pPr>
            <w:r/>
            <w:r>
              <w:rPr>
                <w:b w:val="0"/>
                <w:i w:val="0"/>
                <w:sz w:val="16"/>
              </w:rPr>
              <w:t>Doors complete with jamb &amp; hardware</w:t>
            </w:r>
          </w:p>
        </w:tc>
        <w:tc>
          <w:tcPr>
            <w:tcW w:type="dxa" w:w="864"/>
            <w:shd w:val="clear" w:color="auto" w:fill="EFEFEF"/>
          </w:tcPr>
          <w:p>
            <w:pPr>
              <w:spacing w:line="240" w:lineRule="auto" w:before="40" w:after="40"/>
              <w:jc w:val="left"/>
            </w:pPr>
            <w:r/>
            <w:r>
              <w:rPr>
                <w:b w:val="0"/>
                <w:i w:val="0"/>
                <w:sz w:val="16"/>
              </w:rPr>
              <w:t>set</w:t>
            </w:r>
          </w:p>
        </w:tc>
        <w:tc>
          <w:tcPr>
            <w:tcW w:type="dxa" w:w="1584"/>
            <w:shd w:val="clear" w:color="auto" w:fill="EFEFEF"/>
          </w:tcPr>
          <w:p>
            <w:pPr>
              <w:spacing w:line="240" w:lineRule="auto" w:before="40" w:after="40"/>
              <w:jc w:val="right"/>
            </w:pPr>
            <w:r/>
            <w:r>
              <w:rPr>
                <w:b w:val="0"/>
                <w:i w:val="0"/>
                <w:sz w:val="16"/>
              </w:rPr>
              <w:t>13,500</w:t>
            </w:r>
          </w:p>
        </w:tc>
      </w:tr>
      <w:tr>
        <w:tc>
          <w:tcPr>
            <w:tcW w:type="dxa" w:w="1296"/>
          </w:tcPr>
          <w:p>
            <w:pPr>
              <w:spacing w:line="240" w:lineRule="auto" w:before="40" w:after="40"/>
              <w:jc w:val="left"/>
            </w:pPr>
            <w:r/>
            <w:r>
              <w:rPr>
                <w:b w:val="0"/>
                <w:i w:val="0"/>
                <w:sz w:val="16"/>
              </w:rPr>
              <w:t>1008 (1)</w:t>
            </w:r>
          </w:p>
        </w:tc>
        <w:tc>
          <w:tcPr>
            <w:tcW w:type="dxa" w:w="5760"/>
          </w:tcPr>
          <w:p>
            <w:pPr>
              <w:spacing w:line="240" w:lineRule="auto" w:before="40" w:after="40"/>
              <w:jc w:val="left"/>
            </w:pPr>
            <w:r/>
            <w:r>
              <w:rPr>
                <w:b w:val="0"/>
                <w:i w:val="0"/>
                <w:sz w:val="16"/>
              </w:rPr>
              <w:t>Aluminum-framed glass windows</w:t>
            </w:r>
          </w:p>
        </w:tc>
        <w:tc>
          <w:tcPr>
            <w:tcW w:type="dxa" w:w="864"/>
          </w:tcPr>
          <w:p>
            <w:pPr>
              <w:spacing w:line="240" w:lineRule="auto" w:before="40" w:after="40"/>
              <w:jc w:val="left"/>
            </w:pPr>
            <w:r/>
            <w:r>
              <w:rPr>
                <w:b w:val="0"/>
                <w:i w:val="0"/>
                <w:sz w:val="16"/>
              </w:rPr>
              <w:t>m²</w:t>
            </w:r>
          </w:p>
        </w:tc>
        <w:tc>
          <w:tcPr>
            <w:tcW w:type="dxa" w:w="1584"/>
          </w:tcPr>
          <w:p>
            <w:pPr>
              <w:spacing w:line="240" w:lineRule="auto" w:before="40" w:after="40"/>
              <w:jc w:val="right"/>
            </w:pPr>
            <w:r/>
            <w:r>
              <w:rPr>
                <w:b w:val="0"/>
                <w:i w:val="0"/>
                <w:sz w:val="16"/>
              </w:rPr>
              <w:t>6,200</w:t>
            </w:r>
          </w:p>
        </w:tc>
      </w:tr>
      <w:tr>
        <w:tc>
          <w:tcPr>
            <w:tcW w:type="dxa" w:w="1296"/>
            <w:shd w:val="clear" w:color="auto" w:fill="EFEFEF"/>
          </w:tcPr>
          <w:p>
            <w:pPr>
              <w:spacing w:line="240" w:lineRule="auto" w:before="40" w:after="40"/>
              <w:jc w:val="left"/>
            </w:pPr>
            <w:r/>
            <w:r>
              <w:rPr>
                <w:b w:val="0"/>
                <w:i w:val="0"/>
                <w:sz w:val="16"/>
              </w:rPr>
              <w:t>1100–1200</w:t>
            </w:r>
          </w:p>
        </w:tc>
        <w:tc>
          <w:tcPr>
            <w:tcW w:type="dxa" w:w="5760"/>
            <w:shd w:val="clear" w:color="auto" w:fill="EFEFEF"/>
          </w:tcPr>
          <w:p>
            <w:pPr>
              <w:spacing w:line="240" w:lineRule="auto" w:before="40" w:after="40"/>
              <w:jc w:val="left"/>
            </w:pPr>
            <w:r/>
            <w:r>
              <w:rPr>
                <w:b w:val="0"/>
                <w:i w:val="0"/>
                <w:sz w:val="16"/>
              </w:rPr>
              <w:t>Electrical works (conduits, wires, devices, panel, fixtures)</w:t>
            </w:r>
          </w:p>
        </w:tc>
        <w:tc>
          <w:tcPr>
            <w:tcW w:type="dxa" w:w="864"/>
            <w:shd w:val="clear" w:color="auto" w:fill="EFEFEF"/>
          </w:tcPr>
          <w:p>
            <w:pPr>
              <w:spacing w:line="240" w:lineRule="auto" w:before="40" w:after="40"/>
              <w:jc w:val="left"/>
            </w:pPr>
            <w:r/>
            <w:r>
              <w:rPr>
                <w:b w:val="0"/>
                <w:i w:val="0"/>
                <w:sz w:val="16"/>
              </w:rPr>
              <w:t>m²</w:t>
            </w:r>
          </w:p>
        </w:tc>
        <w:tc>
          <w:tcPr>
            <w:tcW w:type="dxa" w:w="1584"/>
            <w:shd w:val="clear" w:color="auto" w:fill="EFEFEF"/>
          </w:tcPr>
          <w:p>
            <w:pPr>
              <w:spacing w:line="240" w:lineRule="auto" w:before="40" w:after="40"/>
              <w:jc w:val="left"/>
            </w:pPr>
            <w:r/>
            <w:r>
              <w:rPr>
                <w:b w:val="0"/>
                <w:i w:val="0"/>
                <w:sz w:val="16"/>
              </w:rPr>
              <w:t>allowance / %</w:t>
            </w:r>
          </w:p>
        </w:tc>
      </w:tr>
      <w:tr>
        <w:tc>
          <w:tcPr>
            <w:tcW w:type="dxa" w:w="1296"/>
          </w:tcPr>
          <w:p>
            <w:pPr>
              <w:spacing w:line="240" w:lineRule="auto" w:before="40" w:after="40"/>
              <w:jc w:val="left"/>
            </w:pPr>
            <w:r/>
            <w:r>
              <w:rPr>
                <w:b w:val="0"/>
                <w:i w:val="0"/>
                <w:sz w:val="16"/>
              </w:rPr>
              <w:t>1001–1002</w:t>
            </w:r>
          </w:p>
        </w:tc>
        <w:tc>
          <w:tcPr>
            <w:tcW w:type="dxa" w:w="5760"/>
          </w:tcPr>
          <w:p>
            <w:pPr>
              <w:spacing w:line="240" w:lineRule="auto" w:before="40" w:after="40"/>
              <w:jc w:val="left"/>
            </w:pPr>
            <w:r/>
            <w:r>
              <w:rPr>
                <w:b w:val="0"/>
                <w:i w:val="0"/>
                <w:sz w:val="16"/>
              </w:rPr>
              <w:t>Plumbing &amp; sanitary works incl. fixtures</w:t>
            </w:r>
          </w:p>
        </w:tc>
        <w:tc>
          <w:tcPr>
            <w:tcW w:type="dxa" w:w="864"/>
          </w:tcPr>
          <w:p>
            <w:pPr>
              <w:spacing w:line="240" w:lineRule="auto" w:before="40" w:after="40"/>
              <w:jc w:val="left"/>
            </w:pPr>
            <w:r/>
            <w:r>
              <w:rPr>
                <w:b w:val="0"/>
                <w:i w:val="0"/>
                <w:sz w:val="16"/>
              </w:rPr>
              <w:t>m²</w:t>
            </w:r>
          </w:p>
        </w:tc>
        <w:tc>
          <w:tcPr>
            <w:tcW w:type="dxa" w:w="1584"/>
          </w:tcPr>
          <w:p>
            <w:pPr>
              <w:spacing w:line="240" w:lineRule="auto" w:before="40" w:after="40"/>
              <w:jc w:val="left"/>
            </w:pPr>
            <w:r/>
            <w:r>
              <w:rPr>
                <w:b w:val="0"/>
                <w:i w:val="0"/>
                <w:sz w:val="16"/>
              </w:rPr>
              <w:t>allowance / %</w:t>
            </w:r>
          </w:p>
        </w:tc>
      </w:tr>
      <w:tr>
        <w:tc>
          <w:tcPr>
            <w:tcW w:type="dxa" w:w="1296"/>
            <w:shd w:val="clear" w:color="auto" w:fill="EFEFEF"/>
          </w:tcPr>
          <w:p>
            <w:pPr>
              <w:spacing w:line="240" w:lineRule="auto" w:before="40" w:after="40"/>
              <w:jc w:val="left"/>
            </w:pPr>
            <w:r/>
            <w:r>
              <w:rPr>
                <w:b w:val="0"/>
                <w:i w:val="0"/>
                <w:sz w:val="16"/>
              </w:rPr>
              <w:t>—</w:t>
            </w:r>
          </w:p>
        </w:tc>
        <w:tc>
          <w:tcPr>
            <w:tcW w:type="dxa" w:w="5760"/>
            <w:shd w:val="clear" w:color="auto" w:fill="EFEFEF"/>
          </w:tcPr>
          <w:p>
            <w:pPr>
              <w:spacing w:line="240" w:lineRule="auto" w:before="40" w:after="40"/>
              <w:jc w:val="left"/>
            </w:pPr>
            <w:r/>
            <w:r>
              <w:rPr>
                <w:b w:val="0"/>
                <w:i w:val="0"/>
                <w:sz w:val="16"/>
              </w:rPr>
              <w:t>Fire protection &amp; detection (RA 9514)</w:t>
            </w:r>
          </w:p>
        </w:tc>
        <w:tc>
          <w:tcPr>
            <w:tcW w:type="dxa" w:w="864"/>
            <w:shd w:val="clear" w:color="auto" w:fill="EFEFEF"/>
          </w:tcPr>
          <w:p>
            <w:pPr>
              <w:spacing w:line="240" w:lineRule="auto" w:before="40" w:after="40"/>
              <w:jc w:val="left"/>
            </w:pPr>
            <w:r/>
            <w:r>
              <w:rPr>
                <w:b w:val="0"/>
                <w:i w:val="0"/>
                <w:sz w:val="16"/>
              </w:rPr>
              <w:t>m²</w:t>
            </w:r>
          </w:p>
        </w:tc>
        <w:tc>
          <w:tcPr>
            <w:tcW w:type="dxa" w:w="1584"/>
            <w:shd w:val="clear" w:color="auto" w:fill="EFEFEF"/>
          </w:tcPr>
          <w:p>
            <w:pPr>
              <w:spacing w:line="240" w:lineRule="auto" w:before="40" w:after="40"/>
              <w:jc w:val="left"/>
            </w:pPr>
            <w:r/>
            <w:r>
              <w:rPr>
                <w:b w:val="0"/>
                <w:i w:val="0"/>
                <w:sz w:val="16"/>
              </w:rPr>
              <w:t>allowance / %</w:t>
            </w:r>
          </w:p>
        </w:tc>
      </w:tr>
      <w:tr>
        <w:tc>
          <w:tcPr>
            <w:tcW w:type="dxa" w:w="1296"/>
          </w:tcPr>
          <w:p>
            <w:pPr>
              <w:spacing w:line="240" w:lineRule="auto" w:before="40" w:after="40"/>
              <w:jc w:val="left"/>
            </w:pPr>
            <w:r/>
            <w:r>
              <w:rPr>
                <w:b w:val="0"/>
                <w:i w:val="0"/>
                <w:sz w:val="16"/>
              </w:rPr>
              <w:t>—</w:t>
            </w:r>
          </w:p>
        </w:tc>
        <w:tc>
          <w:tcPr>
            <w:tcW w:type="dxa" w:w="5760"/>
          </w:tcPr>
          <w:p>
            <w:pPr>
              <w:spacing w:line="240" w:lineRule="auto" w:before="40" w:after="40"/>
              <w:jc w:val="left"/>
            </w:pPr>
            <w:r/>
            <w:r>
              <w:rPr>
                <w:b w:val="0"/>
                <w:i w:val="0"/>
                <w:sz w:val="16"/>
              </w:rPr>
              <w:t>Mechanical / air-conditioning works</w:t>
            </w:r>
          </w:p>
        </w:tc>
        <w:tc>
          <w:tcPr>
            <w:tcW w:type="dxa" w:w="864"/>
          </w:tcPr>
          <w:p>
            <w:pPr>
              <w:spacing w:line="240" w:lineRule="auto" w:before="40" w:after="40"/>
              <w:jc w:val="left"/>
            </w:pPr>
            <w:r/>
            <w:r>
              <w:rPr>
                <w:b w:val="0"/>
                <w:i w:val="0"/>
                <w:sz w:val="16"/>
              </w:rPr>
              <w:t>m²</w:t>
            </w:r>
          </w:p>
        </w:tc>
        <w:tc>
          <w:tcPr>
            <w:tcW w:type="dxa" w:w="1584"/>
          </w:tcPr>
          <w:p>
            <w:pPr>
              <w:spacing w:line="240" w:lineRule="auto" w:before="40" w:after="40"/>
              <w:jc w:val="left"/>
            </w:pPr>
            <w:r/>
            <w:r>
              <w:rPr>
                <w:b w:val="0"/>
                <w:i w:val="0"/>
                <w:sz w:val="16"/>
              </w:rPr>
              <w:t>allowance / %</w:t>
            </w:r>
          </w:p>
        </w:tc>
      </w:tr>
      <w:tr>
        <w:tc>
          <w:tcPr>
            <w:tcW w:type="dxa" w:w="1296"/>
            <w:shd w:val="clear" w:color="auto" w:fill="EFEFEF"/>
          </w:tcPr>
          <w:p>
            <w:pPr>
              <w:spacing w:line="240" w:lineRule="auto" w:before="40" w:after="40"/>
              <w:jc w:val="left"/>
            </w:pPr>
            <w:r/>
            <w:r>
              <w:rPr>
                <w:b w:val="0"/>
                <w:i w:val="0"/>
                <w:sz w:val="16"/>
              </w:rPr>
              <w:t>—</w:t>
            </w:r>
          </w:p>
        </w:tc>
        <w:tc>
          <w:tcPr>
            <w:tcW w:type="dxa" w:w="5760"/>
            <w:shd w:val="clear" w:color="auto" w:fill="EFEFEF"/>
          </w:tcPr>
          <w:p>
            <w:pPr>
              <w:spacing w:line="240" w:lineRule="auto" w:before="40" w:after="40"/>
              <w:jc w:val="left"/>
            </w:pPr>
            <w:r/>
            <w:r>
              <w:rPr>
                <w:b w:val="0"/>
                <w:i w:val="0"/>
                <w:sz w:val="16"/>
              </w:rPr>
              <w:t>RC septic tank / sewage treatment</w:t>
            </w:r>
          </w:p>
        </w:tc>
        <w:tc>
          <w:tcPr>
            <w:tcW w:type="dxa" w:w="864"/>
            <w:shd w:val="clear" w:color="auto" w:fill="EFEFEF"/>
          </w:tcPr>
          <w:p>
            <w:pPr>
              <w:spacing w:line="240" w:lineRule="auto" w:before="40" w:after="40"/>
              <w:jc w:val="left"/>
            </w:pPr>
            <w:r/>
            <w:r>
              <w:rPr>
                <w:b w:val="0"/>
                <w:i w:val="0"/>
                <w:sz w:val="16"/>
              </w:rPr>
              <w:t>unit</w:t>
            </w:r>
          </w:p>
        </w:tc>
        <w:tc>
          <w:tcPr>
            <w:tcW w:type="dxa" w:w="1584"/>
            <w:shd w:val="clear" w:color="auto" w:fill="EFEFEF"/>
          </w:tcPr>
          <w:p>
            <w:pPr>
              <w:spacing w:line="240" w:lineRule="auto" w:before="40" w:after="40"/>
              <w:jc w:val="left"/>
            </w:pPr>
            <w:r/>
            <w:r>
              <w:rPr>
                <w:b w:val="0"/>
                <w:i w:val="0"/>
                <w:sz w:val="16"/>
              </w:rPr>
              <w:t>allowance / %</w:t>
            </w:r>
          </w:p>
        </w:tc>
      </w:tr>
      <w:tr>
        <w:tc>
          <w:tcPr>
            <w:tcW w:type="dxa" w:w="1296"/>
          </w:tcPr>
          <w:p>
            <w:pPr>
              <w:spacing w:line="240" w:lineRule="auto" w:before="40" w:after="40"/>
              <w:jc w:val="left"/>
            </w:pPr>
            <w:r/>
            <w:r>
              <w:rPr>
                <w:b w:val="0"/>
                <w:i w:val="0"/>
                <w:sz w:val="16"/>
              </w:rPr>
              <w:t>—</w:t>
            </w:r>
          </w:p>
        </w:tc>
        <w:tc>
          <w:tcPr>
            <w:tcW w:type="dxa" w:w="5760"/>
          </w:tcPr>
          <w:p>
            <w:pPr>
              <w:spacing w:line="240" w:lineRule="auto" w:before="40" w:after="40"/>
              <w:jc w:val="left"/>
            </w:pPr>
            <w:r/>
            <w:r>
              <w:rPr>
                <w:b w:val="0"/>
                <w:i w:val="0"/>
                <w:sz w:val="16"/>
              </w:rPr>
              <w:t>Accessibility ramp &amp; handrails (BP 344)</w:t>
            </w:r>
          </w:p>
        </w:tc>
        <w:tc>
          <w:tcPr>
            <w:tcW w:type="dxa" w:w="864"/>
          </w:tcPr>
          <w:p>
            <w:pPr>
              <w:spacing w:line="240" w:lineRule="auto" w:before="40" w:after="40"/>
              <w:jc w:val="left"/>
            </w:pPr>
            <w:r/>
            <w:r>
              <w:rPr>
                <w:b w:val="0"/>
                <w:i w:val="0"/>
                <w:sz w:val="16"/>
              </w:rPr>
              <w:t>unit</w:t>
            </w:r>
          </w:p>
        </w:tc>
        <w:tc>
          <w:tcPr>
            <w:tcW w:type="dxa" w:w="1584"/>
          </w:tcPr>
          <w:p>
            <w:pPr>
              <w:spacing w:line="240" w:lineRule="auto" w:before="40" w:after="40"/>
              <w:jc w:val="right"/>
            </w:pPr>
            <w:r/>
            <w:r>
              <w:rPr>
                <w:b w:val="0"/>
                <w:i w:val="0"/>
                <w:sz w:val="16"/>
              </w:rPr>
              <w:t>38,000</w:t>
            </w:r>
          </w:p>
        </w:tc>
      </w:tr>
      <w:tr>
        <w:tc>
          <w:tcPr>
            <w:tcW w:type="dxa" w:w="1296"/>
            <w:shd w:val="clear" w:color="auto" w:fill="EFEFEF"/>
          </w:tcPr>
          <w:p>
            <w:pPr>
              <w:spacing w:line="240" w:lineRule="auto" w:before="40" w:after="40"/>
              <w:jc w:val="left"/>
            </w:pPr>
            <w:r/>
            <w:r>
              <w:rPr>
                <w:b w:val="0"/>
                <w:i w:val="0"/>
                <w:sz w:val="16"/>
              </w:rPr>
              <w:t>1047 (5)</w:t>
            </w:r>
          </w:p>
        </w:tc>
        <w:tc>
          <w:tcPr>
            <w:tcW w:type="dxa" w:w="5760"/>
            <w:shd w:val="clear" w:color="auto" w:fill="EFEFEF"/>
          </w:tcPr>
          <w:p>
            <w:pPr>
              <w:spacing w:line="240" w:lineRule="auto" w:before="40" w:after="40"/>
              <w:jc w:val="left"/>
            </w:pPr>
            <w:r/>
            <w:r>
              <w:rPr>
                <w:b w:val="0"/>
                <w:i w:val="0"/>
                <w:sz w:val="16"/>
              </w:rPr>
              <w:t>Steel railings — corridors, balconies &amp; stairs</w:t>
            </w:r>
          </w:p>
        </w:tc>
        <w:tc>
          <w:tcPr>
            <w:tcW w:type="dxa" w:w="864"/>
            <w:shd w:val="clear" w:color="auto" w:fill="EFEFEF"/>
          </w:tcPr>
          <w:p>
            <w:pPr>
              <w:spacing w:line="240" w:lineRule="auto" w:before="40" w:after="40"/>
              <w:jc w:val="left"/>
            </w:pPr>
            <w:r/>
            <w:r>
              <w:rPr>
                <w:b w:val="0"/>
                <w:i w:val="0"/>
                <w:sz w:val="16"/>
              </w:rPr>
              <w:t>m</w:t>
            </w:r>
          </w:p>
        </w:tc>
        <w:tc>
          <w:tcPr>
            <w:tcW w:type="dxa" w:w="1584"/>
            <w:shd w:val="clear" w:color="auto" w:fill="EFEFEF"/>
          </w:tcPr>
          <w:p>
            <w:pPr>
              <w:spacing w:line="240" w:lineRule="auto" w:before="40" w:after="40"/>
              <w:jc w:val="right"/>
            </w:pPr>
            <w:r/>
            <w:r>
              <w:rPr>
                <w:b w:val="0"/>
                <w:i w:val="0"/>
                <w:sz w:val="16"/>
              </w:rPr>
              <w:t>4,800</w:t>
            </w:r>
          </w:p>
        </w:tc>
      </w:tr>
      <w:tr>
        <w:tc>
          <w:tcPr>
            <w:tcW w:type="dxa" w:w="1296"/>
          </w:tcPr>
          <w:p>
            <w:pPr>
              <w:spacing w:line="240" w:lineRule="auto" w:before="40" w:after="40"/>
              <w:jc w:val="left"/>
            </w:pPr>
            <w:r/>
            <w:r>
              <w:rPr>
                <w:b w:val="0"/>
                <w:i w:val="0"/>
                <w:sz w:val="16"/>
              </w:rPr>
              <w:t>—</w:t>
            </w:r>
          </w:p>
        </w:tc>
        <w:tc>
          <w:tcPr>
            <w:tcW w:type="dxa" w:w="5760"/>
          </w:tcPr>
          <w:p>
            <w:pPr>
              <w:spacing w:line="240" w:lineRule="auto" w:before="40" w:after="40"/>
              <w:jc w:val="left"/>
            </w:pPr>
            <w:r/>
            <w:r>
              <w:rPr>
                <w:b w:val="0"/>
                <w:i w:val="0"/>
                <w:sz w:val="16"/>
              </w:rPr>
              <w:t>Roof insulation, fascia &amp; eaves soffit</w:t>
            </w:r>
          </w:p>
        </w:tc>
        <w:tc>
          <w:tcPr>
            <w:tcW w:type="dxa" w:w="864"/>
          </w:tcPr>
          <w:p>
            <w:pPr>
              <w:spacing w:line="240" w:lineRule="auto" w:before="40" w:after="40"/>
              <w:jc w:val="left"/>
            </w:pPr>
            <w:r/>
            <w:r>
              <w:rPr>
                <w:b w:val="0"/>
                <w:i w:val="0"/>
                <w:sz w:val="16"/>
              </w:rPr>
              <w:t>m²</w:t>
            </w:r>
          </w:p>
        </w:tc>
        <w:tc>
          <w:tcPr>
            <w:tcW w:type="dxa" w:w="1584"/>
          </w:tcPr>
          <w:p>
            <w:pPr>
              <w:spacing w:line="240" w:lineRule="auto" w:before="40" w:after="40"/>
              <w:jc w:val="right"/>
            </w:pPr>
            <w:r/>
            <w:r>
              <w:rPr>
                <w:b w:val="0"/>
                <w:i w:val="0"/>
                <w:sz w:val="16"/>
              </w:rPr>
              <w:t>420</w:t>
            </w:r>
          </w:p>
        </w:tc>
      </w:tr>
      <w:tr>
        <w:tc>
          <w:tcPr>
            <w:tcW w:type="dxa" w:w="1296"/>
            <w:shd w:val="clear" w:color="auto" w:fill="EFEFEF"/>
          </w:tcPr>
          <w:p>
            <w:pPr>
              <w:spacing w:line="240" w:lineRule="auto" w:before="40" w:after="40"/>
              <w:jc w:val="left"/>
            </w:pPr>
            <w:r/>
            <w:r>
              <w:rPr>
                <w:b w:val="0"/>
                <w:i w:val="0"/>
                <w:sz w:val="16"/>
              </w:rPr>
              <w:t>—</w:t>
            </w:r>
          </w:p>
        </w:tc>
        <w:tc>
          <w:tcPr>
            <w:tcW w:type="dxa" w:w="5760"/>
            <w:shd w:val="clear" w:color="auto" w:fill="EFEFEF"/>
          </w:tcPr>
          <w:p>
            <w:pPr>
              <w:spacing w:line="240" w:lineRule="auto" w:before="40" w:after="40"/>
              <w:jc w:val="left"/>
            </w:pPr>
            <w:r/>
            <w:r>
              <w:rPr>
                <w:b w:val="0"/>
                <w:i w:val="0"/>
                <w:sz w:val="16"/>
              </w:rPr>
              <w:t>Perimeter drainage canal with grating</w:t>
            </w:r>
          </w:p>
        </w:tc>
        <w:tc>
          <w:tcPr>
            <w:tcW w:type="dxa" w:w="864"/>
            <w:shd w:val="clear" w:color="auto" w:fill="EFEFEF"/>
          </w:tcPr>
          <w:p>
            <w:pPr>
              <w:spacing w:line="240" w:lineRule="auto" w:before="40" w:after="40"/>
              <w:jc w:val="left"/>
            </w:pPr>
            <w:r/>
            <w:r>
              <w:rPr>
                <w:b w:val="0"/>
                <w:i w:val="0"/>
                <w:sz w:val="16"/>
              </w:rPr>
              <w:t>m</w:t>
            </w:r>
          </w:p>
        </w:tc>
        <w:tc>
          <w:tcPr>
            <w:tcW w:type="dxa" w:w="1584"/>
            <w:shd w:val="clear" w:color="auto" w:fill="EFEFEF"/>
          </w:tcPr>
          <w:p>
            <w:pPr>
              <w:spacing w:line="240" w:lineRule="auto" w:before="40" w:after="40"/>
              <w:jc w:val="right"/>
            </w:pPr>
            <w:r/>
            <w:r>
              <w:rPr>
                <w:b w:val="0"/>
                <w:i w:val="0"/>
                <w:sz w:val="16"/>
              </w:rPr>
              <w:t>1,450</w:t>
            </w:r>
          </w:p>
        </w:tc>
      </w:tr>
      <w:tr>
        <w:tc>
          <w:tcPr>
            <w:tcW w:type="dxa" w:w="1296"/>
          </w:tcPr>
          <w:p>
            <w:pPr>
              <w:spacing w:line="240" w:lineRule="auto" w:before="40" w:after="40"/>
              <w:jc w:val="left"/>
            </w:pPr>
            <w:r/>
            <w:r>
              <w:rPr>
                <w:b w:val="0"/>
                <w:i w:val="0"/>
                <w:sz w:val="16"/>
              </w:rPr>
              <w:t>100 (1)</w:t>
            </w:r>
          </w:p>
        </w:tc>
        <w:tc>
          <w:tcPr>
            <w:tcW w:type="dxa" w:w="5760"/>
          </w:tcPr>
          <w:p>
            <w:pPr>
              <w:spacing w:line="240" w:lineRule="auto" w:before="40" w:after="40"/>
              <w:jc w:val="left"/>
            </w:pPr>
            <w:r/>
            <w:r>
              <w:rPr>
                <w:b w:val="0"/>
                <w:i w:val="0"/>
                <w:sz w:val="16"/>
              </w:rPr>
              <w:t>Clearing and grubbing</w:t>
            </w:r>
          </w:p>
        </w:tc>
        <w:tc>
          <w:tcPr>
            <w:tcW w:type="dxa" w:w="864"/>
          </w:tcPr>
          <w:p>
            <w:pPr>
              <w:spacing w:line="240" w:lineRule="auto" w:before="40" w:after="40"/>
              <w:jc w:val="left"/>
            </w:pPr>
            <w:r/>
            <w:r>
              <w:rPr>
                <w:b w:val="0"/>
                <w:i w:val="0"/>
                <w:sz w:val="16"/>
              </w:rPr>
              <w:t>m²</w:t>
            </w:r>
          </w:p>
        </w:tc>
        <w:tc>
          <w:tcPr>
            <w:tcW w:type="dxa" w:w="1584"/>
          </w:tcPr>
          <w:p>
            <w:pPr>
              <w:spacing w:line="240" w:lineRule="auto" w:before="40" w:after="40"/>
              <w:jc w:val="right"/>
            </w:pPr>
            <w:r/>
            <w:r>
              <w:rPr>
                <w:b w:val="0"/>
                <w:i w:val="0"/>
                <w:sz w:val="16"/>
              </w:rPr>
              <w:t>55</w:t>
            </w:r>
          </w:p>
        </w:tc>
      </w:tr>
      <w:tr>
        <w:tc>
          <w:tcPr>
            <w:tcW w:type="dxa" w:w="1296"/>
            <w:shd w:val="clear" w:color="auto" w:fill="EFEFEF"/>
          </w:tcPr>
          <w:p>
            <w:pPr>
              <w:spacing w:line="240" w:lineRule="auto" w:before="40" w:after="40"/>
              <w:jc w:val="left"/>
            </w:pPr>
            <w:r/>
            <w:r>
              <w:rPr>
                <w:b w:val="0"/>
                <w:i w:val="0"/>
                <w:sz w:val="16"/>
              </w:rPr>
              <w:t>103 (1)a</w:t>
            </w:r>
          </w:p>
        </w:tc>
        <w:tc>
          <w:tcPr>
            <w:tcW w:type="dxa" w:w="5760"/>
            <w:shd w:val="clear" w:color="auto" w:fill="EFEFEF"/>
          </w:tcPr>
          <w:p>
            <w:pPr>
              <w:spacing w:line="240" w:lineRule="auto" w:before="40" w:after="40"/>
              <w:jc w:val="left"/>
            </w:pPr>
            <w:r/>
            <w:r>
              <w:rPr>
                <w:b w:val="0"/>
                <w:i w:val="0"/>
                <w:sz w:val="16"/>
              </w:rPr>
              <w:t>Structure excavation, common soil</w:t>
            </w:r>
          </w:p>
        </w:tc>
        <w:tc>
          <w:tcPr>
            <w:tcW w:type="dxa" w:w="864"/>
            <w:shd w:val="clear" w:color="auto" w:fill="EFEFEF"/>
          </w:tcPr>
          <w:p>
            <w:pPr>
              <w:spacing w:line="240" w:lineRule="auto" w:before="40" w:after="40"/>
              <w:jc w:val="left"/>
            </w:pPr>
            <w:r/>
            <w:r>
              <w:rPr>
                <w:b w:val="0"/>
                <w:i w:val="0"/>
                <w:sz w:val="16"/>
              </w:rPr>
              <w:t>m³</w:t>
            </w:r>
          </w:p>
        </w:tc>
        <w:tc>
          <w:tcPr>
            <w:tcW w:type="dxa" w:w="1584"/>
            <w:shd w:val="clear" w:color="auto" w:fill="EFEFEF"/>
          </w:tcPr>
          <w:p>
            <w:pPr>
              <w:spacing w:line="240" w:lineRule="auto" w:before="40" w:after="40"/>
              <w:jc w:val="right"/>
            </w:pPr>
            <w:r/>
            <w:r>
              <w:rPr>
                <w:b w:val="0"/>
                <w:i w:val="0"/>
                <w:sz w:val="16"/>
              </w:rPr>
              <w:t>420</w:t>
            </w:r>
          </w:p>
        </w:tc>
      </w:tr>
      <w:tr>
        <w:tc>
          <w:tcPr>
            <w:tcW w:type="dxa" w:w="1296"/>
          </w:tcPr>
          <w:p>
            <w:pPr>
              <w:spacing w:line="240" w:lineRule="auto" w:before="40" w:after="40"/>
              <w:jc w:val="left"/>
            </w:pPr>
            <w:r/>
            <w:r>
              <w:rPr>
                <w:b w:val="0"/>
                <w:i w:val="0"/>
                <w:sz w:val="16"/>
              </w:rPr>
              <w:t>103 (2)</w:t>
            </w:r>
          </w:p>
        </w:tc>
        <w:tc>
          <w:tcPr>
            <w:tcW w:type="dxa" w:w="5760"/>
          </w:tcPr>
          <w:p>
            <w:pPr>
              <w:spacing w:line="240" w:lineRule="auto" w:before="40" w:after="40"/>
              <w:jc w:val="left"/>
            </w:pPr>
            <w:r/>
            <w:r>
              <w:rPr>
                <w:b w:val="0"/>
                <w:i w:val="0"/>
                <w:sz w:val="16"/>
              </w:rPr>
              <w:t>Structure excavation below water, incl. dewatering</w:t>
            </w:r>
          </w:p>
        </w:tc>
        <w:tc>
          <w:tcPr>
            <w:tcW w:type="dxa" w:w="864"/>
          </w:tcPr>
          <w:p>
            <w:pPr>
              <w:spacing w:line="240" w:lineRule="auto" w:before="40" w:after="40"/>
              <w:jc w:val="left"/>
            </w:pPr>
            <w:r/>
            <w:r>
              <w:rPr>
                <w:b w:val="0"/>
                <w:i w:val="0"/>
                <w:sz w:val="16"/>
              </w:rPr>
              <w:t>m³</w:t>
            </w:r>
          </w:p>
        </w:tc>
        <w:tc>
          <w:tcPr>
            <w:tcW w:type="dxa" w:w="1584"/>
          </w:tcPr>
          <w:p>
            <w:pPr>
              <w:spacing w:line="240" w:lineRule="auto" w:before="40" w:after="40"/>
              <w:jc w:val="right"/>
            </w:pPr>
            <w:r/>
            <w:r>
              <w:rPr>
                <w:b w:val="0"/>
                <w:i w:val="0"/>
                <w:sz w:val="16"/>
              </w:rPr>
              <w:t>680</w:t>
            </w:r>
          </w:p>
        </w:tc>
      </w:tr>
      <w:tr>
        <w:tc>
          <w:tcPr>
            <w:tcW w:type="dxa" w:w="1296"/>
            <w:shd w:val="clear" w:color="auto" w:fill="EFEFEF"/>
          </w:tcPr>
          <w:p>
            <w:pPr>
              <w:spacing w:line="240" w:lineRule="auto" w:before="40" w:after="40"/>
              <w:jc w:val="left"/>
            </w:pPr>
            <w:r/>
            <w:r>
              <w:rPr>
                <w:b w:val="0"/>
                <w:i w:val="0"/>
                <w:sz w:val="16"/>
              </w:rPr>
              <w:t>—</w:t>
            </w:r>
          </w:p>
        </w:tc>
        <w:tc>
          <w:tcPr>
            <w:tcW w:type="dxa" w:w="5760"/>
            <w:shd w:val="clear" w:color="auto" w:fill="EFEFEF"/>
          </w:tcPr>
          <w:p>
            <w:pPr>
              <w:spacing w:line="240" w:lineRule="auto" w:before="40" w:after="40"/>
              <w:jc w:val="left"/>
            </w:pPr>
            <w:r/>
            <w:r>
              <w:rPr>
                <w:b w:val="0"/>
                <w:i w:val="0"/>
                <w:sz w:val="16"/>
              </w:rPr>
              <w:t>Cofferdam / sheet piling</w:t>
            </w:r>
          </w:p>
        </w:tc>
        <w:tc>
          <w:tcPr>
            <w:tcW w:type="dxa" w:w="864"/>
            <w:shd w:val="clear" w:color="auto" w:fill="EFEFEF"/>
          </w:tcPr>
          <w:p>
            <w:pPr>
              <w:spacing w:line="240" w:lineRule="auto" w:before="40" w:after="40"/>
              <w:jc w:val="left"/>
            </w:pPr>
            <w:r/>
            <w:r>
              <w:rPr>
                <w:b w:val="0"/>
                <w:i w:val="0"/>
                <w:sz w:val="16"/>
              </w:rPr>
              <w:t>each</w:t>
            </w:r>
          </w:p>
        </w:tc>
        <w:tc>
          <w:tcPr>
            <w:tcW w:type="dxa" w:w="1584"/>
            <w:shd w:val="clear" w:color="auto" w:fill="EFEFEF"/>
          </w:tcPr>
          <w:p>
            <w:pPr>
              <w:spacing w:line="240" w:lineRule="auto" w:before="40" w:after="40"/>
              <w:jc w:val="right"/>
            </w:pPr>
            <w:r/>
            <w:r>
              <w:rPr>
                <w:b w:val="0"/>
                <w:i w:val="0"/>
                <w:sz w:val="16"/>
              </w:rPr>
              <w:t>180,000</w:t>
            </w:r>
          </w:p>
        </w:tc>
      </w:tr>
      <w:tr>
        <w:tc>
          <w:tcPr>
            <w:tcW w:type="dxa" w:w="1296"/>
          </w:tcPr>
          <w:p>
            <w:pPr>
              <w:spacing w:line="240" w:lineRule="auto" w:before="40" w:after="40"/>
              <w:jc w:val="left"/>
            </w:pPr>
            <w:r/>
            <w:r>
              <w:rPr>
                <w:b w:val="0"/>
                <w:i w:val="0"/>
                <w:sz w:val="16"/>
              </w:rPr>
              <w:t>104 (2)</w:t>
            </w:r>
          </w:p>
        </w:tc>
        <w:tc>
          <w:tcPr>
            <w:tcW w:type="dxa" w:w="5760"/>
          </w:tcPr>
          <w:p>
            <w:pPr>
              <w:spacing w:line="240" w:lineRule="auto" w:before="40" w:after="40"/>
              <w:jc w:val="left"/>
            </w:pPr>
            <w:r/>
            <w:r>
              <w:rPr>
                <w:b w:val="0"/>
                <w:i w:val="0"/>
                <w:sz w:val="16"/>
              </w:rPr>
              <w:t>Structural backfill, granular, compacted</w:t>
            </w:r>
          </w:p>
        </w:tc>
        <w:tc>
          <w:tcPr>
            <w:tcW w:type="dxa" w:w="864"/>
          </w:tcPr>
          <w:p>
            <w:pPr>
              <w:spacing w:line="240" w:lineRule="auto" w:before="40" w:after="40"/>
              <w:jc w:val="left"/>
            </w:pPr>
            <w:r/>
            <w:r>
              <w:rPr>
                <w:b w:val="0"/>
                <w:i w:val="0"/>
                <w:sz w:val="16"/>
              </w:rPr>
              <w:t>m³</w:t>
            </w:r>
          </w:p>
        </w:tc>
        <w:tc>
          <w:tcPr>
            <w:tcW w:type="dxa" w:w="1584"/>
          </w:tcPr>
          <w:p>
            <w:pPr>
              <w:spacing w:line="240" w:lineRule="auto" w:before="40" w:after="40"/>
              <w:jc w:val="right"/>
            </w:pPr>
            <w:r/>
            <w:r>
              <w:rPr>
                <w:b w:val="0"/>
                <w:i w:val="0"/>
                <w:sz w:val="16"/>
              </w:rPr>
              <w:t>950</w:t>
            </w:r>
          </w:p>
        </w:tc>
      </w:tr>
      <w:tr>
        <w:tc>
          <w:tcPr>
            <w:tcW w:type="dxa" w:w="1296"/>
            <w:shd w:val="clear" w:color="auto" w:fill="EFEFEF"/>
          </w:tcPr>
          <w:p>
            <w:pPr>
              <w:spacing w:line="240" w:lineRule="auto" w:before="40" w:after="40"/>
              <w:jc w:val="left"/>
            </w:pPr>
            <w:r/>
            <w:r>
              <w:rPr>
                <w:b w:val="0"/>
                <w:i w:val="0"/>
                <w:sz w:val="16"/>
              </w:rPr>
              <w:t>—</w:t>
            </w:r>
          </w:p>
        </w:tc>
        <w:tc>
          <w:tcPr>
            <w:tcW w:type="dxa" w:w="5760"/>
            <w:shd w:val="clear" w:color="auto" w:fill="EFEFEF"/>
          </w:tcPr>
          <w:p>
            <w:pPr>
              <w:spacing w:line="240" w:lineRule="auto" w:before="40" w:after="40"/>
              <w:jc w:val="left"/>
            </w:pPr>
            <w:r/>
            <w:r>
              <w:rPr>
                <w:b w:val="0"/>
                <w:i w:val="0"/>
                <w:sz w:val="16"/>
              </w:rPr>
              <w:t>Gravel bedding</w:t>
            </w:r>
          </w:p>
        </w:tc>
        <w:tc>
          <w:tcPr>
            <w:tcW w:type="dxa" w:w="864"/>
            <w:shd w:val="clear" w:color="auto" w:fill="EFEFEF"/>
          </w:tcPr>
          <w:p>
            <w:pPr>
              <w:spacing w:line="240" w:lineRule="auto" w:before="40" w:after="40"/>
              <w:jc w:val="left"/>
            </w:pPr>
            <w:r/>
            <w:r>
              <w:rPr>
                <w:b w:val="0"/>
                <w:i w:val="0"/>
                <w:sz w:val="16"/>
              </w:rPr>
              <w:t>m³</w:t>
            </w:r>
          </w:p>
        </w:tc>
        <w:tc>
          <w:tcPr>
            <w:tcW w:type="dxa" w:w="1584"/>
            <w:shd w:val="clear" w:color="auto" w:fill="EFEFEF"/>
          </w:tcPr>
          <w:p>
            <w:pPr>
              <w:spacing w:line="240" w:lineRule="auto" w:before="40" w:after="40"/>
              <w:jc w:val="right"/>
            </w:pPr>
            <w:r/>
            <w:r>
              <w:rPr>
                <w:b w:val="0"/>
                <w:i w:val="0"/>
                <w:sz w:val="16"/>
              </w:rPr>
              <w:t>1,550</w:t>
            </w:r>
          </w:p>
        </w:tc>
      </w:tr>
      <w:tr>
        <w:tc>
          <w:tcPr>
            <w:tcW w:type="dxa" w:w="1296"/>
          </w:tcPr>
          <w:p>
            <w:pPr>
              <w:spacing w:line="240" w:lineRule="auto" w:before="40" w:after="40"/>
              <w:jc w:val="left"/>
            </w:pPr>
            <w:r/>
            <w:r>
              <w:rPr>
                <w:b w:val="0"/>
                <w:i w:val="0"/>
                <w:sz w:val="16"/>
              </w:rPr>
              <w:t>400 (11)</w:t>
            </w:r>
          </w:p>
        </w:tc>
        <w:tc>
          <w:tcPr>
            <w:tcW w:type="dxa" w:w="5760"/>
          </w:tcPr>
          <w:p>
            <w:pPr>
              <w:spacing w:line="240" w:lineRule="auto" w:before="40" w:after="40"/>
              <w:jc w:val="left"/>
            </w:pPr>
            <w:r/>
            <w:r>
              <w:rPr>
                <w:b w:val="0"/>
                <w:i w:val="0"/>
                <w:sz w:val="16"/>
              </w:rPr>
              <w:t>Precast RC piles 450 × 450 mm, furnished &amp; driven</w:t>
            </w:r>
          </w:p>
        </w:tc>
        <w:tc>
          <w:tcPr>
            <w:tcW w:type="dxa" w:w="864"/>
          </w:tcPr>
          <w:p>
            <w:pPr>
              <w:spacing w:line="240" w:lineRule="auto" w:before="40" w:after="40"/>
              <w:jc w:val="left"/>
            </w:pPr>
            <w:r/>
            <w:r>
              <w:rPr>
                <w:b w:val="0"/>
                <w:i w:val="0"/>
                <w:sz w:val="16"/>
              </w:rPr>
              <w:t>m</w:t>
            </w:r>
          </w:p>
        </w:tc>
        <w:tc>
          <w:tcPr>
            <w:tcW w:type="dxa" w:w="1584"/>
          </w:tcPr>
          <w:p>
            <w:pPr>
              <w:spacing w:line="240" w:lineRule="auto" w:before="40" w:after="40"/>
              <w:jc w:val="right"/>
            </w:pPr>
            <w:r/>
            <w:r>
              <w:rPr>
                <w:b w:val="0"/>
                <w:i w:val="0"/>
                <w:sz w:val="16"/>
              </w:rPr>
              <w:t>11,500</w:t>
            </w:r>
          </w:p>
        </w:tc>
      </w:tr>
      <w:tr>
        <w:tc>
          <w:tcPr>
            <w:tcW w:type="dxa" w:w="1296"/>
            <w:shd w:val="clear" w:color="auto" w:fill="EFEFEF"/>
          </w:tcPr>
          <w:p>
            <w:pPr>
              <w:spacing w:line="240" w:lineRule="auto" w:before="40" w:after="40"/>
              <w:jc w:val="left"/>
            </w:pPr>
            <w:r/>
            <w:r>
              <w:rPr>
                <w:b w:val="0"/>
                <w:i w:val="0"/>
                <w:sz w:val="16"/>
              </w:rPr>
              <w:t>400 (17)</w:t>
            </w:r>
          </w:p>
        </w:tc>
        <w:tc>
          <w:tcPr>
            <w:tcW w:type="dxa" w:w="5760"/>
            <w:shd w:val="clear" w:color="auto" w:fill="EFEFEF"/>
          </w:tcPr>
          <w:p>
            <w:pPr>
              <w:spacing w:line="240" w:lineRule="auto" w:before="40" w:after="40"/>
              <w:jc w:val="left"/>
            </w:pPr>
            <w:r/>
            <w:r>
              <w:rPr>
                <w:b w:val="0"/>
                <w:i w:val="0"/>
                <w:sz w:val="16"/>
              </w:rPr>
              <w:t>Bored piles 1.0 m Ø, drilling incl. temporary casing</w:t>
            </w:r>
          </w:p>
        </w:tc>
        <w:tc>
          <w:tcPr>
            <w:tcW w:type="dxa" w:w="864"/>
            <w:shd w:val="clear" w:color="auto" w:fill="EFEFEF"/>
          </w:tcPr>
          <w:p>
            <w:pPr>
              <w:spacing w:line="240" w:lineRule="auto" w:before="40" w:after="40"/>
              <w:jc w:val="left"/>
            </w:pPr>
            <w:r/>
            <w:r>
              <w:rPr>
                <w:b w:val="0"/>
                <w:i w:val="0"/>
                <w:sz w:val="16"/>
              </w:rPr>
              <w:t>m</w:t>
            </w:r>
          </w:p>
        </w:tc>
        <w:tc>
          <w:tcPr>
            <w:tcW w:type="dxa" w:w="1584"/>
            <w:shd w:val="clear" w:color="auto" w:fill="EFEFEF"/>
          </w:tcPr>
          <w:p>
            <w:pPr>
              <w:spacing w:line="240" w:lineRule="auto" w:before="40" w:after="40"/>
              <w:jc w:val="right"/>
            </w:pPr>
            <w:r/>
            <w:r>
              <w:rPr>
                <w:b w:val="0"/>
                <w:i w:val="0"/>
                <w:sz w:val="16"/>
              </w:rPr>
              <w:t>28,000</w:t>
            </w:r>
          </w:p>
        </w:tc>
      </w:tr>
      <w:tr>
        <w:tc>
          <w:tcPr>
            <w:tcW w:type="dxa" w:w="1296"/>
          </w:tcPr>
          <w:p>
            <w:pPr>
              <w:spacing w:line="240" w:lineRule="auto" w:before="40" w:after="40"/>
              <w:jc w:val="left"/>
            </w:pPr>
            <w:r/>
            <w:r>
              <w:rPr>
                <w:b w:val="0"/>
                <w:i w:val="0"/>
                <w:sz w:val="16"/>
              </w:rPr>
              <w:t>400 (20)</w:t>
            </w:r>
          </w:p>
        </w:tc>
        <w:tc>
          <w:tcPr>
            <w:tcW w:type="dxa" w:w="5760"/>
          </w:tcPr>
          <w:p>
            <w:pPr>
              <w:spacing w:line="240" w:lineRule="auto" w:before="40" w:after="40"/>
              <w:jc w:val="left"/>
            </w:pPr>
            <w:r/>
            <w:r>
              <w:rPr>
                <w:b w:val="0"/>
                <w:i w:val="0"/>
                <w:sz w:val="16"/>
              </w:rPr>
              <w:t>Pile dynamic load test (PDA)</w:t>
            </w:r>
          </w:p>
        </w:tc>
        <w:tc>
          <w:tcPr>
            <w:tcW w:type="dxa" w:w="864"/>
          </w:tcPr>
          <w:p>
            <w:pPr>
              <w:spacing w:line="240" w:lineRule="auto" w:before="40" w:after="40"/>
              <w:jc w:val="left"/>
            </w:pPr>
            <w:r/>
            <w:r>
              <w:rPr>
                <w:b w:val="0"/>
                <w:i w:val="0"/>
                <w:sz w:val="16"/>
              </w:rPr>
              <w:t>test</w:t>
            </w:r>
          </w:p>
        </w:tc>
        <w:tc>
          <w:tcPr>
            <w:tcW w:type="dxa" w:w="1584"/>
          </w:tcPr>
          <w:p>
            <w:pPr>
              <w:spacing w:line="240" w:lineRule="auto" w:before="40" w:after="40"/>
              <w:jc w:val="right"/>
            </w:pPr>
            <w:r/>
            <w:r>
              <w:rPr>
                <w:b w:val="0"/>
                <w:i w:val="0"/>
                <w:sz w:val="16"/>
              </w:rPr>
              <w:t>85,000</w:t>
            </w:r>
          </w:p>
        </w:tc>
      </w:tr>
      <w:tr>
        <w:tc>
          <w:tcPr>
            <w:tcW w:type="dxa" w:w="1296"/>
            <w:shd w:val="clear" w:color="auto" w:fill="EFEFEF"/>
          </w:tcPr>
          <w:p>
            <w:pPr>
              <w:spacing w:line="240" w:lineRule="auto" w:before="40" w:after="40"/>
              <w:jc w:val="left"/>
            </w:pPr>
            <w:r/>
            <w:r>
              <w:rPr>
                <w:b w:val="0"/>
                <w:i w:val="0"/>
                <w:sz w:val="16"/>
              </w:rPr>
              <w:t>405 (1)a</w:t>
            </w:r>
          </w:p>
        </w:tc>
        <w:tc>
          <w:tcPr>
            <w:tcW w:type="dxa" w:w="5760"/>
            <w:shd w:val="clear" w:color="auto" w:fill="EFEFEF"/>
          </w:tcPr>
          <w:p>
            <w:pPr>
              <w:spacing w:line="240" w:lineRule="auto" w:before="40" w:after="40"/>
              <w:jc w:val="left"/>
            </w:pPr>
            <w:r/>
            <w:r>
              <w:rPr>
                <w:b w:val="0"/>
                <w:i w:val="0"/>
                <w:sz w:val="16"/>
              </w:rPr>
              <w:t>Structural concrete Class A — deck &amp; girders, incl. forms</w:t>
            </w:r>
          </w:p>
        </w:tc>
        <w:tc>
          <w:tcPr>
            <w:tcW w:type="dxa" w:w="864"/>
            <w:shd w:val="clear" w:color="auto" w:fill="EFEFEF"/>
          </w:tcPr>
          <w:p>
            <w:pPr>
              <w:spacing w:line="240" w:lineRule="auto" w:before="40" w:after="40"/>
              <w:jc w:val="left"/>
            </w:pPr>
            <w:r/>
            <w:r>
              <w:rPr>
                <w:b w:val="0"/>
                <w:i w:val="0"/>
                <w:sz w:val="16"/>
              </w:rPr>
              <w:t>m³</w:t>
            </w:r>
          </w:p>
        </w:tc>
        <w:tc>
          <w:tcPr>
            <w:tcW w:type="dxa" w:w="1584"/>
            <w:shd w:val="clear" w:color="auto" w:fill="EFEFEF"/>
          </w:tcPr>
          <w:p>
            <w:pPr>
              <w:spacing w:line="240" w:lineRule="auto" w:before="40" w:after="40"/>
              <w:jc w:val="right"/>
            </w:pPr>
            <w:r/>
            <w:r>
              <w:rPr>
                <w:b w:val="0"/>
                <w:i w:val="0"/>
                <w:sz w:val="16"/>
              </w:rPr>
              <w:t>13,500</w:t>
            </w:r>
          </w:p>
        </w:tc>
      </w:tr>
      <w:tr>
        <w:tc>
          <w:tcPr>
            <w:tcW w:type="dxa" w:w="1296"/>
          </w:tcPr>
          <w:p>
            <w:pPr>
              <w:spacing w:line="240" w:lineRule="auto" w:before="40" w:after="40"/>
              <w:jc w:val="left"/>
            </w:pPr>
            <w:r/>
            <w:r>
              <w:rPr>
                <w:b w:val="0"/>
                <w:i w:val="0"/>
                <w:sz w:val="16"/>
              </w:rPr>
              <w:t>405 (1)b</w:t>
            </w:r>
          </w:p>
        </w:tc>
        <w:tc>
          <w:tcPr>
            <w:tcW w:type="dxa" w:w="5760"/>
          </w:tcPr>
          <w:p>
            <w:pPr>
              <w:spacing w:line="240" w:lineRule="auto" w:before="40" w:after="40"/>
              <w:jc w:val="left"/>
            </w:pPr>
            <w:r/>
            <w:r>
              <w:rPr>
                <w:b w:val="0"/>
                <w:i w:val="0"/>
                <w:sz w:val="16"/>
              </w:rPr>
              <w:t>Structural concrete Class A — abutments, piers, walls, incl. forms</w:t>
            </w:r>
          </w:p>
        </w:tc>
        <w:tc>
          <w:tcPr>
            <w:tcW w:type="dxa" w:w="864"/>
          </w:tcPr>
          <w:p>
            <w:pPr>
              <w:spacing w:line="240" w:lineRule="auto" w:before="40" w:after="40"/>
              <w:jc w:val="left"/>
            </w:pPr>
            <w:r/>
            <w:r>
              <w:rPr>
                <w:b w:val="0"/>
                <w:i w:val="0"/>
                <w:sz w:val="16"/>
              </w:rPr>
              <w:t>m³</w:t>
            </w:r>
          </w:p>
        </w:tc>
        <w:tc>
          <w:tcPr>
            <w:tcW w:type="dxa" w:w="1584"/>
          </w:tcPr>
          <w:p>
            <w:pPr>
              <w:spacing w:line="240" w:lineRule="auto" w:before="40" w:after="40"/>
              <w:jc w:val="right"/>
            </w:pPr>
            <w:r/>
            <w:r>
              <w:rPr>
                <w:b w:val="0"/>
                <w:i w:val="0"/>
                <w:sz w:val="16"/>
              </w:rPr>
              <w:t>11,200</w:t>
            </w:r>
          </w:p>
        </w:tc>
      </w:tr>
      <w:tr>
        <w:tc>
          <w:tcPr>
            <w:tcW w:type="dxa" w:w="1296"/>
            <w:shd w:val="clear" w:color="auto" w:fill="EFEFEF"/>
          </w:tcPr>
          <w:p>
            <w:pPr>
              <w:spacing w:line="240" w:lineRule="auto" w:before="40" w:after="40"/>
              <w:jc w:val="left"/>
            </w:pPr>
            <w:r/>
            <w:r>
              <w:rPr>
                <w:b w:val="0"/>
                <w:i w:val="0"/>
                <w:sz w:val="16"/>
              </w:rPr>
              <w:t>405 (1)c</w:t>
            </w:r>
          </w:p>
        </w:tc>
        <w:tc>
          <w:tcPr>
            <w:tcW w:type="dxa" w:w="5760"/>
            <w:shd w:val="clear" w:color="auto" w:fill="EFEFEF"/>
          </w:tcPr>
          <w:p>
            <w:pPr>
              <w:spacing w:line="240" w:lineRule="auto" w:before="40" w:after="40"/>
              <w:jc w:val="left"/>
            </w:pPr>
            <w:r/>
            <w:r>
              <w:rPr>
                <w:b w:val="0"/>
                <w:i w:val="0"/>
                <w:sz w:val="16"/>
              </w:rPr>
              <w:t>Structural concrete Class A — footings, pile caps, approach slabs</w:t>
            </w:r>
          </w:p>
        </w:tc>
        <w:tc>
          <w:tcPr>
            <w:tcW w:type="dxa" w:w="864"/>
            <w:shd w:val="clear" w:color="auto" w:fill="EFEFEF"/>
          </w:tcPr>
          <w:p>
            <w:pPr>
              <w:spacing w:line="240" w:lineRule="auto" w:before="40" w:after="40"/>
              <w:jc w:val="left"/>
            </w:pPr>
            <w:r/>
            <w:r>
              <w:rPr>
                <w:b w:val="0"/>
                <w:i w:val="0"/>
                <w:sz w:val="16"/>
              </w:rPr>
              <w:t>m³</w:t>
            </w:r>
          </w:p>
        </w:tc>
        <w:tc>
          <w:tcPr>
            <w:tcW w:type="dxa" w:w="1584"/>
            <w:shd w:val="clear" w:color="auto" w:fill="EFEFEF"/>
          </w:tcPr>
          <w:p>
            <w:pPr>
              <w:spacing w:line="240" w:lineRule="auto" w:before="40" w:after="40"/>
              <w:jc w:val="right"/>
            </w:pPr>
            <w:r/>
            <w:r>
              <w:rPr>
                <w:b w:val="0"/>
                <w:i w:val="0"/>
                <w:sz w:val="16"/>
              </w:rPr>
              <w:t>9,400</w:t>
            </w:r>
          </w:p>
        </w:tc>
      </w:tr>
      <w:tr>
        <w:tc>
          <w:tcPr>
            <w:tcW w:type="dxa" w:w="1296"/>
          </w:tcPr>
          <w:p>
            <w:pPr>
              <w:spacing w:line="240" w:lineRule="auto" w:before="40" w:after="40"/>
              <w:jc w:val="left"/>
            </w:pPr>
            <w:r/>
            <w:r>
              <w:rPr>
                <w:b w:val="0"/>
                <w:i w:val="0"/>
                <w:sz w:val="16"/>
              </w:rPr>
              <w:t>405 (1)d</w:t>
            </w:r>
          </w:p>
        </w:tc>
        <w:tc>
          <w:tcPr>
            <w:tcW w:type="dxa" w:w="5760"/>
          </w:tcPr>
          <w:p>
            <w:pPr>
              <w:spacing w:line="240" w:lineRule="auto" w:before="40" w:after="40"/>
              <w:jc w:val="left"/>
            </w:pPr>
            <w:r/>
            <w:r>
              <w:rPr>
                <w:b w:val="0"/>
                <w:i w:val="0"/>
                <w:sz w:val="16"/>
              </w:rPr>
              <w:t>Structural concrete for bored piles (tremie)</w:t>
            </w:r>
          </w:p>
        </w:tc>
        <w:tc>
          <w:tcPr>
            <w:tcW w:type="dxa" w:w="864"/>
          </w:tcPr>
          <w:p>
            <w:pPr>
              <w:spacing w:line="240" w:lineRule="auto" w:before="40" w:after="40"/>
              <w:jc w:val="left"/>
            </w:pPr>
            <w:r/>
            <w:r>
              <w:rPr>
                <w:b w:val="0"/>
                <w:i w:val="0"/>
                <w:sz w:val="16"/>
              </w:rPr>
              <w:t>m³</w:t>
            </w:r>
          </w:p>
        </w:tc>
        <w:tc>
          <w:tcPr>
            <w:tcW w:type="dxa" w:w="1584"/>
          </w:tcPr>
          <w:p>
            <w:pPr>
              <w:spacing w:line="240" w:lineRule="auto" w:before="40" w:after="40"/>
              <w:jc w:val="right"/>
            </w:pPr>
            <w:r/>
            <w:r>
              <w:rPr>
                <w:b w:val="0"/>
                <w:i w:val="0"/>
                <w:sz w:val="16"/>
              </w:rPr>
              <w:t>9,200</w:t>
            </w:r>
          </w:p>
        </w:tc>
      </w:tr>
      <w:tr>
        <w:tc>
          <w:tcPr>
            <w:tcW w:type="dxa" w:w="1296"/>
            <w:shd w:val="clear" w:color="auto" w:fill="EFEFEF"/>
          </w:tcPr>
          <w:p>
            <w:pPr>
              <w:spacing w:line="240" w:lineRule="auto" w:before="40" w:after="40"/>
              <w:jc w:val="left"/>
            </w:pPr>
            <w:r/>
            <w:r>
              <w:rPr>
                <w:b w:val="0"/>
                <w:i w:val="0"/>
                <w:sz w:val="16"/>
              </w:rPr>
              <w:t>405 (2)</w:t>
            </w:r>
          </w:p>
        </w:tc>
        <w:tc>
          <w:tcPr>
            <w:tcW w:type="dxa" w:w="5760"/>
            <w:shd w:val="clear" w:color="auto" w:fill="EFEFEF"/>
          </w:tcPr>
          <w:p>
            <w:pPr>
              <w:spacing w:line="240" w:lineRule="auto" w:before="40" w:after="40"/>
              <w:jc w:val="left"/>
            </w:pPr>
            <w:r/>
            <w:r>
              <w:rPr>
                <w:b w:val="0"/>
                <w:i w:val="0"/>
                <w:sz w:val="16"/>
              </w:rPr>
              <w:t>Lean concrete / seal concrete</w:t>
            </w:r>
          </w:p>
        </w:tc>
        <w:tc>
          <w:tcPr>
            <w:tcW w:type="dxa" w:w="864"/>
            <w:shd w:val="clear" w:color="auto" w:fill="EFEFEF"/>
          </w:tcPr>
          <w:p>
            <w:pPr>
              <w:spacing w:line="240" w:lineRule="auto" w:before="40" w:after="40"/>
              <w:jc w:val="left"/>
            </w:pPr>
            <w:r/>
            <w:r>
              <w:rPr>
                <w:b w:val="0"/>
                <w:i w:val="0"/>
                <w:sz w:val="16"/>
              </w:rPr>
              <w:t>m³</w:t>
            </w:r>
          </w:p>
        </w:tc>
        <w:tc>
          <w:tcPr>
            <w:tcW w:type="dxa" w:w="1584"/>
            <w:shd w:val="clear" w:color="auto" w:fill="EFEFEF"/>
          </w:tcPr>
          <w:p>
            <w:pPr>
              <w:spacing w:line="240" w:lineRule="auto" w:before="40" w:after="40"/>
              <w:jc w:val="right"/>
            </w:pPr>
            <w:r/>
            <w:r>
              <w:rPr>
                <w:b w:val="0"/>
                <w:i w:val="0"/>
                <w:sz w:val="16"/>
              </w:rPr>
              <w:t>6,800</w:t>
            </w:r>
          </w:p>
        </w:tc>
      </w:tr>
      <w:tr>
        <w:tc>
          <w:tcPr>
            <w:tcW w:type="dxa" w:w="1296"/>
          </w:tcPr>
          <w:p>
            <w:pPr>
              <w:spacing w:line="240" w:lineRule="auto" w:before="40" w:after="40"/>
              <w:jc w:val="left"/>
            </w:pPr>
            <w:r/>
            <w:r>
              <w:rPr>
                <w:b w:val="0"/>
                <w:i w:val="0"/>
                <w:sz w:val="16"/>
              </w:rPr>
              <w:t>404 (1)</w:t>
            </w:r>
          </w:p>
        </w:tc>
        <w:tc>
          <w:tcPr>
            <w:tcW w:type="dxa" w:w="5760"/>
          </w:tcPr>
          <w:p>
            <w:pPr>
              <w:spacing w:line="240" w:lineRule="auto" w:before="40" w:after="40"/>
              <w:jc w:val="left"/>
            </w:pPr>
            <w:r/>
            <w:r>
              <w:rPr>
                <w:b w:val="0"/>
                <w:i w:val="0"/>
                <w:sz w:val="16"/>
              </w:rPr>
              <w:t>Reinforcing steel Gr. 60, incl. tie wire</w:t>
            </w:r>
          </w:p>
        </w:tc>
        <w:tc>
          <w:tcPr>
            <w:tcW w:type="dxa" w:w="864"/>
          </w:tcPr>
          <w:p>
            <w:pPr>
              <w:spacing w:line="240" w:lineRule="auto" w:before="40" w:after="40"/>
              <w:jc w:val="left"/>
            </w:pPr>
            <w:r/>
            <w:r>
              <w:rPr>
                <w:b w:val="0"/>
                <w:i w:val="0"/>
                <w:sz w:val="16"/>
              </w:rPr>
              <w:t>kg</w:t>
            </w:r>
          </w:p>
        </w:tc>
        <w:tc>
          <w:tcPr>
            <w:tcW w:type="dxa" w:w="1584"/>
          </w:tcPr>
          <w:p>
            <w:pPr>
              <w:spacing w:line="240" w:lineRule="auto" w:before="40" w:after="40"/>
              <w:jc w:val="right"/>
            </w:pPr>
            <w:r/>
            <w:r>
              <w:rPr>
                <w:b w:val="0"/>
                <w:i w:val="0"/>
                <w:sz w:val="16"/>
              </w:rPr>
              <w:t>84</w:t>
            </w:r>
          </w:p>
        </w:tc>
      </w:tr>
      <w:tr>
        <w:tc>
          <w:tcPr>
            <w:tcW w:type="dxa" w:w="1296"/>
            <w:shd w:val="clear" w:color="auto" w:fill="EFEFEF"/>
          </w:tcPr>
          <w:p>
            <w:pPr>
              <w:spacing w:line="240" w:lineRule="auto" w:before="40" w:after="40"/>
              <w:jc w:val="left"/>
            </w:pPr>
            <w:r/>
            <w:r>
              <w:rPr>
                <w:b w:val="0"/>
                <w:i w:val="0"/>
                <w:sz w:val="16"/>
              </w:rPr>
              <w:t>406 (1)a</w:t>
            </w:r>
          </w:p>
        </w:tc>
        <w:tc>
          <w:tcPr>
            <w:tcW w:type="dxa" w:w="5760"/>
            <w:shd w:val="clear" w:color="auto" w:fill="EFEFEF"/>
          </w:tcPr>
          <w:p>
            <w:pPr>
              <w:spacing w:line="240" w:lineRule="auto" w:before="40" w:after="40"/>
              <w:jc w:val="left"/>
            </w:pPr>
            <w:r/>
            <w:r>
              <w:rPr>
                <w:b w:val="0"/>
                <w:i w:val="0"/>
                <w:sz w:val="16"/>
              </w:rPr>
              <w:t>Precast PSC girder AASHTO Type III — supply, fabricate, launch</w:t>
            </w:r>
          </w:p>
        </w:tc>
        <w:tc>
          <w:tcPr>
            <w:tcW w:type="dxa" w:w="864"/>
            <w:shd w:val="clear" w:color="auto" w:fill="EFEFEF"/>
          </w:tcPr>
          <w:p>
            <w:pPr>
              <w:spacing w:line="240" w:lineRule="auto" w:before="40" w:after="40"/>
              <w:jc w:val="left"/>
            </w:pPr>
            <w:r/>
            <w:r>
              <w:rPr>
                <w:b w:val="0"/>
                <w:i w:val="0"/>
                <w:sz w:val="16"/>
              </w:rPr>
              <w:t>m</w:t>
            </w:r>
          </w:p>
        </w:tc>
        <w:tc>
          <w:tcPr>
            <w:tcW w:type="dxa" w:w="1584"/>
            <w:shd w:val="clear" w:color="auto" w:fill="EFEFEF"/>
          </w:tcPr>
          <w:p>
            <w:pPr>
              <w:spacing w:line="240" w:lineRule="auto" w:before="40" w:after="40"/>
              <w:jc w:val="right"/>
            </w:pPr>
            <w:r/>
            <w:r>
              <w:rPr>
                <w:b w:val="0"/>
                <w:i w:val="0"/>
                <w:sz w:val="16"/>
              </w:rPr>
              <w:t>34,000</w:t>
            </w:r>
          </w:p>
        </w:tc>
      </w:tr>
      <w:tr>
        <w:tc>
          <w:tcPr>
            <w:tcW w:type="dxa" w:w="1296"/>
          </w:tcPr>
          <w:p>
            <w:pPr>
              <w:spacing w:line="240" w:lineRule="auto" w:before="40" w:after="40"/>
              <w:jc w:val="left"/>
            </w:pPr>
            <w:r/>
            <w:r>
              <w:rPr>
                <w:b w:val="0"/>
                <w:i w:val="0"/>
                <w:sz w:val="16"/>
              </w:rPr>
              <w:t>406 (1)b</w:t>
            </w:r>
          </w:p>
        </w:tc>
        <w:tc>
          <w:tcPr>
            <w:tcW w:type="dxa" w:w="5760"/>
          </w:tcPr>
          <w:p>
            <w:pPr>
              <w:spacing w:line="240" w:lineRule="auto" w:before="40" w:after="40"/>
              <w:jc w:val="left"/>
            </w:pPr>
            <w:r/>
            <w:r>
              <w:rPr>
                <w:b w:val="0"/>
                <w:i w:val="0"/>
                <w:sz w:val="16"/>
              </w:rPr>
              <w:t>Precast PSC girder AASHTO Type IV — supply, fabricate, launch</w:t>
            </w:r>
          </w:p>
        </w:tc>
        <w:tc>
          <w:tcPr>
            <w:tcW w:type="dxa" w:w="864"/>
          </w:tcPr>
          <w:p>
            <w:pPr>
              <w:spacing w:line="240" w:lineRule="auto" w:before="40" w:after="40"/>
              <w:jc w:val="left"/>
            </w:pPr>
            <w:r/>
            <w:r>
              <w:rPr>
                <w:b w:val="0"/>
                <w:i w:val="0"/>
                <w:sz w:val="16"/>
              </w:rPr>
              <w:t>m</w:t>
            </w:r>
          </w:p>
        </w:tc>
        <w:tc>
          <w:tcPr>
            <w:tcW w:type="dxa" w:w="1584"/>
          </w:tcPr>
          <w:p>
            <w:pPr>
              <w:spacing w:line="240" w:lineRule="auto" w:before="40" w:after="40"/>
              <w:jc w:val="right"/>
            </w:pPr>
            <w:r/>
            <w:r>
              <w:rPr>
                <w:b w:val="0"/>
                <w:i w:val="0"/>
                <w:sz w:val="16"/>
              </w:rPr>
              <w:t>42,000</w:t>
            </w:r>
          </w:p>
        </w:tc>
      </w:tr>
      <w:tr>
        <w:tc>
          <w:tcPr>
            <w:tcW w:type="dxa" w:w="1296"/>
            <w:shd w:val="clear" w:color="auto" w:fill="EFEFEF"/>
          </w:tcPr>
          <w:p>
            <w:pPr>
              <w:spacing w:line="240" w:lineRule="auto" w:before="40" w:after="40"/>
              <w:jc w:val="left"/>
            </w:pPr>
            <w:r/>
            <w:r>
              <w:rPr>
                <w:b w:val="0"/>
                <w:i w:val="0"/>
                <w:sz w:val="16"/>
              </w:rPr>
              <w:t>406 (1)c</w:t>
            </w:r>
          </w:p>
        </w:tc>
        <w:tc>
          <w:tcPr>
            <w:tcW w:type="dxa" w:w="5760"/>
            <w:shd w:val="clear" w:color="auto" w:fill="EFEFEF"/>
          </w:tcPr>
          <w:p>
            <w:pPr>
              <w:spacing w:line="240" w:lineRule="auto" w:before="40" w:after="40"/>
              <w:jc w:val="left"/>
            </w:pPr>
            <w:r/>
            <w:r>
              <w:rPr>
                <w:b w:val="0"/>
                <w:i w:val="0"/>
                <w:sz w:val="16"/>
              </w:rPr>
              <w:t>Precast PSC bulb-tee girder BT-1600 — supply, fabricate, launch</w:t>
            </w:r>
          </w:p>
        </w:tc>
        <w:tc>
          <w:tcPr>
            <w:tcW w:type="dxa" w:w="864"/>
            <w:shd w:val="clear" w:color="auto" w:fill="EFEFEF"/>
          </w:tcPr>
          <w:p>
            <w:pPr>
              <w:spacing w:line="240" w:lineRule="auto" w:before="40" w:after="40"/>
              <w:jc w:val="left"/>
            </w:pPr>
            <w:r/>
            <w:r>
              <w:rPr>
                <w:b w:val="0"/>
                <w:i w:val="0"/>
                <w:sz w:val="16"/>
              </w:rPr>
              <w:t>m</w:t>
            </w:r>
          </w:p>
        </w:tc>
        <w:tc>
          <w:tcPr>
            <w:tcW w:type="dxa" w:w="1584"/>
            <w:shd w:val="clear" w:color="auto" w:fill="EFEFEF"/>
          </w:tcPr>
          <w:p>
            <w:pPr>
              <w:spacing w:line="240" w:lineRule="auto" w:before="40" w:after="40"/>
              <w:jc w:val="right"/>
            </w:pPr>
            <w:r/>
            <w:r>
              <w:rPr>
                <w:b w:val="0"/>
                <w:i w:val="0"/>
                <w:sz w:val="16"/>
              </w:rPr>
              <w:t>52,000</w:t>
            </w:r>
          </w:p>
        </w:tc>
      </w:tr>
      <w:tr>
        <w:tc>
          <w:tcPr>
            <w:tcW w:type="dxa" w:w="1296"/>
          </w:tcPr>
          <w:p>
            <w:pPr>
              <w:spacing w:line="240" w:lineRule="auto" w:before="40" w:after="40"/>
              <w:jc w:val="left"/>
            </w:pPr>
            <w:r/>
            <w:r>
              <w:rPr>
                <w:b w:val="0"/>
                <w:i w:val="0"/>
                <w:sz w:val="16"/>
              </w:rPr>
              <w:t>403 (1)</w:t>
            </w:r>
          </w:p>
        </w:tc>
        <w:tc>
          <w:tcPr>
            <w:tcW w:type="dxa" w:w="5760"/>
          </w:tcPr>
          <w:p>
            <w:pPr>
              <w:spacing w:line="240" w:lineRule="auto" w:before="40" w:after="40"/>
              <w:jc w:val="left"/>
            </w:pPr>
            <w:r/>
            <w:r>
              <w:rPr>
                <w:b w:val="0"/>
                <w:i w:val="0"/>
                <w:sz w:val="16"/>
              </w:rPr>
              <w:t>Structural steel, fabricated, painted &amp; erected</w:t>
            </w:r>
          </w:p>
        </w:tc>
        <w:tc>
          <w:tcPr>
            <w:tcW w:type="dxa" w:w="864"/>
          </w:tcPr>
          <w:p>
            <w:pPr>
              <w:spacing w:line="240" w:lineRule="auto" w:before="40" w:after="40"/>
              <w:jc w:val="left"/>
            </w:pPr>
            <w:r/>
            <w:r>
              <w:rPr>
                <w:b w:val="0"/>
                <w:i w:val="0"/>
                <w:sz w:val="16"/>
              </w:rPr>
              <w:t>kg</w:t>
            </w:r>
          </w:p>
        </w:tc>
        <w:tc>
          <w:tcPr>
            <w:tcW w:type="dxa" w:w="1584"/>
          </w:tcPr>
          <w:p>
            <w:pPr>
              <w:spacing w:line="240" w:lineRule="auto" w:before="40" w:after="40"/>
              <w:jc w:val="right"/>
            </w:pPr>
            <w:r/>
            <w:r>
              <w:rPr>
                <w:b w:val="0"/>
                <w:i w:val="0"/>
                <w:sz w:val="16"/>
              </w:rPr>
              <w:t>210</w:t>
            </w:r>
          </w:p>
        </w:tc>
      </w:tr>
      <w:tr>
        <w:tc>
          <w:tcPr>
            <w:tcW w:type="dxa" w:w="1296"/>
            <w:shd w:val="clear" w:color="auto" w:fill="EFEFEF"/>
          </w:tcPr>
          <w:p>
            <w:pPr>
              <w:spacing w:line="240" w:lineRule="auto" w:before="40" w:after="40"/>
              <w:jc w:val="left"/>
            </w:pPr>
            <w:r/>
            <w:r>
              <w:rPr>
                <w:b w:val="0"/>
                <w:i w:val="0"/>
                <w:sz w:val="16"/>
              </w:rPr>
              <w:t>412 (1)</w:t>
            </w:r>
          </w:p>
        </w:tc>
        <w:tc>
          <w:tcPr>
            <w:tcW w:type="dxa" w:w="5760"/>
            <w:shd w:val="clear" w:color="auto" w:fill="EFEFEF"/>
          </w:tcPr>
          <w:p>
            <w:pPr>
              <w:spacing w:line="240" w:lineRule="auto" w:before="40" w:after="40"/>
              <w:jc w:val="left"/>
            </w:pPr>
            <w:r/>
            <w:r>
              <w:rPr>
                <w:b w:val="0"/>
                <w:i w:val="0"/>
                <w:sz w:val="16"/>
              </w:rPr>
              <w:t>Elastomeric bearing pads</w:t>
            </w:r>
          </w:p>
        </w:tc>
        <w:tc>
          <w:tcPr>
            <w:tcW w:type="dxa" w:w="864"/>
            <w:shd w:val="clear" w:color="auto" w:fill="EFEFEF"/>
          </w:tcPr>
          <w:p>
            <w:pPr>
              <w:spacing w:line="240" w:lineRule="auto" w:before="40" w:after="40"/>
              <w:jc w:val="left"/>
            </w:pPr>
            <w:r/>
            <w:r>
              <w:rPr>
                <w:b w:val="0"/>
                <w:i w:val="0"/>
                <w:sz w:val="16"/>
              </w:rPr>
              <w:t>pc</w:t>
            </w:r>
          </w:p>
        </w:tc>
        <w:tc>
          <w:tcPr>
            <w:tcW w:type="dxa" w:w="1584"/>
            <w:shd w:val="clear" w:color="auto" w:fill="EFEFEF"/>
          </w:tcPr>
          <w:p>
            <w:pPr>
              <w:spacing w:line="240" w:lineRule="auto" w:before="40" w:after="40"/>
              <w:jc w:val="right"/>
            </w:pPr>
            <w:r/>
            <w:r>
              <w:rPr>
                <w:b w:val="0"/>
                <w:i w:val="0"/>
                <w:sz w:val="16"/>
              </w:rPr>
              <w:t>16,500</w:t>
            </w:r>
          </w:p>
        </w:tc>
      </w:tr>
      <w:tr>
        <w:tc>
          <w:tcPr>
            <w:tcW w:type="dxa" w:w="1296"/>
          </w:tcPr>
          <w:p>
            <w:pPr>
              <w:spacing w:line="240" w:lineRule="auto" w:before="40" w:after="40"/>
              <w:jc w:val="left"/>
            </w:pPr>
            <w:r/>
            <w:r>
              <w:rPr>
                <w:b w:val="0"/>
                <w:i w:val="0"/>
                <w:sz w:val="16"/>
              </w:rPr>
              <w:t>412 (3)</w:t>
            </w:r>
          </w:p>
        </w:tc>
        <w:tc>
          <w:tcPr>
            <w:tcW w:type="dxa" w:w="5760"/>
          </w:tcPr>
          <w:p>
            <w:pPr>
              <w:spacing w:line="240" w:lineRule="auto" w:before="40" w:after="40"/>
              <w:jc w:val="left"/>
            </w:pPr>
            <w:r/>
            <w:r>
              <w:rPr>
                <w:b w:val="0"/>
                <w:i w:val="0"/>
                <w:sz w:val="16"/>
              </w:rPr>
              <w:t>Pot / spherical bearings (steel spans)</w:t>
            </w:r>
          </w:p>
        </w:tc>
        <w:tc>
          <w:tcPr>
            <w:tcW w:type="dxa" w:w="864"/>
          </w:tcPr>
          <w:p>
            <w:pPr>
              <w:spacing w:line="240" w:lineRule="auto" w:before="40" w:after="40"/>
              <w:jc w:val="left"/>
            </w:pPr>
            <w:r/>
            <w:r>
              <w:rPr>
                <w:b w:val="0"/>
                <w:i w:val="0"/>
                <w:sz w:val="16"/>
              </w:rPr>
              <w:t>pc</w:t>
            </w:r>
          </w:p>
        </w:tc>
        <w:tc>
          <w:tcPr>
            <w:tcW w:type="dxa" w:w="1584"/>
          </w:tcPr>
          <w:p>
            <w:pPr>
              <w:spacing w:line="240" w:lineRule="auto" w:before="40" w:after="40"/>
              <w:jc w:val="right"/>
            </w:pPr>
            <w:r/>
            <w:r>
              <w:rPr>
                <w:b w:val="0"/>
                <w:i w:val="0"/>
                <w:sz w:val="16"/>
              </w:rPr>
              <w:t>95,000</w:t>
            </w:r>
          </w:p>
        </w:tc>
      </w:tr>
      <w:tr>
        <w:tc>
          <w:tcPr>
            <w:tcW w:type="dxa" w:w="1296"/>
            <w:shd w:val="clear" w:color="auto" w:fill="EFEFEF"/>
          </w:tcPr>
          <w:p>
            <w:pPr>
              <w:spacing w:line="240" w:lineRule="auto" w:before="40" w:after="40"/>
              <w:jc w:val="left"/>
            </w:pPr>
            <w:r/>
            <w:r>
              <w:rPr>
                <w:b w:val="0"/>
                <w:i w:val="0"/>
                <w:sz w:val="16"/>
              </w:rPr>
              <w:t>—</w:t>
            </w:r>
          </w:p>
        </w:tc>
        <w:tc>
          <w:tcPr>
            <w:tcW w:type="dxa" w:w="5760"/>
            <w:shd w:val="clear" w:color="auto" w:fill="EFEFEF"/>
          </w:tcPr>
          <w:p>
            <w:pPr>
              <w:spacing w:line="240" w:lineRule="auto" w:before="40" w:after="40"/>
              <w:jc w:val="left"/>
            </w:pPr>
            <w:r/>
            <w:r>
              <w:rPr>
                <w:b w:val="0"/>
                <w:i w:val="0"/>
                <w:sz w:val="16"/>
              </w:rPr>
              <w:t>Expansion joint, strip-seal type</w:t>
            </w:r>
          </w:p>
        </w:tc>
        <w:tc>
          <w:tcPr>
            <w:tcW w:type="dxa" w:w="864"/>
            <w:shd w:val="clear" w:color="auto" w:fill="EFEFEF"/>
          </w:tcPr>
          <w:p>
            <w:pPr>
              <w:spacing w:line="240" w:lineRule="auto" w:before="40" w:after="40"/>
              <w:jc w:val="left"/>
            </w:pPr>
            <w:r/>
            <w:r>
              <w:rPr>
                <w:b w:val="0"/>
                <w:i w:val="0"/>
                <w:sz w:val="16"/>
              </w:rPr>
              <w:t>m</w:t>
            </w:r>
          </w:p>
        </w:tc>
        <w:tc>
          <w:tcPr>
            <w:tcW w:type="dxa" w:w="1584"/>
            <w:shd w:val="clear" w:color="auto" w:fill="EFEFEF"/>
          </w:tcPr>
          <w:p>
            <w:pPr>
              <w:spacing w:line="240" w:lineRule="auto" w:before="40" w:after="40"/>
              <w:jc w:val="right"/>
            </w:pPr>
            <w:r/>
            <w:r>
              <w:rPr>
                <w:b w:val="0"/>
                <w:i w:val="0"/>
                <w:sz w:val="16"/>
              </w:rPr>
              <w:t>26,000</w:t>
            </w:r>
          </w:p>
        </w:tc>
      </w:tr>
      <w:tr>
        <w:tc>
          <w:tcPr>
            <w:tcW w:type="dxa" w:w="1296"/>
          </w:tcPr>
          <w:p>
            <w:pPr>
              <w:spacing w:line="240" w:lineRule="auto" w:before="40" w:after="40"/>
              <w:jc w:val="left"/>
            </w:pPr>
            <w:r/>
            <w:r>
              <w:rPr>
                <w:b w:val="0"/>
                <w:i w:val="0"/>
                <w:sz w:val="16"/>
              </w:rPr>
              <w:t>401 (1)</w:t>
            </w:r>
          </w:p>
        </w:tc>
        <w:tc>
          <w:tcPr>
            <w:tcW w:type="dxa" w:w="5760"/>
          </w:tcPr>
          <w:p>
            <w:pPr>
              <w:spacing w:line="240" w:lineRule="auto" w:before="40" w:after="40"/>
              <w:jc w:val="left"/>
            </w:pPr>
            <w:r/>
            <w:r>
              <w:rPr>
                <w:b w:val="0"/>
                <w:i w:val="0"/>
                <w:sz w:val="16"/>
              </w:rPr>
              <w:t>Steel bridge railing</w:t>
            </w:r>
          </w:p>
        </w:tc>
        <w:tc>
          <w:tcPr>
            <w:tcW w:type="dxa" w:w="864"/>
          </w:tcPr>
          <w:p>
            <w:pPr>
              <w:spacing w:line="240" w:lineRule="auto" w:before="40" w:after="40"/>
              <w:jc w:val="left"/>
            </w:pPr>
            <w:r/>
            <w:r>
              <w:rPr>
                <w:b w:val="0"/>
                <w:i w:val="0"/>
                <w:sz w:val="16"/>
              </w:rPr>
              <w:t>m</w:t>
            </w:r>
          </w:p>
        </w:tc>
        <w:tc>
          <w:tcPr>
            <w:tcW w:type="dxa" w:w="1584"/>
          </w:tcPr>
          <w:p>
            <w:pPr>
              <w:spacing w:line="240" w:lineRule="auto" w:before="40" w:after="40"/>
              <w:jc w:val="right"/>
            </w:pPr>
            <w:r/>
            <w:r>
              <w:rPr>
                <w:b w:val="0"/>
                <w:i w:val="0"/>
                <w:sz w:val="16"/>
              </w:rPr>
              <w:t>6,200</w:t>
            </w:r>
          </w:p>
        </w:tc>
      </w:tr>
      <w:tr>
        <w:tc>
          <w:tcPr>
            <w:tcW w:type="dxa" w:w="1296"/>
            <w:shd w:val="clear" w:color="auto" w:fill="EFEFEF"/>
          </w:tcPr>
          <w:p>
            <w:pPr>
              <w:spacing w:line="240" w:lineRule="auto" w:before="40" w:after="40"/>
              <w:jc w:val="left"/>
            </w:pPr>
            <w:r/>
            <w:r>
              <w:rPr>
                <w:b w:val="0"/>
                <w:i w:val="0"/>
                <w:sz w:val="16"/>
              </w:rPr>
              <w:t>401 (2)</w:t>
            </w:r>
          </w:p>
        </w:tc>
        <w:tc>
          <w:tcPr>
            <w:tcW w:type="dxa" w:w="5760"/>
            <w:shd w:val="clear" w:color="auto" w:fill="EFEFEF"/>
          </w:tcPr>
          <w:p>
            <w:pPr>
              <w:spacing w:line="240" w:lineRule="auto" w:before="40" w:after="40"/>
              <w:jc w:val="left"/>
            </w:pPr>
            <w:r/>
            <w:r>
              <w:rPr>
                <w:b w:val="0"/>
                <w:i w:val="0"/>
                <w:sz w:val="16"/>
              </w:rPr>
              <w:t>Concrete barrier railing</w:t>
            </w:r>
          </w:p>
        </w:tc>
        <w:tc>
          <w:tcPr>
            <w:tcW w:type="dxa" w:w="864"/>
            <w:shd w:val="clear" w:color="auto" w:fill="EFEFEF"/>
          </w:tcPr>
          <w:p>
            <w:pPr>
              <w:spacing w:line="240" w:lineRule="auto" w:before="40" w:after="40"/>
              <w:jc w:val="left"/>
            </w:pPr>
            <w:r/>
            <w:r>
              <w:rPr>
                <w:b w:val="0"/>
                <w:i w:val="0"/>
                <w:sz w:val="16"/>
              </w:rPr>
              <w:t>m</w:t>
            </w:r>
          </w:p>
        </w:tc>
        <w:tc>
          <w:tcPr>
            <w:tcW w:type="dxa" w:w="1584"/>
            <w:shd w:val="clear" w:color="auto" w:fill="EFEFEF"/>
          </w:tcPr>
          <w:p>
            <w:pPr>
              <w:spacing w:line="240" w:lineRule="auto" w:before="40" w:after="40"/>
              <w:jc w:val="right"/>
            </w:pPr>
            <w:r/>
            <w:r>
              <w:rPr>
                <w:b w:val="0"/>
                <w:i w:val="0"/>
                <w:sz w:val="16"/>
              </w:rPr>
              <w:t>9,800</w:t>
            </w:r>
          </w:p>
        </w:tc>
      </w:tr>
      <w:tr>
        <w:tc>
          <w:tcPr>
            <w:tcW w:type="dxa" w:w="1296"/>
          </w:tcPr>
          <w:p>
            <w:pPr>
              <w:spacing w:line="240" w:lineRule="auto" w:before="40" w:after="40"/>
              <w:jc w:val="left"/>
            </w:pPr>
            <w:r/>
            <w:r>
              <w:rPr>
                <w:b w:val="0"/>
                <w:i w:val="0"/>
                <w:sz w:val="16"/>
              </w:rPr>
              <w:t>—</w:t>
            </w:r>
          </w:p>
        </w:tc>
        <w:tc>
          <w:tcPr>
            <w:tcW w:type="dxa" w:w="5760"/>
          </w:tcPr>
          <w:p>
            <w:pPr>
              <w:spacing w:line="240" w:lineRule="auto" w:before="40" w:after="40"/>
              <w:jc w:val="left"/>
            </w:pPr>
            <w:r/>
            <w:r>
              <w:rPr>
                <w:b w:val="0"/>
                <w:i w:val="0"/>
                <w:sz w:val="16"/>
              </w:rPr>
              <w:t>Deck drains / scuppers</w:t>
            </w:r>
          </w:p>
        </w:tc>
        <w:tc>
          <w:tcPr>
            <w:tcW w:type="dxa" w:w="864"/>
          </w:tcPr>
          <w:p>
            <w:pPr>
              <w:spacing w:line="240" w:lineRule="auto" w:before="40" w:after="40"/>
              <w:jc w:val="left"/>
            </w:pPr>
            <w:r/>
            <w:r>
              <w:rPr>
                <w:b w:val="0"/>
                <w:i w:val="0"/>
                <w:sz w:val="16"/>
              </w:rPr>
              <w:t>pc</w:t>
            </w:r>
          </w:p>
        </w:tc>
        <w:tc>
          <w:tcPr>
            <w:tcW w:type="dxa" w:w="1584"/>
          </w:tcPr>
          <w:p>
            <w:pPr>
              <w:spacing w:line="240" w:lineRule="auto" w:before="40" w:after="40"/>
              <w:jc w:val="right"/>
            </w:pPr>
            <w:r/>
            <w:r>
              <w:rPr>
                <w:b w:val="0"/>
                <w:i w:val="0"/>
                <w:sz w:val="16"/>
              </w:rPr>
              <w:t>2,200</w:t>
            </w:r>
          </w:p>
        </w:tc>
      </w:tr>
      <w:tr>
        <w:tc>
          <w:tcPr>
            <w:tcW w:type="dxa" w:w="1296"/>
            <w:shd w:val="clear" w:color="auto" w:fill="EFEFEF"/>
          </w:tcPr>
          <w:p>
            <w:pPr>
              <w:spacing w:line="240" w:lineRule="auto" w:before="40" w:after="40"/>
              <w:jc w:val="left"/>
            </w:pPr>
            <w:r/>
            <w:r>
              <w:rPr>
                <w:b w:val="0"/>
                <w:i w:val="0"/>
                <w:sz w:val="16"/>
              </w:rPr>
              <w:t>505 (2)</w:t>
            </w:r>
          </w:p>
        </w:tc>
        <w:tc>
          <w:tcPr>
            <w:tcW w:type="dxa" w:w="5760"/>
            <w:shd w:val="clear" w:color="auto" w:fill="EFEFEF"/>
          </w:tcPr>
          <w:p>
            <w:pPr>
              <w:spacing w:line="240" w:lineRule="auto" w:before="40" w:after="40"/>
              <w:jc w:val="left"/>
            </w:pPr>
            <w:r/>
            <w:r>
              <w:rPr>
                <w:b w:val="0"/>
                <w:i w:val="0"/>
                <w:sz w:val="16"/>
              </w:rPr>
              <w:t>Grouted riprap, Class A (slope protection)</w:t>
            </w:r>
          </w:p>
        </w:tc>
        <w:tc>
          <w:tcPr>
            <w:tcW w:type="dxa" w:w="864"/>
            <w:shd w:val="clear" w:color="auto" w:fill="EFEFEF"/>
          </w:tcPr>
          <w:p>
            <w:pPr>
              <w:spacing w:line="240" w:lineRule="auto" w:before="40" w:after="40"/>
              <w:jc w:val="left"/>
            </w:pPr>
            <w:r/>
            <w:r>
              <w:rPr>
                <w:b w:val="0"/>
                <w:i w:val="0"/>
                <w:sz w:val="16"/>
              </w:rPr>
              <w:t>m³</w:t>
            </w:r>
          </w:p>
        </w:tc>
        <w:tc>
          <w:tcPr>
            <w:tcW w:type="dxa" w:w="1584"/>
            <w:shd w:val="clear" w:color="auto" w:fill="EFEFEF"/>
          </w:tcPr>
          <w:p>
            <w:pPr>
              <w:spacing w:line="240" w:lineRule="auto" w:before="40" w:after="40"/>
              <w:jc w:val="right"/>
            </w:pPr>
            <w:r/>
            <w:r>
              <w:rPr>
                <w:b w:val="0"/>
                <w:i w:val="0"/>
                <w:sz w:val="16"/>
              </w:rPr>
              <w:t>3,100</w:t>
            </w:r>
          </w:p>
        </w:tc>
      </w:tr>
      <w:tr>
        <w:tc>
          <w:tcPr>
            <w:tcW w:type="dxa" w:w="1296"/>
          </w:tcPr>
          <w:p>
            <w:pPr>
              <w:spacing w:line="240" w:lineRule="auto" w:before="40" w:after="40"/>
              <w:jc w:val="left"/>
            </w:pPr>
            <w:r/>
            <w:r>
              <w:rPr>
                <w:b w:val="0"/>
                <w:i w:val="0"/>
                <w:sz w:val="16"/>
              </w:rPr>
              <w:t>310</w:t>
            </w:r>
          </w:p>
        </w:tc>
        <w:tc>
          <w:tcPr>
            <w:tcW w:type="dxa" w:w="5760"/>
          </w:tcPr>
          <w:p>
            <w:pPr>
              <w:spacing w:line="240" w:lineRule="auto" w:before="40" w:after="40"/>
              <w:jc w:val="left"/>
            </w:pPr>
            <w:r/>
            <w:r>
              <w:rPr>
                <w:b w:val="0"/>
                <w:i w:val="0"/>
                <w:sz w:val="16"/>
              </w:rPr>
              <w:t>Asphalt wearing course 50 mm</w:t>
            </w:r>
          </w:p>
        </w:tc>
        <w:tc>
          <w:tcPr>
            <w:tcW w:type="dxa" w:w="864"/>
          </w:tcPr>
          <w:p>
            <w:pPr>
              <w:spacing w:line="240" w:lineRule="auto" w:before="40" w:after="40"/>
              <w:jc w:val="left"/>
            </w:pPr>
            <w:r/>
            <w:r>
              <w:rPr>
                <w:b w:val="0"/>
                <w:i w:val="0"/>
                <w:sz w:val="16"/>
              </w:rPr>
              <w:t>m²</w:t>
            </w:r>
          </w:p>
        </w:tc>
        <w:tc>
          <w:tcPr>
            <w:tcW w:type="dxa" w:w="1584"/>
          </w:tcPr>
          <w:p>
            <w:pPr>
              <w:spacing w:line="240" w:lineRule="auto" w:before="40" w:after="40"/>
              <w:jc w:val="right"/>
            </w:pPr>
            <w:r/>
            <w:r>
              <w:rPr>
                <w:b w:val="0"/>
                <w:i w:val="0"/>
                <w:sz w:val="16"/>
              </w:rPr>
              <w:t>640</w:t>
            </w:r>
          </w:p>
        </w:tc>
      </w:tr>
      <w:tr>
        <w:tc>
          <w:tcPr>
            <w:tcW w:type="dxa" w:w="1296"/>
            <w:shd w:val="clear" w:color="auto" w:fill="EFEFEF"/>
            <w:tcBorders>
              <w:bottom w:val="single" w:sz="12" w:color="000000"/>
            </w:tcBorders>
          </w:tcPr>
          <w:p>
            <w:pPr>
              <w:spacing w:line="240" w:lineRule="auto" w:before="40" w:after="40"/>
              <w:jc w:val="left"/>
            </w:pPr>
            <w:r/>
            <w:r>
              <w:rPr>
                <w:b w:val="0"/>
                <w:i w:val="0"/>
                <w:sz w:val="16"/>
              </w:rPr>
              <w:t>311 + 201</w:t>
            </w:r>
          </w:p>
        </w:tc>
        <w:tc>
          <w:tcPr>
            <w:tcW w:type="dxa" w:w="5760"/>
            <w:shd w:val="clear" w:color="auto" w:fill="EFEFEF"/>
            <w:tcBorders>
              <w:bottom w:val="single" w:sz="12" w:color="000000"/>
            </w:tcBorders>
          </w:tcPr>
          <w:p>
            <w:pPr>
              <w:spacing w:line="240" w:lineRule="auto" w:before="40" w:after="40"/>
              <w:jc w:val="left"/>
            </w:pPr>
            <w:r/>
            <w:r>
              <w:rPr>
                <w:b w:val="0"/>
                <w:i w:val="0"/>
                <w:sz w:val="16"/>
              </w:rPr>
              <w:t>PCCP 230 mm on aggregate base (approaches)</w:t>
            </w:r>
          </w:p>
        </w:tc>
        <w:tc>
          <w:tcPr>
            <w:tcW w:type="dxa" w:w="864"/>
            <w:shd w:val="clear" w:color="auto" w:fill="EFEFEF"/>
            <w:tcBorders>
              <w:bottom w:val="single" w:sz="12" w:color="000000"/>
            </w:tcBorders>
          </w:tcPr>
          <w:p>
            <w:pPr>
              <w:spacing w:line="240" w:lineRule="auto" w:before="40" w:after="40"/>
              <w:jc w:val="left"/>
            </w:pPr>
            <w:r/>
            <w:r>
              <w:rPr>
                <w:b w:val="0"/>
                <w:i w:val="0"/>
                <w:sz w:val="16"/>
              </w:rPr>
              <w:t>m²</w:t>
            </w:r>
          </w:p>
        </w:tc>
        <w:tc>
          <w:tcPr>
            <w:tcW w:type="dxa" w:w="1584"/>
            <w:shd w:val="clear" w:color="auto" w:fill="EFEFEF"/>
            <w:tcBorders>
              <w:bottom w:val="single" w:sz="12" w:color="000000"/>
            </w:tcBorders>
          </w:tcPr>
          <w:p>
            <w:pPr>
              <w:spacing w:line="240" w:lineRule="auto" w:before="40" w:after="40"/>
              <w:jc w:val="right"/>
            </w:pPr>
            <w:r/>
            <w:r>
              <w:rPr>
                <w:b w:val="0"/>
                <w:i w:val="0"/>
                <w:sz w:val="16"/>
              </w:rPr>
              <w:t>3,650</w:t>
            </w:r>
          </w:p>
        </w:tc>
      </w:tr>
    </w:tbl>
    <w:p>
      <w:r>
        <w:br w:type="page"/>
      </w:r>
    </w:p>
    <w:p>
      <w:pPr>
        <w:spacing w:line="360" w:lineRule="auto" w:after="0"/>
        <w:jc w:val="center"/>
      </w:pPr>
      <w:r>
        <w:rPr>
          <w:b/>
          <w:i w:val="0"/>
        </w:rPr>
        <w:t>Appendix C. Bill of Quantities of a 2-Storey 4-Classroom School Building (Standard Tier, Albay, 2025)</w:t>
      </w:r>
    </w:p>
    <w:tbl>
      <w:tblPr>
        <w:tblW w:type="auto" w:w="0"/>
        <w:jc w:val="center"/>
        <w:tblLayout w:type="fixed"/>
        <w:tblLook w:firstColumn="1" w:firstRow="1" w:lastColumn="0" w:lastRow="0" w:noHBand="0" w:noVBand="1" w:val="04A0"/>
        <w:tblLayout w:type="fixed"/>
      </w:tblPr>
      <w:tblGrid>
        <w:gridCol w:w="1080"/>
        <w:gridCol w:w="4104"/>
        <w:gridCol w:w="1007"/>
        <w:gridCol w:w="648"/>
        <w:gridCol w:w="1152"/>
        <w:gridCol w:w="1440"/>
      </w:tblGrid>
      <w:tr>
        <w:tc>
          <w:tcPr>
            <w:tcW w:type="dxa" w:w="1080"/>
            <w:tcBorders>
              <w:top w:val="single" w:sz="12" w:color="000000"/>
              <w:bottom w:val="single" w:sz="8" w:color="000000"/>
            </w:tcBorders>
          </w:tcPr>
          <w:p>
            <w:pPr>
              <w:spacing w:line="240" w:lineRule="auto" w:before="40" w:after="40"/>
              <w:jc w:val="center"/>
            </w:pPr>
            <w:r/>
            <w:r>
              <w:rPr>
                <w:b/>
                <w:i w:val="0"/>
                <w:sz w:val="15"/>
              </w:rPr>
              <w:t>ITEM</w:t>
            </w:r>
          </w:p>
        </w:tc>
        <w:tc>
          <w:tcPr>
            <w:tcW w:type="dxa" w:w="4104"/>
            <w:tcBorders>
              <w:top w:val="single" w:sz="12" w:color="000000"/>
              <w:bottom w:val="single" w:sz="8" w:color="000000"/>
            </w:tcBorders>
          </w:tcPr>
          <w:p>
            <w:pPr>
              <w:spacing w:line="240" w:lineRule="auto" w:before="40" w:after="40"/>
              <w:jc w:val="center"/>
            </w:pPr>
            <w:r/>
            <w:r>
              <w:rPr>
                <w:b/>
                <w:i w:val="0"/>
                <w:sz w:val="15"/>
              </w:rPr>
              <w:t>DESCRIPTION</w:t>
            </w:r>
          </w:p>
        </w:tc>
        <w:tc>
          <w:tcPr>
            <w:tcW w:type="dxa" w:w="1008"/>
            <w:tcBorders>
              <w:top w:val="single" w:sz="12" w:color="000000"/>
              <w:bottom w:val="single" w:sz="8" w:color="000000"/>
            </w:tcBorders>
          </w:tcPr>
          <w:p>
            <w:pPr>
              <w:spacing w:line="240" w:lineRule="auto" w:before="40" w:after="40"/>
              <w:jc w:val="center"/>
            </w:pPr>
            <w:r/>
            <w:r>
              <w:rPr>
                <w:b/>
                <w:i w:val="0"/>
                <w:sz w:val="15"/>
              </w:rPr>
              <w:t>QTY</w:t>
            </w:r>
          </w:p>
        </w:tc>
        <w:tc>
          <w:tcPr>
            <w:tcW w:type="dxa" w:w="648"/>
            <w:tcBorders>
              <w:top w:val="single" w:sz="12" w:color="000000"/>
              <w:bottom w:val="single" w:sz="8" w:color="000000"/>
            </w:tcBorders>
          </w:tcPr>
          <w:p>
            <w:pPr>
              <w:spacing w:line="240" w:lineRule="auto" w:before="40" w:after="40"/>
              <w:jc w:val="center"/>
            </w:pPr>
            <w:r/>
            <w:r>
              <w:rPr>
                <w:b/>
                <w:i w:val="0"/>
                <w:sz w:val="15"/>
              </w:rPr>
              <w:t>UNIT</w:t>
            </w:r>
          </w:p>
        </w:tc>
        <w:tc>
          <w:tcPr>
            <w:tcW w:type="dxa" w:w="1152"/>
            <w:tcBorders>
              <w:top w:val="single" w:sz="12" w:color="000000"/>
              <w:bottom w:val="single" w:sz="8" w:color="000000"/>
            </w:tcBorders>
          </w:tcPr>
          <w:p>
            <w:pPr>
              <w:spacing w:line="240" w:lineRule="auto" w:before="40" w:after="40"/>
              <w:jc w:val="center"/>
            </w:pPr>
            <w:r/>
            <w:r>
              <w:rPr>
                <w:b/>
                <w:i w:val="0"/>
                <w:sz w:val="15"/>
              </w:rPr>
              <w:t>UNIT COST</w:t>
            </w:r>
          </w:p>
        </w:tc>
        <w:tc>
          <w:tcPr>
            <w:tcW w:type="dxa" w:w="1440"/>
            <w:tcBorders>
              <w:top w:val="single" w:sz="12" w:color="000000"/>
              <w:bottom w:val="single" w:sz="8" w:color="000000"/>
            </w:tcBorders>
          </w:tcPr>
          <w:p>
            <w:pPr>
              <w:spacing w:line="240" w:lineRule="auto" w:before="40" w:after="40"/>
              <w:jc w:val="center"/>
            </w:pPr>
            <w:r/>
            <w:r>
              <w:rPr>
                <w:b/>
                <w:i w:val="0"/>
                <w:sz w:val="15"/>
              </w:rPr>
              <w:t>AMOUNT (₱)</w:t>
            </w:r>
          </w:p>
        </w:tc>
      </w:tr>
      <w:tr>
        <w:tc>
          <w:tcPr>
            <w:tcW w:type="dxa" w:w="1080"/>
            <w:shd w:val="clear" w:color="auto" w:fill="EFEFEF"/>
          </w:tcPr>
          <w:p>
            <w:pPr>
              <w:spacing w:line="240" w:lineRule="auto" w:before="40" w:after="40"/>
              <w:jc w:val="left"/>
            </w:pPr>
            <w:r/>
            <w:r>
              <w:rPr>
                <w:b w:val="0"/>
                <w:i w:val="0"/>
                <w:sz w:val="15"/>
              </w:rPr>
              <w:t>800 (3)</w:t>
            </w:r>
          </w:p>
        </w:tc>
        <w:tc>
          <w:tcPr>
            <w:tcW w:type="dxa" w:w="4104"/>
            <w:shd w:val="clear" w:color="auto" w:fill="EFEFEF"/>
          </w:tcPr>
          <w:p>
            <w:pPr>
              <w:spacing w:line="240" w:lineRule="auto" w:before="40" w:after="40"/>
              <w:jc w:val="left"/>
            </w:pPr>
            <w:r/>
            <w:r>
              <w:rPr>
                <w:b w:val="0"/>
                <w:i w:val="0"/>
                <w:sz w:val="15"/>
              </w:rPr>
              <w:t>Clearing and grubbing</w:t>
            </w:r>
          </w:p>
        </w:tc>
        <w:tc>
          <w:tcPr>
            <w:tcW w:type="dxa" w:w="1008"/>
            <w:shd w:val="clear" w:color="auto" w:fill="EFEFEF"/>
          </w:tcPr>
          <w:p>
            <w:pPr>
              <w:spacing w:line="240" w:lineRule="auto" w:before="40" w:after="40"/>
              <w:jc w:val="right"/>
            </w:pPr>
            <w:r/>
            <w:r>
              <w:rPr>
                <w:b w:val="0"/>
                <w:i w:val="0"/>
                <w:sz w:val="15"/>
              </w:rPr>
              <w:t>273.60</w:t>
            </w:r>
          </w:p>
        </w:tc>
        <w:tc>
          <w:tcPr>
            <w:tcW w:type="dxa" w:w="648"/>
            <w:shd w:val="clear" w:color="auto" w:fill="EFEFEF"/>
          </w:tcPr>
          <w:p>
            <w:pPr>
              <w:spacing w:line="240" w:lineRule="auto" w:before="40" w:after="40"/>
              <w:jc w:val="left"/>
            </w:pPr>
            <w:r/>
            <w:r>
              <w:rPr>
                <w:b w:val="0"/>
                <w:i w:val="0"/>
                <w:sz w:val="15"/>
              </w:rPr>
              <w:t>m²</w:t>
            </w:r>
          </w:p>
        </w:tc>
        <w:tc>
          <w:tcPr>
            <w:tcW w:type="dxa" w:w="1152"/>
            <w:shd w:val="clear" w:color="auto" w:fill="EFEFEF"/>
          </w:tcPr>
          <w:p>
            <w:pPr>
              <w:spacing w:line="240" w:lineRule="auto" w:before="40" w:after="40"/>
              <w:jc w:val="right"/>
            </w:pPr>
            <w:r/>
            <w:r>
              <w:rPr>
                <w:b w:val="0"/>
                <w:i w:val="0"/>
                <w:sz w:val="15"/>
              </w:rPr>
              <w:t>45.00</w:t>
            </w:r>
          </w:p>
        </w:tc>
        <w:tc>
          <w:tcPr>
            <w:tcW w:type="dxa" w:w="1440"/>
            <w:shd w:val="clear" w:color="auto" w:fill="EFEFEF"/>
          </w:tcPr>
          <w:p>
            <w:pPr>
              <w:spacing w:line="240" w:lineRule="auto" w:before="40" w:after="40"/>
              <w:jc w:val="right"/>
            </w:pPr>
            <w:r/>
            <w:r>
              <w:rPr>
                <w:b w:val="0"/>
                <w:i w:val="0"/>
                <w:sz w:val="15"/>
              </w:rPr>
              <w:t>12,312.00</w:t>
            </w:r>
          </w:p>
        </w:tc>
      </w:tr>
      <w:tr>
        <w:tc>
          <w:tcPr>
            <w:tcW w:type="dxa" w:w="1080"/>
          </w:tcPr>
          <w:p>
            <w:pPr>
              <w:spacing w:line="240" w:lineRule="auto" w:before="40" w:after="40"/>
              <w:jc w:val="left"/>
            </w:pPr>
            <w:r/>
            <w:r>
              <w:rPr>
                <w:b w:val="0"/>
                <w:i w:val="0"/>
                <w:sz w:val="15"/>
              </w:rPr>
              <w:t>803 (1)a</w:t>
            </w:r>
          </w:p>
        </w:tc>
        <w:tc>
          <w:tcPr>
            <w:tcW w:type="dxa" w:w="4104"/>
          </w:tcPr>
          <w:p>
            <w:pPr>
              <w:spacing w:line="240" w:lineRule="auto" w:before="40" w:after="40"/>
              <w:jc w:val="left"/>
            </w:pPr>
            <w:r/>
            <w:r>
              <w:rPr>
                <w:b w:val="0"/>
                <w:i w:val="0"/>
                <w:sz w:val="15"/>
              </w:rPr>
              <w:t>Structure excavation, common soil</w:t>
            </w:r>
          </w:p>
        </w:tc>
        <w:tc>
          <w:tcPr>
            <w:tcW w:type="dxa" w:w="1008"/>
          </w:tcPr>
          <w:p>
            <w:pPr>
              <w:spacing w:line="240" w:lineRule="auto" w:before="40" w:after="40"/>
              <w:jc w:val="right"/>
            </w:pPr>
            <w:r/>
            <w:r>
              <w:rPr>
                <w:b w:val="0"/>
                <w:i w:val="0"/>
                <w:sz w:val="15"/>
              </w:rPr>
              <w:t>179.28</w:t>
            </w:r>
          </w:p>
        </w:tc>
        <w:tc>
          <w:tcPr>
            <w:tcW w:type="dxa" w:w="648"/>
          </w:tcPr>
          <w:p>
            <w:pPr>
              <w:spacing w:line="240" w:lineRule="auto" w:before="40" w:after="40"/>
              <w:jc w:val="left"/>
            </w:pPr>
            <w:r/>
            <w:r>
              <w:rPr>
                <w:b w:val="0"/>
                <w:i w:val="0"/>
                <w:sz w:val="15"/>
              </w:rPr>
              <w:t>m³</w:t>
            </w:r>
          </w:p>
        </w:tc>
        <w:tc>
          <w:tcPr>
            <w:tcW w:type="dxa" w:w="1152"/>
          </w:tcPr>
          <w:p>
            <w:pPr>
              <w:spacing w:line="240" w:lineRule="auto" w:before="40" w:after="40"/>
              <w:jc w:val="right"/>
            </w:pPr>
            <w:r/>
            <w:r>
              <w:rPr>
                <w:b w:val="0"/>
                <w:i w:val="0"/>
                <w:sz w:val="15"/>
              </w:rPr>
              <w:t>380.00</w:t>
            </w:r>
          </w:p>
        </w:tc>
        <w:tc>
          <w:tcPr>
            <w:tcW w:type="dxa" w:w="1440"/>
          </w:tcPr>
          <w:p>
            <w:pPr>
              <w:spacing w:line="240" w:lineRule="auto" w:before="40" w:after="40"/>
              <w:jc w:val="right"/>
            </w:pPr>
            <w:r/>
            <w:r>
              <w:rPr>
                <w:b w:val="0"/>
                <w:i w:val="0"/>
                <w:sz w:val="15"/>
              </w:rPr>
              <w:t>68,126.40</w:t>
            </w:r>
          </w:p>
        </w:tc>
      </w:tr>
      <w:tr>
        <w:tc>
          <w:tcPr>
            <w:tcW w:type="dxa" w:w="1080"/>
            <w:shd w:val="clear" w:color="auto" w:fill="EFEFEF"/>
          </w:tcPr>
          <w:p>
            <w:pPr>
              <w:spacing w:line="240" w:lineRule="auto" w:before="40" w:after="40"/>
              <w:jc w:val="left"/>
            </w:pPr>
            <w:r/>
            <w:r>
              <w:rPr>
                <w:b w:val="0"/>
                <w:i w:val="0"/>
                <w:sz w:val="15"/>
              </w:rPr>
              <w:t>804 (1)a</w:t>
            </w:r>
          </w:p>
        </w:tc>
        <w:tc>
          <w:tcPr>
            <w:tcW w:type="dxa" w:w="4104"/>
            <w:shd w:val="clear" w:color="auto" w:fill="EFEFEF"/>
          </w:tcPr>
          <w:p>
            <w:pPr>
              <w:spacing w:line="240" w:lineRule="auto" w:before="40" w:after="40"/>
              <w:jc w:val="left"/>
            </w:pPr>
            <w:r/>
            <w:r>
              <w:rPr>
                <w:b w:val="0"/>
                <w:i w:val="0"/>
                <w:sz w:val="15"/>
              </w:rPr>
              <w:t>Backfill from structure excavation, compacted</w:t>
            </w:r>
          </w:p>
        </w:tc>
        <w:tc>
          <w:tcPr>
            <w:tcW w:type="dxa" w:w="1008"/>
            <w:shd w:val="clear" w:color="auto" w:fill="EFEFEF"/>
          </w:tcPr>
          <w:p>
            <w:pPr>
              <w:spacing w:line="240" w:lineRule="auto" w:before="40" w:after="40"/>
              <w:jc w:val="right"/>
            </w:pPr>
            <w:r/>
            <w:r>
              <w:rPr>
                <w:b w:val="0"/>
                <w:i w:val="0"/>
                <w:sz w:val="15"/>
              </w:rPr>
              <w:t>155.11</w:t>
            </w:r>
          </w:p>
        </w:tc>
        <w:tc>
          <w:tcPr>
            <w:tcW w:type="dxa" w:w="648"/>
            <w:shd w:val="clear" w:color="auto" w:fill="EFEFEF"/>
          </w:tcPr>
          <w:p>
            <w:pPr>
              <w:spacing w:line="240" w:lineRule="auto" w:before="40" w:after="40"/>
              <w:jc w:val="left"/>
            </w:pPr>
            <w:r/>
            <w:r>
              <w:rPr>
                <w:b w:val="0"/>
                <w:i w:val="0"/>
                <w:sz w:val="15"/>
              </w:rPr>
              <w:t>m³</w:t>
            </w:r>
          </w:p>
        </w:tc>
        <w:tc>
          <w:tcPr>
            <w:tcW w:type="dxa" w:w="1152"/>
            <w:shd w:val="clear" w:color="auto" w:fill="EFEFEF"/>
          </w:tcPr>
          <w:p>
            <w:pPr>
              <w:spacing w:line="240" w:lineRule="auto" w:before="40" w:after="40"/>
              <w:jc w:val="right"/>
            </w:pPr>
            <w:r/>
            <w:r>
              <w:rPr>
                <w:b w:val="0"/>
                <w:i w:val="0"/>
                <w:sz w:val="15"/>
              </w:rPr>
              <w:t>260.00</w:t>
            </w:r>
          </w:p>
        </w:tc>
        <w:tc>
          <w:tcPr>
            <w:tcW w:type="dxa" w:w="1440"/>
            <w:shd w:val="clear" w:color="auto" w:fill="EFEFEF"/>
          </w:tcPr>
          <w:p>
            <w:pPr>
              <w:spacing w:line="240" w:lineRule="auto" w:before="40" w:after="40"/>
              <w:jc w:val="right"/>
            </w:pPr>
            <w:r/>
            <w:r>
              <w:rPr>
                <w:b w:val="0"/>
                <w:i w:val="0"/>
                <w:sz w:val="15"/>
              </w:rPr>
              <w:t>40,329.90</w:t>
            </w:r>
          </w:p>
        </w:tc>
      </w:tr>
      <w:tr>
        <w:tc>
          <w:tcPr>
            <w:tcW w:type="dxa" w:w="1080"/>
          </w:tcPr>
          <w:p>
            <w:pPr>
              <w:spacing w:line="240" w:lineRule="auto" w:before="40" w:after="40"/>
              <w:jc w:val="left"/>
            </w:pPr>
            <w:r/>
            <w:r>
              <w:rPr>
                <w:b w:val="0"/>
                <w:i w:val="0"/>
                <w:sz w:val="15"/>
              </w:rPr>
              <w:t>804 (4)</w:t>
            </w:r>
          </w:p>
        </w:tc>
        <w:tc>
          <w:tcPr>
            <w:tcW w:type="dxa" w:w="4104"/>
          </w:tcPr>
          <w:p>
            <w:pPr>
              <w:spacing w:line="240" w:lineRule="auto" w:before="40" w:after="40"/>
              <w:jc w:val="left"/>
            </w:pPr>
            <w:r/>
            <w:r>
              <w:rPr>
                <w:b w:val="0"/>
                <w:i w:val="0"/>
                <w:sz w:val="15"/>
              </w:rPr>
              <w:t>Gravel fill / bedding, compacted</w:t>
            </w:r>
          </w:p>
        </w:tc>
        <w:tc>
          <w:tcPr>
            <w:tcW w:type="dxa" w:w="1008"/>
          </w:tcPr>
          <w:p>
            <w:pPr>
              <w:spacing w:line="240" w:lineRule="auto" w:before="40" w:after="40"/>
              <w:jc w:val="right"/>
            </w:pPr>
            <w:r/>
            <w:r>
              <w:rPr>
                <w:b w:val="0"/>
                <w:i w:val="0"/>
                <w:sz w:val="15"/>
              </w:rPr>
              <w:t>21.96</w:t>
            </w:r>
          </w:p>
        </w:tc>
        <w:tc>
          <w:tcPr>
            <w:tcW w:type="dxa" w:w="648"/>
          </w:tcPr>
          <w:p>
            <w:pPr>
              <w:spacing w:line="240" w:lineRule="auto" w:before="40" w:after="40"/>
              <w:jc w:val="left"/>
            </w:pPr>
            <w:r/>
            <w:r>
              <w:rPr>
                <w:b w:val="0"/>
                <w:i w:val="0"/>
                <w:sz w:val="15"/>
              </w:rPr>
              <w:t>m³</w:t>
            </w:r>
          </w:p>
        </w:tc>
        <w:tc>
          <w:tcPr>
            <w:tcW w:type="dxa" w:w="1152"/>
          </w:tcPr>
          <w:p>
            <w:pPr>
              <w:spacing w:line="240" w:lineRule="auto" w:before="40" w:after="40"/>
              <w:jc w:val="right"/>
            </w:pPr>
            <w:r/>
            <w:r>
              <w:rPr>
                <w:b w:val="0"/>
                <w:i w:val="0"/>
                <w:sz w:val="15"/>
              </w:rPr>
              <w:t>1,550.00</w:t>
            </w:r>
          </w:p>
        </w:tc>
        <w:tc>
          <w:tcPr>
            <w:tcW w:type="dxa" w:w="1440"/>
          </w:tcPr>
          <w:p>
            <w:pPr>
              <w:spacing w:line="240" w:lineRule="auto" w:before="40" w:after="40"/>
              <w:jc w:val="right"/>
            </w:pPr>
            <w:r/>
            <w:r>
              <w:rPr>
                <w:b w:val="0"/>
                <w:i w:val="0"/>
                <w:sz w:val="15"/>
              </w:rPr>
              <w:t>34,038.00</w:t>
            </w:r>
          </w:p>
        </w:tc>
      </w:tr>
      <w:tr>
        <w:tc>
          <w:tcPr>
            <w:tcW w:type="dxa" w:w="1080"/>
            <w:shd w:val="clear" w:color="auto" w:fill="EFEFEF"/>
          </w:tcPr>
          <w:p>
            <w:pPr>
              <w:spacing w:line="240" w:lineRule="auto" w:before="40" w:after="40"/>
              <w:jc w:val="left"/>
            </w:pPr>
            <w:r/>
            <w:r>
              <w:rPr>
                <w:b w:val="0"/>
                <w:i w:val="0"/>
                <w:sz w:val="15"/>
              </w:rPr>
              <w:t>1000 (1)</w:t>
            </w:r>
          </w:p>
        </w:tc>
        <w:tc>
          <w:tcPr>
            <w:tcW w:type="dxa" w:w="4104"/>
            <w:shd w:val="clear" w:color="auto" w:fill="EFEFEF"/>
          </w:tcPr>
          <w:p>
            <w:pPr>
              <w:spacing w:line="240" w:lineRule="auto" w:before="40" w:after="40"/>
              <w:jc w:val="left"/>
            </w:pPr>
            <w:r/>
            <w:r>
              <w:rPr>
                <w:b w:val="0"/>
                <w:i w:val="0"/>
                <w:sz w:val="15"/>
              </w:rPr>
              <w:t>Soil poisoning (termite control)</w:t>
            </w:r>
          </w:p>
        </w:tc>
        <w:tc>
          <w:tcPr>
            <w:tcW w:type="dxa" w:w="1008"/>
            <w:shd w:val="clear" w:color="auto" w:fill="EFEFEF"/>
          </w:tcPr>
          <w:p>
            <w:pPr>
              <w:spacing w:line="240" w:lineRule="auto" w:before="40" w:after="40"/>
              <w:jc w:val="right"/>
            </w:pPr>
            <w:r/>
            <w:r>
              <w:rPr>
                <w:b w:val="0"/>
                <w:i w:val="0"/>
                <w:sz w:val="15"/>
              </w:rPr>
              <w:t>171.00</w:t>
            </w:r>
          </w:p>
        </w:tc>
        <w:tc>
          <w:tcPr>
            <w:tcW w:type="dxa" w:w="648"/>
            <w:shd w:val="clear" w:color="auto" w:fill="EFEFEF"/>
          </w:tcPr>
          <w:p>
            <w:pPr>
              <w:spacing w:line="240" w:lineRule="auto" w:before="40" w:after="40"/>
              <w:jc w:val="left"/>
            </w:pPr>
            <w:r/>
            <w:r>
              <w:rPr>
                <w:b w:val="0"/>
                <w:i w:val="0"/>
                <w:sz w:val="15"/>
              </w:rPr>
              <w:t>m²</w:t>
            </w:r>
          </w:p>
        </w:tc>
        <w:tc>
          <w:tcPr>
            <w:tcW w:type="dxa" w:w="1152"/>
            <w:shd w:val="clear" w:color="auto" w:fill="EFEFEF"/>
          </w:tcPr>
          <w:p>
            <w:pPr>
              <w:spacing w:line="240" w:lineRule="auto" w:before="40" w:after="40"/>
              <w:jc w:val="right"/>
            </w:pPr>
            <w:r/>
            <w:r>
              <w:rPr>
                <w:b w:val="0"/>
                <w:i w:val="0"/>
                <w:sz w:val="15"/>
              </w:rPr>
              <w:t>65.00</w:t>
            </w:r>
          </w:p>
        </w:tc>
        <w:tc>
          <w:tcPr>
            <w:tcW w:type="dxa" w:w="1440"/>
            <w:shd w:val="clear" w:color="auto" w:fill="EFEFEF"/>
          </w:tcPr>
          <w:p>
            <w:pPr>
              <w:spacing w:line="240" w:lineRule="auto" w:before="40" w:after="40"/>
              <w:jc w:val="right"/>
            </w:pPr>
            <w:r/>
            <w:r>
              <w:rPr>
                <w:b w:val="0"/>
                <w:i w:val="0"/>
                <w:sz w:val="15"/>
              </w:rPr>
              <w:t>11,115.00</w:t>
            </w:r>
          </w:p>
        </w:tc>
      </w:tr>
      <w:tr>
        <w:tc>
          <w:tcPr>
            <w:tcW w:type="dxa" w:w="1080"/>
          </w:tcPr>
          <w:p>
            <w:pPr>
              <w:spacing w:line="240" w:lineRule="auto" w:before="40" w:after="40"/>
              <w:jc w:val="left"/>
            </w:pPr>
            <w:r/>
            <w:r>
              <w:rPr>
                <w:b w:val="0"/>
                <w:i w:val="0"/>
                <w:sz w:val="15"/>
              </w:rPr>
              <w:t>—</w:t>
            </w:r>
          </w:p>
        </w:tc>
        <w:tc>
          <w:tcPr>
            <w:tcW w:type="dxa" w:w="4104"/>
          </w:tcPr>
          <w:p>
            <w:pPr>
              <w:spacing w:line="240" w:lineRule="auto" w:before="40" w:after="40"/>
              <w:jc w:val="left"/>
            </w:pPr>
            <w:r/>
            <w:r>
              <w:rPr>
                <w:b w:val="0"/>
                <w:i w:val="0"/>
                <w:sz w:val="15"/>
              </w:rPr>
              <w:t>Perimeter drainage canal with grating</w:t>
            </w:r>
          </w:p>
        </w:tc>
        <w:tc>
          <w:tcPr>
            <w:tcW w:type="dxa" w:w="1008"/>
          </w:tcPr>
          <w:p>
            <w:pPr>
              <w:spacing w:line="240" w:lineRule="auto" w:before="40" w:after="40"/>
              <w:jc w:val="right"/>
            </w:pPr>
            <w:r/>
            <w:r>
              <w:rPr>
                <w:b w:val="0"/>
                <w:i w:val="0"/>
                <w:sz w:val="15"/>
              </w:rPr>
              <w:t>63.00</w:t>
            </w:r>
          </w:p>
        </w:tc>
        <w:tc>
          <w:tcPr>
            <w:tcW w:type="dxa" w:w="648"/>
          </w:tcPr>
          <w:p>
            <w:pPr>
              <w:spacing w:line="240" w:lineRule="auto" w:before="40" w:after="40"/>
              <w:jc w:val="left"/>
            </w:pPr>
            <w:r/>
            <w:r>
              <w:rPr>
                <w:b w:val="0"/>
                <w:i w:val="0"/>
                <w:sz w:val="15"/>
              </w:rPr>
              <w:t>m</w:t>
            </w:r>
          </w:p>
        </w:tc>
        <w:tc>
          <w:tcPr>
            <w:tcW w:type="dxa" w:w="1152"/>
          </w:tcPr>
          <w:p>
            <w:pPr>
              <w:spacing w:line="240" w:lineRule="auto" w:before="40" w:after="40"/>
              <w:jc w:val="right"/>
            </w:pPr>
            <w:r/>
            <w:r>
              <w:rPr>
                <w:b w:val="0"/>
                <w:i w:val="0"/>
                <w:sz w:val="15"/>
              </w:rPr>
              <w:t>1,450.00</w:t>
            </w:r>
          </w:p>
        </w:tc>
        <w:tc>
          <w:tcPr>
            <w:tcW w:type="dxa" w:w="1440"/>
          </w:tcPr>
          <w:p>
            <w:pPr>
              <w:spacing w:line="240" w:lineRule="auto" w:before="40" w:after="40"/>
              <w:jc w:val="right"/>
            </w:pPr>
            <w:r/>
            <w:r>
              <w:rPr>
                <w:b w:val="0"/>
                <w:i w:val="0"/>
                <w:sz w:val="15"/>
              </w:rPr>
              <w:t>91,350.00</w:t>
            </w:r>
          </w:p>
        </w:tc>
      </w:tr>
      <w:tr>
        <w:tc>
          <w:tcPr>
            <w:tcW w:type="dxa" w:w="1080"/>
            <w:shd w:val="clear" w:color="auto" w:fill="EFEFEF"/>
          </w:tcPr>
          <w:p>
            <w:pPr>
              <w:spacing w:line="240" w:lineRule="auto" w:before="40" w:after="40"/>
              <w:jc w:val="left"/>
            </w:pPr>
            <w:r/>
            <w:r>
              <w:rPr>
                <w:b w:val="0"/>
                <w:i w:val="0"/>
                <w:sz w:val="15"/>
              </w:rPr>
              <w:t>900 (1)c</w:t>
            </w:r>
          </w:p>
        </w:tc>
        <w:tc>
          <w:tcPr>
            <w:tcW w:type="dxa" w:w="4104"/>
            <w:shd w:val="clear" w:color="auto" w:fill="EFEFEF"/>
          </w:tcPr>
          <w:p>
            <w:pPr>
              <w:spacing w:line="240" w:lineRule="auto" w:before="40" w:after="40"/>
              <w:jc w:val="left"/>
            </w:pPr>
            <w:r/>
            <w:r>
              <w:rPr>
                <w:b w:val="0"/>
                <w:i w:val="0"/>
                <w:sz w:val="15"/>
              </w:rPr>
              <w:t>Structural concrete fc′ 20.7 MPa — footings (15 @ 1.6 × 1.6 × 0.45 m)</w:t>
            </w:r>
          </w:p>
        </w:tc>
        <w:tc>
          <w:tcPr>
            <w:tcW w:type="dxa" w:w="1008"/>
            <w:shd w:val="clear" w:color="auto" w:fill="EFEFEF"/>
          </w:tcPr>
          <w:p>
            <w:pPr>
              <w:spacing w:line="240" w:lineRule="auto" w:before="40" w:after="40"/>
              <w:jc w:val="right"/>
            </w:pPr>
            <w:r/>
            <w:r>
              <w:rPr>
                <w:b w:val="0"/>
                <w:i w:val="0"/>
                <w:sz w:val="15"/>
              </w:rPr>
              <w:t>17.28</w:t>
            </w:r>
          </w:p>
        </w:tc>
        <w:tc>
          <w:tcPr>
            <w:tcW w:type="dxa" w:w="648"/>
            <w:shd w:val="clear" w:color="auto" w:fill="EFEFEF"/>
          </w:tcPr>
          <w:p>
            <w:pPr>
              <w:spacing w:line="240" w:lineRule="auto" w:before="40" w:after="40"/>
              <w:jc w:val="left"/>
            </w:pPr>
            <w:r/>
            <w:r>
              <w:rPr>
                <w:b w:val="0"/>
                <w:i w:val="0"/>
                <w:sz w:val="15"/>
              </w:rPr>
              <w:t>m³</w:t>
            </w:r>
          </w:p>
        </w:tc>
        <w:tc>
          <w:tcPr>
            <w:tcW w:type="dxa" w:w="1152"/>
            <w:shd w:val="clear" w:color="auto" w:fill="EFEFEF"/>
          </w:tcPr>
          <w:p>
            <w:pPr>
              <w:spacing w:line="240" w:lineRule="auto" w:before="40" w:after="40"/>
              <w:jc w:val="right"/>
            </w:pPr>
            <w:r/>
            <w:r>
              <w:rPr>
                <w:b w:val="0"/>
                <w:i w:val="0"/>
                <w:sz w:val="15"/>
              </w:rPr>
              <w:t>7,900.00</w:t>
            </w:r>
          </w:p>
        </w:tc>
        <w:tc>
          <w:tcPr>
            <w:tcW w:type="dxa" w:w="1440"/>
            <w:shd w:val="clear" w:color="auto" w:fill="EFEFEF"/>
          </w:tcPr>
          <w:p>
            <w:pPr>
              <w:spacing w:line="240" w:lineRule="auto" w:before="40" w:after="40"/>
              <w:jc w:val="right"/>
            </w:pPr>
            <w:r/>
            <w:r>
              <w:rPr>
                <w:b w:val="0"/>
                <w:i w:val="0"/>
                <w:sz w:val="15"/>
              </w:rPr>
              <w:t>136,512.00</w:t>
            </w:r>
          </w:p>
        </w:tc>
      </w:tr>
      <w:tr>
        <w:tc>
          <w:tcPr>
            <w:tcW w:type="dxa" w:w="1080"/>
          </w:tcPr>
          <w:p>
            <w:pPr>
              <w:spacing w:line="240" w:lineRule="auto" w:before="40" w:after="40"/>
              <w:jc w:val="left"/>
            </w:pPr>
            <w:r/>
            <w:r>
              <w:rPr>
                <w:b w:val="0"/>
                <w:i w:val="0"/>
                <w:sz w:val="15"/>
              </w:rPr>
              <w:t>900 (1)c</w:t>
            </w:r>
          </w:p>
        </w:tc>
        <w:tc>
          <w:tcPr>
            <w:tcW w:type="dxa" w:w="4104"/>
          </w:tcPr>
          <w:p>
            <w:pPr>
              <w:spacing w:line="240" w:lineRule="auto" w:before="40" w:after="40"/>
              <w:jc w:val="left"/>
            </w:pPr>
            <w:r/>
            <w:r>
              <w:rPr>
                <w:b w:val="0"/>
                <w:i w:val="0"/>
                <w:sz w:val="15"/>
              </w:rPr>
              <w:t>Structural concrete fc′ 20.7 MPa — columns 300 × 300 mm &amp; pedestals</w:t>
            </w:r>
          </w:p>
        </w:tc>
        <w:tc>
          <w:tcPr>
            <w:tcW w:type="dxa" w:w="1008"/>
          </w:tcPr>
          <w:p>
            <w:pPr>
              <w:spacing w:line="240" w:lineRule="auto" w:before="40" w:after="40"/>
              <w:jc w:val="right"/>
            </w:pPr>
            <w:r/>
            <w:r>
              <w:rPr>
                <w:b w:val="0"/>
                <w:i w:val="0"/>
                <w:sz w:val="15"/>
              </w:rPr>
              <w:t>10.67</w:t>
            </w:r>
          </w:p>
        </w:tc>
        <w:tc>
          <w:tcPr>
            <w:tcW w:type="dxa" w:w="648"/>
          </w:tcPr>
          <w:p>
            <w:pPr>
              <w:spacing w:line="240" w:lineRule="auto" w:before="40" w:after="40"/>
              <w:jc w:val="left"/>
            </w:pPr>
            <w:r/>
            <w:r>
              <w:rPr>
                <w:b w:val="0"/>
                <w:i w:val="0"/>
                <w:sz w:val="15"/>
              </w:rPr>
              <w:t>m³</w:t>
            </w:r>
          </w:p>
        </w:tc>
        <w:tc>
          <w:tcPr>
            <w:tcW w:type="dxa" w:w="1152"/>
          </w:tcPr>
          <w:p>
            <w:pPr>
              <w:spacing w:line="240" w:lineRule="auto" w:before="40" w:after="40"/>
              <w:jc w:val="right"/>
            </w:pPr>
            <w:r/>
            <w:r>
              <w:rPr>
                <w:b w:val="0"/>
                <w:i w:val="0"/>
                <w:sz w:val="15"/>
              </w:rPr>
              <w:t>7,900.00</w:t>
            </w:r>
          </w:p>
        </w:tc>
        <w:tc>
          <w:tcPr>
            <w:tcW w:type="dxa" w:w="1440"/>
          </w:tcPr>
          <w:p>
            <w:pPr>
              <w:spacing w:line="240" w:lineRule="auto" w:before="40" w:after="40"/>
              <w:jc w:val="right"/>
            </w:pPr>
            <w:r/>
            <w:r>
              <w:rPr>
                <w:b w:val="0"/>
                <w:i w:val="0"/>
                <w:sz w:val="15"/>
              </w:rPr>
              <w:t>84,253.50</w:t>
            </w:r>
          </w:p>
        </w:tc>
      </w:tr>
      <w:tr>
        <w:tc>
          <w:tcPr>
            <w:tcW w:type="dxa" w:w="1080"/>
            <w:shd w:val="clear" w:color="auto" w:fill="EFEFEF"/>
          </w:tcPr>
          <w:p>
            <w:pPr>
              <w:spacing w:line="240" w:lineRule="auto" w:before="40" w:after="40"/>
              <w:jc w:val="left"/>
            </w:pPr>
            <w:r/>
            <w:r>
              <w:rPr>
                <w:b w:val="0"/>
                <w:i w:val="0"/>
                <w:sz w:val="15"/>
              </w:rPr>
              <w:t>900 (1)c</w:t>
            </w:r>
          </w:p>
        </w:tc>
        <w:tc>
          <w:tcPr>
            <w:tcW w:type="dxa" w:w="4104"/>
            <w:shd w:val="clear" w:color="auto" w:fill="EFEFEF"/>
          </w:tcPr>
          <w:p>
            <w:pPr>
              <w:spacing w:line="240" w:lineRule="auto" w:before="40" w:after="40"/>
              <w:jc w:val="left"/>
            </w:pPr>
            <w:r/>
            <w:r>
              <w:rPr>
                <w:b w:val="0"/>
                <w:i w:val="0"/>
                <w:sz w:val="15"/>
              </w:rPr>
              <w:t>Structural concrete fc′ 20.7 MPa — beams 250 × 400 mm &amp; tie beams</w:t>
            </w:r>
          </w:p>
        </w:tc>
        <w:tc>
          <w:tcPr>
            <w:tcW w:type="dxa" w:w="1008"/>
            <w:shd w:val="clear" w:color="auto" w:fill="EFEFEF"/>
          </w:tcPr>
          <w:p>
            <w:pPr>
              <w:spacing w:line="240" w:lineRule="auto" w:before="40" w:after="40"/>
              <w:jc w:val="right"/>
            </w:pPr>
            <w:r/>
            <w:r>
              <w:rPr>
                <w:b w:val="0"/>
                <w:i w:val="0"/>
                <w:sz w:val="15"/>
              </w:rPr>
              <w:t>27.28</w:t>
            </w:r>
          </w:p>
        </w:tc>
        <w:tc>
          <w:tcPr>
            <w:tcW w:type="dxa" w:w="648"/>
            <w:shd w:val="clear" w:color="auto" w:fill="EFEFEF"/>
          </w:tcPr>
          <w:p>
            <w:pPr>
              <w:spacing w:line="240" w:lineRule="auto" w:before="40" w:after="40"/>
              <w:jc w:val="left"/>
            </w:pPr>
            <w:r/>
            <w:r>
              <w:rPr>
                <w:b w:val="0"/>
                <w:i w:val="0"/>
                <w:sz w:val="15"/>
              </w:rPr>
              <w:t>m³</w:t>
            </w:r>
          </w:p>
        </w:tc>
        <w:tc>
          <w:tcPr>
            <w:tcW w:type="dxa" w:w="1152"/>
            <w:shd w:val="clear" w:color="auto" w:fill="EFEFEF"/>
          </w:tcPr>
          <w:p>
            <w:pPr>
              <w:spacing w:line="240" w:lineRule="auto" w:before="40" w:after="40"/>
              <w:jc w:val="right"/>
            </w:pPr>
            <w:r/>
            <w:r>
              <w:rPr>
                <w:b w:val="0"/>
                <w:i w:val="0"/>
                <w:sz w:val="15"/>
              </w:rPr>
              <w:t>7,900.00</w:t>
            </w:r>
          </w:p>
        </w:tc>
        <w:tc>
          <w:tcPr>
            <w:tcW w:type="dxa" w:w="1440"/>
            <w:shd w:val="clear" w:color="auto" w:fill="EFEFEF"/>
          </w:tcPr>
          <w:p>
            <w:pPr>
              <w:spacing w:line="240" w:lineRule="auto" w:before="40" w:after="40"/>
              <w:jc w:val="right"/>
            </w:pPr>
            <w:r/>
            <w:r>
              <w:rPr>
                <w:b w:val="0"/>
                <w:i w:val="0"/>
                <w:sz w:val="15"/>
              </w:rPr>
              <w:t>215,497.19</w:t>
            </w:r>
          </w:p>
        </w:tc>
      </w:tr>
      <w:tr>
        <w:tc>
          <w:tcPr>
            <w:tcW w:type="dxa" w:w="1080"/>
          </w:tcPr>
          <w:p>
            <w:pPr>
              <w:spacing w:line="240" w:lineRule="auto" w:before="40" w:after="40"/>
              <w:jc w:val="left"/>
            </w:pPr>
            <w:r/>
            <w:r>
              <w:rPr>
                <w:b w:val="0"/>
                <w:i w:val="0"/>
                <w:sz w:val="15"/>
              </w:rPr>
              <w:t>900 (1)c</w:t>
            </w:r>
          </w:p>
        </w:tc>
        <w:tc>
          <w:tcPr>
            <w:tcW w:type="dxa" w:w="4104"/>
          </w:tcPr>
          <w:p>
            <w:pPr>
              <w:spacing w:line="240" w:lineRule="auto" w:before="40" w:after="40"/>
              <w:jc w:val="left"/>
            </w:pPr>
            <w:r/>
            <w:r>
              <w:rPr>
                <w:b w:val="0"/>
                <w:i w:val="0"/>
                <w:sz w:val="15"/>
              </w:rPr>
              <w:t>Structural concrete fc′ 20.7 MPa — suspended slabs 125 mm</w:t>
            </w:r>
          </w:p>
        </w:tc>
        <w:tc>
          <w:tcPr>
            <w:tcW w:type="dxa" w:w="1008"/>
          </w:tcPr>
          <w:p>
            <w:pPr>
              <w:spacing w:line="240" w:lineRule="auto" w:before="40" w:after="40"/>
              <w:jc w:val="right"/>
            </w:pPr>
            <w:r/>
            <w:r>
              <w:rPr>
                <w:b w:val="0"/>
                <w:i w:val="0"/>
                <w:sz w:val="15"/>
              </w:rPr>
              <w:t>21.38</w:t>
            </w:r>
          </w:p>
        </w:tc>
        <w:tc>
          <w:tcPr>
            <w:tcW w:type="dxa" w:w="648"/>
          </w:tcPr>
          <w:p>
            <w:pPr>
              <w:spacing w:line="240" w:lineRule="auto" w:before="40" w:after="40"/>
              <w:jc w:val="left"/>
            </w:pPr>
            <w:r/>
            <w:r>
              <w:rPr>
                <w:b w:val="0"/>
                <w:i w:val="0"/>
                <w:sz w:val="15"/>
              </w:rPr>
              <w:t>m³</w:t>
            </w:r>
          </w:p>
        </w:tc>
        <w:tc>
          <w:tcPr>
            <w:tcW w:type="dxa" w:w="1152"/>
          </w:tcPr>
          <w:p>
            <w:pPr>
              <w:spacing w:line="240" w:lineRule="auto" w:before="40" w:after="40"/>
              <w:jc w:val="right"/>
            </w:pPr>
            <w:r/>
            <w:r>
              <w:rPr>
                <w:b w:val="0"/>
                <w:i w:val="0"/>
                <w:sz w:val="15"/>
              </w:rPr>
              <w:t>7,900.00</w:t>
            </w:r>
          </w:p>
        </w:tc>
        <w:tc>
          <w:tcPr>
            <w:tcW w:type="dxa" w:w="1440"/>
          </w:tcPr>
          <w:p>
            <w:pPr>
              <w:spacing w:line="240" w:lineRule="auto" w:before="40" w:after="40"/>
              <w:jc w:val="right"/>
            </w:pPr>
            <w:r/>
            <w:r>
              <w:rPr>
                <w:b w:val="0"/>
                <w:i w:val="0"/>
                <w:sz w:val="15"/>
              </w:rPr>
              <w:t>168,862.50</w:t>
            </w:r>
          </w:p>
        </w:tc>
      </w:tr>
      <w:tr>
        <w:tc>
          <w:tcPr>
            <w:tcW w:type="dxa" w:w="1080"/>
            <w:shd w:val="clear" w:color="auto" w:fill="EFEFEF"/>
          </w:tcPr>
          <w:p>
            <w:pPr>
              <w:spacing w:line="240" w:lineRule="auto" w:before="40" w:after="40"/>
              <w:jc w:val="left"/>
            </w:pPr>
            <w:r/>
            <w:r>
              <w:rPr>
                <w:b w:val="0"/>
                <w:i w:val="0"/>
                <w:sz w:val="15"/>
              </w:rPr>
              <w:t>900 (1)c</w:t>
            </w:r>
          </w:p>
        </w:tc>
        <w:tc>
          <w:tcPr>
            <w:tcW w:type="dxa" w:w="4104"/>
            <w:shd w:val="clear" w:color="auto" w:fill="EFEFEF"/>
          </w:tcPr>
          <w:p>
            <w:pPr>
              <w:spacing w:line="240" w:lineRule="auto" w:before="40" w:after="40"/>
              <w:jc w:val="left"/>
            </w:pPr>
            <w:r/>
            <w:r>
              <w:rPr>
                <w:b w:val="0"/>
                <w:i w:val="0"/>
                <w:sz w:val="15"/>
              </w:rPr>
              <w:t>Structural concrete fc′ 20.7 MPa — stairs (1 flight set)</w:t>
            </w:r>
          </w:p>
        </w:tc>
        <w:tc>
          <w:tcPr>
            <w:tcW w:type="dxa" w:w="1008"/>
            <w:shd w:val="clear" w:color="auto" w:fill="EFEFEF"/>
          </w:tcPr>
          <w:p>
            <w:pPr>
              <w:spacing w:line="240" w:lineRule="auto" w:before="40" w:after="40"/>
              <w:jc w:val="right"/>
            </w:pPr>
            <w:r/>
            <w:r>
              <w:rPr>
                <w:b w:val="0"/>
                <w:i w:val="0"/>
                <w:sz w:val="15"/>
              </w:rPr>
              <w:t>4.20</w:t>
            </w:r>
          </w:p>
        </w:tc>
        <w:tc>
          <w:tcPr>
            <w:tcW w:type="dxa" w:w="648"/>
            <w:shd w:val="clear" w:color="auto" w:fill="EFEFEF"/>
          </w:tcPr>
          <w:p>
            <w:pPr>
              <w:spacing w:line="240" w:lineRule="auto" w:before="40" w:after="40"/>
              <w:jc w:val="left"/>
            </w:pPr>
            <w:r/>
            <w:r>
              <w:rPr>
                <w:b w:val="0"/>
                <w:i w:val="0"/>
                <w:sz w:val="15"/>
              </w:rPr>
              <w:t>m³</w:t>
            </w:r>
          </w:p>
        </w:tc>
        <w:tc>
          <w:tcPr>
            <w:tcW w:type="dxa" w:w="1152"/>
            <w:shd w:val="clear" w:color="auto" w:fill="EFEFEF"/>
          </w:tcPr>
          <w:p>
            <w:pPr>
              <w:spacing w:line="240" w:lineRule="auto" w:before="40" w:after="40"/>
              <w:jc w:val="right"/>
            </w:pPr>
            <w:r/>
            <w:r>
              <w:rPr>
                <w:b w:val="0"/>
                <w:i w:val="0"/>
                <w:sz w:val="15"/>
              </w:rPr>
              <w:t>7,900.00</w:t>
            </w:r>
          </w:p>
        </w:tc>
        <w:tc>
          <w:tcPr>
            <w:tcW w:type="dxa" w:w="1440"/>
            <w:shd w:val="clear" w:color="auto" w:fill="EFEFEF"/>
          </w:tcPr>
          <w:p>
            <w:pPr>
              <w:spacing w:line="240" w:lineRule="auto" w:before="40" w:after="40"/>
              <w:jc w:val="right"/>
            </w:pPr>
            <w:r/>
            <w:r>
              <w:rPr>
                <w:b w:val="0"/>
                <w:i w:val="0"/>
                <w:sz w:val="15"/>
              </w:rPr>
              <w:t>33,180.00</w:t>
            </w:r>
          </w:p>
        </w:tc>
      </w:tr>
      <w:tr>
        <w:tc>
          <w:tcPr>
            <w:tcW w:type="dxa" w:w="1080"/>
          </w:tcPr>
          <w:p>
            <w:pPr>
              <w:spacing w:line="240" w:lineRule="auto" w:before="40" w:after="40"/>
              <w:jc w:val="left"/>
            </w:pPr>
            <w:r/>
            <w:r>
              <w:rPr>
                <w:b w:val="0"/>
                <w:i w:val="0"/>
                <w:sz w:val="15"/>
              </w:rPr>
              <w:t>900 (1)b</w:t>
            </w:r>
          </w:p>
        </w:tc>
        <w:tc>
          <w:tcPr>
            <w:tcW w:type="dxa" w:w="4104"/>
          </w:tcPr>
          <w:p>
            <w:pPr>
              <w:spacing w:line="240" w:lineRule="auto" w:before="40" w:after="40"/>
              <w:jc w:val="left"/>
            </w:pPr>
            <w:r/>
            <w:r>
              <w:rPr>
                <w:b w:val="0"/>
                <w:i w:val="0"/>
                <w:sz w:val="15"/>
              </w:rPr>
              <w:t>Concrete slab on grade 100 mm, fc′ 17.2 MPa</w:t>
            </w:r>
          </w:p>
        </w:tc>
        <w:tc>
          <w:tcPr>
            <w:tcW w:type="dxa" w:w="1008"/>
          </w:tcPr>
          <w:p>
            <w:pPr>
              <w:spacing w:line="240" w:lineRule="auto" w:before="40" w:after="40"/>
              <w:jc w:val="right"/>
            </w:pPr>
            <w:r/>
            <w:r>
              <w:rPr>
                <w:b w:val="0"/>
                <w:i w:val="0"/>
                <w:sz w:val="15"/>
              </w:rPr>
              <w:t>17.10</w:t>
            </w:r>
          </w:p>
        </w:tc>
        <w:tc>
          <w:tcPr>
            <w:tcW w:type="dxa" w:w="648"/>
          </w:tcPr>
          <w:p>
            <w:pPr>
              <w:spacing w:line="240" w:lineRule="auto" w:before="40" w:after="40"/>
              <w:jc w:val="left"/>
            </w:pPr>
            <w:r/>
            <w:r>
              <w:rPr>
                <w:b w:val="0"/>
                <w:i w:val="0"/>
                <w:sz w:val="15"/>
              </w:rPr>
              <w:t>m³</w:t>
            </w:r>
          </w:p>
        </w:tc>
        <w:tc>
          <w:tcPr>
            <w:tcW w:type="dxa" w:w="1152"/>
          </w:tcPr>
          <w:p>
            <w:pPr>
              <w:spacing w:line="240" w:lineRule="auto" w:before="40" w:after="40"/>
              <w:jc w:val="right"/>
            </w:pPr>
            <w:r/>
            <w:r>
              <w:rPr>
                <w:b w:val="0"/>
                <w:i w:val="0"/>
                <w:sz w:val="15"/>
              </w:rPr>
              <w:t>7,200.00</w:t>
            </w:r>
          </w:p>
        </w:tc>
        <w:tc>
          <w:tcPr>
            <w:tcW w:type="dxa" w:w="1440"/>
          </w:tcPr>
          <w:p>
            <w:pPr>
              <w:spacing w:line="240" w:lineRule="auto" w:before="40" w:after="40"/>
              <w:jc w:val="right"/>
            </w:pPr>
            <w:r/>
            <w:r>
              <w:rPr>
                <w:b w:val="0"/>
                <w:i w:val="0"/>
                <w:sz w:val="15"/>
              </w:rPr>
              <w:t>123,120.00</w:t>
            </w:r>
          </w:p>
        </w:tc>
      </w:tr>
      <w:tr>
        <w:tc>
          <w:tcPr>
            <w:tcW w:type="dxa" w:w="1080"/>
            <w:shd w:val="clear" w:color="auto" w:fill="EFEFEF"/>
          </w:tcPr>
          <w:p>
            <w:pPr>
              <w:spacing w:line="240" w:lineRule="auto" w:before="40" w:after="40"/>
              <w:jc w:val="left"/>
            </w:pPr>
            <w:r/>
            <w:r>
              <w:rPr>
                <w:b w:val="0"/>
                <w:i w:val="0"/>
                <w:sz w:val="15"/>
              </w:rPr>
              <w:t>902 (1)</w:t>
            </w:r>
          </w:p>
        </w:tc>
        <w:tc>
          <w:tcPr>
            <w:tcW w:type="dxa" w:w="4104"/>
            <w:shd w:val="clear" w:color="auto" w:fill="EFEFEF"/>
          </w:tcPr>
          <w:p>
            <w:pPr>
              <w:spacing w:line="240" w:lineRule="auto" w:before="40" w:after="40"/>
              <w:jc w:val="left"/>
            </w:pPr>
            <w:r/>
            <w:r>
              <w:rPr>
                <w:b w:val="0"/>
                <w:i w:val="0"/>
                <w:sz w:val="15"/>
              </w:rPr>
              <w:t>Reinforcing steel bars, deformed, Gr. 40/60, incl. tie wire</w:t>
            </w:r>
          </w:p>
        </w:tc>
        <w:tc>
          <w:tcPr>
            <w:tcW w:type="dxa" w:w="1008"/>
            <w:shd w:val="clear" w:color="auto" w:fill="EFEFEF"/>
          </w:tcPr>
          <w:p>
            <w:pPr>
              <w:spacing w:line="240" w:lineRule="auto" w:before="40" w:after="40"/>
              <w:jc w:val="right"/>
            </w:pPr>
            <w:r/>
            <w:r>
              <w:rPr>
                <w:b w:val="0"/>
                <w:i w:val="0"/>
                <w:sz w:val="15"/>
              </w:rPr>
              <w:t>11,627.09</w:t>
            </w:r>
          </w:p>
        </w:tc>
        <w:tc>
          <w:tcPr>
            <w:tcW w:type="dxa" w:w="648"/>
            <w:shd w:val="clear" w:color="auto" w:fill="EFEFEF"/>
          </w:tcPr>
          <w:p>
            <w:pPr>
              <w:spacing w:line="240" w:lineRule="auto" w:before="40" w:after="40"/>
              <w:jc w:val="left"/>
            </w:pPr>
            <w:r/>
            <w:r>
              <w:rPr>
                <w:b w:val="0"/>
                <w:i w:val="0"/>
                <w:sz w:val="15"/>
              </w:rPr>
              <w:t>kg</w:t>
            </w:r>
          </w:p>
        </w:tc>
        <w:tc>
          <w:tcPr>
            <w:tcW w:type="dxa" w:w="1152"/>
            <w:shd w:val="clear" w:color="auto" w:fill="EFEFEF"/>
          </w:tcPr>
          <w:p>
            <w:pPr>
              <w:spacing w:line="240" w:lineRule="auto" w:before="40" w:after="40"/>
              <w:jc w:val="right"/>
            </w:pPr>
            <w:r/>
            <w:r>
              <w:rPr>
                <w:b w:val="0"/>
                <w:i w:val="0"/>
                <w:sz w:val="15"/>
              </w:rPr>
              <w:t>82.00</w:t>
            </w:r>
          </w:p>
        </w:tc>
        <w:tc>
          <w:tcPr>
            <w:tcW w:type="dxa" w:w="1440"/>
            <w:shd w:val="clear" w:color="auto" w:fill="EFEFEF"/>
          </w:tcPr>
          <w:p>
            <w:pPr>
              <w:spacing w:line="240" w:lineRule="auto" w:before="40" w:after="40"/>
              <w:jc w:val="right"/>
            </w:pPr>
            <w:r/>
            <w:r>
              <w:rPr>
                <w:b w:val="0"/>
                <w:i w:val="0"/>
                <w:sz w:val="15"/>
              </w:rPr>
              <w:t>953,421.69</w:t>
            </w:r>
          </w:p>
        </w:tc>
      </w:tr>
      <w:tr>
        <w:tc>
          <w:tcPr>
            <w:tcW w:type="dxa" w:w="1080"/>
          </w:tcPr>
          <w:p>
            <w:pPr>
              <w:spacing w:line="240" w:lineRule="auto" w:before="40" w:after="40"/>
              <w:jc w:val="left"/>
            </w:pPr>
            <w:r/>
            <w:r>
              <w:rPr>
                <w:b w:val="0"/>
                <w:i w:val="0"/>
                <w:sz w:val="15"/>
              </w:rPr>
              <w:t>903 (2)</w:t>
            </w:r>
          </w:p>
        </w:tc>
        <w:tc>
          <w:tcPr>
            <w:tcW w:type="dxa" w:w="4104"/>
          </w:tcPr>
          <w:p>
            <w:pPr>
              <w:spacing w:line="240" w:lineRule="auto" w:before="40" w:after="40"/>
              <w:jc w:val="left"/>
            </w:pPr>
            <w:r/>
            <w:r>
              <w:rPr>
                <w:b w:val="0"/>
                <w:i w:val="0"/>
                <w:sz w:val="15"/>
              </w:rPr>
              <w:t>Formworks and falseworks</w:t>
            </w:r>
          </w:p>
        </w:tc>
        <w:tc>
          <w:tcPr>
            <w:tcW w:type="dxa" w:w="1008"/>
          </w:tcPr>
          <w:p>
            <w:pPr>
              <w:spacing w:line="240" w:lineRule="auto" w:before="40" w:after="40"/>
              <w:jc w:val="right"/>
            </w:pPr>
            <w:r/>
            <w:r>
              <w:rPr>
                <w:b w:val="0"/>
                <w:i w:val="0"/>
                <w:sz w:val="15"/>
              </w:rPr>
              <w:t>654.78</w:t>
            </w:r>
          </w:p>
        </w:tc>
        <w:tc>
          <w:tcPr>
            <w:tcW w:type="dxa" w:w="648"/>
          </w:tcPr>
          <w:p>
            <w:pPr>
              <w:spacing w:line="240" w:lineRule="auto" w:before="40" w:after="40"/>
              <w:jc w:val="left"/>
            </w:pPr>
            <w:r/>
            <w:r>
              <w:rPr>
                <w:b w:val="0"/>
                <w:i w:val="0"/>
                <w:sz w:val="15"/>
              </w:rPr>
              <w:t>m²</w:t>
            </w:r>
          </w:p>
        </w:tc>
        <w:tc>
          <w:tcPr>
            <w:tcW w:type="dxa" w:w="1152"/>
          </w:tcPr>
          <w:p>
            <w:pPr>
              <w:spacing w:line="240" w:lineRule="auto" w:before="40" w:after="40"/>
              <w:jc w:val="right"/>
            </w:pPr>
            <w:r/>
            <w:r>
              <w:rPr>
                <w:b w:val="0"/>
                <w:i w:val="0"/>
                <w:sz w:val="15"/>
              </w:rPr>
              <w:t>850.00</w:t>
            </w:r>
          </w:p>
        </w:tc>
        <w:tc>
          <w:tcPr>
            <w:tcW w:type="dxa" w:w="1440"/>
          </w:tcPr>
          <w:p>
            <w:pPr>
              <w:spacing w:line="240" w:lineRule="auto" w:before="40" w:after="40"/>
              <w:jc w:val="right"/>
            </w:pPr>
            <w:r/>
            <w:r>
              <w:rPr>
                <w:b w:val="0"/>
                <w:i w:val="0"/>
                <w:sz w:val="15"/>
              </w:rPr>
              <w:t>556,558.75</w:t>
            </w:r>
          </w:p>
        </w:tc>
      </w:tr>
      <w:tr>
        <w:tc>
          <w:tcPr>
            <w:tcW w:type="dxa" w:w="1080"/>
            <w:shd w:val="clear" w:color="auto" w:fill="EFEFEF"/>
          </w:tcPr>
          <w:p>
            <w:pPr>
              <w:spacing w:line="240" w:lineRule="auto" w:before="40" w:after="40"/>
              <w:jc w:val="left"/>
            </w:pPr>
            <w:r/>
            <w:r>
              <w:rPr>
                <w:b w:val="0"/>
                <w:i w:val="0"/>
                <w:sz w:val="15"/>
              </w:rPr>
              <w:t>1046 (3)</w:t>
            </w:r>
          </w:p>
        </w:tc>
        <w:tc>
          <w:tcPr>
            <w:tcW w:type="dxa" w:w="4104"/>
            <w:shd w:val="clear" w:color="auto" w:fill="EFEFEF"/>
          </w:tcPr>
          <w:p>
            <w:pPr>
              <w:spacing w:line="240" w:lineRule="auto" w:before="40" w:after="40"/>
              <w:jc w:val="left"/>
            </w:pPr>
            <w:r/>
            <w:r>
              <w:rPr>
                <w:b w:val="0"/>
                <w:i w:val="0"/>
                <w:sz w:val="15"/>
              </w:rPr>
              <w:t>CHB masonry 150 mm, reinforced &amp; grouted (exterior)</w:t>
            </w:r>
          </w:p>
        </w:tc>
        <w:tc>
          <w:tcPr>
            <w:tcW w:type="dxa" w:w="1008"/>
            <w:shd w:val="clear" w:color="auto" w:fill="EFEFEF"/>
          </w:tcPr>
          <w:p>
            <w:pPr>
              <w:spacing w:line="240" w:lineRule="auto" w:before="40" w:after="40"/>
              <w:jc w:val="right"/>
            </w:pPr>
            <w:r/>
            <w:r>
              <w:rPr>
                <w:b w:val="0"/>
                <w:i w:val="0"/>
                <w:sz w:val="15"/>
              </w:rPr>
              <w:t>215.88</w:t>
            </w:r>
          </w:p>
        </w:tc>
        <w:tc>
          <w:tcPr>
            <w:tcW w:type="dxa" w:w="648"/>
            <w:shd w:val="clear" w:color="auto" w:fill="EFEFEF"/>
          </w:tcPr>
          <w:p>
            <w:pPr>
              <w:spacing w:line="240" w:lineRule="auto" w:before="40" w:after="40"/>
              <w:jc w:val="left"/>
            </w:pPr>
            <w:r/>
            <w:r>
              <w:rPr>
                <w:b w:val="0"/>
                <w:i w:val="0"/>
                <w:sz w:val="15"/>
              </w:rPr>
              <w:t>m²</w:t>
            </w:r>
          </w:p>
        </w:tc>
        <w:tc>
          <w:tcPr>
            <w:tcW w:type="dxa" w:w="1152"/>
            <w:shd w:val="clear" w:color="auto" w:fill="EFEFEF"/>
          </w:tcPr>
          <w:p>
            <w:pPr>
              <w:spacing w:line="240" w:lineRule="auto" w:before="40" w:after="40"/>
              <w:jc w:val="right"/>
            </w:pPr>
            <w:r/>
            <w:r>
              <w:rPr>
                <w:b w:val="0"/>
                <w:i w:val="0"/>
                <w:sz w:val="15"/>
              </w:rPr>
              <w:t>1,080.00</w:t>
            </w:r>
          </w:p>
        </w:tc>
        <w:tc>
          <w:tcPr>
            <w:tcW w:type="dxa" w:w="1440"/>
            <w:shd w:val="clear" w:color="auto" w:fill="EFEFEF"/>
          </w:tcPr>
          <w:p>
            <w:pPr>
              <w:spacing w:line="240" w:lineRule="auto" w:before="40" w:after="40"/>
              <w:jc w:val="right"/>
            </w:pPr>
            <w:r/>
            <w:r>
              <w:rPr>
                <w:b w:val="0"/>
                <w:i w:val="0"/>
                <w:sz w:val="15"/>
              </w:rPr>
              <w:t>233,150.40</w:t>
            </w:r>
          </w:p>
        </w:tc>
      </w:tr>
      <w:tr>
        <w:tc>
          <w:tcPr>
            <w:tcW w:type="dxa" w:w="1080"/>
          </w:tcPr>
          <w:p>
            <w:pPr>
              <w:spacing w:line="240" w:lineRule="auto" w:before="40" w:after="40"/>
              <w:jc w:val="left"/>
            </w:pPr>
            <w:r/>
            <w:r>
              <w:rPr>
                <w:b w:val="0"/>
                <w:i w:val="0"/>
                <w:sz w:val="15"/>
              </w:rPr>
              <w:t>1046 (2)</w:t>
            </w:r>
          </w:p>
        </w:tc>
        <w:tc>
          <w:tcPr>
            <w:tcW w:type="dxa" w:w="4104"/>
          </w:tcPr>
          <w:p>
            <w:pPr>
              <w:spacing w:line="240" w:lineRule="auto" w:before="40" w:after="40"/>
              <w:jc w:val="left"/>
            </w:pPr>
            <w:r/>
            <w:r>
              <w:rPr>
                <w:b w:val="0"/>
                <w:i w:val="0"/>
                <w:sz w:val="15"/>
              </w:rPr>
              <w:t>CHB masonry 100 mm (partitions)</w:t>
            </w:r>
          </w:p>
        </w:tc>
        <w:tc>
          <w:tcPr>
            <w:tcW w:type="dxa" w:w="1008"/>
          </w:tcPr>
          <w:p>
            <w:pPr>
              <w:spacing w:line="240" w:lineRule="auto" w:before="40" w:after="40"/>
              <w:jc w:val="right"/>
            </w:pPr>
            <w:r/>
            <w:r>
              <w:rPr>
                <w:b w:val="0"/>
                <w:i w:val="0"/>
                <w:sz w:val="15"/>
              </w:rPr>
              <w:t>75.90</w:t>
            </w:r>
          </w:p>
        </w:tc>
        <w:tc>
          <w:tcPr>
            <w:tcW w:type="dxa" w:w="648"/>
          </w:tcPr>
          <w:p>
            <w:pPr>
              <w:spacing w:line="240" w:lineRule="auto" w:before="40" w:after="40"/>
              <w:jc w:val="left"/>
            </w:pPr>
            <w:r/>
            <w:r>
              <w:rPr>
                <w:b w:val="0"/>
                <w:i w:val="0"/>
                <w:sz w:val="15"/>
              </w:rPr>
              <w:t>m²</w:t>
            </w:r>
          </w:p>
        </w:tc>
        <w:tc>
          <w:tcPr>
            <w:tcW w:type="dxa" w:w="1152"/>
          </w:tcPr>
          <w:p>
            <w:pPr>
              <w:spacing w:line="240" w:lineRule="auto" w:before="40" w:after="40"/>
              <w:jc w:val="right"/>
            </w:pPr>
            <w:r/>
            <w:r>
              <w:rPr>
                <w:b w:val="0"/>
                <w:i w:val="0"/>
                <w:sz w:val="15"/>
              </w:rPr>
              <w:t>880.00</w:t>
            </w:r>
          </w:p>
        </w:tc>
        <w:tc>
          <w:tcPr>
            <w:tcW w:type="dxa" w:w="1440"/>
          </w:tcPr>
          <w:p>
            <w:pPr>
              <w:spacing w:line="240" w:lineRule="auto" w:before="40" w:after="40"/>
              <w:jc w:val="right"/>
            </w:pPr>
            <w:r/>
            <w:r>
              <w:rPr>
                <w:b w:val="0"/>
                <w:i w:val="0"/>
                <w:sz w:val="15"/>
              </w:rPr>
              <w:t>66,794.11</w:t>
            </w:r>
          </w:p>
        </w:tc>
      </w:tr>
      <w:tr>
        <w:tc>
          <w:tcPr>
            <w:tcW w:type="dxa" w:w="1080"/>
            <w:shd w:val="clear" w:color="auto" w:fill="EFEFEF"/>
          </w:tcPr>
          <w:p>
            <w:pPr>
              <w:spacing w:line="240" w:lineRule="auto" w:before="40" w:after="40"/>
              <w:jc w:val="left"/>
            </w:pPr>
            <w:r/>
            <w:r>
              <w:rPr>
                <w:b w:val="0"/>
                <w:i w:val="0"/>
                <w:sz w:val="15"/>
              </w:rPr>
              <w:t>1027 (1)</w:t>
            </w:r>
          </w:p>
        </w:tc>
        <w:tc>
          <w:tcPr>
            <w:tcW w:type="dxa" w:w="4104"/>
            <w:shd w:val="clear" w:color="auto" w:fill="EFEFEF"/>
          </w:tcPr>
          <w:p>
            <w:pPr>
              <w:spacing w:line="240" w:lineRule="auto" w:before="40" w:after="40"/>
              <w:jc w:val="left"/>
            </w:pPr>
            <w:r/>
            <w:r>
              <w:rPr>
                <w:b w:val="0"/>
                <w:i w:val="0"/>
                <w:sz w:val="15"/>
              </w:rPr>
              <w:t>Cement plaster finish</w:t>
            </w:r>
          </w:p>
        </w:tc>
        <w:tc>
          <w:tcPr>
            <w:tcW w:type="dxa" w:w="1008"/>
            <w:shd w:val="clear" w:color="auto" w:fill="EFEFEF"/>
          </w:tcPr>
          <w:p>
            <w:pPr>
              <w:spacing w:line="240" w:lineRule="auto" w:before="40" w:after="40"/>
              <w:jc w:val="right"/>
            </w:pPr>
            <w:r/>
            <w:r>
              <w:rPr>
                <w:b w:val="0"/>
                <w:i w:val="0"/>
                <w:sz w:val="15"/>
              </w:rPr>
              <w:t>641.92</w:t>
            </w:r>
          </w:p>
        </w:tc>
        <w:tc>
          <w:tcPr>
            <w:tcW w:type="dxa" w:w="648"/>
            <w:shd w:val="clear" w:color="auto" w:fill="EFEFEF"/>
          </w:tcPr>
          <w:p>
            <w:pPr>
              <w:spacing w:line="240" w:lineRule="auto" w:before="40" w:after="40"/>
              <w:jc w:val="left"/>
            </w:pPr>
            <w:r/>
            <w:r>
              <w:rPr>
                <w:b w:val="0"/>
                <w:i w:val="0"/>
                <w:sz w:val="15"/>
              </w:rPr>
              <w:t>m²</w:t>
            </w:r>
          </w:p>
        </w:tc>
        <w:tc>
          <w:tcPr>
            <w:tcW w:type="dxa" w:w="1152"/>
            <w:shd w:val="clear" w:color="auto" w:fill="EFEFEF"/>
          </w:tcPr>
          <w:p>
            <w:pPr>
              <w:spacing w:line="240" w:lineRule="auto" w:before="40" w:after="40"/>
              <w:jc w:val="right"/>
            </w:pPr>
            <w:r/>
            <w:r>
              <w:rPr>
                <w:b w:val="0"/>
                <w:i w:val="0"/>
                <w:sz w:val="15"/>
              </w:rPr>
              <w:t>360.00</w:t>
            </w:r>
          </w:p>
        </w:tc>
        <w:tc>
          <w:tcPr>
            <w:tcW w:type="dxa" w:w="1440"/>
            <w:shd w:val="clear" w:color="auto" w:fill="EFEFEF"/>
          </w:tcPr>
          <w:p>
            <w:pPr>
              <w:spacing w:line="240" w:lineRule="auto" w:before="40" w:after="40"/>
              <w:jc w:val="right"/>
            </w:pPr>
            <w:r/>
            <w:r>
              <w:rPr>
                <w:b w:val="0"/>
                <w:i w:val="0"/>
                <w:sz w:val="15"/>
              </w:rPr>
              <w:t>231,091.66</w:t>
            </w:r>
          </w:p>
        </w:tc>
      </w:tr>
      <w:tr>
        <w:tc>
          <w:tcPr>
            <w:tcW w:type="dxa" w:w="1080"/>
          </w:tcPr>
          <w:p>
            <w:pPr>
              <w:spacing w:line="240" w:lineRule="auto" w:before="40" w:after="40"/>
              <w:jc w:val="left"/>
            </w:pPr>
            <w:r/>
            <w:r>
              <w:rPr>
                <w:b w:val="0"/>
                <w:i w:val="0"/>
                <w:sz w:val="15"/>
              </w:rPr>
              <w:t>1032 (1)</w:t>
            </w:r>
          </w:p>
        </w:tc>
        <w:tc>
          <w:tcPr>
            <w:tcW w:type="dxa" w:w="4104"/>
          </w:tcPr>
          <w:p>
            <w:pPr>
              <w:spacing w:line="240" w:lineRule="auto" w:before="40" w:after="40"/>
              <w:jc w:val="left"/>
            </w:pPr>
            <w:r/>
            <w:r>
              <w:rPr>
                <w:b w:val="0"/>
                <w:i w:val="0"/>
                <w:sz w:val="15"/>
              </w:rPr>
              <w:t>Painting works, masonry/concrete (acrylic, 3 coats)</w:t>
            </w:r>
          </w:p>
        </w:tc>
        <w:tc>
          <w:tcPr>
            <w:tcW w:type="dxa" w:w="1008"/>
          </w:tcPr>
          <w:p>
            <w:pPr>
              <w:spacing w:line="240" w:lineRule="auto" w:before="40" w:after="40"/>
              <w:jc w:val="right"/>
            </w:pPr>
            <w:r/>
            <w:r>
              <w:rPr>
                <w:b w:val="0"/>
                <w:i w:val="0"/>
                <w:sz w:val="15"/>
              </w:rPr>
              <w:t>966.82</w:t>
            </w:r>
          </w:p>
        </w:tc>
        <w:tc>
          <w:tcPr>
            <w:tcW w:type="dxa" w:w="648"/>
          </w:tcPr>
          <w:p>
            <w:pPr>
              <w:spacing w:line="240" w:lineRule="auto" w:before="40" w:after="40"/>
              <w:jc w:val="left"/>
            </w:pPr>
            <w:r/>
            <w:r>
              <w:rPr>
                <w:b w:val="0"/>
                <w:i w:val="0"/>
                <w:sz w:val="15"/>
              </w:rPr>
              <w:t>m²</w:t>
            </w:r>
          </w:p>
        </w:tc>
        <w:tc>
          <w:tcPr>
            <w:tcW w:type="dxa" w:w="1152"/>
          </w:tcPr>
          <w:p>
            <w:pPr>
              <w:spacing w:line="240" w:lineRule="auto" w:before="40" w:after="40"/>
              <w:jc w:val="right"/>
            </w:pPr>
            <w:r/>
            <w:r>
              <w:rPr>
                <w:b w:val="0"/>
                <w:i w:val="0"/>
                <w:sz w:val="15"/>
              </w:rPr>
              <w:t>230.00</w:t>
            </w:r>
          </w:p>
        </w:tc>
        <w:tc>
          <w:tcPr>
            <w:tcW w:type="dxa" w:w="1440"/>
          </w:tcPr>
          <w:p>
            <w:pPr>
              <w:spacing w:line="240" w:lineRule="auto" w:before="40" w:after="40"/>
              <w:jc w:val="right"/>
            </w:pPr>
            <w:r/>
            <w:r>
              <w:rPr>
                <w:b w:val="0"/>
                <w:i w:val="0"/>
                <w:sz w:val="15"/>
              </w:rPr>
              <w:t>222,368.89</w:t>
            </w:r>
          </w:p>
        </w:tc>
      </w:tr>
      <w:tr>
        <w:tc>
          <w:tcPr>
            <w:tcW w:type="dxa" w:w="1080"/>
            <w:shd w:val="clear" w:color="auto" w:fill="EFEFEF"/>
          </w:tcPr>
          <w:p>
            <w:pPr>
              <w:spacing w:line="240" w:lineRule="auto" w:before="40" w:after="40"/>
              <w:jc w:val="left"/>
            </w:pPr>
            <w:r/>
            <w:r>
              <w:rPr>
                <w:b w:val="0"/>
                <w:i w:val="0"/>
                <w:sz w:val="15"/>
              </w:rPr>
              <w:t>1047 (3)</w:t>
            </w:r>
          </w:p>
        </w:tc>
        <w:tc>
          <w:tcPr>
            <w:tcW w:type="dxa" w:w="4104"/>
            <w:shd w:val="clear" w:color="auto" w:fill="EFEFEF"/>
          </w:tcPr>
          <w:p>
            <w:pPr>
              <w:spacing w:line="240" w:lineRule="auto" w:before="40" w:after="40"/>
              <w:jc w:val="left"/>
            </w:pPr>
            <w:r/>
            <w:r>
              <w:rPr>
                <w:b w:val="0"/>
                <w:i w:val="0"/>
                <w:sz w:val="15"/>
              </w:rPr>
              <w:t>Structural steel trusses &amp; purlins, fabricated &amp; installed</w:t>
            </w:r>
          </w:p>
        </w:tc>
        <w:tc>
          <w:tcPr>
            <w:tcW w:type="dxa" w:w="1008"/>
            <w:shd w:val="clear" w:color="auto" w:fill="EFEFEF"/>
          </w:tcPr>
          <w:p>
            <w:pPr>
              <w:spacing w:line="240" w:lineRule="auto" w:before="40" w:after="40"/>
              <w:jc w:val="right"/>
            </w:pPr>
            <w:r/>
            <w:r>
              <w:rPr>
                <w:b w:val="0"/>
                <w:i w:val="0"/>
                <w:sz w:val="15"/>
              </w:rPr>
              <w:t>4,727.29</w:t>
            </w:r>
          </w:p>
        </w:tc>
        <w:tc>
          <w:tcPr>
            <w:tcW w:type="dxa" w:w="648"/>
            <w:shd w:val="clear" w:color="auto" w:fill="EFEFEF"/>
          </w:tcPr>
          <w:p>
            <w:pPr>
              <w:spacing w:line="240" w:lineRule="auto" w:before="40" w:after="40"/>
              <w:jc w:val="left"/>
            </w:pPr>
            <w:r/>
            <w:r>
              <w:rPr>
                <w:b w:val="0"/>
                <w:i w:val="0"/>
                <w:sz w:val="15"/>
              </w:rPr>
              <w:t>kg</w:t>
            </w:r>
          </w:p>
        </w:tc>
        <w:tc>
          <w:tcPr>
            <w:tcW w:type="dxa" w:w="1152"/>
            <w:shd w:val="clear" w:color="auto" w:fill="EFEFEF"/>
          </w:tcPr>
          <w:p>
            <w:pPr>
              <w:spacing w:line="240" w:lineRule="auto" w:before="40" w:after="40"/>
              <w:jc w:val="right"/>
            </w:pPr>
            <w:r/>
            <w:r>
              <w:rPr>
                <w:b w:val="0"/>
                <w:i w:val="0"/>
                <w:sz w:val="15"/>
              </w:rPr>
              <w:t>140.00</w:t>
            </w:r>
          </w:p>
        </w:tc>
        <w:tc>
          <w:tcPr>
            <w:tcW w:type="dxa" w:w="1440"/>
            <w:shd w:val="clear" w:color="auto" w:fill="EFEFEF"/>
          </w:tcPr>
          <w:p>
            <w:pPr>
              <w:spacing w:line="240" w:lineRule="auto" w:before="40" w:after="40"/>
              <w:jc w:val="right"/>
            </w:pPr>
            <w:r/>
            <w:r>
              <w:rPr>
                <w:b w:val="0"/>
                <w:i w:val="0"/>
                <w:sz w:val="15"/>
              </w:rPr>
              <w:t>661,820.99</w:t>
            </w:r>
          </w:p>
        </w:tc>
      </w:tr>
      <w:tr>
        <w:tc>
          <w:tcPr>
            <w:tcW w:type="dxa" w:w="1080"/>
          </w:tcPr>
          <w:p>
            <w:pPr>
              <w:spacing w:line="240" w:lineRule="auto" w:before="40" w:after="40"/>
              <w:jc w:val="left"/>
            </w:pPr>
            <w:r/>
            <w:r>
              <w:rPr>
                <w:b w:val="0"/>
                <w:i w:val="0"/>
                <w:sz w:val="15"/>
              </w:rPr>
              <w:t>1013 (2)</w:t>
            </w:r>
          </w:p>
        </w:tc>
        <w:tc>
          <w:tcPr>
            <w:tcW w:type="dxa" w:w="4104"/>
          </w:tcPr>
          <w:p>
            <w:pPr>
              <w:spacing w:line="240" w:lineRule="auto" w:before="40" w:after="40"/>
              <w:jc w:val="left"/>
            </w:pPr>
            <w:r/>
            <w:r>
              <w:rPr>
                <w:b w:val="0"/>
                <w:i w:val="0"/>
                <w:sz w:val="15"/>
              </w:rPr>
              <w:t>Pre-painted long-span metal roofing 0.50 mm, incl. accessories</w:t>
            </w:r>
          </w:p>
        </w:tc>
        <w:tc>
          <w:tcPr>
            <w:tcW w:type="dxa" w:w="1008"/>
          </w:tcPr>
          <w:p>
            <w:pPr>
              <w:spacing w:line="240" w:lineRule="auto" w:before="40" w:after="40"/>
              <w:jc w:val="right"/>
            </w:pPr>
            <w:r/>
            <w:r>
              <w:rPr>
                <w:b w:val="0"/>
                <w:i w:val="0"/>
                <w:sz w:val="15"/>
              </w:rPr>
              <w:t>247.02</w:t>
            </w:r>
          </w:p>
        </w:tc>
        <w:tc>
          <w:tcPr>
            <w:tcW w:type="dxa" w:w="648"/>
          </w:tcPr>
          <w:p>
            <w:pPr>
              <w:spacing w:line="240" w:lineRule="auto" w:before="40" w:after="40"/>
              <w:jc w:val="left"/>
            </w:pPr>
            <w:r/>
            <w:r>
              <w:rPr>
                <w:b w:val="0"/>
                <w:i w:val="0"/>
                <w:sz w:val="15"/>
              </w:rPr>
              <w:t>m²</w:t>
            </w:r>
          </w:p>
        </w:tc>
        <w:tc>
          <w:tcPr>
            <w:tcW w:type="dxa" w:w="1152"/>
          </w:tcPr>
          <w:p>
            <w:pPr>
              <w:spacing w:line="240" w:lineRule="auto" w:before="40" w:after="40"/>
              <w:jc w:val="right"/>
            </w:pPr>
            <w:r/>
            <w:r>
              <w:rPr>
                <w:b w:val="0"/>
                <w:i w:val="0"/>
                <w:sz w:val="15"/>
              </w:rPr>
              <w:t>760.00</w:t>
            </w:r>
          </w:p>
        </w:tc>
        <w:tc>
          <w:tcPr>
            <w:tcW w:type="dxa" w:w="1440"/>
          </w:tcPr>
          <w:p>
            <w:pPr>
              <w:spacing w:line="240" w:lineRule="auto" w:before="40" w:after="40"/>
              <w:jc w:val="right"/>
            </w:pPr>
            <w:r/>
            <w:r>
              <w:rPr>
                <w:b w:val="0"/>
                <w:i w:val="0"/>
                <w:sz w:val="15"/>
              </w:rPr>
              <w:t>187,732.82</w:t>
            </w:r>
          </w:p>
        </w:tc>
      </w:tr>
      <w:tr>
        <w:tc>
          <w:tcPr>
            <w:tcW w:type="dxa" w:w="1080"/>
            <w:shd w:val="clear" w:color="auto" w:fill="EFEFEF"/>
          </w:tcPr>
          <w:p>
            <w:pPr>
              <w:spacing w:line="240" w:lineRule="auto" w:before="40" w:after="40"/>
              <w:jc w:val="left"/>
            </w:pPr>
            <w:r/>
            <w:r>
              <w:rPr>
                <w:b w:val="0"/>
                <w:i w:val="0"/>
                <w:sz w:val="15"/>
              </w:rPr>
              <w:t>1013 (5)</w:t>
            </w:r>
          </w:p>
        </w:tc>
        <w:tc>
          <w:tcPr>
            <w:tcW w:type="dxa" w:w="4104"/>
            <w:shd w:val="clear" w:color="auto" w:fill="EFEFEF"/>
          </w:tcPr>
          <w:p>
            <w:pPr>
              <w:spacing w:line="240" w:lineRule="auto" w:before="40" w:after="40"/>
              <w:jc w:val="left"/>
            </w:pPr>
            <w:r/>
            <w:r>
              <w:rPr>
                <w:b w:val="0"/>
                <w:i w:val="0"/>
                <w:sz w:val="15"/>
              </w:rPr>
              <w:t>Gutters, flashing &amp; downspouts</w:t>
            </w:r>
          </w:p>
        </w:tc>
        <w:tc>
          <w:tcPr>
            <w:tcW w:type="dxa" w:w="1008"/>
            <w:shd w:val="clear" w:color="auto" w:fill="EFEFEF"/>
          </w:tcPr>
          <w:p>
            <w:pPr>
              <w:spacing w:line="240" w:lineRule="auto" w:before="40" w:after="40"/>
              <w:jc w:val="right"/>
            </w:pPr>
            <w:r/>
            <w:r>
              <w:rPr>
                <w:b w:val="0"/>
                <w:i w:val="0"/>
                <w:sz w:val="15"/>
              </w:rPr>
              <w:t>63.60</w:t>
            </w:r>
          </w:p>
        </w:tc>
        <w:tc>
          <w:tcPr>
            <w:tcW w:type="dxa" w:w="648"/>
            <w:shd w:val="clear" w:color="auto" w:fill="EFEFEF"/>
          </w:tcPr>
          <w:p>
            <w:pPr>
              <w:spacing w:line="240" w:lineRule="auto" w:before="40" w:after="40"/>
              <w:jc w:val="left"/>
            </w:pPr>
            <w:r/>
            <w:r>
              <w:rPr>
                <w:b w:val="0"/>
                <w:i w:val="0"/>
                <w:sz w:val="15"/>
              </w:rPr>
              <w:t>m</w:t>
            </w:r>
          </w:p>
        </w:tc>
        <w:tc>
          <w:tcPr>
            <w:tcW w:type="dxa" w:w="1152"/>
            <w:shd w:val="clear" w:color="auto" w:fill="EFEFEF"/>
          </w:tcPr>
          <w:p>
            <w:pPr>
              <w:spacing w:line="240" w:lineRule="auto" w:before="40" w:after="40"/>
              <w:jc w:val="right"/>
            </w:pPr>
            <w:r/>
            <w:r>
              <w:rPr>
                <w:b w:val="0"/>
                <w:i w:val="0"/>
                <w:sz w:val="15"/>
              </w:rPr>
              <w:t>950.00</w:t>
            </w:r>
          </w:p>
        </w:tc>
        <w:tc>
          <w:tcPr>
            <w:tcW w:type="dxa" w:w="1440"/>
            <w:shd w:val="clear" w:color="auto" w:fill="EFEFEF"/>
          </w:tcPr>
          <w:p>
            <w:pPr>
              <w:spacing w:line="240" w:lineRule="auto" w:before="40" w:after="40"/>
              <w:jc w:val="right"/>
            </w:pPr>
            <w:r/>
            <w:r>
              <w:rPr>
                <w:b w:val="0"/>
                <w:i w:val="0"/>
                <w:sz w:val="15"/>
              </w:rPr>
              <w:t>60,420.00</w:t>
            </w:r>
          </w:p>
        </w:tc>
      </w:tr>
      <w:tr>
        <w:tc>
          <w:tcPr>
            <w:tcW w:type="dxa" w:w="1080"/>
          </w:tcPr>
          <w:p>
            <w:pPr>
              <w:spacing w:line="240" w:lineRule="auto" w:before="40" w:after="40"/>
              <w:jc w:val="left"/>
            </w:pPr>
            <w:r/>
            <w:r>
              <w:rPr>
                <w:b w:val="0"/>
                <w:i w:val="0"/>
                <w:sz w:val="15"/>
              </w:rPr>
              <w:t>—</w:t>
            </w:r>
          </w:p>
        </w:tc>
        <w:tc>
          <w:tcPr>
            <w:tcW w:type="dxa" w:w="4104"/>
          </w:tcPr>
          <w:p>
            <w:pPr>
              <w:spacing w:line="240" w:lineRule="auto" w:before="40" w:after="40"/>
              <w:jc w:val="left"/>
            </w:pPr>
            <w:r/>
            <w:r>
              <w:rPr>
                <w:b w:val="0"/>
                <w:i w:val="0"/>
                <w:sz w:val="15"/>
              </w:rPr>
              <w:t>Roof insulation, fascia &amp; eaves soffit</w:t>
            </w:r>
          </w:p>
        </w:tc>
        <w:tc>
          <w:tcPr>
            <w:tcW w:type="dxa" w:w="1008"/>
          </w:tcPr>
          <w:p>
            <w:pPr>
              <w:spacing w:line="240" w:lineRule="auto" w:before="40" w:after="40"/>
              <w:jc w:val="right"/>
            </w:pPr>
            <w:r/>
            <w:r>
              <w:rPr>
                <w:b w:val="0"/>
                <w:i w:val="0"/>
                <w:sz w:val="15"/>
              </w:rPr>
              <w:t>247.02</w:t>
            </w:r>
          </w:p>
        </w:tc>
        <w:tc>
          <w:tcPr>
            <w:tcW w:type="dxa" w:w="648"/>
          </w:tcPr>
          <w:p>
            <w:pPr>
              <w:spacing w:line="240" w:lineRule="auto" w:before="40" w:after="40"/>
              <w:jc w:val="left"/>
            </w:pPr>
            <w:r/>
            <w:r>
              <w:rPr>
                <w:b w:val="0"/>
                <w:i w:val="0"/>
                <w:sz w:val="15"/>
              </w:rPr>
              <w:t>m²</w:t>
            </w:r>
          </w:p>
        </w:tc>
        <w:tc>
          <w:tcPr>
            <w:tcW w:type="dxa" w:w="1152"/>
          </w:tcPr>
          <w:p>
            <w:pPr>
              <w:spacing w:line="240" w:lineRule="auto" w:before="40" w:after="40"/>
              <w:jc w:val="right"/>
            </w:pPr>
            <w:r/>
            <w:r>
              <w:rPr>
                <w:b w:val="0"/>
                <w:i w:val="0"/>
                <w:sz w:val="15"/>
              </w:rPr>
              <w:t>420.00</w:t>
            </w:r>
          </w:p>
        </w:tc>
        <w:tc>
          <w:tcPr>
            <w:tcW w:type="dxa" w:w="1440"/>
          </w:tcPr>
          <w:p>
            <w:pPr>
              <w:spacing w:line="240" w:lineRule="auto" w:before="40" w:after="40"/>
              <w:jc w:val="right"/>
            </w:pPr>
            <w:r/>
            <w:r>
              <w:rPr>
                <w:b w:val="0"/>
                <w:i w:val="0"/>
                <w:sz w:val="15"/>
              </w:rPr>
              <w:t>103,747.08</w:t>
            </w:r>
          </w:p>
        </w:tc>
      </w:tr>
      <w:tr>
        <w:tc>
          <w:tcPr>
            <w:tcW w:type="dxa" w:w="1080"/>
            <w:shd w:val="clear" w:color="auto" w:fill="EFEFEF"/>
          </w:tcPr>
          <w:p>
            <w:pPr>
              <w:spacing w:line="240" w:lineRule="auto" w:before="40" w:after="40"/>
              <w:jc w:val="left"/>
            </w:pPr>
            <w:r/>
            <w:r>
              <w:rPr>
                <w:b w:val="0"/>
                <w:i w:val="0"/>
                <w:sz w:val="15"/>
              </w:rPr>
              <w:t>1047 (5)</w:t>
            </w:r>
          </w:p>
        </w:tc>
        <w:tc>
          <w:tcPr>
            <w:tcW w:type="dxa" w:w="4104"/>
            <w:shd w:val="clear" w:color="auto" w:fill="EFEFEF"/>
          </w:tcPr>
          <w:p>
            <w:pPr>
              <w:spacing w:line="240" w:lineRule="auto" w:before="40" w:after="40"/>
              <w:jc w:val="left"/>
            </w:pPr>
            <w:r/>
            <w:r>
              <w:rPr>
                <w:b w:val="0"/>
                <w:i w:val="0"/>
                <w:sz w:val="15"/>
              </w:rPr>
              <w:t>Steel railings — corridors, balconies &amp; stairs</w:t>
            </w:r>
          </w:p>
        </w:tc>
        <w:tc>
          <w:tcPr>
            <w:tcW w:type="dxa" w:w="1008"/>
            <w:shd w:val="clear" w:color="auto" w:fill="EFEFEF"/>
          </w:tcPr>
          <w:p>
            <w:pPr>
              <w:spacing w:line="240" w:lineRule="auto" w:before="40" w:after="40"/>
              <w:jc w:val="right"/>
            </w:pPr>
            <w:r/>
            <w:r>
              <w:rPr>
                <w:b w:val="0"/>
                <w:i w:val="0"/>
                <w:sz w:val="15"/>
              </w:rPr>
              <w:t>27.00</w:t>
            </w:r>
          </w:p>
        </w:tc>
        <w:tc>
          <w:tcPr>
            <w:tcW w:type="dxa" w:w="648"/>
            <w:shd w:val="clear" w:color="auto" w:fill="EFEFEF"/>
          </w:tcPr>
          <w:p>
            <w:pPr>
              <w:spacing w:line="240" w:lineRule="auto" w:before="40" w:after="40"/>
              <w:jc w:val="left"/>
            </w:pPr>
            <w:r/>
            <w:r>
              <w:rPr>
                <w:b w:val="0"/>
                <w:i w:val="0"/>
                <w:sz w:val="15"/>
              </w:rPr>
              <w:t>m</w:t>
            </w:r>
          </w:p>
        </w:tc>
        <w:tc>
          <w:tcPr>
            <w:tcW w:type="dxa" w:w="1152"/>
            <w:shd w:val="clear" w:color="auto" w:fill="EFEFEF"/>
          </w:tcPr>
          <w:p>
            <w:pPr>
              <w:spacing w:line="240" w:lineRule="auto" w:before="40" w:after="40"/>
              <w:jc w:val="right"/>
            </w:pPr>
            <w:r/>
            <w:r>
              <w:rPr>
                <w:b w:val="0"/>
                <w:i w:val="0"/>
                <w:sz w:val="15"/>
              </w:rPr>
              <w:t>4,800.00</w:t>
            </w:r>
          </w:p>
        </w:tc>
        <w:tc>
          <w:tcPr>
            <w:tcW w:type="dxa" w:w="1440"/>
            <w:shd w:val="clear" w:color="auto" w:fill="EFEFEF"/>
          </w:tcPr>
          <w:p>
            <w:pPr>
              <w:spacing w:line="240" w:lineRule="auto" w:before="40" w:after="40"/>
              <w:jc w:val="right"/>
            </w:pPr>
            <w:r/>
            <w:r>
              <w:rPr>
                <w:b w:val="0"/>
                <w:i w:val="0"/>
                <w:sz w:val="15"/>
              </w:rPr>
              <w:t>129,600.00</w:t>
            </w:r>
          </w:p>
        </w:tc>
      </w:tr>
      <w:tr>
        <w:tc>
          <w:tcPr>
            <w:tcW w:type="dxa" w:w="1080"/>
          </w:tcPr>
          <w:p>
            <w:pPr>
              <w:spacing w:line="240" w:lineRule="auto" w:before="40" w:after="40"/>
              <w:jc w:val="left"/>
            </w:pPr>
            <w:r/>
            <w:r>
              <w:rPr>
                <w:b w:val="0"/>
                <w:i w:val="0"/>
                <w:sz w:val="15"/>
              </w:rPr>
              <w:t>—</w:t>
            </w:r>
          </w:p>
        </w:tc>
        <w:tc>
          <w:tcPr>
            <w:tcW w:type="dxa" w:w="4104"/>
          </w:tcPr>
          <w:p>
            <w:pPr>
              <w:spacing w:line="240" w:lineRule="auto" w:before="40" w:after="40"/>
              <w:jc w:val="left"/>
            </w:pPr>
            <w:r/>
            <w:r>
              <w:rPr>
                <w:b w:val="0"/>
                <w:i w:val="0"/>
                <w:sz w:val="15"/>
              </w:rPr>
              <w:t>Ceiling: fiber-cement board on metal furring</w:t>
            </w:r>
          </w:p>
        </w:tc>
        <w:tc>
          <w:tcPr>
            <w:tcW w:type="dxa" w:w="1008"/>
          </w:tcPr>
          <w:p>
            <w:pPr>
              <w:spacing w:line="240" w:lineRule="auto" w:before="40" w:after="40"/>
              <w:jc w:val="right"/>
            </w:pPr>
            <w:r/>
            <w:r>
              <w:rPr>
                <w:b w:val="0"/>
                <w:i w:val="0"/>
                <w:sz w:val="15"/>
              </w:rPr>
              <w:t>324.90</w:t>
            </w:r>
          </w:p>
        </w:tc>
        <w:tc>
          <w:tcPr>
            <w:tcW w:type="dxa" w:w="648"/>
          </w:tcPr>
          <w:p>
            <w:pPr>
              <w:spacing w:line="240" w:lineRule="auto" w:before="40" w:after="40"/>
              <w:jc w:val="left"/>
            </w:pPr>
            <w:r/>
            <w:r>
              <w:rPr>
                <w:b w:val="0"/>
                <w:i w:val="0"/>
                <w:sz w:val="15"/>
              </w:rPr>
              <w:t>m²</w:t>
            </w:r>
          </w:p>
        </w:tc>
        <w:tc>
          <w:tcPr>
            <w:tcW w:type="dxa" w:w="1152"/>
          </w:tcPr>
          <w:p>
            <w:pPr>
              <w:spacing w:line="240" w:lineRule="auto" w:before="40" w:after="40"/>
              <w:jc w:val="right"/>
            </w:pPr>
            <w:r/>
            <w:r>
              <w:rPr>
                <w:b w:val="0"/>
                <w:i w:val="0"/>
                <w:sz w:val="15"/>
              </w:rPr>
              <w:t>1,050.00</w:t>
            </w:r>
          </w:p>
        </w:tc>
        <w:tc>
          <w:tcPr>
            <w:tcW w:type="dxa" w:w="1440"/>
          </w:tcPr>
          <w:p>
            <w:pPr>
              <w:spacing w:line="240" w:lineRule="auto" w:before="40" w:after="40"/>
              <w:jc w:val="right"/>
            </w:pPr>
            <w:r/>
            <w:r>
              <w:rPr>
                <w:b w:val="0"/>
                <w:i w:val="0"/>
                <w:sz w:val="15"/>
              </w:rPr>
              <w:t>341,145.00</w:t>
            </w:r>
          </w:p>
        </w:tc>
      </w:tr>
      <w:tr>
        <w:tc>
          <w:tcPr>
            <w:tcW w:type="dxa" w:w="1080"/>
            <w:shd w:val="clear" w:color="auto" w:fill="EFEFEF"/>
          </w:tcPr>
          <w:p>
            <w:pPr>
              <w:spacing w:line="240" w:lineRule="auto" w:before="40" w:after="40"/>
              <w:jc w:val="left"/>
            </w:pPr>
            <w:r/>
            <w:r>
              <w:rPr>
                <w:b w:val="0"/>
                <w:i w:val="0"/>
                <w:sz w:val="15"/>
              </w:rPr>
              <w:t>1018 (2)</w:t>
            </w:r>
          </w:p>
        </w:tc>
        <w:tc>
          <w:tcPr>
            <w:tcW w:type="dxa" w:w="4104"/>
            <w:shd w:val="clear" w:color="auto" w:fill="EFEFEF"/>
          </w:tcPr>
          <w:p>
            <w:pPr>
              <w:spacing w:line="240" w:lineRule="auto" w:before="40" w:after="40"/>
              <w:jc w:val="left"/>
            </w:pPr>
            <w:r/>
            <w:r>
              <w:rPr>
                <w:b w:val="0"/>
                <w:i w:val="0"/>
                <w:sz w:val="15"/>
              </w:rPr>
              <w:t>Ceramic floor tiles 600 × 600 mm</w:t>
            </w:r>
          </w:p>
        </w:tc>
        <w:tc>
          <w:tcPr>
            <w:tcW w:type="dxa" w:w="1008"/>
            <w:shd w:val="clear" w:color="auto" w:fill="EFEFEF"/>
          </w:tcPr>
          <w:p>
            <w:pPr>
              <w:spacing w:line="240" w:lineRule="auto" w:before="40" w:after="40"/>
              <w:jc w:val="right"/>
            </w:pPr>
            <w:r/>
            <w:r>
              <w:rPr>
                <w:b w:val="0"/>
                <w:i w:val="0"/>
                <w:sz w:val="15"/>
              </w:rPr>
              <w:t>314.64</w:t>
            </w:r>
          </w:p>
        </w:tc>
        <w:tc>
          <w:tcPr>
            <w:tcW w:type="dxa" w:w="648"/>
            <w:shd w:val="clear" w:color="auto" w:fill="EFEFEF"/>
          </w:tcPr>
          <w:p>
            <w:pPr>
              <w:spacing w:line="240" w:lineRule="auto" w:before="40" w:after="40"/>
              <w:jc w:val="left"/>
            </w:pPr>
            <w:r/>
            <w:r>
              <w:rPr>
                <w:b w:val="0"/>
                <w:i w:val="0"/>
                <w:sz w:val="15"/>
              </w:rPr>
              <w:t>m²</w:t>
            </w:r>
          </w:p>
        </w:tc>
        <w:tc>
          <w:tcPr>
            <w:tcW w:type="dxa" w:w="1152"/>
            <w:shd w:val="clear" w:color="auto" w:fill="EFEFEF"/>
          </w:tcPr>
          <w:p>
            <w:pPr>
              <w:spacing w:line="240" w:lineRule="auto" w:before="40" w:after="40"/>
              <w:jc w:val="right"/>
            </w:pPr>
            <w:r/>
            <w:r>
              <w:rPr>
                <w:b w:val="0"/>
                <w:i w:val="0"/>
                <w:sz w:val="15"/>
              </w:rPr>
              <w:t>1,180.00</w:t>
            </w:r>
          </w:p>
        </w:tc>
        <w:tc>
          <w:tcPr>
            <w:tcW w:type="dxa" w:w="1440"/>
            <w:shd w:val="clear" w:color="auto" w:fill="EFEFEF"/>
          </w:tcPr>
          <w:p>
            <w:pPr>
              <w:spacing w:line="240" w:lineRule="auto" w:before="40" w:after="40"/>
              <w:jc w:val="right"/>
            </w:pPr>
            <w:r/>
            <w:r>
              <w:rPr>
                <w:b w:val="0"/>
                <w:i w:val="0"/>
                <w:sz w:val="15"/>
              </w:rPr>
              <w:t>371,275.20</w:t>
            </w:r>
          </w:p>
        </w:tc>
      </w:tr>
      <w:tr>
        <w:tc>
          <w:tcPr>
            <w:tcW w:type="dxa" w:w="1080"/>
          </w:tcPr>
          <w:p>
            <w:pPr>
              <w:spacing w:line="240" w:lineRule="auto" w:before="40" w:after="40"/>
              <w:jc w:val="left"/>
            </w:pPr>
            <w:r/>
            <w:r>
              <w:rPr>
                <w:b w:val="0"/>
                <w:i w:val="0"/>
                <w:sz w:val="15"/>
              </w:rPr>
              <w:t>1010</w:t>
            </w:r>
          </w:p>
        </w:tc>
        <w:tc>
          <w:tcPr>
            <w:tcW w:type="dxa" w:w="4104"/>
          </w:tcPr>
          <w:p>
            <w:pPr>
              <w:spacing w:line="240" w:lineRule="auto" w:before="40" w:after="40"/>
              <w:jc w:val="left"/>
            </w:pPr>
            <w:r/>
            <w:r>
              <w:rPr>
                <w:b w:val="0"/>
                <w:i w:val="0"/>
                <w:sz w:val="15"/>
              </w:rPr>
              <w:t>Doors complete with jamb &amp; hardware</w:t>
            </w:r>
          </w:p>
        </w:tc>
        <w:tc>
          <w:tcPr>
            <w:tcW w:type="dxa" w:w="1008"/>
          </w:tcPr>
          <w:p>
            <w:pPr>
              <w:spacing w:line="240" w:lineRule="auto" w:before="40" w:after="40"/>
              <w:jc w:val="right"/>
            </w:pPr>
            <w:r/>
            <w:r>
              <w:rPr>
                <w:b w:val="0"/>
                <w:i w:val="0"/>
                <w:sz w:val="15"/>
              </w:rPr>
              <w:t>14.00</w:t>
            </w:r>
          </w:p>
        </w:tc>
        <w:tc>
          <w:tcPr>
            <w:tcW w:type="dxa" w:w="648"/>
          </w:tcPr>
          <w:p>
            <w:pPr>
              <w:spacing w:line="240" w:lineRule="auto" w:before="40" w:after="40"/>
              <w:jc w:val="left"/>
            </w:pPr>
            <w:r/>
            <w:r>
              <w:rPr>
                <w:b w:val="0"/>
                <w:i w:val="0"/>
                <w:sz w:val="15"/>
              </w:rPr>
              <w:t>set</w:t>
            </w:r>
          </w:p>
        </w:tc>
        <w:tc>
          <w:tcPr>
            <w:tcW w:type="dxa" w:w="1152"/>
          </w:tcPr>
          <w:p>
            <w:pPr>
              <w:spacing w:line="240" w:lineRule="auto" w:before="40" w:after="40"/>
              <w:jc w:val="right"/>
            </w:pPr>
            <w:r/>
            <w:r>
              <w:rPr>
                <w:b w:val="0"/>
                <w:i w:val="0"/>
                <w:sz w:val="15"/>
              </w:rPr>
              <w:t>13,500.00</w:t>
            </w:r>
          </w:p>
        </w:tc>
        <w:tc>
          <w:tcPr>
            <w:tcW w:type="dxa" w:w="1440"/>
          </w:tcPr>
          <w:p>
            <w:pPr>
              <w:spacing w:line="240" w:lineRule="auto" w:before="40" w:after="40"/>
              <w:jc w:val="right"/>
            </w:pPr>
            <w:r/>
            <w:r>
              <w:rPr>
                <w:b w:val="0"/>
                <w:i w:val="0"/>
                <w:sz w:val="15"/>
              </w:rPr>
              <w:t>189,000.00</w:t>
            </w:r>
          </w:p>
        </w:tc>
      </w:tr>
      <w:tr>
        <w:tc>
          <w:tcPr>
            <w:tcW w:type="dxa" w:w="1080"/>
            <w:shd w:val="clear" w:color="auto" w:fill="EFEFEF"/>
          </w:tcPr>
          <w:p>
            <w:pPr>
              <w:spacing w:line="240" w:lineRule="auto" w:before="40" w:after="40"/>
              <w:jc w:val="left"/>
            </w:pPr>
            <w:r/>
            <w:r>
              <w:rPr>
                <w:b w:val="0"/>
                <w:i w:val="0"/>
                <w:sz w:val="15"/>
              </w:rPr>
              <w:t>1008 (1)</w:t>
            </w:r>
          </w:p>
        </w:tc>
        <w:tc>
          <w:tcPr>
            <w:tcW w:type="dxa" w:w="4104"/>
            <w:shd w:val="clear" w:color="auto" w:fill="EFEFEF"/>
          </w:tcPr>
          <w:p>
            <w:pPr>
              <w:spacing w:line="240" w:lineRule="auto" w:before="40" w:after="40"/>
              <w:jc w:val="left"/>
            </w:pPr>
            <w:r/>
            <w:r>
              <w:rPr>
                <w:b w:val="0"/>
                <w:i w:val="0"/>
                <w:sz w:val="15"/>
              </w:rPr>
              <w:t>Aluminum-framed glass windows</w:t>
            </w:r>
          </w:p>
        </w:tc>
        <w:tc>
          <w:tcPr>
            <w:tcW w:type="dxa" w:w="1008"/>
            <w:shd w:val="clear" w:color="auto" w:fill="EFEFEF"/>
          </w:tcPr>
          <w:p>
            <w:pPr>
              <w:spacing w:line="240" w:lineRule="auto" w:before="40" w:after="40"/>
              <w:jc w:val="right"/>
            </w:pPr>
            <w:r/>
            <w:r>
              <w:rPr>
                <w:b w:val="0"/>
                <w:i w:val="0"/>
                <w:sz w:val="15"/>
              </w:rPr>
              <w:t>77.00</w:t>
            </w:r>
          </w:p>
        </w:tc>
        <w:tc>
          <w:tcPr>
            <w:tcW w:type="dxa" w:w="648"/>
            <w:shd w:val="clear" w:color="auto" w:fill="EFEFEF"/>
          </w:tcPr>
          <w:p>
            <w:pPr>
              <w:spacing w:line="240" w:lineRule="auto" w:before="40" w:after="40"/>
              <w:jc w:val="left"/>
            </w:pPr>
            <w:r/>
            <w:r>
              <w:rPr>
                <w:b w:val="0"/>
                <w:i w:val="0"/>
                <w:sz w:val="15"/>
              </w:rPr>
              <w:t>m²</w:t>
            </w:r>
          </w:p>
        </w:tc>
        <w:tc>
          <w:tcPr>
            <w:tcW w:type="dxa" w:w="1152"/>
            <w:shd w:val="clear" w:color="auto" w:fill="EFEFEF"/>
          </w:tcPr>
          <w:p>
            <w:pPr>
              <w:spacing w:line="240" w:lineRule="auto" w:before="40" w:after="40"/>
              <w:jc w:val="right"/>
            </w:pPr>
            <w:r/>
            <w:r>
              <w:rPr>
                <w:b w:val="0"/>
                <w:i w:val="0"/>
                <w:sz w:val="15"/>
              </w:rPr>
              <w:t>6,200.00</w:t>
            </w:r>
          </w:p>
        </w:tc>
        <w:tc>
          <w:tcPr>
            <w:tcW w:type="dxa" w:w="1440"/>
            <w:shd w:val="clear" w:color="auto" w:fill="EFEFEF"/>
          </w:tcPr>
          <w:p>
            <w:pPr>
              <w:spacing w:line="240" w:lineRule="auto" w:before="40" w:after="40"/>
              <w:jc w:val="right"/>
            </w:pPr>
            <w:r/>
            <w:r>
              <w:rPr>
                <w:b w:val="0"/>
                <w:i w:val="0"/>
                <w:sz w:val="15"/>
              </w:rPr>
              <w:t>477,400.00</w:t>
            </w:r>
          </w:p>
        </w:tc>
      </w:tr>
      <w:tr>
        <w:tc>
          <w:tcPr>
            <w:tcW w:type="dxa" w:w="1080"/>
          </w:tcPr>
          <w:p>
            <w:pPr>
              <w:spacing w:line="240" w:lineRule="auto" w:before="40" w:after="40"/>
              <w:jc w:val="left"/>
            </w:pPr>
            <w:r/>
            <w:r>
              <w:rPr>
                <w:b w:val="0"/>
                <w:i w:val="0"/>
                <w:sz w:val="15"/>
              </w:rPr>
              <w:t>1100–1200</w:t>
            </w:r>
          </w:p>
        </w:tc>
        <w:tc>
          <w:tcPr>
            <w:tcW w:type="dxa" w:w="4104"/>
          </w:tcPr>
          <w:p>
            <w:pPr>
              <w:spacing w:line="240" w:lineRule="auto" w:before="40" w:after="40"/>
              <w:jc w:val="left"/>
            </w:pPr>
            <w:r/>
            <w:r>
              <w:rPr>
                <w:b w:val="0"/>
                <w:i w:val="0"/>
                <w:sz w:val="15"/>
              </w:rPr>
              <w:t>Electrical works (conduits, wires, devices, panel, fixtures)</w:t>
            </w:r>
          </w:p>
        </w:tc>
        <w:tc>
          <w:tcPr>
            <w:tcW w:type="dxa" w:w="1008"/>
          </w:tcPr>
          <w:p>
            <w:pPr>
              <w:spacing w:line="240" w:lineRule="auto" w:before="40" w:after="40"/>
              <w:jc w:val="right"/>
            </w:pPr>
            <w:r/>
            <w:r>
              <w:rPr>
                <w:b w:val="0"/>
                <w:i w:val="0"/>
                <w:sz w:val="15"/>
              </w:rPr>
              <w:t>342.00</w:t>
            </w:r>
          </w:p>
        </w:tc>
        <w:tc>
          <w:tcPr>
            <w:tcW w:type="dxa" w:w="648"/>
          </w:tcPr>
          <w:p>
            <w:pPr>
              <w:spacing w:line="240" w:lineRule="auto" w:before="40" w:after="40"/>
              <w:jc w:val="left"/>
            </w:pPr>
            <w:r/>
            <w:r>
              <w:rPr>
                <w:b w:val="0"/>
                <w:i w:val="0"/>
                <w:sz w:val="15"/>
              </w:rPr>
              <w:t>m²</w:t>
            </w:r>
          </w:p>
        </w:tc>
        <w:tc>
          <w:tcPr>
            <w:tcW w:type="dxa" w:w="1152"/>
          </w:tcPr>
          <w:p>
            <w:pPr>
              <w:spacing w:line="240" w:lineRule="auto" w:before="40" w:after="40"/>
              <w:jc w:val="right"/>
            </w:pPr>
            <w:r/>
            <w:r>
              <w:rPr>
                <w:b w:val="0"/>
                <w:i w:val="0"/>
                <w:sz w:val="15"/>
              </w:rPr>
              <w:t>1,600.00</w:t>
            </w:r>
          </w:p>
        </w:tc>
        <w:tc>
          <w:tcPr>
            <w:tcW w:type="dxa" w:w="1440"/>
          </w:tcPr>
          <w:p>
            <w:pPr>
              <w:spacing w:line="240" w:lineRule="auto" w:before="40" w:after="40"/>
              <w:jc w:val="right"/>
            </w:pPr>
            <w:r/>
            <w:r>
              <w:rPr>
                <w:b w:val="0"/>
                <w:i w:val="0"/>
                <w:sz w:val="15"/>
              </w:rPr>
              <w:t>547,200.00</w:t>
            </w:r>
          </w:p>
        </w:tc>
      </w:tr>
      <w:tr>
        <w:tc>
          <w:tcPr>
            <w:tcW w:type="dxa" w:w="1080"/>
            <w:shd w:val="clear" w:color="auto" w:fill="EFEFEF"/>
          </w:tcPr>
          <w:p>
            <w:pPr>
              <w:spacing w:line="240" w:lineRule="auto" w:before="40" w:after="40"/>
              <w:jc w:val="left"/>
            </w:pPr>
            <w:r/>
            <w:r>
              <w:rPr>
                <w:b w:val="0"/>
                <w:i w:val="0"/>
                <w:sz w:val="15"/>
              </w:rPr>
              <w:t>1001–1002</w:t>
            </w:r>
          </w:p>
        </w:tc>
        <w:tc>
          <w:tcPr>
            <w:tcW w:type="dxa" w:w="4104"/>
            <w:shd w:val="clear" w:color="auto" w:fill="EFEFEF"/>
          </w:tcPr>
          <w:p>
            <w:pPr>
              <w:spacing w:line="240" w:lineRule="auto" w:before="40" w:after="40"/>
              <w:jc w:val="left"/>
            </w:pPr>
            <w:r/>
            <w:r>
              <w:rPr>
                <w:b w:val="0"/>
                <w:i w:val="0"/>
                <w:sz w:val="15"/>
              </w:rPr>
              <w:t>Plumbing &amp; sanitary works incl. fixtures</w:t>
            </w:r>
          </w:p>
        </w:tc>
        <w:tc>
          <w:tcPr>
            <w:tcW w:type="dxa" w:w="1008"/>
            <w:shd w:val="clear" w:color="auto" w:fill="EFEFEF"/>
          </w:tcPr>
          <w:p>
            <w:pPr>
              <w:spacing w:line="240" w:lineRule="auto" w:before="40" w:after="40"/>
              <w:jc w:val="right"/>
            </w:pPr>
            <w:r/>
            <w:r>
              <w:rPr>
                <w:b w:val="0"/>
                <w:i w:val="0"/>
                <w:sz w:val="15"/>
              </w:rPr>
              <w:t>342.00</w:t>
            </w:r>
          </w:p>
        </w:tc>
        <w:tc>
          <w:tcPr>
            <w:tcW w:type="dxa" w:w="648"/>
            <w:shd w:val="clear" w:color="auto" w:fill="EFEFEF"/>
          </w:tcPr>
          <w:p>
            <w:pPr>
              <w:spacing w:line="240" w:lineRule="auto" w:before="40" w:after="40"/>
              <w:jc w:val="left"/>
            </w:pPr>
            <w:r/>
            <w:r>
              <w:rPr>
                <w:b w:val="0"/>
                <w:i w:val="0"/>
                <w:sz w:val="15"/>
              </w:rPr>
              <w:t>m²</w:t>
            </w:r>
          </w:p>
        </w:tc>
        <w:tc>
          <w:tcPr>
            <w:tcW w:type="dxa" w:w="1152"/>
            <w:shd w:val="clear" w:color="auto" w:fill="EFEFEF"/>
          </w:tcPr>
          <w:p>
            <w:pPr>
              <w:spacing w:line="240" w:lineRule="auto" w:before="40" w:after="40"/>
              <w:jc w:val="right"/>
            </w:pPr>
            <w:r/>
            <w:r>
              <w:rPr>
                <w:b w:val="0"/>
                <w:i w:val="0"/>
                <w:sz w:val="15"/>
              </w:rPr>
              <w:t>1,400.00</w:t>
            </w:r>
          </w:p>
        </w:tc>
        <w:tc>
          <w:tcPr>
            <w:tcW w:type="dxa" w:w="1440"/>
            <w:shd w:val="clear" w:color="auto" w:fill="EFEFEF"/>
          </w:tcPr>
          <w:p>
            <w:pPr>
              <w:spacing w:line="240" w:lineRule="auto" w:before="40" w:after="40"/>
              <w:jc w:val="right"/>
            </w:pPr>
            <w:r/>
            <w:r>
              <w:rPr>
                <w:b w:val="0"/>
                <w:i w:val="0"/>
                <w:sz w:val="15"/>
              </w:rPr>
              <w:t>478,800.00</w:t>
            </w:r>
          </w:p>
        </w:tc>
      </w:tr>
      <w:tr>
        <w:tc>
          <w:tcPr>
            <w:tcW w:type="dxa" w:w="1080"/>
          </w:tcPr>
          <w:p>
            <w:pPr>
              <w:spacing w:line="240" w:lineRule="auto" w:before="40" w:after="40"/>
              <w:jc w:val="left"/>
            </w:pPr>
            <w:r/>
            <w:r>
              <w:rPr>
                <w:b w:val="0"/>
                <w:i w:val="0"/>
                <w:sz w:val="15"/>
              </w:rPr>
              <w:t>—</w:t>
            </w:r>
          </w:p>
        </w:tc>
        <w:tc>
          <w:tcPr>
            <w:tcW w:type="dxa" w:w="4104"/>
          </w:tcPr>
          <w:p>
            <w:pPr>
              <w:spacing w:line="240" w:lineRule="auto" w:before="40" w:after="40"/>
              <w:jc w:val="left"/>
            </w:pPr>
            <w:r/>
            <w:r>
              <w:rPr>
                <w:b w:val="0"/>
                <w:i w:val="0"/>
                <w:sz w:val="15"/>
              </w:rPr>
              <w:t>Fire extinguishers, alarm &amp; detection (RA 9514)</w:t>
            </w:r>
          </w:p>
        </w:tc>
        <w:tc>
          <w:tcPr>
            <w:tcW w:type="dxa" w:w="1008"/>
          </w:tcPr>
          <w:p>
            <w:pPr>
              <w:spacing w:line="240" w:lineRule="auto" w:before="40" w:after="40"/>
              <w:jc w:val="right"/>
            </w:pPr>
            <w:r/>
            <w:r>
              <w:rPr>
                <w:b w:val="0"/>
                <w:i w:val="0"/>
                <w:sz w:val="15"/>
              </w:rPr>
              <w:t>342.00</w:t>
            </w:r>
          </w:p>
        </w:tc>
        <w:tc>
          <w:tcPr>
            <w:tcW w:type="dxa" w:w="648"/>
          </w:tcPr>
          <w:p>
            <w:pPr>
              <w:spacing w:line="240" w:lineRule="auto" w:before="40" w:after="40"/>
              <w:jc w:val="left"/>
            </w:pPr>
            <w:r/>
            <w:r>
              <w:rPr>
                <w:b w:val="0"/>
                <w:i w:val="0"/>
                <w:sz w:val="15"/>
              </w:rPr>
              <w:t>m²</w:t>
            </w:r>
          </w:p>
        </w:tc>
        <w:tc>
          <w:tcPr>
            <w:tcW w:type="dxa" w:w="1152"/>
          </w:tcPr>
          <w:p>
            <w:pPr>
              <w:spacing w:line="240" w:lineRule="auto" w:before="40" w:after="40"/>
              <w:jc w:val="right"/>
            </w:pPr>
            <w:r/>
            <w:r>
              <w:rPr>
                <w:b w:val="0"/>
                <w:i w:val="0"/>
                <w:sz w:val="15"/>
              </w:rPr>
              <w:t>120.00</w:t>
            </w:r>
          </w:p>
        </w:tc>
        <w:tc>
          <w:tcPr>
            <w:tcW w:type="dxa" w:w="1440"/>
          </w:tcPr>
          <w:p>
            <w:pPr>
              <w:spacing w:line="240" w:lineRule="auto" w:before="40" w:after="40"/>
              <w:jc w:val="right"/>
            </w:pPr>
            <w:r/>
            <w:r>
              <w:rPr>
                <w:b w:val="0"/>
                <w:i w:val="0"/>
                <w:sz w:val="15"/>
              </w:rPr>
              <w:t>41,040.00</w:t>
            </w:r>
          </w:p>
        </w:tc>
      </w:tr>
      <w:tr>
        <w:tc>
          <w:tcPr>
            <w:tcW w:type="dxa" w:w="1080"/>
            <w:shd w:val="clear" w:color="auto" w:fill="EFEFEF"/>
          </w:tcPr>
          <w:p>
            <w:pPr>
              <w:spacing w:line="240" w:lineRule="auto" w:before="40" w:after="40"/>
              <w:jc w:val="left"/>
            </w:pPr>
            <w:r/>
            <w:r>
              <w:rPr>
                <w:b w:val="0"/>
                <w:i w:val="0"/>
                <w:sz w:val="15"/>
              </w:rPr>
              <w:t>—</w:t>
            </w:r>
          </w:p>
        </w:tc>
        <w:tc>
          <w:tcPr>
            <w:tcW w:type="dxa" w:w="4104"/>
            <w:shd w:val="clear" w:color="auto" w:fill="EFEFEF"/>
          </w:tcPr>
          <w:p>
            <w:pPr>
              <w:spacing w:line="240" w:lineRule="auto" w:before="40" w:after="40"/>
              <w:jc w:val="left"/>
            </w:pPr>
            <w:r/>
            <w:r>
              <w:rPr>
                <w:b w:val="0"/>
                <w:i w:val="0"/>
                <w:sz w:val="15"/>
              </w:rPr>
              <w:t>RC septic tank / sewage treatment</w:t>
            </w:r>
          </w:p>
        </w:tc>
        <w:tc>
          <w:tcPr>
            <w:tcW w:type="dxa" w:w="1008"/>
            <w:shd w:val="clear" w:color="auto" w:fill="EFEFEF"/>
          </w:tcPr>
          <w:p>
            <w:pPr>
              <w:spacing w:line="240" w:lineRule="auto" w:before="40" w:after="40"/>
              <w:jc w:val="right"/>
            </w:pPr>
            <w:r/>
            <w:r>
              <w:rPr>
                <w:b w:val="0"/>
                <w:i w:val="0"/>
                <w:sz w:val="15"/>
              </w:rPr>
              <w:t>1.00</w:t>
            </w:r>
          </w:p>
        </w:tc>
        <w:tc>
          <w:tcPr>
            <w:tcW w:type="dxa" w:w="648"/>
            <w:shd w:val="clear" w:color="auto" w:fill="EFEFEF"/>
          </w:tcPr>
          <w:p>
            <w:pPr>
              <w:spacing w:line="240" w:lineRule="auto" w:before="40" w:after="40"/>
              <w:jc w:val="left"/>
            </w:pPr>
            <w:r/>
            <w:r>
              <w:rPr>
                <w:b w:val="0"/>
                <w:i w:val="0"/>
                <w:sz w:val="15"/>
              </w:rPr>
              <w:t>unit</w:t>
            </w:r>
          </w:p>
        </w:tc>
        <w:tc>
          <w:tcPr>
            <w:tcW w:type="dxa" w:w="1152"/>
            <w:shd w:val="clear" w:color="auto" w:fill="EFEFEF"/>
          </w:tcPr>
          <w:p>
            <w:pPr>
              <w:spacing w:line="240" w:lineRule="auto" w:before="40" w:after="40"/>
              <w:jc w:val="right"/>
            </w:pPr>
            <w:r/>
            <w:r>
              <w:rPr>
                <w:b w:val="0"/>
                <w:i w:val="0"/>
                <w:sz w:val="15"/>
              </w:rPr>
              <w:t>75,390.00</w:t>
            </w:r>
          </w:p>
        </w:tc>
        <w:tc>
          <w:tcPr>
            <w:tcW w:type="dxa" w:w="1440"/>
            <w:shd w:val="clear" w:color="auto" w:fill="EFEFEF"/>
          </w:tcPr>
          <w:p>
            <w:pPr>
              <w:spacing w:line="240" w:lineRule="auto" w:before="40" w:after="40"/>
              <w:jc w:val="right"/>
            </w:pPr>
            <w:r/>
            <w:r>
              <w:rPr>
                <w:b w:val="0"/>
                <w:i w:val="0"/>
                <w:sz w:val="15"/>
              </w:rPr>
              <w:t>75,390.00</w:t>
            </w:r>
          </w:p>
        </w:tc>
      </w:tr>
      <w:tr>
        <w:tc>
          <w:tcPr>
            <w:tcW w:type="dxa" w:w="1080"/>
          </w:tcPr>
          <w:p>
            <w:pPr>
              <w:spacing w:line="240" w:lineRule="auto" w:before="40" w:after="40"/>
              <w:jc w:val="left"/>
            </w:pPr>
            <w:r/>
            <w:r>
              <w:rPr>
                <w:b w:val="0"/>
                <w:i w:val="0"/>
                <w:sz w:val="15"/>
              </w:rPr>
              <w:t>—</w:t>
            </w:r>
          </w:p>
        </w:tc>
        <w:tc>
          <w:tcPr>
            <w:tcW w:type="dxa" w:w="4104"/>
          </w:tcPr>
          <w:p>
            <w:pPr>
              <w:spacing w:line="240" w:lineRule="auto" w:before="40" w:after="40"/>
              <w:jc w:val="left"/>
            </w:pPr>
            <w:r/>
            <w:r>
              <w:rPr>
                <w:b w:val="0"/>
                <w:i w:val="0"/>
                <w:sz w:val="15"/>
              </w:rPr>
              <w:t>Accessibility ramp &amp; handrails (BP 344)</w:t>
            </w:r>
          </w:p>
        </w:tc>
        <w:tc>
          <w:tcPr>
            <w:tcW w:type="dxa" w:w="1008"/>
          </w:tcPr>
          <w:p>
            <w:pPr>
              <w:spacing w:line="240" w:lineRule="auto" w:before="40" w:after="40"/>
              <w:jc w:val="right"/>
            </w:pPr>
            <w:r/>
            <w:r>
              <w:rPr>
                <w:b w:val="0"/>
                <w:i w:val="0"/>
                <w:sz w:val="15"/>
              </w:rPr>
              <w:t>1.00</w:t>
            </w:r>
          </w:p>
        </w:tc>
        <w:tc>
          <w:tcPr>
            <w:tcW w:type="dxa" w:w="648"/>
          </w:tcPr>
          <w:p>
            <w:pPr>
              <w:spacing w:line="240" w:lineRule="auto" w:before="40" w:after="40"/>
              <w:jc w:val="left"/>
            </w:pPr>
            <w:r/>
            <w:r>
              <w:rPr>
                <w:b w:val="0"/>
                <w:i w:val="0"/>
                <w:sz w:val="15"/>
              </w:rPr>
              <w:t>unit</w:t>
            </w:r>
          </w:p>
        </w:tc>
        <w:tc>
          <w:tcPr>
            <w:tcW w:type="dxa" w:w="1152"/>
          </w:tcPr>
          <w:p>
            <w:pPr>
              <w:spacing w:line="240" w:lineRule="auto" w:before="40" w:after="40"/>
              <w:jc w:val="right"/>
            </w:pPr>
            <w:r/>
            <w:r>
              <w:rPr>
                <w:b w:val="0"/>
                <w:i w:val="0"/>
                <w:sz w:val="15"/>
              </w:rPr>
              <w:t>38,000.00</w:t>
            </w:r>
          </w:p>
        </w:tc>
        <w:tc>
          <w:tcPr>
            <w:tcW w:type="dxa" w:w="1440"/>
          </w:tcPr>
          <w:p>
            <w:pPr>
              <w:spacing w:line="240" w:lineRule="auto" w:before="40" w:after="40"/>
              <w:jc w:val="right"/>
            </w:pPr>
            <w:r/>
            <w:r>
              <w:rPr>
                <w:b w:val="0"/>
                <w:i w:val="0"/>
                <w:sz w:val="15"/>
              </w:rPr>
              <w:t>38,000.00</w:t>
            </w:r>
          </w:p>
        </w:tc>
      </w:tr>
      <w:tr>
        <w:tc>
          <w:tcPr>
            <w:tcW w:type="dxa" w:w="1080"/>
            <w:shd w:val="clear" w:color="auto" w:fill="EFEFEF"/>
          </w:tcPr>
          <w:p>
            <w:pPr>
              <w:spacing w:line="240" w:lineRule="auto" w:before="40" w:after="40"/>
              <w:jc w:val="left"/>
            </w:pPr>
            <w:r/>
            <w:r>
              <w:rPr>
                <w:b w:val="0"/>
                <w:i w:val="0"/>
                <w:sz w:val="15"/>
              </w:rPr>
              <w:t>B.9</w:t>
            </w:r>
          </w:p>
        </w:tc>
        <w:tc>
          <w:tcPr>
            <w:tcW w:type="dxa" w:w="4104"/>
            <w:shd w:val="clear" w:color="auto" w:fill="EFEFEF"/>
          </w:tcPr>
          <w:p>
            <w:pPr>
              <w:spacing w:line="240" w:lineRule="auto" w:before="40" w:after="40"/>
              <w:jc w:val="left"/>
            </w:pPr>
            <w:r/>
            <w:r>
              <w:rPr>
                <w:b w:val="0"/>
                <w:i w:val="0"/>
                <w:sz w:val="15"/>
              </w:rPr>
              <w:t>Mobilization / demobilization</w:t>
            </w:r>
          </w:p>
        </w:tc>
        <w:tc>
          <w:tcPr>
            <w:tcW w:type="dxa" w:w="1008"/>
            <w:shd w:val="clear" w:color="auto" w:fill="EFEFEF"/>
          </w:tcPr>
          <w:p>
            <w:pPr>
              <w:spacing w:line="240" w:lineRule="auto" w:before="40" w:after="40"/>
              <w:jc w:val="right"/>
            </w:pPr>
            <w:r/>
            <w:r>
              <w:rPr>
                <w:b w:val="0"/>
                <w:i w:val="0"/>
                <w:sz w:val="15"/>
              </w:rPr>
              <w:t>1.00</w:t>
            </w:r>
          </w:p>
        </w:tc>
        <w:tc>
          <w:tcPr>
            <w:tcW w:type="dxa" w:w="648"/>
            <w:shd w:val="clear" w:color="auto" w:fill="EFEFEF"/>
          </w:tcPr>
          <w:p>
            <w:pPr>
              <w:spacing w:line="240" w:lineRule="auto" w:before="40" w:after="40"/>
              <w:jc w:val="left"/>
            </w:pPr>
            <w:r/>
            <w:r>
              <w:rPr>
                <w:b w:val="0"/>
                <w:i w:val="0"/>
                <w:sz w:val="15"/>
              </w:rPr>
              <w:t>l.s.</w:t>
            </w:r>
          </w:p>
        </w:tc>
        <w:tc>
          <w:tcPr>
            <w:tcW w:type="dxa" w:w="1152"/>
            <w:shd w:val="clear" w:color="auto" w:fill="EFEFEF"/>
          </w:tcPr>
          <w:p>
            <w:pPr>
              <w:spacing w:line="240" w:lineRule="auto" w:before="40" w:after="40"/>
              <w:jc w:val="right"/>
            </w:pPr>
            <w:r/>
            <w:r>
              <w:rPr>
                <w:b w:val="0"/>
                <w:i w:val="0"/>
                <w:sz w:val="15"/>
              </w:rPr>
              <w:t>83,815.84</w:t>
            </w:r>
          </w:p>
        </w:tc>
        <w:tc>
          <w:tcPr>
            <w:tcW w:type="dxa" w:w="1440"/>
            <w:shd w:val="clear" w:color="auto" w:fill="EFEFEF"/>
          </w:tcPr>
          <w:p>
            <w:pPr>
              <w:spacing w:line="240" w:lineRule="auto" w:before="40" w:after="40"/>
              <w:jc w:val="right"/>
            </w:pPr>
            <w:r/>
            <w:r>
              <w:rPr>
                <w:b w:val="0"/>
                <w:i w:val="0"/>
                <w:sz w:val="15"/>
              </w:rPr>
              <w:t>83,815.84</w:t>
            </w:r>
          </w:p>
        </w:tc>
      </w:tr>
      <w:tr>
        <w:tc>
          <w:tcPr>
            <w:tcW w:type="dxa" w:w="1080"/>
          </w:tcPr>
          <w:p>
            <w:pPr>
              <w:spacing w:line="240" w:lineRule="auto" w:before="40" w:after="40"/>
              <w:jc w:val="left"/>
            </w:pPr>
            <w:r/>
            <w:r>
              <w:rPr>
                <w:b w:val="0"/>
                <w:i w:val="0"/>
                <w:sz w:val="15"/>
              </w:rPr>
              <w:t>B.7 (1)</w:t>
            </w:r>
          </w:p>
        </w:tc>
        <w:tc>
          <w:tcPr>
            <w:tcW w:type="dxa" w:w="4104"/>
          </w:tcPr>
          <w:p>
            <w:pPr>
              <w:spacing w:line="240" w:lineRule="auto" w:before="40" w:after="40"/>
              <w:jc w:val="left"/>
            </w:pPr>
            <w:r/>
            <w:r>
              <w:rPr>
                <w:b w:val="0"/>
                <w:i w:val="0"/>
                <w:sz w:val="15"/>
              </w:rPr>
              <w:t>Occupational safety &amp; health program</w:t>
            </w:r>
          </w:p>
        </w:tc>
        <w:tc>
          <w:tcPr>
            <w:tcW w:type="dxa" w:w="1008"/>
          </w:tcPr>
          <w:p>
            <w:pPr>
              <w:spacing w:line="240" w:lineRule="auto" w:before="40" w:after="40"/>
              <w:jc w:val="right"/>
            </w:pPr>
            <w:r/>
            <w:r>
              <w:rPr>
                <w:b w:val="0"/>
                <w:i w:val="0"/>
                <w:sz w:val="15"/>
              </w:rPr>
              <w:t>1.00</w:t>
            </w:r>
          </w:p>
        </w:tc>
        <w:tc>
          <w:tcPr>
            <w:tcW w:type="dxa" w:w="648"/>
          </w:tcPr>
          <w:p>
            <w:pPr>
              <w:spacing w:line="240" w:lineRule="auto" w:before="40" w:after="40"/>
              <w:jc w:val="left"/>
            </w:pPr>
            <w:r/>
            <w:r>
              <w:rPr>
                <w:b w:val="0"/>
                <w:i w:val="0"/>
                <w:sz w:val="15"/>
              </w:rPr>
              <w:t>l.s.</w:t>
            </w:r>
          </w:p>
        </w:tc>
        <w:tc>
          <w:tcPr>
            <w:tcW w:type="dxa" w:w="1152"/>
          </w:tcPr>
          <w:p>
            <w:pPr>
              <w:spacing w:line="240" w:lineRule="auto" w:before="40" w:after="40"/>
              <w:jc w:val="right"/>
            </w:pPr>
            <w:r/>
            <w:r>
              <w:rPr>
                <w:b w:val="0"/>
                <w:i w:val="0"/>
                <w:sz w:val="15"/>
              </w:rPr>
              <w:t>104,769.80</w:t>
            </w:r>
          </w:p>
        </w:tc>
        <w:tc>
          <w:tcPr>
            <w:tcW w:type="dxa" w:w="1440"/>
          </w:tcPr>
          <w:p>
            <w:pPr>
              <w:spacing w:line="240" w:lineRule="auto" w:before="40" w:after="40"/>
              <w:jc w:val="right"/>
            </w:pPr>
            <w:r/>
            <w:r>
              <w:rPr>
                <w:b w:val="0"/>
                <w:i w:val="0"/>
                <w:sz w:val="15"/>
              </w:rPr>
              <w:t>104,769.80</w:t>
            </w:r>
          </w:p>
        </w:tc>
      </w:tr>
      <w:tr>
        <w:tc>
          <w:tcPr>
            <w:tcW w:type="dxa" w:w="1080"/>
            <w:shd w:val="clear" w:color="auto" w:fill="EFEFEF"/>
          </w:tcPr>
          <w:p>
            <w:pPr>
              <w:spacing w:line="240" w:lineRule="auto" w:before="40" w:after="40"/>
              <w:jc w:val="left"/>
            </w:pPr>
            <w:r/>
            <w:r>
              <w:rPr>
                <w:b w:val="0"/>
                <w:i w:val="0"/>
                <w:sz w:val="15"/>
              </w:rPr>
              <w:t>B.5</w:t>
            </w:r>
          </w:p>
        </w:tc>
        <w:tc>
          <w:tcPr>
            <w:tcW w:type="dxa" w:w="4104"/>
            <w:shd w:val="clear" w:color="auto" w:fill="EFEFEF"/>
          </w:tcPr>
          <w:p>
            <w:pPr>
              <w:spacing w:line="240" w:lineRule="auto" w:before="40" w:after="40"/>
              <w:jc w:val="left"/>
            </w:pPr>
            <w:r/>
            <w:r>
              <w:rPr>
                <w:b w:val="0"/>
                <w:i w:val="0"/>
                <w:sz w:val="15"/>
              </w:rPr>
              <w:t>Project billboard / signboard</w:t>
            </w:r>
          </w:p>
        </w:tc>
        <w:tc>
          <w:tcPr>
            <w:tcW w:type="dxa" w:w="1008"/>
            <w:shd w:val="clear" w:color="auto" w:fill="EFEFEF"/>
          </w:tcPr>
          <w:p>
            <w:pPr>
              <w:spacing w:line="240" w:lineRule="auto" w:before="40" w:after="40"/>
              <w:jc w:val="right"/>
            </w:pPr>
            <w:r/>
            <w:r>
              <w:rPr>
                <w:b w:val="0"/>
                <w:i w:val="0"/>
                <w:sz w:val="15"/>
              </w:rPr>
              <w:t>2.00</w:t>
            </w:r>
          </w:p>
        </w:tc>
        <w:tc>
          <w:tcPr>
            <w:tcW w:type="dxa" w:w="648"/>
            <w:shd w:val="clear" w:color="auto" w:fill="EFEFEF"/>
          </w:tcPr>
          <w:p>
            <w:pPr>
              <w:spacing w:line="240" w:lineRule="auto" w:before="40" w:after="40"/>
              <w:jc w:val="left"/>
            </w:pPr>
            <w:r/>
            <w:r>
              <w:rPr>
                <w:b w:val="0"/>
                <w:i w:val="0"/>
                <w:sz w:val="15"/>
              </w:rPr>
              <w:t>each</w:t>
            </w:r>
          </w:p>
        </w:tc>
        <w:tc>
          <w:tcPr>
            <w:tcW w:type="dxa" w:w="1152"/>
            <w:shd w:val="clear" w:color="auto" w:fill="EFEFEF"/>
          </w:tcPr>
          <w:p>
            <w:pPr>
              <w:spacing w:line="240" w:lineRule="auto" w:before="40" w:after="40"/>
              <w:jc w:val="right"/>
            </w:pPr>
            <w:r/>
            <w:r>
              <w:rPr>
                <w:b w:val="0"/>
                <w:i w:val="0"/>
                <w:sz w:val="15"/>
              </w:rPr>
              <w:t>7,500.00</w:t>
            </w:r>
          </w:p>
        </w:tc>
        <w:tc>
          <w:tcPr>
            <w:tcW w:type="dxa" w:w="1440"/>
            <w:shd w:val="clear" w:color="auto" w:fill="EFEFEF"/>
          </w:tcPr>
          <w:p>
            <w:pPr>
              <w:spacing w:line="240" w:lineRule="auto" w:before="40" w:after="40"/>
              <w:jc w:val="right"/>
            </w:pPr>
            <w:r/>
            <w:r>
              <w:rPr>
                <w:b w:val="0"/>
                <w:i w:val="0"/>
                <w:sz w:val="15"/>
              </w:rPr>
              <w:t>15,000.00</w:t>
            </w:r>
          </w:p>
        </w:tc>
      </w:tr>
      <w:tr>
        <w:tc>
          <w:tcPr>
            <w:tcW w:type="dxa" w:w="1080"/>
          </w:tcPr>
          <w:p>
            <w:pPr>
              <w:spacing w:line="240" w:lineRule="auto" w:before="40" w:after="40"/>
              <w:jc w:val="left"/>
            </w:pPr>
            <w:r/>
            <w:r>
              <w:rPr>
                <w:b w:val="0"/>
                <w:i w:val="0"/>
                <w:sz w:val="15"/>
              </w:rPr>
              <w:t>B.3</w:t>
            </w:r>
          </w:p>
        </w:tc>
        <w:tc>
          <w:tcPr>
            <w:tcW w:type="dxa" w:w="4104"/>
          </w:tcPr>
          <w:p>
            <w:pPr>
              <w:spacing w:line="240" w:lineRule="auto" w:before="40" w:after="40"/>
              <w:jc w:val="left"/>
            </w:pPr>
            <w:r/>
            <w:r>
              <w:rPr>
                <w:b w:val="0"/>
                <w:i w:val="0"/>
                <w:sz w:val="15"/>
              </w:rPr>
              <w:t>Survey, staking, testing &amp; as-built plans</w:t>
            </w:r>
          </w:p>
        </w:tc>
        <w:tc>
          <w:tcPr>
            <w:tcW w:type="dxa" w:w="1008"/>
          </w:tcPr>
          <w:p>
            <w:pPr>
              <w:spacing w:line="240" w:lineRule="auto" w:before="40" w:after="40"/>
              <w:jc w:val="right"/>
            </w:pPr>
            <w:r/>
            <w:r>
              <w:rPr>
                <w:b w:val="0"/>
                <w:i w:val="0"/>
                <w:sz w:val="15"/>
              </w:rPr>
              <w:t>1.00</w:t>
            </w:r>
          </w:p>
        </w:tc>
        <w:tc>
          <w:tcPr>
            <w:tcW w:type="dxa" w:w="648"/>
          </w:tcPr>
          <w:p>
            <w:pPr>
              <w:spacing w:line="240" w:lineRule="auto" w:before="40" w:after="40"/>
              <w:jc w:val="left"/>
            </w:pPr>
            <w:r/>
            <w:r>
              <w:rPr>
                <w:b w:val="0"/>
                <w:i w:val="0"/>
                <w:sz w:val="15"/>
              </w:rPr>
              <w:t>l.s.</w:t>
            </w:r>
          </w:p>
        </w:tc>
        <w:tc>
          <w:tcPr>
            <w:tcW w:type="dxa" w:w="1152"/>
          </w:tcPr>
          <w:p>
            <w:pPr>
              <w:spacing w:line="240" w:lineRule="auto" w:before="40" w:after="40"/>
              <w:jc w:val="right"/>
            </w:pPr>
            <w:r/>
            <w:r>
              <w:rPr>
                <w:b w:val="0"/>
                <w:i w:val="0"/>
                <w:sz w:val="15"/>
              </w:rPr>
              <w:t>34,923.27</w:t>
            </w:r>
          </w:p>
        </w:tc>
        <w:tc>
          <w:tcPr>
            <w:tcW w:type="dxa" w:w="1440"/>
          </w:tcPr>
          <w:p>
            <w:pPr>
              <w:spacing w:line="240" w:lineRule="auto" w:before="40" w:after="40"/>
              <w:jc w:val="right"/>
            </w:pPr>
            <w:r/>
            <w:r>
              <w:rPr>
                <w:b w:val="0"/>
                <w:i w:val="0"/>
                <w:sz w:val="15"/>
              </w:rPr>
              <w:t>34,923.27</w:t>
            </w:r>
          </w:p>
        </w:tc>
      </w:tr>
      <w:tr>
        <w:tc>
          <w:tcPr>
            <w:tcW w:type="dxa" w:w="1080"/>
            <w:shd w:val="clear" w:color="auto" w:fill="EFEFEF"/>
          </w:tcPr>
          <w:p>
            <w:pPr>
              <w:spacing w:line="240" w:lineRule="auto" w:before="40" w:after="40"/>
              <w:jc w:val="left"/>
            </w:pPr>
            <w:r/>
          </w:p>
        </w:tc>
        <w:tc>
          <w:tcPr>
            <w:tcW w:type="dxa" w:w="4104"/>
            <w:shd w:val="clear" w:color="auto" w:fill="EFEFEF"/>
          </w:tcPr>
          <w:p>
            <w:pPr>
              <w:spacing w:line="240" w:lineRule="auto" w:before="40" w:after="40"/>
              <w:jc w:val="left"/>
            </w:pPr>
            <w:r/>
            <w:r>
              <w:rPr>
                <w:b w:val="0"/>
                <w:i w:val="0"/>
                <w:sz w:val="15"/>
              </w:rPr>
              <w:t>Estimated direct cost</w:t>
            </w:r>
          </w:p>
        </w:tc>
        <w:tc>
          <w:tcPr>
            <w:tcW w:type="dxa" w:w="1008"/>
            <w:shd w:val="clear" w:color="auto" w:fill="EFEFEF"/>
          </w:tcPr>
          <w:p>
            <w:pPr>
              <w:spacing w:line="240" w:lineRule="auto" w:before="40" w:after="40"/>
              <w:jc w:val="left"/>
            </w:pPr>
            <w:r/>
          </w:p>
        </w:tc>
        <w:tc>
          <w:tcPr>
            <w:tcW w:type="dxa" w:w="648"/>
            <w:shd w:val="clear" w:color="auto" w:fill="EFEFEF"/>
          </w:tcPr>
          <w:p>
            <w:pPr>
              <w:spacing w:line="240" w:lineRule="auto" w:before="40" w:after="40"/>
              <w:jc w:val="left"/>
            </w:pPr>
            <w:r/>
          </w:p>
        </w:tc>
        <w:tc>
          <w:tcPr>
            <w:tcW w:type="dxa" w:w="1152"/>
            <w:shd w:val="clear" w:color="auto" w:fill="EFEFEF"/>
          </w:tcPr>
          <w:p>
            <w:pPr>
              <w:spacing w:line="240" w:lineRule="auto" w:before="40" w:after="40"/>
              <w:jc w:val="left"/>
            </w:pPr>
            <w:r/>
          </w:p>
        </w:tc>
        <w:tc>
          <w:tcPr>
            <w:tcW w:type="dxa" w:w="1440"/>
            <w:shd w:val="clear" w:color="auto" w:fill="EFEFEF"/>
          </w:tcPr>
          <w:p>
            <w:pPr>
              <w:spacing w:line="240" w:lineRule="auto" w:before="40" w:after="40"/>
              <w:jc w:val="right"/>
            </w:pPr>
            <w:r/>
            <w:r>
              <w:rPr>
                <w:b w:val="0"/>
                <w:i w:val="0"/>
                <w:sz w:val="15"/>
              </w:rPr>
              <w:t>7,223,161.99</w:t>
            </w:r>
          </w:p>
        </w:tc>
      </w:tr>
      <w:tr>
        <w:tc>
          <w:tcPr>
            <w:tcW w:type="dxa" w:w="1080"/>
          </w:tcPr>
          <w:p>
            <w:pPr>
              <w:spacing w:line="240" w:lineRule="auto" w:before="40" w:after="40"/>
              <w:jc w:val="left"/>
            </w:pPr>
            <w:r/>
          </w:p>
        </w:tc>
        <w:tc>
          <w:tcPr>
            <w:tcW w:type="dxa" w:w="4104"/>
          </w:tcPr>
          <w:p>
            <w:pPr>
              <w:spacing w:line="240" w:lineRule="auto" w:before="40" w:after="40"/>
              <w:jc w:val="left"/>
            </w:pPr>
            <w:r/>
            <w:r>
              <w:rPr>
                <w:b w:val="0"/>
                <w:i w:val="0"/>
                <w:sz w:val="15"/>
              </w:rPr>
              <w:t>OCM (12%)</w:t>
            </w:r>
          </w:p>
        </w:tc>
        <w:tc>
          <w:tcPr>
            <w:tcW w:type="dxa" w:w="1008"/>
          </w:tcPr>
          <w:p>
            <w:pPr>
              <w:spacing w:line="240" w:lineRule="auto" w:before="40" w:after="40"/>
              <w:jc w:val="left"/>
            </w:pPr>
            <w:r/>
          </w:p>
        </w:tc>
        <w:tc>
          <w:tcPr>
            <w:tcW w:type="dxa" w:w="648"/>
          </w:tcPr>
          <w:p>
            <w:pPr>
              <w:spacing w:line="240" w:lineRule="auto" w:before="40" w:after="40"/>
              <w:jc w:val="left"/>
            </w:pPr>
            <w:r/>
          </w:p>
        </w:tc>
        <w:tc>
          <w:tcPr>
            <w:tcW w:type="dxa" w:w="1152"/>
          </w:tcPr>
          <w:p>
            <w:pPr>
              <w:spacing w:line="240" w:lineRule="auto" w:before="40" w:after="40"/>
              <w:jc w:val="left"/>
            </w:pPr>
            <w:r/>
          </w:p>
        </w:tc>
        <w:tc>
          <w:tcPr>
            <w:tcW w:type="dxa" w:w="1440"/>
          </w:tcPr>
          <w:p>
            <w:pPr>
              <w:spacing w:line="240" w:lineRule="auto" w:before="40" w:after="40"/>
              <w:jc w:val="right"/>
            </w:pPr>
            <w:r/>
            <w:r>
              <w:rPr>
                <w:b w:val="0"/>
                <w:i w:val="0"/>
                <w:sz w:val="15"/>
              </w:rPr>
              <w:t>866,779.44</w:t>
            </w:r>
          </w:p>
        </w:tc>
      </w:tr>
      <w:tr>
        <w:tc>
          <w:tcPr>
            <w:tcW w:type="dxa" w:w="1080"/>
            <w:shd w:val="clear" w:color="auto" w:fill="EFEFEF"/>
          </w:tcPr>
          <w:p>
            <w:pPr>
              <w:spacing w:line="240" w:lineRule="auto" w:before="40" w:after="40"/>
              <w:jc w:val="left"/>
            </w:pPr>
            <w:r/>
          </w:p>
        </w:tc>
        <w:tc>
          <w:tcPr>
            <w:tcW w:type="dxa" w:w="4104"/>
            <w:shd w:val="clear" w:color="auto" w:fill="EFEFEF"/>
          </w:tcPr>
          <w:p>
            <w:pPr>
              <w:spacing w:line="240" w:lineRule="auto" w:before="40" w:after="40"/>
              <w:jc w:val="left"/>
            </w:pPr>
            <w:r/>
            <w:r>
              <w:rPr>
                <w:b w:val="0"/>
                <w:i w:val="0"/>
                <w:sz w:val="15"/>
              </w:rPr>
              <w:t>Profit (8%)</w:t>
            </w:r>
          </w:p>
        </w:tc>
        <w:tc>
          <w:tcPr>
            <w:tcW w:type="dxa" w:w="1008"/>
            <w:shd w:val="clear" w:color="auto" w:fill="EFEFEF"/>
          </w:tcPr>
          <w:p>
            <w:pPr>
              <w:spacing w:line="240" w:lineRule="auto" w:before="40" w:after="40"/>
              <w:jc w:val="left"/>
            </w:pPr>
            <w:r/>
          </w:p>
        </w:tc>
        <w:tc>
          <w:tcPr>
            <w:tcW w:type="dxa" w:w="648"/>
            <w:shd w:val="clear" w:color="auto" w:fill="EFEFEF"/>
          </w:tcPr>
          <w:p>
            <w:pPr>
              <w:spacing w:line="240" w:lineRule="auto" w:before="40" w:after="40"/>
              <w:jc w:val="left"/>
            </w:pPr>
            <w:r/>
          </w:p>
        </w:tc>
        <w:tc>
          <w:tcPr>
            <w:tcW w:type="dxa" w:w="1152"/>
            <w:shd w:val="clear" w:color="auto" w:fill="EFEFEF"/>
          </w:tcPr>
          <w:p>
            <w:pPr>
              <w:spacing w:line="240" w:lineRule="auto" w:before="40" w:after="40"/>
              <w:jc w:val="left"/>
            </w:pPr>
            <w:r/>
          </w:p>
        </w:tc>
        <w:tc>
          <w:tcPr>
            <w:tcW w:type="dxa" w:w="1440"/>
            <w:shd w:val="clear" w:color="auto" w:fill="EFEFEF"/>
          </w:tcPr>
          <w:p>
            <w:pPr>
              <w:spacing w:line="240" w:lineRule="auto" w:before="40" w:after="40"/>
              <w:jc w:val="right"/>
            </w:pPr>
            <w:r/>
            <w:r>
              <w:rPr>
                <w:b w:val="0"/>
                <w:i w:val="0"/>
                <w:sz w:val="15"/>
              </w:rPr>
              <w:t>577,852.96</w:t>
            </w:r>
          </w:p>
        </w:tc>
      </w:tr>
      <w:tr>
        <w:tc>
          <w:tcPr>
            <w:tcW w:type="dxa" w:w="1080"/>
          </w:tcPr>
          <w:p>
            <w:pPr>
              <w:spacing w:line="240" w:lineRule="auto" w:before="40" w:after="40"/>
              <w:jc w:val="left"/>
            </w:pPr>
            <w:r/>
          </w:p>
        </w:tc>
        <w:tc>
          <w:tcPr>
            <w:tcW w:type="dxa" w:w="4104"/>
          </w:tcPr>
          <w:p>
            <w:pPr>
              <w:spacing w:line="240" w:lineRule="auto" w:before="40" w:after="40"/>
              <w:jc w:val="left"/>
            </w:pPr>
            <w:r/>
            <w:r>
              <w:rPr>
                <w:b w:val="0"/>
                <w:i w:val="0"/>
                <w:sz w:val="15"/>
              </w:rPr>
              <w:t>VAT (5%)</w:t>
            </w:r>
          </w:p>
        </w:tc>
        <w:tc>
          <w:tcPr>
            <w:tcW w:type="dxa" w:w="1008"/>
          </w:tcPr>
          <w:p>
            <w:pPr>
              <w:spacing w:line="240" w:lineRule="auto" w:before="40" w:after="40"/>
              <w:jc w:val="left"/>
            </w:pPr>
            <w:r/>
          </w:p>
        </w:tc>
        <w:tc>
          <w:tcPr>
            <w:tcW w:type="dxa" w:w="648"/>
          </w:tcPr>
          <w:p>
            <w:pPr>
              <w:spacing w:line="240" w:lineRule="auto" w:before="40" w:after="40"/>
              <w:jc w:val="left"/>
            </w:pPr>
            <w:r/>
          </w:p>
        </w:tc>
        <w:tc>
          <w:tcPr>
            <w:tcW w:type="dxa" w:w="1152"/>
          </w:tcPr>
          <w:p>
            <w:pPr>
              <w:spacing w:line="240" w:lineRule="auto" w:before="40" w:after="40"/>
              <w:jc w:val="left"/>
            </w:pPr>
            <w:r/>
          </w:p>
        </w:tc>
        <w:tc>
          <w:tcPr>
            <w:tcW w:type="dxa" w:w="1440"/>
          </w:tcPr>
          <w:p>
            <w:pPr>
              <w:spacing w:line="240" w:lineRule="auto" w:before="40" w:after="40"/>
              <w:jc w:val="right"/>
            </w:pPr>
            <w:r/>
            <w:r>
              <w:rPr>
                <w:b w:val="0"/>
                <w:i w:val="0"/>
                <w:sz w:val="15"/>
              </w:rPr>
              <w:t>433,389.72</w:t>
            </w:r>
          </w:p>
        </w:tc>
      </w:tr>
      <w:tr>
        <w:tc>
          <w:tcPr>
            <w:tcW w:type="dxa" w:w="1080"/>
            <w:shd w:val="clear" w:color="auto" w:fill="EFEFEF"/>
            <w:tcBorders>
              <w:bottom w:val="single" w:sz="12" w:color="000000"/>
            </w:tcBorders>
          </w:tcPr>
          <w:p>
            <w:pPr>
              <w:spacing w:line="240" w:lineRule="auto" w:before="40" w:after="40"/>
              <w:jc w:val="left"/>
            </w:pPr>
            <w:r/>
          </w:p>
        </w:tc>
        <w:tc>
          <w:tcPr>
            <w:tcW w:type="dxa" w:w="4104"/>
            <w:shd w:val="clear" w:color="auto" w:fill="EFEFEF"/>
            <w:tcBorders>
              <w:bottom w:val="single" w:sz="12" w:color="000000"/>
            </w:tcBorders>
          </w:tcPr>
          <w:p>
            <w:pPr>
              <w:spacing w:line="240" w:lineRule="auto" w:before="40" w:after="40"/>
              <w:jc w:val="left"/>
            </w:pPr>
            <w:r/>
            <w:r>
              <w:rPr>
                <w:b/>
                <w:i w:val="0"/>
                <w:sz w:val="15"/>
              </w:rPr>
              <w:t>Approved Budget for the Contract</w:t>
            </w:r>
          </w:p>
        </w:tc>
        <w:tc>
          <w:tcPr>
            <w:tcW w:type="dxa" w:w="1008"/>
            <w:shd w:val="clear" w:color="auto" w:fill="EFEFEF"/>
            <w:tcBorders>
              <w:bottom w:val="single" w:sz="12" w:color="000000"/>
            </w:tcBorders>
          </w:tcPr>
          <w:p>
            <w:pPr>
              <w:spacing w:line="240" w:lineRule="auto" w:before="40" w:after="40"/>
              <w:jc w:val="left"/>
            </w:pPr>
            <w:r/>
          </w:p>
        </w:tc>
        <w:tc>
          <w:tcPr>
            <w:tcW w:type="dxa" w:w="648"/>
            <w:shd w:val="clear" w:color="auto" w:fill="EFEFEF"/>
            <w:tcBorders>
              <w:bottom w:val="single" w:sz="12" w:color="000000"/>
            </w:tcBorders>
          </w:tcPr>
          <w:p>
            <w:pPr>
              <w:spacing w:line="240" w:lineRule="auto" w:before="40" w:after="40"/>
              <w:jc w:val="left"/>
            </w:pPr>
            <w:r/>
          </w:p>
        </w:tc>
        <w:tc>
          <w:tcPr>
            <w:tcW w:type="dxa" w:w="1152"/>
            <w:shd w:val="clear" w:color="auto" w:fill="EFEFEF"/>
            <w:tcBorders>
              <w:bottom w:val="single" w:sz="12" w:color="000000"/>
            </w:tcBorders>
          </w:tcPr>
          <w:p>
            <w:pPr>
              <w:spacing w:line="240" w:lineRule="auto" w:before="40" w:after="40"/>
              <w:jc w:val="left"/>
            </w:pPr>
            <w:r/>
          </w:p>
        </w:tc>
        <w:tc>
          <w:tcPr>
            <w:tcW w:type="dxa" w:w="1440"/>
            <w:shd w:val="clear" w:color="auto" w:fill="EFEFEF"/>
            <w:tcBorders>
              <w:bottom w:val="single" w:sz="12" w:color="000000"/>
            </w:tcBorders>
          </w:tcPr>
          <w:p>
            <w:pPr>
              <w:spacing w:line="240" w:lineRule="auto" w:before="40" w:after="40"/>
              <w:jc w:val="right"/>
            </w:pPr>
            <w:r/>
            <w:r>
              <w:rPr>
                <w:b/>
                <w:i w:val="0"/>
                <w:sz w:val="15"/>
              </w:rPr>
              <w:t>9,101,184.11</w:t>
            </w:r>
          </w:p>
        </w:tc>
      </w:tr>
    </w:tbl>
    <w:p>
      <w:r>
        <w:br w:type="page"/>
      </w:r>
    </w:p>
    <w:p>
      <w:pPr>
        <w:spacing w:line="360" w:lineRule="auto" w:after="0"/>
        <w:jc w:val="center"/>
      </w:pPr>
      <w:r>
        <w:rPr>
          <w:b/>
          <w:i w:val="0"/>
        </w:rPr>
        <w:t>Appendix D. Cost Summary of a Three-Span RCDG Bridge (3 × 20 m, Albay, 2025)</w:t>
      </w:r>
    </w:p>
    <w:tbl>
      <w:tblPr>
        <w:tblW w:type="auto" w:w="0"/>
        <w:jc w:val="center"/>
        <w:tblLayout w:type="fixed"/>
        <w:tblLook w:firstColumn="1" w:firstRow="1" w:lastColumn="0" w:lastRow="0" w:noHBand="0" w:noVBand="1" w:val="04A0"/>
        <w:tblLayout w:type="fixed"/>
      </w:tblPr>
      <w:tblGrid>
        <w:gridCol w:w="6048"/>
        <w:gridCol w:w="2592"/>
      </w:tblGrid>
      <w:tr>
        <w:tc>
          <w:tcPr>
            <w:tcW w:type="dxa" w:w="6048"/>
            <w:tcBorders>
              <w:top w:val="single" w:sz="12" w:color="000000"/>
              <w:bottom w:val="single" w:sz="8" w:color="000000"/>
            </w:tcBorders>
          </w:tcPr>
          <w:p>
            <w:pPr>
              <w:spacing w:line="240" w:lineRule="auto" w:before="40" w:after="40"/>
              <w:jc w:val="center"/>
            </w:pPr>
            <w:r/>
            <w:r>
              <w:rPr>
                <w:b/>
                <w:i w:val="0"/>
                <w:sz w:val="20"/>
              </w:rPr>
              <w:t>PART</w:t>
            </w:r>
          </w:p>
        </w:tc>
        <w:tc>
          <w:tcPr>
            <w:tcW w:type="dxa" w:w="2592"/>
            <w:tcBorders>
              <w:top w:val="single" w:sz="12" w:color="000000"/>
              <w:bottom w:val="single" w:sz="8" w:color="000000"/>
            </w:tcBorders>
          </w:tcPr>
          <w:p>
            <w:pPr>
              <w:spacing w:line="240" w:lineRule="auto" w:before="40" w:after="40"/>
              <w:jc w:val="center"/>
            </w:pPr>
            <w:r/>
            <w:r>
              <w:rPr>
                <w:b/>
                <w:i w:val="0"/>
                <w:sz w:val="20"/>
              </w:rPr>
              <w:t>AMOUNT (₱)</w:t>
            </w:r>
          </w:p>
        </w:tc>
      </w:tr>
      <w:tr>
        <w:tc>
          <w:tcPr>
            <w:tcW w:type="dxa" w:w="6048"/>
            <w:shd w:val="clear" w:color="auto" w:fill="EFEFEF"/>
          </w:tcPr>
          <w:p>
            <w:pPr>
              <w:spacing w:line="240" w:lineRule="auto" w:before="40" w:after="40"/>
              <w:jc w:val="left"/>
            </w:pPr>
            <w:r/>
            <w:r>
              <w:rPr>
                <w:b w:val="0"/>
                <w:i w:val="0"/>
                <w:sz w:val="20"/>
              </w:rPr>
              <w:t>Part A — General requirements</w:t>
            </w:r>
          </w:p>
        </w:tc>
        <w:tc>
          <w:tcPr>
            <w:tcW w:type="dxa" w:w="2592"/>
            <w:shd w:val="clear" w:color="auto" w:fill="EFEFEF"/>
          </w:tcPr>
          <w:p>
            <w:pPr>
              <w:spacing w:line="240" w:lineRule="auto" w:before="40" w:after="40"/>
              <w:jc w:val="right"/>
            </w:pPr>
            <w:r/>
            <w:r>
              <w:rPr>
                <w:b w:val="0"/>
                <w:i w:val="0"/>
                <w:sz w:val="20"/>
              </w:rPr>
              <w:t>1,420,448.82</w:t>
            </w:r>
          </w:p>
        </w:tc>
      </w:tr>
      <w:tr>
        <w:tc>
          <w:tcPr>
            <w:tcW w:type="dxa" w:w="6048"/>
          </w:tcPr>
          <w:p>
            <w:pPr>
              <w:spacing w:line="240" w:lineRule="auto" w:before="40" w:after="40"/>
              <w:jc w:val="left"/>
            </w:pPr>
            <w:r/>
            <w:r>
              <w:rPr>
                <w:b w:val="0"/>
                <w:i w:val="0"/>
                <w:sz w:val="20"/>
              </w:rPr>
              <w:t>Part B — Earthworks &amp; protection</w:t>
            </w:r>
          </w:p>
        </w:tc>
        <w:tc>
          <w:tcPr>
            <w:tcW w:type="dxa" w:w="2592"/>
          </w:tcPr>
          <w:p>
            <w:pPr>
              <w:spacing w:line="240" w:lineRule="auto" w:before="40" w:after="40"/>
              <w:jc w:val="right"/>
            </w:pPr>
            <w:r/>
            <w:r>
              <w:rPr>
                <w:b w:val="0"/>
                <w:i w:val="0"/>
                <w:sz w:val="20"/>
              </w:rPr>
              <w:t>1,667,632.45</w:t>
            </w:r>
          </w:p>
        </w:tc>
      </w:tr>
      <w:tr>
        <w:tc>
          <w:tcPr>
            <w:tcW w:type="dxa" w:w="6048"/>
            <w:shd w:val="clear" w:color="auto" w:fill="EFEFEF"/>
          </w:tcPr>
          <w:p>
            <w:pPr>
              <w:spacing w:line="240" w:lineRule="auto" w:before="40" w:after="40"/>
              <w:jc w:val="left"/>
            </w:pPr>
            <w:r/>
            <w:r>
              <w:rPr>
                <w:b w:val="0"/>
                <w:i w:val="0"/>
                <w:sz w:val="20"/>
              </w:rPr>
              <w:t>Part C — Foundation &amp; piling</w:t>
            </w:r>
          </w:p>
        </w:tc>
        <w:tc>
          <w:tcPr>
            <w:tcW w:type="dxa" w:w="2592"/>
            <w:shd w:val="clear" w:color="auto" w:fill="EFEFEF"/>
          </w:tcPr>
          <w:p>
            <w:pPr>
              <w:spacing w:line="240" w:lineRule="auto" w:before="40" w:after="40"/>
              <w:jc w:val="right"/>
            </w:pPr>
            <w:r/>
            <w:r>
              <w:rPr>
                <w:b w:val="0"/>
                <w:i w:val="0"/>
                <w:sz w:val="20"/>
              </w:rPr>
              <w:t>11,775,513.00</w:t>
            </w:r>
          </w:p>
        </w:tc>
      </w:tr>
      <w:tr>
        <w:tc>
          <w:tcPr>
            <w:tcW w:type="dxa" w:w="6048"/>
          </w:tcPr>
          <w:p>
            <w:pPr>
              <w:spacing w:line="240" w:lineRule="auto" w:before="40" w:after="40"/>
              <w:jc w:val="left"/>
            </w:pPr>
            <w:r/>
            <w:r>
              <w:rPr>
                <w:b w:val="0"/>
                <w:i w:val="0"/>
                <w:sz w:val="20"/>
              </w:rPr>
              <w:t>Part D — Substructure</w:t>
            </w:r>
          </w:p>
        </w:tc>
        <w:tc>
          <w:tcPr>
            <w:tcW w:type="dxa" w:w="2592"/>
          </w:tcPr>
          <w:p>
            <w:pPr>
              <w:spacing w:line="240" w:lineRule="auto" w:before="40" w:after="40"/>
              <w:jc w:val="right"/>
            </w:pPr>
            <w:r/>
            <w:r>
              <w:rPr>
                <w:b w:val="0"/>
                <w:i w:val="0"/>
                <w:sz w:val="20"/>
              </w:rPr>
              <w:t>5,108,433.19</w:t>
            </w:r>
          </w:p>
        </w:tc>
      </w:tr>
      <w:tr>
        <w:tc>
          <w:tcPr>
            <w:tcW w:type="dxa" w:w="6048"/>
            <w:shd w:val="clear" w:color="auto" w:fill="EFEFEF"/>
          </w:tcPr>
          <w:p>
            <w:pPr>
              <w:spacing w:line="240" w:lineRule="auto" w:before="40" w:after="40"/>
              <w:jc w:val="left"/>
            </w:pPr>
            <w:r/>
            <w:r>
              <w:rPr>
                <w:b w:val="0"/>
                <w:i w:val="0"/>
                <w:sz w:val="20"/>
              </w:rPr>
              <w:t>Part E — Superstructure</w:t>
            </w:r>
          </w:p>
        </w:tc>
        <w:tc>
          <w:tcPr>
            <w:tcW w:type="dxa" w:w="2592"/>
            <w:shd w:val="clear" w:color="auto" w:fill="EFEFEF"/>
          </w:tcPr>
          <w:p>
            <w:pPr>
              <w:spacing w:line="240" w:lineRule="auto" w:before="40" w:after="40"/>
              <w:jc w:val="right"/>
            </w:pPr>
            <w:r/>
            <w:r>
              <w:rPr>
                <w:b w:val="0"/>
                <w:i w:val="0"/>
                <w:sz w:val="20"/>
              </w:rPr>
              <w:t>11,186,585.90</w:t>
            </w:r>
          </w:p>
        </w:tc>
      </w:tr>
      <w:tr>
        <w:tc>
          <w:tcPr>
            <w:tcW w:type="dxa" w:w="6048"/>
          </w:tcPr>
          <w:p>
            <w:pPr>
              <w:spacing w:line="240" w:lineRule="auto" w:before="40" w:after="40"/>
              <w:jc w:val="left"/>
            </w:pPr>
            <w:r/>
            <w:r>
              <w:rPr>
                <w:b w:val="0"/>
                <w:i w:val="0"/>
                <w:sz w:val="20"/>
              </w:rPr>
              <w:t>Part F — Deck, railings &amp; approaches</w:t>
            </w:r>
          </w:p>
        </w:tc>
        <w:tc>
          <w:tcPr>
            <w:tcW w:type="dxa" w:w="2592"/>
          </w:tcPr>
          <w:p>
            <w:pPr>
              <w:spacing w:line="240" w:lineRule="auto" w:before="40" w:after="40"/>
              <w:jc w:val="right"/>
            </w:pPr>
            <w:r/>
            <w:r>
              <w:rPr>
                <w:b w:val="0"/>
                <w:i w:val="0"/>
                <w:sz w:val="20"/>
              </w:rPr>
              <w:t>2,203,854.00</w:t>
            </w:r>
          </w:p>
        </w:tc>
      </w:tr>
      <w:tr>
        <w:tc>
          <w:tcPr>
            <w:tcW w:type="dxa" w:w="6048"/>
            <w:shd w:val="clear" w:color="auto" w:fill="EFEFEF"/>
          </w:tcPr>
          <w:p>
            <w:pPr>
              <w:spacing w:line="240" w:lineRule="auto" w:before="40" w:after="40"/>
              <w:jc w:val="left"/>
            </w:pPr>
            <w:r/>
            <w:r>
              <w:rPr>
                <w:b w:val="0"/>
                <w:i w:val="0"/>
                <w:sz w:val="20"/>
              </w:rPr>
              <w:t>Estimated direct cost</w:t>
            </w:r>
          </w:p>
        </w:tc>
        <w:tc>
          <w:tcPr>
            <w:tcW w:type="dxa" w:w="2592"/>
            <w:shd w:val="clear" w:color="auto" w:fill="EFEFEF"/>
          </w:tcPr>
          <w:p>
            <w:pPr>
              <w:spacing w:line="240" w:lineRule="auto" w:before="40" w:after="40"/>
              <w:jc w:val="right"/>
            </w:pPr>
            <w:r/>
            <w:r>
              <w:rPr>
                <w:b w:val="0"/>
                <w:i w:val="0"/>
                <w:sz w:val="20"/>
              </w:rPr>
              <w:t>33,362,467.36</w:t>
            </w:r>
          </w:p>
        </w:tc>
      </w:tr>
      <w:tr>
        <w:tc>
          <w:tcPr>
            <w:tcW w:type="dxa" w:w="6048"/>
          </w:tcPr>
          <w:p>
            <w:pPr>
              <w:spacing w:line="240" w:lineRule="auto" w:before="40" w:after="40"/>
              <w:jc w:val="left"/>
            </w:pPr>
            <w:r/>
            <w:r>
              <w:rPr>
                <w:b w:val="0"/>
                <w:i w:val="0"/>
                <w:sz w:val="20"/>
              </w:rPr>
              <w:t>Lean start quotation (ABC)</w:t>
            </w:r>
          </w:p>
        </w:tc>
        <w:tc>
          <w:tcPr>
            <w:tcW w:type="dxa" w:w="2592"/>
          </w:tcPr>
          <w:p>
            <w:pPr>
              <w:spacing w:line="240" w:lineRule="auto" w:before="40" w:after="40"/>
              <w:jc w:val="right"/>
            </w:pPr>
            <w:r/>
            <w:r>
              <w:rPr>
                <w:b w:val="0"/>
                <w:i w:val="0"/>
                <w:sz w:val="20"/>
              </w:rPr>
              <w:t>39,068,313.24</w:t>
            </w:r>
          </w:p>
        </w:tc>
      </w:tr>
      <w:tr>
        <w:tc>
          <w:tcPr>
            <w:tcW w:type="dxa" w:w="6048"/>
            <w:shd w:val="clear" w:color="auto" w:fill="EFEFEF"/>
          </w:tcPr>
          <w:p>
            <w:pPr>
              <w:spacing w:line="240" w:lineRule="auto" w:before="40" w:after="40"/>
              <w:jc w:val="left"/>
            </w:pPr>
            <w:r/>
            <w:r>
              <w:rPr>
                <w:b w:val="0"/>
                <w:i w:val="0"/>
                <w:sz w:val="20"/>
              </w:rPr>
              <w:t>Standard fair estimate (ABC)</w:t>
            </w:r>
          </w:p>
        </w:tc>
        <w:tc>
          <w:tcPr>
            <w:tcW w:type="dxa" w:w="2592"/>
            <w:shd w:val="clear" w:color="auto" w:fill="EFEFEF"/>
          </w:tcPr>
          <w:p>
            <w:pPr>
              <w:spacing w:line="240" w:lineRule="auto" w:before="40" w:after="40"/>
              <w:jc w:val="right"/>
            </w:pPr>
            <w:r/>
            <w:r>
              <w:rPr>
                <w:b w:val="0"/>
                <w:i w:val="0"/>
                <w:sz w:val="20"/>
              </w:rPr>
              <w:t>42,036,708.87</w:t>
            </w:r>
          </w:p>
        </w:tc>
      </w:tr>
      <w:tr>
        <w:tc>
          <w:tcPr>
            <w:tcW w:type="dxa" w:w="6048"/>
            <w:tcBorders>
              <w:bottom w:val="single" w:sz="12" w:color="000000"/>
            </w:tcBorders>
          </w:tcPr>
          <w:p>
            <w:pPr>
              <w:spacing w:line="240" w:lineRule="auto" w:before="40" w:after="40"/>
              <w:jc w:val="left"/>
            </w:pPr>
            <w:r/>
            <w:r>
              <w:rPr>
                <w:b w:val="0"/>
                <w:i w:val="0"/>
                <w:sz w:val="20"/>
              </w:rPr>
              <w:t>Ceiling (ABC)</w:t>
            </w:r>
          </w:p>
        </w:tc>
        <w:tc>
          <w:tcPr>
            <w:tcW w:type="dxa" w:w="2592"/>
            <w:tcBorders>
              <w:bottom w:val="single" w:sz="12" w:color="000000"/>
            </w:tcBorders>
          </w:tcPr>
          <w:p>
            <w:pPr>
              <w:spacing w:line="240" w:lineRule="auto" w:before="40" w:after="40"/>
              <w:jc w:val="right"/>
            </w:pPr>
            <w:r/>
            <w:r>
              <w:rPr>
                <w:b w:val="0"/>
                <w:i w:val="0"/>
                <w:sz w:val="20"/>
              </w:rPr>
              <w:t>50,122,187.05</w:t>
            </w:r>
          </w:p>
        </w:tc>
      </w:tr>
    </w:tbl>
    <w:p>
      <w:r>
        <w:br w:type="page"/>
      </w:r>
    </w:p>
    <w:p>
      <w:pPr>
        <w:spacing w:line="360" w:lineRule="auto" w:after="0"/>
        <w:jc w:val="center"/>
      </w:pPr>
      <w:r>
        <w:rPr>
          <w:b/>
          <w:i w:val="0"/>
        </w:rPr>
        <w:t>Appendix E. Snippets of Methodology (Quantity Take-Off Engine, JavaScript)</w:t>
      </w:r>
    </w:p>
    <w:p>
      <w:pPr>
        <w:spacing w:line="240" w:lineRule="auto"/>
      </w:pPr>
      <w:r>
        <w:rPr>
          <w:rFonts w:ascii="Courier New" w:hAnsi="Courier New" w:eastAsia="Courier New"/>
          <w:sz w:val="17"/>
        </w:rPr>
        <w:t xml:space="preserve">    // footings (isolated, sized from service load and allowable bearing)</w:t>
      </w:r>
    </w:p>
    <w:p>
      <w:pPr>
        <w:spacing w:line="240" w:lineRule="auto"/>
      </w:pPr>
      <w:r>
        <w:rPr>
          <w:rFonts w:ascii="Courier New" w:hAnsi="Courier New" w:eastAsia="Courier New"/>
          <w:sz w:val="17"/>
        </w:rPr>
        <w:t xml:space="preserve">    var Pcol = 0.75 * sx * sy * N * bt.w; // kN</w:t>
      </w:r>
    </w:p>
    <w:p>
      <w:pPr>
        <w:spacing w:line="240" w:lineRule="auto"/>
      </w:pPr>
      <w:r>
        <w:rPr>
          <w:rFonts w:ascii="Courier New" w:hAnsi="Courier New" w:eastAsia="Courier New"/>
          <w:sz w:val="17"/>
        </w:rPr>
        <w:t xml:space="preserve">    var B = Math.max(1.0, ceilTo(Math.sqrt(Pcol / p.soilBearing), 0.1));</w:t>
      </w:r>
    </w:p>
    <w:p>
      <w:pPr>
        <w:spacing w:line="240" w:lineRule="auto"/>
      </w:pPr>
      <w:r>
        <w:rPr>
          <w:rFonts w:ascii="Courier New" w:hAnsi="Courier New" w:eastAsia="Courier New"/>
          <w:sz w:val="17"/>
        </w:rPr>
        <w:t xml:space="preserve">    var tf = Math.max(0.30, ceilTo(0.25 + 0.10 * B, 0.05));</w:t>
      </w:r>
    </w:p>
    <w:p>
      <w:pPr>
        <w:spacing w:line="240" w:lineRule="auto"/>
      </w:pPr>
      <w:r>
        <w:rPr>
          <w:rFonts w:ascii="Courier New" w:hAnsi="Courier New" w:eastAsia="Courier New"/>
          <w:sz w:val="17"/>
        </w:rPr>
        <w:t xml:space="preserve"> </w:t>
      </w:r>
    </w:p>
    <w:p>
      <w:pPr>
        <w:spacing w:line="240" w:lineRule="auto"/>
      </w:pPr>
      <w:r>
        <w:rPr>
          <w:rFonts w:ascii="Courier New" w:hAnsi="Courier New" w:eastAsia="Courier New"/>
          <w:sz w:val="17"/>
        </w:rPr>
        <w:t xml:space="preserve">    var V = {}, F = {}, K = {};</w:t>
      </w:r>
    </w:p>
    <w:p>
      <w:pPr>
        <w:spacing w:line="240" w:lineRule="auto"/>
      </w:pPr>
      <w:r>
        <w:rPr>
          <w:rFonts w:ascii="Courier New" w:hAnsi="Courier New" w:eastAsia="Courier New"/>
          <w:sz w:val="17"/>
        </w:rPr>
        <w:t xml:space="preserve">    V.footing = nCol * B * B * tf * cf;</w:t>
      </w:r>
    </w:p>
    <w:p>
      <w:pPr>
        <w:spacing w:line="240" w:lineRule="auto"/>
      </w:pPr>
      <w:r>
        <w:rPr>
          <w:rFonts w:ascii="Courier New" w:hAnsi="Courier New" w:eastAsia="Courier New"/>
          <w:sz w:val="17"/>
        </w:rPr>
        <w:t xml:space="preserve">    V.pedestal = nCol * colB * colB * Df * cf;</w:t>
      </w:r>
    </w:p>
    <w:p>
      <w:pPr>
        <w:spacing w:line="240" w:lineRule="auto"/>
      </w:pPr>
      <w:r>
        <w:rPr>
          <w:rFonts w:ascii="Courier New" w:hAnsi="Courier New" w:eastAsia="Courier New"/>
          <w:sz w:val="17"/>
        </w:rPr>
        <w:t xml:space="preserve">    V.column = nCol * N * colB * colB * h * cf;</w:t>
      </w:r>
    </w:p>
    <w:p>
      <w:pPr>
        <w:spacing w:line="240" w:lineRule="auto"/>
      </w:pPr>
      <w:r>
        <w:rPr>
          <w:rFonts w:ascii="Courier New" w:hAnsi="Courier New" w:eastAsia="Courier New"/>
          <w:sz w:val="17"/>
        </w:rPr>
        <w:t xml:space="preserve">    var slabLevels = N - 1 + (p.roof === 'rc_deck' ? 1 : 0);</w:t>
      </w:r>
    </w:p>
    <w:p>
      <w:pPr>
        <w:spacing w:line="240" w:lineRule="auto"/>
      </w:pPr>
      <w:r>
        <w:rPr>
          <w:rFonts w:ascii="Courier New" w:hAnsi="Courier New" w:eastAsia="Courier New"/>
          <w:sz w:val="17"/>
        </w:rPr>
        <w:t xml:space="preserve">    V.beam = (slabLevels * beamLen * beamB * (beamD - ts) + (p.roof === 'rc_deck' ? 0 : beamLen * beamB * beamD)) * cf</w:t>
      </w:r>
    </w:p>
    <w:p>
      <w:pPr>
        <w:spacing w:line="240" w:lineRule="auto"/>
      </w:pPr>
      <w:r>
        <w:rPr>
          <w:rFonts w:ascii="Courier New" w:hAnsi="Courier New" w:eastAsia="Courier New"/>
          <w:sz w:val="17"/>
        </w:rPr>
        <w:t xml:space="preserve">    V.tiebeam = beamLen * 0.25 * 0.40 * cf;</w:t>
      </w:r>
    </w:p>
    <w:p>
      <w:pPr>
        <w:spacing w:line="240" w:lineRule="auto"/>
      </w:pPr>
      <w:r>
        <w:rPr>
          <w:rFonts w:ascii="Courier New" w:hAnsi="Courier New" w:eastAsia="Courier New"/>
          <w:sz w:val="17"/>
        </w:rPr>
        <w:t xml:space="preserve">    V.slab = slabLevels * A * ts * cf;</w:t>
      </w:r>
    </w:p>
    <w:p>
      <w:pPr>
        <w:spacing w:line="240" w:lineRule="auto"/>
      </w:pPr>
      <w:r>
        <w:rPr>
          <w:rFonts w:ascii="Courier New" w:hAnsi="Courier New" w:eastAsia="Courier New"/>
          <w:sz w:val="17"/>
        </w:rPr>
        <w:t xml:space="preserve">    var nStairs = N &gt; 1 ? (A &gt; 250 ? 2 : 1) : 0;</w:t>
      </w:r>
    </w:p>
    <w:p>
      <w:pPr>
        <w:spacing w:line="240" w:lineRule="auto"/>
      </w:pPr>
      <w:r>
        <w:rPr>
          <w:rFonts w:ascii="Courier New" w:hAnsi="Courier New" w:eastAsia="Courier New"/>
          <w:sz w:val="17"/>
        </w:rPr>
        <w:t xml:space="preserve">    V.stair = nStairs * (N - 1) * 4.2 * cf;</w:t>
      </w:r>
    </w:p>
    <w:p>
      <w:pPr>
        <w:spacing w:line="240" w:lineRule="auto"/>
      </w:pPr>
      <w:r>
        <w:rPr>
          <w:rFonts w:ascii="Courier New" w:hAnsi="Courier New" w:eastAsia="Courier New"/>
          <w:sz w:val="17"/>
        </w:rPr>
        <w:t xml:space="preserve">    V.sog = A * 0.10;</w:t>
      </w:r>
    </w:p>
    <w:p>
      <w:pPr>
        <w:spacing w:line="240" w:lineRule="auto"/>
      </w:pPr>
      <w:r>
        <w:rPr>
          <w:rFonts w:ascii="Courier New" w:hAnsi="Courier New" w:eastAsia="Courier New"/>
          <w:sz w:val="17"/>
        </w:rPr>
        <w:t xml:space="preserve"> </w:t>
      </w:r>
    </w:p>
    <w:p>
      <w:pPr>
        <w:spacing w:line="240" w:lineRule="auto"/>
      </w:pPr>
      <w:r>
        <w:rPr>
          <w:rFonts w:ascii="Courier New" w:hAnsi="Courier New" w:eastAsia="Courier New"/>
          <w:sz w:val="17"/>
        </w:rPr>
        <w:t xml:space="preserve">    // reinforcement intensities, kg per m³ (standard tier, seismic zone 4)</w:t>
      </w:r>
    </w:p>
    <w:p>
      <w:pPr>
        <w:spacing w:line="240" w:lineRule="auto"/>
      </w:pPr>
      <w:r>
        <w:rPr>
          <w:rFonts w:ascii="Courier New" w:hAnsi="Courier New" w:eastAsia="Courier New"/>
          <w:sz w:val="17"/>
        </w:rPr>
        <w:t xml:space="preserve">    K.footing = V.footing * 90 * rf; K.pedestal = V.pedestal * 210 * rf; K.column = V.column * 220 * rf;</w:t>
      </w:r>
    </w:p>
    <w:p>
      <w:pPr>
        <w:spacing w:line="240" w:lineRule="auto"/>
      </w:pPr>
      <w:r>
        <w:rPr>
          <w:rFonts w:ascii="Courier New" w:hAnsi="Courier New" w:eastAsia="Courier New"/>
          <w:sz w:val="17"/>
        </w:rPr>
        <w:t xml:space="preserve">    K.beam = V.beam * 190 * rf; K.tiebeam = V.tiebeam * 140 * rf; K.slab = V.slab * 100 * rf;</w:t>
      </w:r>
    </w:p>
    <w:p>
      <w:pPr>
        <w:spacing w:line="240" w:lineRule="auto"/>
      </w:pPr>
      <w:r>
        <w:rPr>
          <w:rFonts w:ascii="Courier New" w:hAnsi="Courier New" w:eastAsia="Courier New"/>
          <w:sz w:val="17"/>
        </w:rPr>
        <w:t xml:space="preserve">    K.stair = V.stair * 100 * rf; K.sog = V.sog * 30 * rf;</w:t>
      </w:r>
    </w:p>
    <w:p>
      <w:pPr>
        <w:spacing w:line="480" w:lineRule="auto" w:after="0"/>
        <w:jc w:val="both"/>
      </w:pPr>
    </w:p>
    <w:p>
      <w:pPr>
        <w:spacing w:line="240" w:lineRule="auto"/>
      </w:pPr>
      <w:r>
        <w:rPr>
          <w:rFonts w:ascii="Courier New" w:hAnsi="Courier New" w:eastAsia="Courier New"/>
          <w:sz w:val="17"/>
        </w:rPr>
        <w:t xml:space="preserve">  function indirect(edc, settings) {</w:t>
      </w:r>
    </w:p>
    <w:p>
      <w:pPr>
        <w:spacing w:line="240" w:lineRule="auto"/>
      </w:pPr>
      <w:r>
        <w:rPr>
          <w:rFonts w:ascii="Courier New" w:hAnsi="Courier New" w:eastAsia="Courier New"/>
          <w:sz w:val="17"/>
        </w:rPr>
        <w:t xml:space="preserve">    settings = settings || {};</w:t>
      </w:r>
    </w:p>
    <w:p>
      <w:pPr>
        <w:spacing w:line="240" w:lineRule="auto"/>
      </w:pPr>
      <w:r>
        <w:rPr>
          <w:rFonts w:ascii="Courier New" w:hAnsi="Courier New" w:eastAsia="Courier New"/>
          <w:sz w:val="17"/>
        </w:rPr>
        <w:t xml:space="preserve">    var row = INDIRECT_TABLE.filter(function (r) { return edc &lt;= r.upTo; })[0];</w:t>
      </w:r>
    </w:p>
    <w:p>
      <w:pPr>
        <w:spacing w:line="240" w:lineRule="auto"/>
      </w:pPr>
      <w:r>
        <w:rPr>
          <w:rFonts w:ascii="Courier New" w:hAnsi="Courier New" w:eastAsia="Courier New"/>
          <w:sz w:val="17"/>
        </w:rPr>
        <w:t xml:space="preserve">    var ocmR = settings.ocm != null ? settings.ocm : row.ocm;</w:t>
      </w:r>
    </w:p>
    <w:p>
      <w:pPr>
        <w:spacing w:line="240" w:lineRule="auto"/>
      </w:pPr>
      <w:r>
        <w:rPr>
          <w:rFonts w:ascii="Courier New" w:hAnsi="Courier New" w:eastAsia="Courier New"/>
          <w:sz w:val="17"/>
        </w:rPr>
        <w:t xml:space="preserve">    var prR = settings.profit != null ? settings.profit : row.profit;</w:t>
      </w:r>
    </w:p>
    <w:p>
      <w:pPr>
        <w:spacing w:line="240" w:lineRule="auto"/>
      </w:pPr>
      <w:r>
        <w:rPr>
          <w:rFonts w:ascii="Courier New" w:hAnsi="Courier New" w:eastAsia="Courier New"/>
          <w:sz w:val="17"/>
        </w:rPr>
        <w:t xml:space="preserve">    var vatR = settings.vat != null ? settings.vat : VAT_RATE;</w:t>
      </w:r>
    </w:p>
    <w:p>
      <w:pPr>
        <w:spacing w:line="240" w:lineRule="auto"/>
      </w:pPr>
      <w:r>
        <w:rPr>
          <w:rFonts w:ascii="Courier New" w:hAnsi="Courier New" w:eastAsia="Courier New"/>
          <w:sz w:val="17"/>
        </w:rPr>
        <w:t xml:space="preserve">    var ocm = edc * ocmR, profit = edc * prR, vat = (edc + ocm + profit) * vatR;</w:t>
      </w:r>
    </w:p>
    <w:p>
      <w:pPr>
        <w:spacing w:line="240" w:lineRule="auto"/>
      </w:pPr>
      <w:r>
        <w:rPr>
          <w:rFonts w:ascii="Courier New" w:hAnsi="Courier New" w:eastAsia="Courier New"/>
          <w:sz w:val="17"/>
        </w:rPr>
        <w:t xml:space="preserve">    return { edc: edc, ocmRate: ocmR, profitRate: prR, vatRate: vatR, ocm: ocm, profit: profit, vat: vat, total: edc +</w:t>
      </w:r>
    </w:p>
    <w:p>
      <w:pPr>
        <w:spacing w:line="240" w:lineRule="auto"/>
      </w:pPr>
      <w:r>
        <w:rPr>
          <w:rFonts w:ascii="Courier New" w:hAnsi="Courier New" w:eastAsia="Courier New"/>
          <w:sz w:val="17"/>
        </w:rPr>
        <w:t xml:space="preserve">  }</w:t>
      </w:r>
    </w:p>
    <w:p>
      <w:r>
        <w:br w:type="page"/>
      </w:r>
    </w:p>
    <w:p>
      <w:pPr>
        <w:spacing w:line="360" w:lineRule="auto" w:after="0"/>
        <w:jc w:val="center"/>
      </w:pPr>
      <w:r>
        <w:rPr>
          <w:b/>
          <w:i w:val="0"/>
        </w:rPr>
        <w:t>Appendix F. Snippets of Methodology (Model Training, Python)</w:t>
      </w:r>
    </w:p>
    <w:p>
      <w:pPr>
        <w:spacing w:line="240" w:lineRule="auto"/>
      </w:pPr>
      <w:r>
        <w:rPr>
          <w:rFonts w:ascii="Courier New" w:hAnsi="Courier New" w:eastAsia="Courier New"/>
          <w:sz w:val="17"/>
        </w:rPr>
        <w:t xml:space="preserve">    # ---- 2. XGBoost (log target), tuned then LOOCV</w:t>
      </w:r>
    </w:p>
    <w:p>
      <w:pPr>
        <w:spacing w:line="240" w:lineRule="auto"/>
      </w:pPr>
      <w:r>
        <w:rPr>
          <w:rFonts w:ascii="Courier New" w:hAnsi="Courier New" w:eastAsia="Courier New"/>
          <w:sz w:val="17"/>
        </w:rPr>
        <w:t xml:space="preserve">    ylog = np.log(y)</w:t>
      </w:r>
    </w:p>
    <w:p>
      <w:pPr>
        <w:spacing w:line="240" w:lineRule="auto"/>
      </w:pPr>
      <w:r>
        <w:rPr>
          <w:rFonts w:ascii="Courier New" w:hAnsi="Courier New" w:eastAsia="Courier New"/>
          <w:sz w:val="17"/>
        </w:rPr>
        <w:t xml:space="preserve">    scorer = make_scorer(lambda yt, yp: mean_absolute_percentage_error(np.exp(yt), np.exp(yp)), greater_is_better=Fals</w:t>
      </w:r>
    </w:p>
    <w:p>
      <w:pPr>
        <w:spacing w:line="240" w:lineRule="auto"/>
      </w:pPr>
      <w:r>
        <w:rPr>
          <w:rFonts w:ascii="Courier New" w:hAnsi="Courier New" w:eastAsia="Courier New"/>
          <w:sz w:val="17"/>
        </w:rPr>
        <w:t xml:space="preserve">    search = RandomizedSearchCV(XGBRegressor(objective='reg:squarederror', random_state=42, n_jobs=4), PARAMS, n_iter=</w:t>
      </w:r>
    </w:p>
    <w:p>
      <w:pPr>
        <w:spacing w:line="240" w:lineRule="auto"/>
      </w:pPr>
      <w:r>
        <w:rPr>
          <w:rFonts w:ascii="Courier New" w:hAnsi="Courier New" w:eastAsia="Courier New"/>
          <w:sz w:val="17"/>
        </w:rPr>
        <w:t xml:space="preserve">                                scoring=scorer, cv=KFold(5, shuffle=True, random_state=42), random_state=42, n_jobs=1)</w:t>
      </w:r>
    </w:p>
    <w:p>
      <w:pPr>
        <w:spacing w:line="240" w:lineRule="auto"/>
      </w:pPr>
      <w:r>
        <w:rPr>
          <w:rFonts w:ascii="Courier New" w:hAnsi="Courier New" w:eastAsia="Courier New"/>
          <w:sz w:val="17"/>
        </w:rPr>
        <w:t xml:space="preserve">    search.fit(X, ylog)</w:t>
      </w:r>
    </w:p>
    <w:p>
      <w:pPr>
        <w:spacing w:line="240" w:lineRule="auto"/>
      </w:pPr>
      <w:r>
        <w:rPr>
          <w:rFonts w:ascii="Courier New" w:hAnsi="Courier New" w:eastAsia="Courier New"/>
          <w:sz w:val="17"/>
        </w:rPr>
        <w:t xml:space="preserve">    best = search.best_params_</w:t>
      </w:r>
    </w:p>
    <w:p>
      <w:pPr>
        <w:spacing w:line="240" w:lineRule="auto"/>
      </w:pPr>
      <w:r>
        <w:rPr>
          <w:rFonts w:ascii="Courier New" w:hAnsi="Courier New" w:eastAsia="Courier New"/>
          <w:sz w:val="17"/>
        </w:rPr>
        <w:t xml:space="preserve">    R['xgb_params'] = {k: (float(v) if isinstance(v, float) else int(v)) for k, v in best.items()}</w:t>
      </w:r>
    </w:p>
    <w:p>
      <w:pPr>
        <w:spacing w:line="240" w:lineRule="auto"/>
      </w:pPr>
      <w:r>
        <w:rPr>
          <w:rFonts w:ascii="Courier New" w:hAnsi="Courier New" w:eastAsia="Courier New"/>
          <w:sz w:val="17"/>
        </w:rPr>
        <w:t xml:space="preserve">    xgb_pred = np.exp(cross_val_predict(XGBRegressor(objective='reg:squarederror', random_state=42, n_jobs=4, **best),</w:t>
      </w:r>
    </w:p>
    <w:p>
      <w:pPr>
        <w:spacing w:line="240" w:lineRule="auto"/>
      </w:pPr>
      <w:r>
        <w:rPr>
          <w:rFonts w:ascii="Courier New" w:hAnsi="Courier New" w:eastAsia="Courier New"/>
          <w:sz w:val="17"/>
        </w:rPr>
        <w:t xml:space="preserve">    R['xgb_loocv'] = metrics(y, xgb_pred)</w:t>
      </w:r>
    </w:p>
    <w:p>
      <w:pPr>
        <w:spacing w:line="240" w:lineRule="auto"/>
      </w:pPr>
      <w:r>
        <w:rPr>
          <w:rFonts w:ascii="Courier New" w:hAnsi="Courier New" w:eastAsia="Courier New"/>
          <w:sz w:val="17"/>
        </w:rPr>
        <w:t xml:space="preserve">    final = XGBRegressor(objective='reg:squarederror', random_state=42, n_jobs=4, **best).fit(X, ylog)</w:t>
      </w:r>
    </w:p>
    <w:p>
      <w:pPr>
        <w:spacing w:line="240" w:lineRule="auto"/>
      </w:pPr>
      <w:r>
        <w:rPr>
          <w:rFonts w:ascii="Courier New" w:hAnsi="Courier New" w:eastAsia="Courier New"/>
          <w:sz w:val="17"/>
        </w:rPr>
        <w:t xml:space="preserve">    imp = final.get_booster().get_score(importance_type='gain')</w:t>
      </w:r>
    </w:p>
    <w:p>
      <w:pPr>
        <w:spacing w:line="240" w:lineRule="auto"/>
      </w:pPr>
      <w:r>
        <w:rPr>
          <w:rFonts w:ascii="Courier New" w:hAnsi="Courier New" w:eastAsia="Courier New"/>
          <w:sz w:val="17"/>
        </w:rPr>
        <w:t xml:space="preserve">    tot = sum(imp.values())</w:t>
      </w:r>
    </w:p>
    <w:p>
      <w:pPr>
        <w:spacing w:line="240" w:lineRule="auto"/>
      </w:pPr>
      <w:r>
        <w:rPr>
          <w:rFonts w:ascii="Courier New" w:hAnsi="Courier New" w:eastAsia="Courier New"/>
          <w:sz w:val="17"/>
        </w:rPr>
        <w:t xml:space="preserve">    R['xgb_importance'] = {f: float(imp.get(f, 0) / tot) for f in feats}</w:t>
      </w:r>
    </w:p>
    <w:p>
      <w:pPr>
        <w:spacing w:line="480" w:lineRule="auto" w:after="0"/>
        <w:jc w:val="both"/>
      </w:pPr>
    </w:p>
    <w:p>
      <w:pPr>
        <w:spacing w:line="240" w:lineRule="auto"/>
      </w:pPr>
      <w:r>
        <w:rPr>
          <w:rFonts w:ascii="Courier New" w:hAnsi="Courier New" w:eastAsia="Courier New"/>
          <w:sz w:val="17"/>
        </w:rPr>
        <w:t xml:space="preserve">    # ---- 3. Isolation Forest</w:t>
      </w:r>
    </w:p>
    <w:p>
      <w:pPr>
        <w:spacing w:line="240" w:lineRule="auto"/>
      </w:pPr>
      <w:r>
        <w:rPr>
          <w:rFonts w:ascii="Courier New" w:hAnsi="Courier New" w:eastAsia="Courier New"/>
          <w:sz w:val="17"/>
        </w:rPr>
        <w:t xml:space="preserve">    obr = y / d.fair_estimate.values</w:t>
      </w:r>
    </w:p>
    <w:p>
      <w:pPr>
        <w:spacing w:line="240" w:lineRule="auto"/>
      </w:pPr>
      <w:r>
        <w:rPr>
          <w:rFonts w:ascii="Courier New" w:hAnsi="Courier New" w:eastAsia="Courier New"/>
          <w:sz w:val="17"/>
        </w:rPr>
        <w:t xml:space="preserve">    ceil_ratio = d.ceiling_estimate.values / d.fair_estimate.values</w:t>
      </w:r>
    </w:p>
    <w:p>
      <w:pPr>
        <w:spacing w:line="240" w:lineRule="auto"/>
      </w:pPr>
      <w:r>
        <w:rPr>
          <w:rFonts w:ascii="Courier New" w:hAnsi="Courier New" w:eastAsia="Courier New"/>
          <w:sz w:val="17"/>
        </w:rPr>
        <w:t xml:space="preserve">    ml_ratio = y / xgb_pred</w:t>
      </w:r>
    </w:p>
    <w:p>
      <w:pPr>
        <w:spacing w:line="240" w:lineRule="auto"/>
      </w:pPr>
      <w:r>
        <w:rPr>
          <w:rFonts w:ascii="Courier New" w:hAnsi="Courier New" w:eastAsia="Courier New"/>
          <w:sz w:val="17"/>
        </w:rPr>
        <w:t xml:space="preserve">    Z = X.copy(); Z['LogMLRatio'] = np.log(ml_ratio); Z['LogOBR'] = np.log(obr)</w:t>
      </w:r>
    </w:p>
    <w:p>
      <w:pPr>
        <w:spacing w:line="240" w:lineRule="auto"/>
      </w:pPr>
      <w:r>
        <w:rPr>
          <w:rFonts w:ascii="Courier New" w:hAnsi="Courier New" w:eastAsia="Courier New"/>
          <w:sz w:val="17"/>
        </w:rPr>
        <w:t xml:space="preserve">    scaler = StandardScaler().fit(Z.astype(float))</w:t>
      </w:r>
    </w:p>
    <w:p>
      <w:pPr>
        <w:spacing w:line="240" w:lineRule="auto"/>
      </w:pPr>
      <w:r>
        <w:rPr>
          <w:rFonts w:ascii="Courier New" w:hAnsi="Courier New" w:eastAsia="Courier New"/>
          <w:sz w:val="17"/>
        </w:rPr>
        <w:t xml:space="preserve">    Zs = scaler.transform(Z.astype(float))</w:t>
      </w:r>
    </w:p>
    <w:p>
      <w:pPr>
        <w:spacing w:line="240" w:lineRule="auto"/>
      </w:pPr>
      <w:r>
        <w:rPr>
          <w:rFonts w:ascii="Courier New" w:hAnsi="Courier New" w:eastAsia="Courier New"/>
          <w:sz w:val="17"/>
        </w:rPr>
        <w:t xml:space="preserve">    iso = IsolationForest(n_estimators=200, contamination=0.10, random_state=42).fit(Zs)</w:t>
      </w:r>
    </w:p>
    <w:p>
      <w:pPr>
        <w:spacing w:line="240" w:lineRule="auto"/>
      </w:pPr>
      <w:r>
        <w:rPr>
          <w:rFonts w:ascii="Courier New" w:hAnsi="Courier New" w:eastAsia="Courier New"/>
          <w:sz w:val="17"/>
        </w:rPr>
        <w:t xml:space="preserve">    iso_score = -iso.score_samples(Zs)            # 0..1, higher = easier to isolate</w:t>
      </w:r>
    </w:p>
    <w:p>
      <w:pPr>
        <w:spacing w:line="240" w:lineRule="auto"/>
      </w:pPr>
      <w:r>
        <w:rPr>
          <w:rFonts w:ascii="Courier New" w:hAnsi="Courier New" w:eastAsia="Courier New"/>
          <w:sz w:val="17"/>
        </w:rPr>
        <w:t xml:space="preserve">    iso_raw = iso.predict(Zs) == -1</w:t>
      </w:r>
    </w:p>
    <w:p>
      <w:pPr>
        <w:spacing w:line="240" w:lineRule="auto"/>
      </w:pPr>
      <w:r>
        <w:rPr>
          <w:rFonts w:ascii="Courier New" w:hAnsi="Courier New" w:eastAsia="Courier New"/>
          <w:sz w:val="17"/>
        </w:rPr>
        <w:t xml:space="preserve">    overcost = (ml_ratio &gt; 1) &amp; (obr &gt; 1)</w:t>
      </w:r>
    </w:p>
    <w:p>
      <w:pPr>
        <w:spacing w:line="240" w:lineRule="auto"/>
      </w:pPr>
      <w:r>
        <w:rPr>
          <w:rFonts w:ascii="Courier New" w:hAnsi="Courier New" w:eastAsia="Courier New"/>
          <w:sz w:val="17"/>
        </w:rPr>
        <w:t xml:space="preserve">    iso_flag = iso_raw &amp; overcost</w:t>
      </w:r>
    </w:p>
    <w:p>
      <w:pPr>
        <w:spacing w:line="240" w:lineRule="auto"/>
      </w:pPr>
      <w:r>
        <w:rPr>
          <w:rFonts w:ascii="Courier New" w:hAnsi="Courier New" w:eastAsia="Courier New"/>
          <w:sz w:val="17"/>
        </w:rPr>
        <w:t xml:space="preserve">    zabs = np.abs(Zs)</w:t>
      </w:r>
    </w:p>
    <w:p>
      <w:pPr>
        <w:spacing w:line="240" w:lineRule="auto"/>
      </w:pPr>
      <w:r>
        <w:rPr>
          <w:rFonts w:ascii="Courier New" w:hAnsi="Courier New" w:eastAsia="Courier New"/>
          <w:sz w:val="17"/>
        </w:rPr>
        <w:t xml:space="preserve">    zcols = list(Z.columns)</w:t>
      </w:r>
    </w:p>
    <w:p>
      <w:r>
        <w:br w:type="page"/>
      </w:r>
    </w:p>
    <w:p>
      <w:pPr>
        <w:spacing w:line="240" w:lineRule="auto"/>
        <w:jc w:val="center"/>
      </w:pPr>
      <w:r>
        <w:drawing>
          <wp:inline xmlns:a="http://schemas.openxmlformats.org/drawingml/2006/main" xmlns:pic="http://schemas.openxmlformats.org/drawingml/2006/picture">
            <wp:extent cx="4206240" cy="3455126"/>
            <wp:docPr id="41" name="Picture 41"/>
            <wp:cNvGraphicFramePr>
              <a:graphicFrameLocks noChangeAspect="1"/>
            </wp:cNvGraphicFramePr>
            <a:graphic>
              <a:graphicData uri="http://schemas.openxmlformats.org/drawingml/2006/picture">
                <pic:pic>
                  <pic:nvPicPr>
                    <pic:cNvPr id="0" name="mlr_building.png"/>
                    <pic:cNvPicPr/>
                  </pic:nvPicPr>
                  <pic:blipFill>
                    <a:blip r:embed="rId51"/>
                    <a:stretch>
                      <a:fillRect/>
                    </a:stretch>
                  </pic:blipFill>
                  <pic:spPr>
                    <a:xfrm>
                      <a:off x="0" y="0"/>
                      <a:ext cx="4206240" cy="3455126"/>
                    </a:xfrm>
                    <a:prstGeom prst="rect"/>
                  </pic:spPr>
                </pic:pic>
              </a:graphicData>
            </a:graphic>
          </wp:inline>
        </w:drawing>
      </w:r>
    </w:p>
    <w:p>
      <w:pPr>
        <w:spacing w:line="240" w:lineRule="auto" w:after="240"/>
        <w:jc w:val="center"/>
      </w:pPr>
    </w:p>
    <w:p>
      <w:pPr>
        <w:spacing w:line="240" w:lineRule="auto"/>
        <w:jc w:val="center"/>
      </w:pPr>
      <w:r>
        <w:drawing>
          <wp:inline xmlns:a="http://schemas.openxmlformats.org/drawingml/2006/main" xmlns:pic="http://schemas.openxmlformats.org/drawingml/2006/picture">
            <wp:extent cx="4206240" cy="3455126"/>
            <wp:docPr id="42" name="Picture 42"/>
            <wp:cNvGraphicFramePr>
              <a:graphicFrameLocks noChangeAspect="1"/>
            </wp:cNvGraphicFramePr>
            <a:graphic>
              <a:graphicData uri="http://schemas.openxmlformats.org/drawingml/2006/picture">
                <pic:pic>
                  <pic:nvPicPr>
                    <pic:cNvPr id="0" name="mlr_bridge.png"/>
                    <pic:cNvPicPr/>
                  </pic:nvPicPr>
                  <pic:blipFill>
                    <a:blip r:embed="rId52"/>
                    <a:stretch>
                      <a:fillRect/>
                    </a:stretch>
                  </pic:blipFill>
                  <pic:spPr>
                    <a:xfrm>
                      <a:off x="0" y="0"/>
                      <a:ext cx="4206240" cy="3455126"/>
                    </a:xfrm>
                    <a:prstGeom prst="rect"/>
                  </pic:spPr>
                </pic:pic>
              </a:graphicData>
            </a:graphic>
          </wp:inline>
        </w:drawing>
      </w:r>
    </w:p>
    <w:p>
      <w:pPr>
        <w:spacing w:line="240" w:lineRule="auto" w:after="240"/>
        <w:jc w:val="center"/>
      </w:pPr>
      <w:r>
        <w:rPr>
          <w:b/>
          <w:i w:val="0"/>
        </w:rPr>
        <w:t>Appendix G. Multiple Linear Regression: Actual vs. Predicted Cost</w:t>
      </w:r>
    </w:p>
    <w:p>
      <w:r>
        <w:br w:type="page"/>
      </w:r>
    </w:p>
    <w:p>
      <w:pPr>
        <w:spacing w:line="240" w:lineRule="auto"/>
        <w:jc w:val="center"/>
      </w:pPr>
      <w:r>
        <w:drawing>
          <wp:inline xmlns:a="http://schemas.openxmlformats.org/drawingml/2006/main" xmlns:pic="http://schemas.openxmlformats.org/drawingml/2006/picture">
            <wp:extent cx="4206240" cy="3455126"/>
            <wp:docPr id="43" name="Picture 43"/>
            <wp:cNvGraphicFramePr>
              <a:graphicFrameLocks noChangeAspect="1"/>
            </wp:cNvGraphicFramePr>
            <a:graphic>
              <a:graphicData uri="http://schemas.openxmlformats.org/drawingml/2006/picture">
                <pic:pic>
                  <pic:nvPicPr>
                    <pic:cNvPr id="0" name="xgb_building.png"/>
                    <pic:cNvPicPr/>
                  </pic:nvPicPr>
                  <pic:blipFill>
                    <a:blip r:embed="rId53"/>
                    <a:stretch>
                      <a:fillRect/>
                    </a:stretch>
                  </pic:blipFill>
                  <pic:spPr>
                    <a:xfrm>
                      <a:off x="0" y="0"/>
                      <a:ext cx="4206240" cy="3455126"/>
                    </a:xfrm>
                    <a:prstGeom prst="rect"/>
                  </pic:spPr>
                </pic:pic>
              </a:graphicData>
            </a:graphic>
          </wp:inline>
        </w:drawing>
      </w:r>
    </w:p>
    <w:p>
      <w:pPr>
        <w:spacing w:line="240" w:lineRule="auto" w:after="240"/>
        <w:jc w:val="center"/>
      </w:pPr>
    </w:p>
    <w:p>
      <w:pPr>
        <w:spacing w:line="240" w:lineRule="auto"/>
        <w:jc w:val="center"/>
      </w:pPr>
      <w:r>
        <w:drawing>
          <wp:inline xmlns:a="http://schemas.openxmlformats.org/drawingml/2006/main" xmlns:pic="http://schemas.openxmlformats.org/drawingml/2006/picture">
            <wp:extent cx="4206240" cy="3455126"/>
            <wp:docPr id="44" name="Picture 44"/>
            <wp:cNvGraphicFramePr>
              <a:graphicFrameLocks noChangeAspect="1"/>
            </wp:cNvGraphicFramePr>
            <a:graphic>
              <a:graphicData uri="http://schemas.openxmlformats.org/drawingml/2006/picture">
                <pic:pic>
                  <pic:nvPicPr>
                    <pic:cNvPr id="0" name="xgb_bridge.png"/>
                    <pic:cNvPicPr/>
                  </pic:nvPicPr>
                  <pic:blipFill>
                    <a:blip r:embed="rId54"/>
                    <a:stretch>
                      <a:fillRect/>
                    </a:stretch>
                  </pic:blipFill>
                  <pic:spPr>
                    <a:xfrm>
                      <a:off x="0" y="0"/>
                      <a:ext cx="4206240" cy="3455126"/>
                    </a:xfrm>
                    <a:prstGeom prst="rect"/>
                  </pic:spPr>
                </pic:pic>
              </a:graphicData>
            </a:graphic>
          </wp:inline>
        </w:drawing>
      </w:r>
    </w:p>
    <w:p>
      <w:pPr>
        <w:spacing w:line="240" w:lineRule="auto" w:after="240"/>
        <w:jc w:val="center"/>
      </w:pPr>
      <w:r>
        <w:rPr>
          <w:b/>
          <w:i w:val="0"/>
        </w:rPr>
        <w:t>Appendix H. Extreme Gradient Boosting: Actual vs. Predicted Cost</w:t>
      </w:r>
    </w:p>
    <w:p>
      <w:r>
        <w:br w:type="page"/>
      </w:r>
    </w:p>
    <w:p>
      <w:pPr>
        <w:spacing w:line="240" w:lineRule="auto"/>
        <w:jc w:val="center"/>
      </w:pPr>
      <w:r>
        <w:drawing>
          <wp:inline xmlns:a="http://schemas.openxmlformats.org/drawingml/2006/main" xmlns:pic="http://schemas.openxmlformats.org/drawingml/2006/picture">
            <wp:extent cx="4206240" cy="3304903"/>
            <wp:docPr id="45" name="Picture 45"/>
            <wp:cNvGraphicFramePr>
              <a:graphicFrameLocks noChangeAspect="1"/>
            </wp:cNvGraphicFramePr>
            <a:graphic>
              <a:graphicData uri="http://schemas.openxmlformats.org/drawingml/2006/picture">
                <pic:pic>
                  <pic:nvPicPr>
                    <pic:cNvPr id="0" name="iforest_building.png"/>
                    <pic:cNvPicPr/>
                  </pic:nvPicPr>
                  <pic:blipFill>
                    <a:blip r:embed="rId55"/>
                    <a:stretch>
                      <a:fillRect/>
                    </a:stretch>
                  </pic:blipFill>
                  <pic:spPr>
                    <a:xfrm>
                      <a:off x="0" y="0"/>
                      <a:ext cx="4206240" cy="3304903"/>
                    </a:xfrm>
                    <a:prstGeom prst="rect"/>
                  </pic:spPr>
                </pic:pic>
              </a:graphicData>
            </a:graphic>
          </wp:inline>
        </w:drawing>
      </w:r>
    </w:p>
    <w:p>
      <w:pPr>
        <w:spacing w:line="240" w:lineRule="auto" w:after="240"/>
        <w:jc w:val="center"/>
      </w:pPr>
    </w:p>
    <w:p>
      <w:pPr>
        <w:spacing w:line="240" w:lineRule="auto"/>
        <w:jc w:val="center"/>
      </w:pPr>
      <w:r>
        <w:drawing>
          <wp:inline xmlns:a="http://schemas.openxmlformats.org/drawingml/2006/main" xmlns:pic="http://schemas.openxmlformats.org/drawingml/2006/picture">
            <wp:extent cx="4206240" cy="3304903"/>
            <wp:docPr id="46" name="Picture 46"/>
            <wp:cNvGraphicFramePr>
              <a:graphicFrameLocks noChangeAspect="1"/>
            </wp:cNvGraphicFramePr>
            <a:graphic>
              <a:graphicData uri="http://schemas.openxmlformats.org/drawingml/2006/picture">
                <pic:pic>
                  <pic:nvPicPr>
                    <pic:cNvPr id="0" name="iforest_bridge.png"/>
                    <pic:cNvPicPr/>
                  </pic:nvPicPr>
                  <pic:blipFill>
                    <a:blip r:embed="rId56"/>
                    <a:stretch>
                      <a:fillRect/>
                    </a:stretch>
                  </pic:blipFill>
                  <pic:spPr>
                    <a:xfrm>
                      <a:off x="0" y="0"/>
                      <a:ext cx="4206240" cy="3304903"/>
                    </a:xfrm>
                    <a:prstGeom prst="rect"/>
                  </pic:spPr>
                </pic:pic>
              </a:graphicData>
            </a:graphic>
          </wp:inline>
        </w:drawing>
      </w:r>
    </w:p>
    <w:p>
      <w:pPr>
        <w:spacing w:line="240" w:lineRule="auto" w:after="240"/>
        <w:jc w:val="center"/>
      </w:pPr>
      <w:r>
        <w:rPr>
          <w:b/>
          <w:i w:val="0"/>
        </w:rPr>
        <w:t>Appendix I. Isolation Forest: Cost Residual vs. Anomaly Score</w:t>
      </w:r>
    </w:p>
    <w:p>
      <w:r>
        <w:br w:type="page"/>
      </w:r>
    </w:p>
    <w:p>
      <w:pPr>
        <w:spacing w:line="360" w:lineRule="auto" w:after="0"/>
        <w:jc w:val="center"/>
      </w:pPr>
      <w:r>
        <w:rPr>
          <w:b/>
          <w:i w:val="0"/>
        </w:rPr>
        <w:t>Appendix J. User Guide of the BUHAY Application</w:t>
      </w:r>
    </w:p>
    <w:p>
      <w:pPr>
        <w:tabs>
          <w:tab w:pos="1080" w:val="left"/>
        </w:tabs>
        <w:spacing w:line="360" w:lineRule="auto"/>
        <w:ind w:left="1080" w:hanging="360"/>
        <w:jc w:val="both"/>
      </w:pPr>
      <w:r>
        <w:rPr>
          <w:b w:val="0"/>
          <w:i w:val="0"/>
        </w:rPr>
        <w:t>1.</w:t>
        <w:tab/>
        <w:t xml:space="preserve">Open the website and tap </w:t>
      </w:r>
      <w:r>
        <w:rPr>
          <w:b/>
          <w:i w:val="0"/>
        </w:rPr>
        <w:t>Download for Android</w:t>
      </w:r>
      <w:r>
        <w:rPr>
          <w:b w:val="0"/>
          <w:i w:val="0"/>
        </w:rPr>
        <w:t xml:space="preserve">, or open the web app and choose </w:t>
      </w:r>
      <w:r>
        <w:rPr>
          <w:b/>
          <w:i w:val="0"/>
        </w:rPr>
        <w:t>Install app</w:t>
      </w:r>
      <w:r>
        <w:rPr>
          <w:b w:val="0"/>
          <w:i w:val="0"/>
        </w:rPr>
        <w:t xml:space="preserve"> (Android, PC) or </w:t>
      </w:r>
      <w:r>
        <w:rPr>
          <w:b/>
          <w:i w:val="0"/>
        </w:rPr>
        <w:t>Share → Add to Home Screen</w:t>
      </w:r>
      <w:r>
        <w:rPr>
          <w:b w:val="0"/>
          <w:i w:val="0"/>
        </w:rPr>
        <w:t xml:space="preserve"> (iPhone).</w:t>
      </w:r>
    </w:p>
    <w:p>
      <w:pPr>
        <w:tabs>
          <w:tab w:pos="1080" w:val="left"/>
        </w:tabs>
        <w:spacing w:line="360" w:lineRule="auto"/>
        <w:ind w:left="1080" w:hanging="360"/>
        <w:jc w:val="both"/>
      </w:pPr>
      <w:r>
        <w:rPr>
          <w:b w:val="0"/>
          <w:i w:val="0"/>
        </w:rPr>
        <w:t>2.</w:t>
        <w:tab/>
        <w:t xml:space="preserve">In </w:t>
      </w:r>
      <w:r>
        <w:rPr>
          <w:b/>
          <w:i w:val="0"/>
        </w:rPr>
        <w:t>Quote</w:t>
      </w:r>
      <w:r>
        <w:rPr>
          <w:b w:val="0"/>
          <w:i w:val="0"/>
        </w:rPr>
        <w:t>, choose Building or Bridge, pick a reference plan or import a DXF or plan file, and adjust the plan variables. Read the lean start quotation, the standard estimate and the ceiling.</w:t>
      </w:r>
    </w:p>
    <w:p>
      <w:pPr>
        <w:tabs>
          <w:tab w:pos="1080" w:val="left"/>
        </w:tabs>
        <w:spacing w:line="360" w:lineRule="auto"/>
        <w:ind w:left="1080" w:hanging="360"/>
        <w:jc w:val="both"/>
      </w:pPr>
      <w:r>
        <w:rPr>
          <w:b w:val="0"/>
          <w:i w:val="0"/>
        </w:rPr>
        <w:t>3.</w:t>
        <w:tab/>
        <w:t xml:space="preserve">Open the </w:t>
      </w:r>
      <w:r>
        <w:rPr>
          <w:b/>
          <w:i w:val="0"/>
        </w:rPr>
        <w:t>Bill of quantities</w:t>
      </w:r>
      <w:r>
        <w:rPr>
          <w:b w:val="0"/>
          <w:i w:val="0"/>
        </w:rPr>
        <w:t xml:space="preserve"> tab to review or export the items. Save the plan to the Library.</w:t>
      </w:r>
    </w:p>
    <w:p>
      <w:pPr>
        <w:tabs>
          <w:tab w:pos="1080" w:val="left"/>
        </w:tabs>
        <w:spacing w:line="360" w:lineRule="auto"/>
        <w:ind w:left="1080" w:hanging="360"/>
        <w:jc w:val="both"/>
      </w:pPr>
      <w:r>
        <w:rPr>
          <w:b w:val="0"/>
          <w:i w:val="0"/>
        </w:rPr>
        <w:t>4.</w:t>
        <w:tab/>
        <w:t xml:space="preserve">In </w:t>
      </w:r>
      <w:r>
        <w:rPr>
          <w:b/>
          <w:i w:val="0"/>
        </w:rPr>
        <w:t>Check</w:t>
      </w:r>
      <w:r>
        <w:rPr>
          <w:b w:val="0"/>
          <w:i w:val="0"/>
        </w:rPr>
        <w:t>, enter the contract amount (and optionally the submitted EDC, OCM, profit and VAT). Read the verdict, risk index, drivers and SHAP explanation.</w:t>
      </w:r>
    </w:p>
    <w:p>
      <w:pPr>
        <w:tabs>
          <w:tab w:pos="1080" w:val="left"/>
        </w:tabs>
        <w:spacing w:line="360" w:lineRule="auto"/>
        <w:ind w:left="1080" w:hanging="360"/>
        <w:jc w:val="both"/>
      </w:pPr>
      <w:r>
        <w:rPr>
          <w:b w:val="0"/>
          <w:i w:val="0"/>
        </w:rPr>
        <w:t>5.</w:t>
        <w:tab/>
        <w:t xml:space="preserve">Paste or upload the contractor's BOQ in </w:t>
      </w:r>
      <w:r>
        <w:rPr>
          <w:b/>
          <w:i w:val="0"/>
        </w:rPr>
        <w:t>Line-item check</w:t>
      </w:r>
      <w:r>
        <w:rPr>
          <w:b w:val="0"/>
          <w:i w:val="0"/>
        </w:rPr>
        <w:t xml:space="preserve"> to find overpriced items.</w:t>
      </w:r>
    </w:p>
    <w:p>
      <w:pPr>
        <w:tabs>
          <w:tab w:pos="1080" w:val="left"/>
        </w:tabs>
        <w:spacing w:line="360" w:lineRule="auto"/>
        <w:ind w:left="1080" w:hanging="360"/>
        <w:jc w:val="both"/>
      </w:pPr>
      <w:r>
        <w:rPr>
          <w:b w:val="0"/>
          <w:i w:val="0"/>
        </w:rPr>
        <w:t>6.</w:t>
        <w:tab/>
        <w:t xml:space="preserve">Save the check with a latitude and longitude to see it on the </w:t>
      </w:r>
      <w:r>
        <w:rPr>
          <w:b/>
          <w:i w:val="0"/>
        </w:rPr>
        <w:t>Map</w:t>
      </w:r>
      <w:r>
        <w:rPr>
          <w:b w:val="0"/>
          <w:i w:val="0"/>
        </w:rPr>
        <w:t xml:space="preserve">. Edit unit rates in </w:t>
      </w:r>
      <w:r>
        <w:rPr>
          <w:b/>
          <w:i w:val="0"/>
        </w:rPr>
        <w:t>Library → Unit price book</w:t>
      </w:r>
      <w:r>
        <w:rPr>
          <w:b w:val="0"/>
          <w:i w:val="0"/>
        </w:rPr>
        <w:t>.</w:t>
      </w:r>
    </w:p>
    <w:sectPr w:rsidR="00FC693F" w:rsidRPr="0006063C" w:rsidSect="00034616">
      <w:headerReference w:type="default" r:id="rId10"/>
      <w:pgSz w:w="12240" w:h="15840"/>
      <w:pgMar w:top="1440" w:right="1440" w:bottom="1440" w:left="1440" w:header="720" w:footer="720" w:gutter="0"/>
      <w:cols w:space="720"/>
      <w:docGrid w:linePitch="360"/>
      <w:pgNumType w:fmt="lower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r>
    <w:r>
      <w:instrText xml:space="preserve">PAGE</w:instrText>
    </w:r>
    <w:r>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r>
    <w:r>
      <w:instrText xml:space="preserve">PAGE</w:instrTex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