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both"/>
      </w:pPr>
    </w:p>
    <w:p>
      <w:pPr>
        <w:spacing w:line="480" w:lineRule="auto" w:after="0"/>
        <w:jc w:val="both"/>
      </w:pPr>
    </w:p>
    <w:p>
      <w:pPr>
        <w:spacing w:line="480" w:lineRule="auto" w:after="0"/>
        <w:jc w:val="both"/>
      </w:pPr>
    </w:p>
    <w:p>
      <w:pPr>
        <w:spacing w:line="480" w:lineRule="auto" w:after="0"/>
        <w:jc w:val="both"/>
      </w:pPr>
    </w:p>
    <w:p>
      <w:pPr>
        <w:spacing w:line="480" w:lineRule="auto" w:after="0"/>
        <w:jc w:val="both"/>
      </w:pPr>
    </w:p>
    <w:p>
      <w:pPr>
        <w:spacing w:line="480" w:lineRule="auto" w:after="0"/>
        <w:jc w:val="center"/>
      </w:pPr>
      <w:r>
        <w:rPr>
          <w:b/>
          <w:i w:val="0"/>
        </w:rPr>
        <w:t>BUHAY-AH: A Budget-to-Blueprint Design Generator, Standards-Based Quantity Take-Off, and Hybrid Machine Learning System for Start Quotations and Over-Budget Detection in Public Buildings, Bridges, Airports and Seaports</w:t>
      </w:r>
    </w:p>
    <w:p>
      <w:pPr>
        <w:spacing w:line="480" w:lineRule="auto" w:after="0"/>
        <w:jc w:val="both"/>
      </w:pPr>
    </w:p>
    <w:p>
      <w:pPr>
        <w:spacing w:line="480" w:lineRule="auto" w:after="0"/>
        <w:jc w:val="both"/>
      </w:pPr>
    </w:p>
    <w:p>
      <w:pPr>
        <w:spacing w:line="480" w:lineRule="auto" w:after="0"/>
        <w:jc w:val="both"/>
      </w:pPr>
    </w:p>
    <w:p>
      <w:pPr>
        <w:spacing w:line="480" w:lineRule="auto" w:after="0"/>
        <w:jc w:val="center"/>
      </w:pPr>
      <w:r>
        <w:rPr>
          <w:b/>
          <w:i w:val="0"/>
        </w:rPr>
        <w:t>Enrique Miguel C. Buban</w:t>
      </w:r>
    </w:p>
    <w:p>
      <w:pPr>
        <w:spacing w:line="480" w:lineRule="auto" w:after="0"/>
        <w:jc w:val="center"/>
      </w:pPr>
      <w:r>
        <w:rPr>
          <w:b w:val="0"/>
          <w:i w:val="0"/>
        </w:rPr>
        <w:t>Lead Researcher</w:t>
      </w:r>
    </w:p>
    <w:p>
      <w:pPr>
        <w:spacing w:line="480" w:lineRule="auto" w:after="0"/>
        <w:jc w:val="both"/>
      </w:pPr>
    </w:p>
    <w:p>
      <w:pPr>
        <w:spacing w:line="480" w:lineRule="auto" w:after="0"/>
        <w:jc w:val="center"/>
      </w:pPr>
      <w:r>
        <w:rPr>
          <w:b/>
          <w:i w:val="0"/>
        </w:rPr>
        <w:t>Peter John A. Brimbuela</w:t>
      </w:r>
    </w:p>
    <w:p>
      <w:pPr>
        <w:spacing w:line="480" w:lineRule="auto" w:after="0"/>
        <w:jc w:val="center"/>
      </w:pPr>
      <w:r>
        <w:rPr>
          <w:b/>
          <w:i w:val="0"/>
        </w:rPr>
        <w:t>Dave Justin Ll. De Asis</w:t>
      </w:r>
    </w:p>
    <w:p>
      <w:pPr>
        <w:spacing w:line="480" w:lineRule="auto" w:after="0"/>
        <w:jc w:val="center"/>
      </w:pPr>
      <w:r>
        <w:rPr>
          <w:b/>
          <w:i w:val="0"/>
        </w:rPr>
        <w:t>Yeaseong Shin</w:t>
      </w:r>
    </w:p>
    <w:p>
      <w:pPr>
        <w:spacing w:line="480" w:lineRule="auto" w:after="0"/>
        <w:jc w:val="center"/>
      </w:pPr>
      <w:r>
        <w:rPr>
          <w:b w:val="0"/>
          <w:i w:val="0"/>
        </w:rPr>
        <w:t>Researchers</w:t>
      </w:r>
    </w:p>
    <w:p>
      <w:pPr>
        <w:spacing w:line="480" w:lineRule="auto" w:after="0"/>
        <w:jc w:val="both"/>
      </w:pPr>
    </w:p>
    <w:p>
      <w:pPr>
        <w:spacing w:line="480" w:lineRule="auto" w:after="0"/>
        <w:jc w:val="both"/>
      </w:pPr>
    </w:p>
    <w:p>
      <w:pPr>
        <w:spacing w:line="480" w:lineRule="auto" w:after="0"/>
        <w:jc w:val="both"/>
      </w:pPr>
    </w:p>
    <w:p>
      <w:pPr>
        <w:spacing w:line="480" w:lineRule="auto" w:after="0"/>
        <w:jc w:val="center"/>
      </w:pPr>
      <w:r>
        <w:rPr>
          <w:b w:val="0"/>
          <w:i w:val="0"/>
        </w:rPr>
        <w:t>Mathematics and Computational Science</w:t>
      </w:r>
    </w:p>
    <w:p>
      <w:pPr>
        <w:spacing w:line="480" w:lineRule="auto" w:after="0"/>
        <w:jc w:val="center"/>
      </w:pPr>
      <w:r>
        <w:rPr>
          <w:b w:val="0"/>
          <w:i w:val="0"/>
        </w:rPr>
        <w:t>2026</w:t>
      </w:r>
    </w:p>
    <w:p>
      <w:pPr>
        <w:sectPr>
          <w:pgSz w:w="11906" w:h="16838"/>
          <w:pgMar w:top="1440" w:right="1440" w:bottom="1440" w:left="1440" w:header="720" w:footer="720" w:gutter="0"/>
          <w:cols w:space="720"/>
          <w:docGrid w:linePitch="360"/>
        </w:sectPr>
      </w:pPr>
    </w:p>
    <w:p>
      <w:pPr>
        <w:spacing w:line="480" w:lineRule="auto" w:after="0"/>
        <w:jc w:val="center"/>
      </w:pPr>
      <w:r>
        <w:rPr>
          <w:b/>
          <w:i w:val="0"/>
        </w:rPr>
        <w:t>ABSTRACT</w:t>
      </w:r>
    </w:p>
    <w:tbl>
      <w:tblPr>
        <w:tblW w:type="auto" w:w="0"/>
        <w:jc w:val="center"/>
        <w:tblLook w:firstColumn="1" w:firstRow="1" w:lastColumn="0" w:lastRow="0" w:noHBand="0" w:noVBand="1" w:val="04A0"/>
      </w:tblPr>
      <w:tblGrid>
        <w:gridCol w:w="9026"/>
      </w:tblGrid>
      <w:tr>
        <w:tc>
          <w:tcPr>
            <w:tcW w:type="dxa" w:w="9026"/>
            <w:tcBorders>
              <w:top w:val="single" w:sz="8" w:color="000000"/>
              <w:left w:val="single" w:sz="8" w:color="000000"/>
              <w:bottom w:val="single" w:sz="8" w:color="000000"/>
              <w:right w:val="single" w:sz="8" w:color="000000"/>
            </w:tcBorders>
          </w:tcPr>
          <w:p>
            <w:pPr>
              <w:spacing w:line="360" w:lineRule="auto"/>
              <w:jc w:val="both"/>
            </w:pPr>
            <w:r/>
            <w:r>
              <w:rPr>
                <w:b w:val="0"/>
                <w:i w:val="0"/>
                <w:sz w:val="22"/>
              </w:rPr>
              <w:t>Padded prices in public infrastructure cost communities classrooms, clinic beds and safe crossings, while machine-learning screens learn only from past prices and cannot say what a project should cost. This study developed BUHAY-AH, a system that designs a public building or bridge from a requirement or a budget, performs a standards-based quantity take-off under NSCP 2015, DPWH specifications and AASHTO LRFD, and prices it with DPWH pay items into a lean start quotation, a standard fair estimate and a ceiling. A design generator composes 55 reusable space modules into 41 building and 13 bridge templates, and a budget-to-design search returns the Pareto-efficient designs that fit a budget. Multiple Linear Regression, XGBoost, Isolation Forest and SHAP are combined with the over-budget ratio into a risk index. On a 300-project simulated benchmark of Bicol buildings and bridges with 36 injected overpricing cases, the standard estimate reached a mean absolute percentage error of 5.21% for buildings and 7.67% for bridges. XGBoost outperformed regression on bridges (MAPE 19.18% vs. 65.65%), and the risk index flagged 94.4% of padded contracts (AUC = 0.987) against 27.8% for an Isolation Forest alone. Budget-to-design searches finished in a median of 3.6 ms, all 152 space-standard checks passed, and allowing multi-storey designs added up to 10 classrooms per school budget. Extended to hospitals, airport, seaport and jeepney, UV Express and bus terminals, runways and piers on a 180-project benchmark, the standard estimate reached 6.40% error and the standards rule caught 95.5% of padded contracts. BUHAY-AH runs as a mobile application and website.</w:t>
            </w:r>
          </w:p>
          <w:p>
            <w:pPr>
              <w:spacing w:line="360" w:lineRule="auto" w:before="200"/>
            </w:pPr>
            <w:r>
              <w:rPr>
                <w:b/>
                <w:i/>
                <w:sz w:val="22"/>
              </w:rPr>
              <w:t>Keywords:</w:t>
            </w:r>
            <w:r>
              <w:rPr>
                <w:b w:val="0"/>
                <w:i w:val="0"/>
                <w:sz w:val="22"/>
              </w:rPr>
              <w:t xml:space="preserve"> </w:t>
            </w:r>
            <w:r>
              <w:rPr>
                <w:b/>
                <w:i w:val="0"/>
                <w:sz w:val="22"/>
              </w:rPr>
              <w:t>Construction Cost Estimation, Generative Design, Budget Optimization, Quantity Take-Off, Over-Budget Detection, XGBoost, SHAP, Airports, Seaports, Hospitals, Transport Terminals</w:t>
            </w:r>
          </w:p>
        </w:tc>
      </w:tr>
    </w:tbl>
    <w:p>
      <w:r>
        <w:br w:type="page"/>
      </w:r>
    </w:p>
    <w:p>
      <w:pPr>
        <w:spacing w:line="480" w:lineRule="auto" w:after="0"/>
        <w:jc w:val="center"/>
      </w:pPr>
      <w:r>
        <w:rPr>
          <w:b/>
          <w:i w:val="0"/>
        </w:rPr>
        <w:t>TABLE OF CONTENTS</w:t>
      </w:r>
    </w:p>
    <w:p>
      <w:pPr>
        <w:tabs>
          <w:tab w:pos="9029" w:val="right" w:leader="dot"/>
        </w:tabs>
        <w:spacing w:line="360" w:lineRule="auto"/>
        <w:ind w:left="0"/>
      </w:pPr>
      <w:r>
        <w:rPr>
          <w:b w:val="0"/>
          <w:i w:val="0"/>
        </w:rPr>
        <w:t>ABSTRACT</w:t>
        <w:tab/>
        <w:t>i</w:t>
      </w:r>
    </w:p>
    <w:p>
      <w:pPr>
        <w:tabs>
          <w:tab w:pos="9029" w:val="right" w:leader="dot"/>
        </w:tabs>
        <w:spacing w:line="360" w:lineRule="auto"/>
        <w:ind w:left="0"/>
      </w:pPr>
      <w:r>
        <w:rPr>
          <w:b w:val="0"/>
          <w:i w:val="0"/>
        </w:rPr>
        <w:t>TABLE OF CONTENTS</w:t>
        <w:tab/>
        <w:t>ii</w:t>
      </w:r>
    </w:p>
    <w:p>
      <w:pPr>
        <w:tabs>
          <w:tab w:pos="9029" w:val="right" w:leader="dot"/>
        </w:tabs>
        <w:spacing w:line="360" w:lineRule="auto"/>
        <w:ind w:left="0"/>
      </w:pPr>
      <w:r>
        <w:rPr>
          <w:b w:val="0"/>
          <w:i w:val="0"/>
        </w:rPr>
        <w:t>LIST OF FIGURES</w:t>
        <w:tab/>
        <w:t>iv</w:t>
      </w:r>
    </w:p>
    <w:p>
      <w:pPr>
        <w:tabs>
          <w:tab w:pos="9029" w:val="right" w:leader="dot"/>
        </w:tabs>
        <w:spacing w:line="360" w:lineRule="auto"/>
        <w:ind w:left="0"/>
      </w:pPr>
      <w:r>
        <w:rPr>
          <w:b w:val="0"/>
          <w:i w:val="0"/>
        </w:rPr>
        <w:t>LIST OF TABLES</w:t>
        <w:tab/>
        <w:t>vi</w:t>
      </w:r>
    </w:p>
    <w:p>
      <w:pPr>
        <w:tabs>
          <w:tab w:pos="9029" w:val="right" w:leader="dot"/>
        </w:tabs>
        <w:spacing w:line="360" w:lineRule="auto"/>
        <w:ind w:left="0"/>
      </w:pPr>
      <w:r>
        <w:rPr>
          <w:b w:val="0"/>
          <w:i w:val="0"/>
        </w:rPr>
        <w:t>LIST OF EQUATIONS</w:t>
        <w:tab/>
        <w:t>vii</w:t>
      </w:r>
    </w:p>
    <w:p>
      <w:pPr>
        <w:tabs>
          <w:tab w:pos="9029" w:val="right" w:leader="dot"/>
        </w:tabs>
        <w:spacing w:line="360" w:lineRule="auto"/>
        <w:ind w:left="0"/>
      </w:pPr>
      <w:r>
        <w:rPr>
          <w:b w:val="0"/>
          <w:i w:val="0"/>
        </w:rPr>
        <w:t>LIST OF APPENDICES</w:t>
        <w:tab/>
        <w:t>xii</w:t>
      </w:r>
    </w:p>
    <w:p>
      <w:pPr>
        <w:tabs>
          <w:tab w:pos="9029" w:val="right" w:leader="dot"/>
        </w:tabs>
        <w:spacing w:line="360" w:lineRule="auto"/>
        <w:ind w:left="0"/>
      </w:pPr>
      <w:r>
        <w:rPr>
          <w:b w:val="0"/>
          <w:i w:val="0"/>
        </w:rPr>
        <w:t>INTRODUCTION</w:t>
        <w:tab/>
        <w:t>1</w:t>
      </w:r>
    </w:p>
    <w:p>
      <w:pPr>
        <w:tabs>
          <w:tab w:pos="9029" w:val="right" w:leader="dot"/>
        </w:tabs>
        <w:spacing w:line="360" w:lineRule="auto"/>
        <w:ind w:left="720"/>
      </w:pPr>
      <w:r>
        <w:rPr>
          <w:b w:val="0"/>
          <w:i w:val="0"/>
        </w:rPr>
        <w:t>Background of the Study</w:t>
        <w:tab/>
        <w:t>1</w:t>
      </w:r>
    </w:p>
    <w:p>
      <w:pPr>
        <w:tabs>
          <w:tab w:pos="9029" w:val="right" w:leader="dot"/>
        </w:tabs>
        <w:spacing w:line="360" w:lineRule="auto"/>
        <w:ind w:left="720"/>
      </w:pPr>
      <w:r>
        <w:rPr>
          <w:b w:val="0"/>
          <w:i w:val="0"/>
        </w:rPr>
        <w:t>Research Gap and Rationale</w:t>
        <w:tab/>
        <w:t>4</w:t>
      </w:r>
    </w:p>
    <w:p>
      <w:pPr>
        <w:tabs>
          <w:tab w:pos="9029" w:val="right" w:leader="dot"/>
        </w:tabs>
        <w:spacing w:line="360" w:lineRule="auto"/>
        <w:ind w:left="720"/>
      </w:pPr>
      <w:r>
        <w:rPr>
          <w:b w:val="0"/>
          <w:i w:val="0"/>
        </w:rPr>
        <w:t>Objective of the Study</w:t>
        <w:tab/>
        <w:t>6</w:t>
      </w:r>
    </w:p>
    <w:p>
      <w:pPr>
        <w:tabs>
          <w:tab w:pos="9029" w:val="right" w:leader="dot"/>
        </w:tabs>
        <w:spacing w:line="360" w:lineRule="auto"/>
        <w:ind w:left="720"/>
      </w:pPr>
      <w:r>
        <w:rPr>
          <w:b w:val="0"/>
          <w:i w:val="0"/>
        </w:rPr>
        <w:t>Significance of the Study</w:t>
        <w:tab/>
        <w:t>7</w:t>
      </w:r>
    </w:p>
    <w:p>
      <w:pPr>
        <w:tabs>
          <w:tab w:pos="9029" w:val="right" w:leader="dot"/>
        </w:tabs>
        <w:spacing w:line="360" w:lineRule="auto"/>
        <w:ind w:left="720"/>
      </w:pPr>
      <w:r>
        <w:rPr>
          <w:b w:val="0"/>
          <w:i w:val="0"/>
        </w:rPr>
        <w:t>Scope and Delimitation</w:t>
        <w:tab/>
        <w:t>8</w:t>
      </w:r>
    </w:p>
    <w:p>
      <w:pPr>
        <w:tabs>
          <w:tab w:pos="9029" w:val="right" w:leader="dot"/>
        </w:tabs>
        <w:spacing w:line="360" w:lineRule="auto"/>
        <w:ind w:left="720"/>
      </w:pPr>
      <w:r>
        <w:rPr>
          <w:b w:val="0"/>
          <w:i w:val="0"/>
        </w:rPr>
        <w:t>Definition of Terms</w:t>
        <w:tab/>
        <w:t>10</w:t>
      </w:r>
    </w:p>
    <w:p>
      <w:pPr>
        <w:tabs>
          <w:tab w:pos="9029" w:val="right" w:leader="dot"/>
        </w:tabs>
        <w:spacing w:line="360" w:lineRule="auto"/>
        <w:ind w:left="0"/>
      </w:pPr>
      <w:r>
        <w:rPr>
          <w:b w:val="0"/>
          <w:i w:val="0"/>
        </w:rPr>
        <w:t>FRAMEWORK</w:t>
        <w:tab/>
        <w:t>13</w:t>
      </w:r>
    </w:p>
    <w:p>
      <w:pPr>
        <w:tabs>
          <w:tab w:pos="9029" w:val="right" w:leader="dot"/>
        </w:tabs>
        <w:spacing w:line="360" w:lineRule="auto"/>
        <w:ind w:left="720"/>
      </w:pPr>
      <w:r>
        <w:rPr>
          <w:b w:val="0"/>
          <w:i w:val="0"/>
        </w:rPr>
        <w:t>Theoretical Framework</w:t>
        <w:tab/>
        <w:t>13</w:t>
      </w:r>
    </w:p>
    <w:p>
      <w:pPr>
        <w:tabs>
          <w:tab w:pos="9029" w:val="right" w:leader="dot"/>
        </w:tabs>
        <w:spacing w:line="360" w:lineRule="auto"/>
        <w:ind w:left="720"/>
      </w:pPr>
      <w:r>
        <w:rPr>
          <w:b w:val="0"/>
          <w:i w:val="0"/>
        </w:rPr>
        <w:t>Conceptual Framework</w:t>
        <w:tab/>
        <w:t>15</w:t>
      </w:r>
    </w:p>
    <w:p>
      <w:pPr>
        <w:tabs>
          <w:tab w:pos="9029" w:val="right" w:leader="dot"/>
        </w:tabs>
        <w:spacing w:line="360" w:lineRule="auto"/>
        <w:ind w:left="720"/>
      </w:pPr>
      <w:r>
        <w:rPr>
          <w:b w:val="0"/>
          <w:i w:val="0"/>
        </w:rPr>
        <w:t>Mathematical Framework</w:t>
        <w:tab/>
        <w:t>16</w:t>
      </w:r>
    </w:p>
    <w:p>
      <w:pPr>
        <w:tabs>
          <w:tab w:pos="9029" w:val="right" w:leader="dot"/>
        </w:tabs>
        <w:spacing w:line="360" w:lineRule="auto"/>
        <w:ind w:left="1440"/>
      </w:pPr>
      <w:r>
        <w:rPr>
          <w:b w:val="0"/>
          <w:i w:val="0"/>
        </w:rPr>
        <w:t>Plan Acquisition and Variable Extraction</w:t>
        <w:tab/>
        <w:t>17</w:t>
      </w:r>
    </w:p>
    <w:p>
      <w:pPr>
        <w:tabs>
          <w:tab w:pos="9029" w:val="right" w:leader="dot"/>
        </w:tabs>
        <w:spacing w:line="360" w:lineRule="auto"/>
        <w:ind w:left="1440"/>
      </w:pPr>
      <w:r>
        <w:rPr>
          <w:b w:val="0"/>
          <w:i w:val="0"/>
        </w:rPr>
        <w:t>Design Generation and Budget-to-Design Optimization</w:t>
        <w:tab/>
        <w:t>19</w:t>
      </w:r>
    </w:p>
    <w:p>
      <w:pPr>
        <w:tabs>
          <w:tab w:pos="9029" w:val="right" w:leader="dot"/>
        </w:tabs>
        <w:spacing w:line="360" w:lineRule="auto"/>
        <w:ind w:left="1440"/>
      </w:pPr>
      <w:r>
        <w:rPr>
          <w:b w:val="0"/>
          <w:i w:val="0"/>
        </w:rPr>
        <w:t>Standards Codification and Price Book</w:t>
        <w:tab/>
        <w:t>22</w:t>
      </w:r>
    </w:p>
    <w:p>
      <w:pPr>
        <w:tabs>
          <w:tab w:pos="9029" w:val="right" w:leader="dot"/>
        </w:tabs>
        <w:spacing w:line="360" w:lineRule="auto"/>
        <w:ind w:left="1440"/>
      </w:pPr>
      <w:r>
        <w:rPr>
          <w:b w:val="0"/>
          <w:i w:val="0"/>
        </w:rPr>
        <w:t>Quantity Take-Off and Quotation Engine</w:t>
        <w:tab/>
        <w:t>23</w:t>
      </w:r>
    </w:p>
    <w:p>
      <w:pPr>
        <w:tabs>
          <w:tab w:pos="9029" w:val="right" w:leader="dot"/>
        </w:tabs>
        <w:spacing w:line="360" w:lineRule="auto"/>
        <w:ind w:left="1440"/>
      </w:pPr>
      <w:r>
        <w:rPr>
          <w:b w:val="0"/>
          <w:i w:val="0"/>
        </w:rPr>
        <w:t>Extension to Hospitals, Transport Terminals, Airfields and Ports</w:t>
        <w:tab/>
        <w:t>52</w:t>
      </w:r>
    </w:p>
    <w:p>
      <w:pPr>
        <w:tabs>
          <w:tab w:pos="9029" w:val="right" w:leader="dot"/>
        </w:tabs>
        <w:spacing w:line="360" w:lineRule="auto"/>
        <w:ind w:left="1440"/>
      </w:pPr>
      <w:r>
        <w:rPr>
          <w:b w:val="0"/>
          <w:i w:val="0"/>
        </w:rPr>
        <w:t>Simulated Benchmark Dataset (SBD-300)</w:t>
        <w:tab/>
        <w:t>27</w:t>
      </w:r>
    </w:p>
    <w:p>
      <w:pPr>
        <w:tabs>
          <w:tab w:pos="9029" w:val="right" w:leader="dot"/>
        </w:tabs>
        <w:spacing w:line="360" w:lineRule="auto"/>
        <w:ind w:left="1440"/>
      </w:pPr>
      <w:r>
        <w:rPr>
          <w:b w:val="0"/>
          <w:i w:val="0"/>
        </w:rPr>
        <w:t>Model Development</w:t>
        <w:tab/>
        <w:t>28</w:t>
      </w:r>
    </w:p>
    <w:p>
      <w:pPr>
        <w:tabs>
          <w:tab w:pos="9029" w:val="right" w:leader="dot"/>
        </w:tabs>
        <w:spacing w:line="360" w:lineRule="auto"/>
        <w:ind w:left="1440"/>
      </w:pPr>
      <w:r>
        <w:rPr>
          <w:b w:val="0"/>
          <w:i w:val="0"/>
        </w:rPr>
        <w:t>Model Validation</w:t>
        <w:tab/>
        <w:t>30</w:t>
      </w:r>
    </w:p>
    <w:p>
      <w:pPr>
        <w:tabs>
          <w:tab w:pos="9029" w:val="right" w:leader="dot"/>
        </w:tabs>
        <w:spacing w:line="360" w:lineRule="auto"/>
        <w:ind w:left="1440"/>
      </w:pPr>
      <w:r>
        <w:rPr>
          <w:b w:val="0"/>
          <w:i w:val="0"/>
        </w:rPr>
        <w:t>3D Visualization</w:t>
        <w:tab/>
        <w:t>31</w:t>
      </w:r>
    </w:p>
    <w:p>
      <w:pPr>
        <w:tabs>
          <w:tab w:pos="9029" w:val="right" w:leader="dot"/>
        </w:tabs>
        <w:spacing w:line="360" w:lineRule="auto"/>
        <w:ind w:left="1440"/>
      </w:pPr>
      <w:r>
        <w:rPr>
          <w:b w:val="0"/>
          <w:i w:val="0"/>
        </w:rPr>
        <w:t>App and Website Development</w:t>
        <w:tab/>
        <w:t>31</w:t>
      </w:r>
    </w:p>
    <w:p>
      <w:pPr>
        <w:tabs>
          <w:tab w:pos="9029" w:val="right" w:leader="dot"/>
        </w:tabs>
        <w:spacing w:line="360" w:lineRule="auto"/>
        <w:ind w:left="0"/>
      </w:pPr>
      <w:r>
        <w:rPr>
          <w:b w:val="0"/>
          <w:i w:val="0"/>
        </w:rPr>
        <w:t>FINDINGS</w:t>
        <w:tab/>
        <w:t>32</w:t>
      </w:r>
    </w:p>
    <w:p>
      <w:pPr>
        <w:tabs>
          <w:tab w:pos="9029" w:val="right" w:leader="dot"/>
        </w:tabs>
        <w:spacing w:line="360" w:lineRule="auto"/>
        <w:ind w:left="720"/>
      </w:pPr>
      <w:r>
        <w:rPr>
          <w:b w:val="0"/>
          <w:i w:val="0"/>
        </w:rPr>
        <w:t>Plan Variables and Derived Indicators Extracted from Building and Bridge Plans</w:t>
        <w:tab/>
        <w:t>32</w:t>
      </w:r>
    </w:p>
    <w:p>
      <w:pPr>
        <w:tabs>
          <w:tab w:pos="9029" w:val="right" w:leader="dot"/>
        </w:tabs>
        <w:spacing w:line="360" w:lineRule="auto"/>
        <w:ind w:left="1440"/>
      </w:pPr>
      <w:r>
        <w:rPr>
          <w:b w:val="0"/>
          <w:i w:val="0"/>
        </w:rPr>
        <w:t>a.) Physical Properties</w:t>
        <w:tab/>
        <w:t>33</w:t>
      </w:r>
    </w:p>
    <w:p>
      <w:pPr>
        <w:tabs>
          <w:tab w:pos="9029" w:val="right" w:leader="dot"/>
        </w:tabs>
        <w:spacing w:line="360" w:lineRule="auto"/>
        <w:ind w:left="1440"/>
      </w:pPr>
      <w:r>
        <w:rPr>
          <w:b w:val="0"/>
          <w:i w:val="0"/>
        </w:rPr>
        <w:t>b.) Structural System and Foundation</w:t>
        <w:tab/>
        <w:t>34</w:t>
      </w:r>
    </w:p>
    <w:p>
      <w:pPr>
        <w:tabs>
          <w:tab w:pos="9029" w:val="right" w:leader="dot"/>
        </w:tabs>
        <w:spacing w:line="360" w:lineRule="auto"/>
        <w:ind w:left="1440"/>
      </w:pPr>
      <w:r>
        <w:rPr>
          <w:b w:val="0"/>
          <w:i w:val="0"/>
        </w:rPr>
        <w:t>c.) Location, Price Year and Project Budget</w:t>
        <w:tab/>
        <w:t>34</w:t>
      </w:r>
    </w:p>
    <w:p>
      <w:pPr>
        <w:tabs>
          <w:tab w:pos="9029" w:val="right" w:leader="dot"/>
        </w:tabs>
        <w:spacing w:line="360" w:lineRule="auto"/>
        <w:ind w:left="720"/>
      </w:pPr>
      <w:r>
        <w:rPr>
          <w:b w:val="0"/>
          <w:i w:val="0"/>
        </w:rPr>
        <w:t>Generation of Designs from Requirements and Budgets</w:t>
        <w:tab/>
        <w:t>35</w:t>
      </w:r>
    </w:p>
    <w:p>
      <w:pPr>
        <w:tabs>
          <w:tab w:pos="9029" w:val="right" w:leader="dot"/>
        </w:tabs>
        <w:spacing w:line="360" w:lineRule="auto"/>
        <w:ind w:left="1440"/>
      </w:pPr>
      <w:r>
        <w:rPr>
          <w:b w:val="0"/>
          <w:i w:val="0"/>
        </w:rPr>
        <w:t>a.) Modular Design Library</w:t>
        <w:tab/>
        <w:t>35</w:t>
      </w:r>
    </w:p>
    <w:p>
      <w:pPr>
        <w:tabs>
          <w:tab w:pos="9029" w:val="right" w:leader="dot"/>
        </w:tabs>
        <w:spacing w:line="360" w:lineRule="auto"/>
        <w:ind w:left="1440"/>
      </w:pPr>
      <w:r>
        <w:rPr>
          <w:b w:val="0"/>
          <w:i w:val="0"/>
        </w:rPr>
        <w:t>b.) Budget-to-Design Optimization</w:t>
        <w:tab/>
        <w:t>38</w:t>
      </w:r>
    </w:p>
    <w:p>
      <w:pPr>
        <w:tabs>
          <w:tab w:pos="9029" w:val="right" w:leader="dot"/>
        </w:tabs>
        <w:spacing w:line="360" w:lineRule="auto"/>
        <w:ind w:left="1440"/>
      </w:pPr>
      <w:r>
        <w:rPr>
          <w:b w:val="0"/>
          <w:i w:val="0"/>
        </w:rPr>
        <w:t>c.) Compliance and Bridge Type Selection</w:t>
        <w:tab/>
        <w:t>39</w:t>
      </w:r>
    </w:p>
    <w:p>
      <w:pPr>
        <w:tabs>
          <w:tab w:pos="9029" w:val="right" w:leader="dot"/>
        </w:tabs>
        <w:spacing w:line="360" w:lineRule="auto"/>
        <w:ind w:left="720"/>
      </w:pPr>
      <w:r>
        <w:rPr>
          <w:b w:val="0"/>
          <w:i w:val="0"/>
        </w:rPr>
        <w:t>Accuracy of the Standards-Based Quantity Take-Off Engine</w:t>
        <w:tab/>
        <w:t>41</w:t>
      </w:r>
    </w:p>
    <w:p>
      <w:pPr>
        <w:tabs>
          <w:tab w:pos="9029" w:val="right" w:leader="dot"/>
        </w:tabs>
        <w:spacing w:line="360" w:lineRule="auto"/>
        <w:ind w:left="1440"/>
      </w:pPr>
      <w:r>
        <w:rPr>
          <w:b w:val="0"/>
          <w:i w:val="0"/>
        </w:rPr>
        <w:t>a.) Lean Start Quotation, Standard Fair Estimate and Ceiling</w:t>
        <w:tab/>
        <w:t>41</w:t>
      </w:r>
    </w:p>
    <w:p>
      <w:pPr>
        <w:tabs>
          <w:tab w:pos="9029" w:val="right" w:leader="dot"/>
        </w:tabs>
        <w:spacing w:line="360" w:lineRule="auto"/>
        <w:ind w:left="1440"/>
      </w:pPr>
      <w:r>
        <w:rPr>
          <w:b w:val="0"/>
          <w:i w:val="0"/>
        </w:rPr>
        <w:t>b.) Accuracy against Fair Awarded Costs</w:t>
        <w:tab/>
        <w:t>42</w:t>
      </w:r>
    </w:p>
    <w:p>
      <w:pPr>
        <w:tabs>
          <w:tab w:pos="9029" w:val="right" w:leader="dot"/>
        </w:tabs>
        <w:spacing w:line="360" w:lineRule="auto"/>
        <w:ind w:left="720"/>
      </w:pPr>
      <w:r>
        <w:rPr>
          <w:b w:val="0"/>
          <w:i w:val="0"/>
        </w:rPr>
        <w:t>Development of Machine Learning Models to Predict Construction Cost</w:t>
        <w:tab/>
        <w:t>44</w:t>
      </w:r>
    </w:p>
    <w:p>
      <w:pPr>
        <w:tabs>
          <w:tab w:pos="9029" w:val="right" w:leader="dot"/>
        </w:tabs>
        <w:spacing w:line="360" w:lineRule="auto"/>
        <w:ind w:left="1440"/>
      </w:pPr>
      <w:r>
        <w:rPr>
          <w:b w:val="0"/>
          <w:i w:val="0"/>
        </w:rPr>
        <w:t>a.) Multiple Linear Regression</w:t>
        <w:tab/>
        <w:t>44</w:t>
      </w:r>
    </w:p>
    <w:p>
      <w:pPr>
        <w:tabs>
          <w:tab w:pos="9029" w:val="right" w:leader="dot"/>
        </w:tabs>
        <w:spacing w:line="360" w:lineRule="auto"/>
        <w:ind w:left="1440"/>
      </w:pPr>
      <w:r>
        <w:rPr>
          <w:b w:val="0"/>
          <w:i w:val="0"/>
        </w:rPr>
        <w:t>b.) Extreme Gradient Boosting</w:t>
        <w:tab/>
        <w:t>47</w:t>
      </w:r>
    </w:p>
    <w:p>
      <w:pPr>
        <w:tabs>
          <w:tab w:pos="9029" w:val="right" w:leader="dot"/>
        </w:tabs>
        <w:spacing w:line="360" w:lineRule="auto"/>
        <w:ind w:left="720"/>
      </w:pPr>
      <w:r>
        <w:rPr>
          <w:b w:val="0"/>
          <w:i w:val="0"/>
        </w:rPr>
        <w:t>Detection of Over-Budgeted Contracts</w:t>
        <w:tab/>
        <w:t>50</w:t>
      </w:r>
    </w:p>
    <w:p>
      <w:pPr>
        <w:tabs>
          <w:tab w:pos="9029" w:val="right" w:leader="dot"/>
        </w:tabs>
        <w:spacing w:line="360" w:lineRule="auto"/>
        <w:ind w:left="720"/>
      </w:pPr>
      <w:r>
        <w:rPr>
          <w:b w:val="0"/>
          <w:i w:val="0"/>
        </w:rPr>
        <w:t>Extension to Hospitals, Transport Terminals, Airfields and Ports</w:t>
        <w:tab/>
        <w:t>52</w:t>
      </w:r>
    </w:p>
    <w:p>
      <w:pPr>
        <w:tabs>
          <w:tab w:pos="9029" w:val="right" w:leader="dot"/>
        </w:tabs>
        <w:spacing w:line="360" w:lineRule="auto"/>
        <w:ind w:left="1440"/>
      </w:pPr>
      <w:r>
        <w:rPr>
          <w:b w:val="0"/>
          <w:i w:val="0"/>
        </w:rPr>
        <w:t>a.) Design Templates and Space Standards</w:t>
        <w:tab/>
        <w:t>52</w:t>
      </w:r>
    </w:p>
    <w:p>
      <w:pPr>
        <w:tabs>
          <w:tab w:pos="9029" w:val="right" w:leader="dot"/>
        </w:tabs>
        <w:spacing w:line="360" w:lineRule="auto"/>
        <w:ind w:left="1440"/>
      </w:pPr>
      <w:r>
        <w:rPr>
          <w:b w:val="0"/>
          <w:i w:val="0"/>
        </w:rPr>
        <w:t>b.) Accuracy of the Standard Estimate</w:t>
        <w:tab/>
        <w:t>56</w:t>
      </w:r>
    </w:p>
    <w:p>
      <w:pPr>
        <w:tabs>
          <w:tab w:pos="9029" w:val="right" w:leader="dot"/>
        </w:tabs>
        <w:spacing w:line="360" w:lineRule="auto"/>
        <w:ind w:left="1440"/>
      </w:pPr>
      <w:r>
        <w:rPr>
          <w:b w:val="0"/>
          <w:i w:val="0"/>
        </w:rPr>
        <w:t>c.) Detection by the Standards-Based Rule</w:t>
        <w:tab/>
        <w:t>56</w:t>
      </w:r>
    </w:p>
    <w:p>
      <w:pPr>
        <w:tabs>
          <w:tab w:pos="9029" w:val="right" w:leader="dot"/>
        </w:tabs>
        <w:spacing w:line="360" w:lineRule="auto"/>
        <w:ind w:left="720"/>
      </w:pPr>
      <w:r>
        <w:rPr>
          <w:b w:val="0"/>
          <w:i w:val="0"/>
        </w:rPr>
        <w:t>Deployment of BUHAY-AH as a Mobile Application and Download Website</w:t>
        <w:tab/>
        <w:t>57</w:t>
      </w:r>
    </w:p>
    <w:p>
      <w:pPr>
        <w:tabs>
          <w:tab w:pos="9029" w:val="right" w:leader="dot"/>
        </w:tabs>
        <w:spacing w:line="360" w:lineRule="auto"/>
        <w:ind w:left="1440"/>
      </w:pPr>
      <w:r>
        <w:rPr>
          <w:b w:val="0"/>
          <w:i w:val="0"/>
        </w:rPr>
        <w:t>a.) Mobile Application with Design Studio</w:t>
        <w:tab/>
        <w:t>57</w:t>
      </w:r>
    </w:p>
    <w:p>
      <w:pPr>
        <w:tabs>
          <w:tab w:pos="9029" w:val="right" w:leader="dot"/>
        </w:tabs>
        <w:spacing w:line="360" w:lineRule="auto"/>
        <w:ind w:left="1440"/>
      </w:pPr>
      <w:r>
        <w:rPr>
          <w:b w:val="0"/>
          <w:i w:val="0"/>
        </w:rPr>
        <w:t>b.) Download Website</w:t>
        <w:tab/>
        <w:t>68</w:t>
      </w:r>
    </w:p>
    <w:p>
      <w:pPr>
        <w:tabs>
          <w:tab w:pos="9029" w:val="right" w:leader="dot"/>
        </w:tabs>
        <w:spacing w:line="360" w:lineRule="auto"/>
        <w:ind w:left="1440"/>
      </w:pPr>
      <w:r>
        <w:rPr>
          <w:b w:val="0"/>
          <w:i w:val="0"/>
        </w:rPr>
        <w:t>c.) Floor Plans, Parametric 3D Visualization and SHAP Explanations</w:t>
        <w:tab/>
        <w:t>70</w:t>
      </w:r>
    </w:p>
    <w:p>
      <w:pPr>
        <w:tabs>
          <w:tab w:pos="9029" w:val="right" w:leader="dot"/>
        </w:tabs>
        <w:spacing w:line="360" w:lineRule="auto"/>
        <w:ind w:left="0"/>
      </w:pPr>
      <w:r>
        <w:rPr>
          <w:b w:val="0"/>
          <w:i w:val="0"/>
        </w:rPr>
        <w:t>CONCLUSION</w:t>
        <w:tab/>
        <w:t>72</w:t>
      </w:r>
    </w:p>
    <w:p>
      <w:pPr>
        <w:tabs>
          <w:tab w:pos="9029" w:val="right" w:leader="dot"/>
        </w:tabs>
        <w:spacing w:line="360" w:lineRule="auto"/>
        <w:ind w:left="0"/>
      </w:pPr>
      <w:r>
        <w:rPr>
          <w:b w:val="0"/>
          <w:i w:val="0"/>
        </w:rPr>
        <w:t>RECOMMENDATIONS</w:t>
        <w:tab/>
        <w:t>73</w:t>
      </w:r>
    </w:p>
    <w:p>
      <w:pPr>
        <w:tabs>
          <w:tab w:pos="9029" w:val="right" w:leader="dot"/>
        </w:tabs>
        <w:spacing w:line="360" w:lineRule="auto"/>
        <w:ind w:left="0"/>
      </w:pPr>
      <w:r>
        <w:rPr>
          <w:b w:val="0"/>
          <w:i w:val="0"/>
        </w:rPr>
        <w:t>REFERENCES</w:t>
        <w:tab/>
        <w:t>75</w:t>
      </w:r>
    </w:p>
    <w:p>
      <w:pPr>
        <w:tabs>
          <w:tab w:pos="9029" w:val="right" w:leader="dot"/>
        </w:tabs>
        <w:spacing w:line="360" w:lineRule="auto"/>
        <w:ind w:left="0"/>
      </w:pPr>
      <w:r>
        <w:rPr>
          <w:b w:val="0"/>
          <w:i w:val="0"/>
        </w:rPr>
        <w:t>APPENDICES</w:t>
        <w:tab/>
        <w:t>75</w:t>
      </w:r>
    </w:p>
    <w:p>
      <w:r>
        <w:br w:type="page"/>
      </w:r>
    </w:p>
    <w:p>
      <w:pPr>
        <w:spacing w:line="480" w:lineRule="auto" w:after="0"/>
        <w:jc w:val="center"/>
      </w:pPr>
      <w:r>
        <w:rPr>
          <w:b/>
          <w:i w:val="0"/>
        </w:rPr>
        <w:t>LIST OF FIGURES</w:t>
      </w:r>
    </w:p>
    <w:p>
      <w:pPr>
        <w:tabs>
          <w:tab w:pos="9029" w:val="right" w:leader="dot"/>
        </w:tabs>
        <w:spacing w:line="360" w:lineRule="auto"/>
        <w:ind w:left="0"/>
      </w:pPr>
      <w:r>
        <w:rPr>
          <w:b w:val="0"/>
          <w:i w:val="0"/>
        </w:rPr>
        <w:t>Figure 1. Theoretical Paradigm</w:t>
        <w:tab/>
        <w:t>14</w:t>
      </w:r>
    </w:p>
    <w:p>
      <w:pPr>
        <w:tabs>
          <w:tab w:pos="9029" w:val="right" w:leader="dot"/>
        </w:tabs>
        <w:spacing w:line="360" w:lineRule="auto"/>
        <w:ind w:left="0"/>
      </w:pPr>
      <w:r>
        <w:rPr>
          <w:b w:val="0"/>
          <w:i w:val="0"/>
        </w:rPr>
        <w:t>Figure 2. Conceptual Paradigm</w:t>
        <w:tab/>
        <w:t>16</w:t>
      </w:r>
    </w:p>
    <w:p>
      <w:pPr>
        <w:tabs>
          <w:tab w:pos="9029" w:val="right" w:leader="dot"/>
        </w:tabs>
        <w:spacing w:line="360" w:lineRule="auto"/>
        <w:ind w:left="0"/>
      </w:pPr>
      <w:r>
        <w:rPr>
          <w:b w:val="0"/>
          <w:i w:val="0"/>
        </w:rPr>
        <w:t>Figure 3. Methodological Paradigm</w:t>
        <w:tab/>
        <w:t>17</w:t>
      </w:r>
    </w:p>
    <w:p>
      <w:pPr>
        <w:tabs>
          <w:tab w:pos="9029" w:val="right" w:leader="dot"/>
        </w:tabs>
        <w:spacing w:line="360" w:lineRule="auto"/>
        <w:ind w:left="0"/>
      </w:pPr>
      <w:r>
        <w:rPr>
          <w:b w:val="0"/>
          <w:i w:val="0"/>
        </w:rPr>
        <w:t>Figure 4. Model Integration Framework</w:t>
        <w:tab/>
        <w:t>30</w:t>
      </w:r>
    </w:p>
    <w:p>
      <w:pPr>
        <w:tabs>
          <w:tab w:pos="9029" w:val="right" w:leader="dot"/>
        </w:tabs>
        <w:spacing w:line="360" w:lineRule="auto"/>
        <w:ind w:left="0"/>
      </w:pPr>
      <w:r>
        <w:rPr>
          <w:b w:val="0"/>
          <w:i w:val="0"/>
        </w:rPr>
        <w:t>Figure 5. System Architecture of BUHAY-AH</w:t>
        <w:tab/>
        <w:t>32</w:t>
      </w:r>
    </w:p>
    <w:p>
      <w:pPr>
        <w:tabs>
          <w:tab w:pos="9029" w:val="right" w:leader="dot"/>
        </w:tabs>
        <w:spacing w:line="360" w:lineRule="auto"/>
        <w:ind w:left="0"/>
      </w:pPr>
      <w:r>
        <w:rPr>
          <w:b w:val="0"/>
          <w:i w:val="0"/>
        </w:rPr>
        <w:t>Figure 6. Generated Ground Floor Plan of a 2-Storey 6-Classroom School Building</w:t>
        <w:tab/>
        <w:t>36</w:t>
      </w:r>
    </w:p>
    <w:p>
      <w:pPr>
        <w:tabs>
          <w:tab w:pos="9029" w:val="right" w:leader="dot"/>
        </w:tabs>
        <w:spacing w:line="360" w:lineRule="auto"/>
        <w:ind w:left="0"/>
      </w:pPr>
      <w:r>
        <w:rPr>
          <w:b w:val="0"/>
          <w:i w:val="0"/>
        </w:rPr>
        <w:t>Figure 7. Generated Ground Floor Plan of a 25-Bed Community Hospital</w:t>
        <w:tab/>
        <w:t>36</w:t>
      </w:r>
    </w:p>
    <w:p>
      <w:pPr>
        <w:tabs>
          <w:tab w:pos="9029" w:val="right" w:leader="dot"/>
        </w:tabs>
        <w:spacing w:line="360" w:lineRule="auto"/>
        <w:ind w:left="0"/>
      </w:pPr>
      <w:r>
        <w:rPr>
          <w:b w:val="0"/>
          <w:i w:val="0"/>
        </w:rPr>
        <w:t>Figure 8. Generated Plan of an Evacuation Center for 200 Persons</w:t>
        <w:tab/>
        <w:t>37</w:t>
      </w:r>
    </w:p>
    <w:p>
      <w:pPr>
        <w:tabs>
          <w:tab w:pos="9029" w:val="right" w:leader="dot"/>
        </w:tabs>
        <w:spacing w:line="360" w:lineRule="auto"/>
        <w:ind w:left="0"/>
      </w:pPr>
      <w:r>
        <w:rPr>
          <w:b w:val="0"/>
          <w:i w:val="0"/>
        </w:rPr>
        <w:t>Figure 9. Generated Plan of a 100-Stall Public Market</w:t>
        <w:tab/>
        <w:t>37</w:t>
      </w:r>
    </w:p>
    <w:p>
      <w:pPr>
        <w:tabs>
          <w:tab w:pos="9029" w:val="right" w:leader="dot"/>
        </w:tabs>
        <w:spacing w:line="360" w:lineRule="auto"/>
        <w:ind w:left="0"/>
      </w:pPr>
      <w:r>
        <w:rPr>
          <w:b w:val="0"/>
          <w:i w:val="0"/>
        </w:rPr>
        <w:t>Figure 10. Budget-to-Design Frontier for School Buildings by Storey Limit</w:t>
        <w:tab/>
        <w:t>39</w:t>
      </w:r>
    </w:p>
    <w:p>
      <w:pPr>
        <w:tabs>
          <w:tab w:pos="9029" w:val="right" w:leader="dot"/>
        </w:tabs>
        <w:spacing w:line="360" w:lineRule="auto"/>
        <w:ind w:left="0"/>
      </w:pPr>
      <w:r>
        <w:rPr>
          <w:b w:val="0"/>
          <w:i w:val="0"/>
        </w:rPr>
        <w:t>Figure 11. Generated Elevation of a Three-Span RCDG Bridge (3 × 20 m)</w:t>
        <w:tab/>
        <w:t>40</w:t>
      </w:r>
    </w:p>
    <w:p>
      <w:pPr>
        <w:tabs>
          <w:tab w:pos="9029" w:val="right" w:leader="dot"/>
        </w:tabs>
        <w:spacing w:line="360" w:lineRule="auto"/>
        <w:ind w:left="0"/>
      </w:pPr>
      <w:r>
        <w:rPr>
          <w:b w:val="0"/>
          <w:i w:val="0"/>
        </w:rPr>
        <w:t>Figure 12. Generated Elevation of a 45 m Steel Truss Bridge</w:t>
        <w:tab/>
        <w:t>41</w:t>
      </w:r>
    </w:p>
    <w:p>
      <w:pPr>
        <w:tabs>
          <w:tab w:pos="9029" w:val="right" w:leader="dot"/>
        </w:tabs>
        <w:spacing w:line="360" w:lineRule="auto"/>
        <w:ind w:left="0"/>
      </w:pPr>
      <w:r>
        <w:rPr>
          <w:b w:val="0"/>
          <w:i w:val="0"/>
        </w:rPr>
        <w:t>Figure 13. Distribution of the Over-Budget Ratio for Injected and Non-Injected Projects</w:t>
        <w:tab/>
        <w:t>43</w:t>
      </w:r>
    </w:p>
    <w:p>
      <w:pPr>
        <w:tabs>
          <w:tab w:pos="9029" w:val="right" w:leader="dot"/>
        </w:tabs>
        <w:spacing w:line="360" w:lineRule="auto"/>
        <w:ind w:left="0"/>
      </w:pPr>
      <w:r>
        <w:rPr>
          <w:b w:val="0"/>
          <w:i w:val="0"/>
        </w:rPr>
        <w:t>Figure 14. Global SHAP Values of the XGBoost Building Model</w:t>
        <w:tab/>
        <w:t>49</w:t>
      </w:r>
    </w:p>
    <w:p>
      <w:pPr>
        <w:tabs>
          <w:tab w:pos="9029" w:val="right" w:leader="dot"/>
        </w:tabs>
        <w:spacing w:line="360" w:lineRule="auto"/>
        <w:ind w:left="0"/>
      </w:pPr>
      <w:r>
        <w:rPr>
          <w:b w:val="0"/>
          <w:i w:val="0"/>
        </w:rPr>
        <w:t>Figure 15. Global SHAP Values of the XGBoost Bridge Model</w:t>
        <w:tab/>
        <w:t>49</w:t>
      </w:r>
    </w:p>
    <w:p>
      <w:pPr>
        <w:tabs>
          <w:tab w:pos="9029" w:val="right" w:leader="dot"/>
        </w:tabs>
        <w:spacing w:line="360" w:lineRule="auto"/>
        <w:ind w:left="0"/>
      </w:pPr>
      <w:r>
        <w:rPr>
          <w:b w:val="0"/>
          <w:i w:val="0"/>
        </w:rPr>
        <w:t>Figure 16. ROC Curves of the Screening Signals, All 300 Projects</w:t>
        <w:tab/>
        <w:t>51</w:t>
      </w:r>
    </w:p>
    <w:p>
      <w:pPr>
        <w:tabs>
          <w:tab w:pos="9029" w:val="right" w:leader="dot"/>
        </w:tabs>
        <w:spacing w:line="360" w:lineRule="auto"/>
        <w:ind w:left="0"/>
      </w:pPr>
      <w:r>
        <w:rPr>
          <w:b w:val="0"/>
          <w:i w:val="0"/>
        </w:rPr>
        <w:t>Figure 17. Generated Ground Floor of a 100-Bed Level 2 Hospital</w:t>
        <w:tab/>
        <w:t>53</w:t>
      </w:r>
    </w:p>
    <w:p>
      <w:pPr>
        <w:tabs>
          <w:tab w:pos="9029" w:val="right" w:leader="dot"/>
        </w:tabs>
        <w:spacing w:line="360" w:lineRule="auto"/>
        <w:ind w:left="0"/>
      </w:pPr>
      <w:r>
        <w:rPr>
          <w:b w:val="0"/>
          <w:i w:val="0"/>
        </w:rPr>
        <w:t>Figure 18. Integrated Land Transport Terminal with Jeepney, UV Express and Bus Bays</w:t>
        <w:tab/>
        <w:t>54</w:t>
      </w:r>
    </w:p>
    <w:p>
      <w:pPr>
        <w:tabs>
          <w:tab w:pos="9029" w:val="right" w:leader="dot"/>
        </w:tabs>
        <w:spacing w:line="360" w:lineRule="auto"/>
        <w:ind w:left="0"/>
      </w:pPr>
      <w:r>
        <w:rPr>
          <w:b w:val="0"/>
          <w:i w:val="0"/>
        </w:rPr>
        <w:t>Figure 19. Generated Plan of a 1,200 × 30 m Turboprop Runway</w:t>
        <w:tab/>
        <w:t>55</w:t>
      </w:r>
    </w:p>
    <w:p>
      <w:pPr>
        <w:tabs>
          <w:tab w:pos="9029" w:val="right" w:leader="dot"/>
        </w:tabs>
        <w:spacing w:line="360" w:lineRule="auto"/>
        <w:ind w:left="0"/>
      </w:pPr>
      <w:r>
        <w:rPr>
          <w:b w:val="0"/>
          <w:i w:val="0"/>
        </w:rPr>
        <w:t>Figure 20. Generated Section of a 60 × 15 m RoRo Pier on PC Spun Piles</w:t>
        <w:tab/>
        <w:t>55</w:t>
      </w:r>
    </w:p>
    <w:p>
      <w:pPr>
        <w:tabs>
          <w:tab w:pos="9029" w:val="right" w:leader="dot"/>
        </w:tabs>
        <w:spacing w:line="360" w:lineRule="auto"/>
        <w:ind w:left="0"/>
      </w:pPr>
      <w:r>
        <w:rPr>
          <w:b w:val="0"/>
          <w:i w:val="0"/>
        </w:rPr>
        <w:t>Figure 21. Accuracy and Detection by Extension Class (SBD-EXT)</w:t>
        <w:tab/>
        <w:t>57</w:t>
      </w:r>
    </w:p>
    <w:p>
      <w:pPr>
        <w:tabs>
          <w:tab w:pos="9029" w:val="right" w:leader="dot"/>
        </w:tabs>
        <w:spacing w:line="360" w:lineRule="auto"/>
        <w:ind w:left="0"/>
      </w:pPr>
      <w:r>
        <w:rPr>
          <w:b w:val="0"/>
          <w:i w:val="0"/>
        </w:rPr>
        <w:t>Figure 22. Home Screen of the BUHAY-AH Application</w:t>
        <w:tab/>
        <w:t>57</w:t>
      </w:r>
    </w:p>
    <w:p>
      <w:pPr>
        <w:tabs>
          <w:tab w:pos="9029" w:val="right" w:leader="dot"/>
        </w:tabs>
        <w:spacing w:line="360" w:lineRule="auto"/>
        <w:ind w:left="0"/>
      </w:pPr>
      <w:r>
        <w:rPr>
          <w:b w:val="0"/>
          <w:i w:val="0"/>
        </w:rPr>
        <w:t>Figure 23. Design Studio with the Template Library</w:t>
        <w:tab/>
        <w:t>58</w:t>
      </w:r>
    </w:p>
    <w:p>
      <w:pPr>
        <w:tabs>
          <w:tab w:pos="9029" w:val="right" w:leader="dot"/>
        </w:tabs>
        <w:spacing w:line="360" w:lineRule="auto"/>
        <w:ind w:left="0"/>
      </w:pPr>
      <w:r>
        <w:rPr>
          <w:b w:val="0"/>
          <w:i w:val="0"/>
        </w:rPr>
        <w:t>Figure 24. Design Editor with Floor Plan, Spaces, Standards Checks and 3D Model</w:t>
        <w:tab/>
        <w:t>59</w:t>
      </w:r>
    </w:p>
    <w:p>
      <w:pPr>
        <w:tabs>
          <w:tab w:pos="9029" w:val="right" w:leader="dot"/>
        </w:tabs>
        <w:spacing w:line="360" w:lineRule="auto"/>
        <w:ind w:left="0"/>
      </w:pPr>
      <w:r>
        <w:rPr>
          <w:b w:val="0"/>
          <w:i w:val="0"/>
        </w:rPr>
        <w:t>Figure 25. Design from a Budget</w:t>
        <w:tab/>
        <w:t>60</w:t>
      </w:r>
    </w:p>
    <w:p>
      <w:pPr>
        <w:tabs>
          <w:tab w:pos="9029" w:val="right" w:leader="dot"/>
        </w:tabs>
        <w:spacing w:line="360" w:lineRule="auto"/>
        <w:ind w:left="0"/>
      </w:pPr>
      <w:r>
        <w:rPr>
          <w:b w:val="0"/>
          <w:i w:val="0"/>
        </w:rPr>
        <w:t>Figure 26. Bridge Designer Comparing Superstructures for a 45 m Gap</w:t>
        <w:tab/>
        <w:t>61</w:t>
      </w:r>
    </w:p>
    <w:p>
      <w:pPr>
        <w:tabs>
          <w:tab w:pos="9029" w:val="right" w:leader="dot"/>
        </w:tabs>
        <w:spacing w:line="360" w:lineRule="auto"/>
        <w:ind w:left="0"/>
      </w:pPr>
      <w:r>
        <w:rPr>
          <w:b w:val="0"/>
          <w:i w:val="0"/>
        </w:rPr>
        <w:t>Figure 27. Quote Screen with the Three Quotation Tiers and the ABC</w:t>
        <w:tab/>
        <w:t>62</w:t>
      </w:r>
    </w:p>
    <w:p>
      <w:pPr>
        <w:tabs>
          <w:tab w:pos="9029" w:val="right" w:leader="dot"/>
        </w:tabs>
        <w:spacing w:line="360" w:lineRule="auto"/>
        <w:ind w:left="0"/>
      </w:pPr>
      <w:r>
        <w:rPr>
          <w:b w:val="0"/>
          <w:i w:val="0"/>
        </w:rPr>
        <w:t>Figure 28. Bill of Quantities Generated from the Plan</w:t>
        <w:tab/>
        <w:t>63</w:t>
      </w:r>
    </w:p>
    <w:p>
      <w:pPr>
        <w:tabs>
          <w:tab w:pos="9029" w:val="right" w:leader="dot"/>
        </w:tabs>
        <w:spacing w:line="360" w:lineRule="auto"/>
        <w:ind w:left="0"/>
      </w:pPr>
      <w:r>
        <w:rPr>
          <w:b w:val="0"/>
          <w:i w:val="0"/>
        </w:rPr>
        <w:t>Figure 29. Plan Panel after Importing the Sample DXF Floor Plan</w:t>
        <w:tab/>
        <w:t>64</w:t>
      </w:r>
    </w:p>
    <w:p>
      <w:pPr>
        <w:tabs>
          <w:tab w:pos="9029" w:val="right" w:leader="dot"/>
        </w:tabs>
        <w:spacing w:line="360" w:lineRule="auto"/>
        <w:ind w:left="0"/>
      </w:pPr>
      <w:r>
        <w:rPr>
          <w:b w:val="0"/>
          <w:i w:val="0"/>
        </w:rPr>
        <w:t>Figure 30. Check Screen Screening a Padded Contract</w:t>
        <w:tab/>
        <w:t>65</w:t>
      </w:r>
    </w:p>
    <w:p>
      <w:pPr>
        <w:tabs>
          <w:tab w:pos="9029" w:val="right" w:leader="dot"/>
        </w:tabs>
        <w:spacing w:line="360" w:lineRule="auto"/>
        <w:ind w:left="0"/>
      </w:pPr>
      <w:r>
        <w:rPr>
          <w:b w:val="0"/>
          <w:i w:val="0"/>
        </w:rPr>
        <w:t>Figure 31. Line-Item Check of a Contractor's Bill of Quantities</w:t>
        <w:tab/>
        <w:t>66</w:t>
      </w:r>
    </w:p>
    <w:p>
      <w:pPr>
        <w:tabs>
          <w:tab w:pos="9029" w:val="right" w:leader="dot"/>
        </w:tabs>
        <w:spacing w:line="360" w:lineRule="auto"/>
        <w:ind w:left="0"/>
      </w:pPr>
      <w:r>
        <w:rPr>
          <w:b w:val="0"/>
          <w:i w:val="0"/>
        </w:rPr>
        <w:t>Figure 32. Library Screen with Reference Plans, Saved Designs and the Unit Price Book</w:t>
        <w:tab/>
        <w:t>67</w:t>
      </w:r>
    </w:p>
    <w:p>
      <w:pPr>
        <w:tabs>
          <w:tab w:pos="9029" w:val="right" w:leader="dot"/>
        </w:tabs>
        <w:spacing w:line="360" w:lineRule="auto"/>
        <w:ind w:left="0"/>
      </w:pPr>
      <w:r>
        <w:rPr>
          <w:b w:val="0"/>
          <w:i w:val="0"/>
        </w:rPr>
        <w:t>Figure 33. Download Website of BUHAY-AH</w:t>
        <w:tab/>
        <w:t>68</w:t>
      </w:r>
    </w:p>
    <w:p>
      <w:pPr>
        <w:tabs>
          <w:tab w:pos="9029" w:val="right" w:leader="dot"/>
        </w:tabs>
        <w:spacing w:line="360" w:lineRule="auto"/>
        <w:ind w:left="0"/>
      </w:pPr>
      <w:r>
        <w:rPr>
          <w:b w:val="0"/>
          <w:i w:val="0"/>
        </w:rPr>
        <w:t>Figure 34. Live Budget-to-Design Demonstration on the Website</w:t>
        <w:tab/>
        <w:t>69</w:t>
      </w:r>
    </w:p>
    <w:p>
      <w:pPr>
        <w:tabs>
          <w:tab w:pos="9029" w:val="right" w:leader="dot"/>
        </w:tabs>
        <w:spacing w:line="360" w:lineRule="auto"/>
        <w:ind w:left="0"/>
      </w:pPr>
      <w:r>
        <w:rPr>
          <w:b w:val="0"/>
          <w:i w:val="0"/>
        </w:rPr>
        <w:t>Figure 35. Download Section of the Website</w:t>
        <w:tab/>
        <w:t>70</w:t>
      </w:r>
    </w:p>
    <w:p>
      <w:pPr>
        <w:tabs>
          <w:tab w:pos="9029" w:val="right" w:leader="dot"/>
        </w:tabs>
        <w:spacing w:line="360" w:lineRule="auto"/>
        <w:ind w:left="0"/>
      </w:pPr>
      <w:r>
        <w:rPr>
          <w:b w:val="0"/>
          <w:i w:val="0"/>
        </w:rPr>
        <w:t>Figure 36. Parametric 3D Model of a 2-Storey 4-Classroom School Building</w:t>
        <w:tab/>
        <w:t>70</w:t>
      </w:r>
    </w:p>
    <w:p>
      <w:pPr>
        <w:tabs>
          <w:tab w:pos="9029" w:val="right" w:leader="dot"/>
        </w:tabs>
        <w:spacing w:line="360" w:lineRule="auto"/>
        <w:ind w:left="0"/>
      </w:pPr>
      <w:r>
        <w:rPr>
          <w:b w:val="0"/>
          <w:i w:val="0"/>
        </w:rPr>
        <w:t>Figure 37. Parametric 3D Model of a Three-Span RCDG Bridge</w:t>
        <w:tab/>
        <w:t>71</w:t>
      </w:r>
    </w:p>
    <w:p>
      <w:pPr>
        <w:tabs>
          <w:tab w:pos="9029" w:val="right" w:leader="dot"/>
        </w:tabs>
        <w:spacing w:line="360" w:lineRule="auto"/>
        <w:ind w:left="0"/>
      </w:pPr>
      <w:r>
        <w:rPr>
          <w:b w:val="0"/>
          <w:i w:val="0"/>
        </w:rPr>
        <w:t>Figure 38. Parametric 3D Model of a 50 m Steel Truss Bridge</w:t>
        <w:tab/>
        <w:t>71</w:t>
      </w:r>
    </w:p>
    <w:p>
      <w:r>
        <w:br w:type="page"/>
      </w:r>
    </w:p>
    <w:p>
      <w:pPr>
        <w:spacing w:line="480" w:lineRule="auto" w:after="0"/>
        <w:jc w:val="center"/>
      </w:pPr>
      <w:r>
        <w:rPr>
          <w:b/>
          <w:i w:val="0"/>
        </w:rPr>
        <w:t>LIST OF TABLES</w:t>
      </w:r>
    </w:p>
    <w:p>
      <w:pPr>
        <w:tabs>
          <w:tab w:pos="9029" w:val="right" w:leader="dot"/>
        </w:tabs>
        <w:spacing w:line="360" w:lineRule="auto"/>
        <w:ind w:left="0"/>
      </w:pPr>
      <w:r>
        <w:rPr>
          <w:b w:val="0"/>
          <w:i w:val="0"/>
        </w:rPr>
        <w:t>Table 1. Plan Variables Extracted by BUHAY-AH</w:t>
        <w:tab/>
        <w:t>18</w:t>
      </w:r>
    </w:p>
    <w:p>
      <w:pPr>
        <w:tabs>
          <w:tab w:pos="9029" w:val="right" w:leader="dot"/>
        </w:tabs>
        <w:spacing w:line="360" w:lineRule="auto"/>
        <w:ind w:left="0"/>
      </w:pPr>
      <w:r>
        <w:rPr>
          <w:b w:val="0"/>
          <w:i w:val="0"/>
        </w:rPr>
        <w:t>Table 2. Location Factors and Yearly Cost Index</w:t>
        <w:tab/>
        <w:t>18</w:t>
      </w:r>
    </w:p>
    <w:p>
      <w:pPr>
        <w:tabs>
          <w:tab w:pos="9029" w:val="right" w:leader="dot"/>
        </w:tabs>
        <w:spacing w:line="360" w:lineRule="auto"/>
        <w:ind w:left="0"/>
      </w:pPr>
      <w:r>
        <w:rPr>
          <w:b w:val="0"/>
          <w:i w:val="0"/>
        </w:rPr>
        <w:t>Table 3. Space Module Library of the Design Generator</w:t>
        <w:tab/>
        <w:t>21</w:t>
      </w:r>
    </w:p>
    <w:p>
      <w:pPr>
        <w:tabs>
          <w:tab w:pos="9029" w:val="right" w:leader="dot"/>
        </w:tabs>
        <w:spacing w:line="360" w:lineRule="auto"/>
        <w:ind w:left="0"/>
      </w:pPr>
      <w:r>
        <w:rPr>
          <w:b w:val="0"/>
          <w:i w:val="0"/>
        </w:rPr>
        <w:t>Table 4. Selected Pay Items and Direct Unit Costs in the BUHAY-AH Price Book</w:t>
        <w:tab/>
        <w:t>22</w:t>
      </w:r>
    </w:p>
    <w:p>
      <w:pPr>
        <w:tabs>
          <w:tab w:pos="9029" w:val="right" w:leader="dot"/>
        </w:tabs>
        <w:spacing w:line="360" w:lineRule="auto"/>
        <w:ind w:left="0"/>
      </w:pPr>
      <w:r>
        <w:rPr>
          <w:b w:val="0"/>
          <w:i w:val="0"/>
        </w:rPr>
        <w:t>Table 5. Indirect Cost Brackets under DPWH D.O. 197 s. 2016 and D.O. 30 s. 2025</w:t>
        <w:tab/>
        <w:t>23</w:t>
      </w:r>
    </w:p>
    <w:p>
      <w:pPr>
        <w:tabs>
          <w:tab w:pos="9029" w:val="right" w:leader="dot"/>
        </w:tabs>
        <w:spacing w:line="360" w:lineRule="auto"/>
        <w:ind w:left="0"/>
      </w:pPr>
      <w:r>
        <w:rPr>
          <w:b w:val="0"/>
          <w:i w:val="0"/>
        </w:rPr>
        <w:t>Table 6. Quotation Tier Settings</w:t>
        <w:tab/>
        <w:t>25</w:t>
      </w:r>
    </w:p>
    <w:p>
      <w:pPr>
        <w:tabs>
          <w:tab w:pos="9029" w:val="right" w:leader="dot"/>
        </w:tabs>
        <w:spacing w:line="360" w:lineRule="auto"/>
        <w:ind w:left="0"/>
      </w:pPr>
      <w:r>
        <w:rPr>
          <w:b w:val="0"/>
          <w:i w:val="0"/>
        </w:rPr>
        <w:t>Table 7. Simulation Parameters of the SBD-300 Benchmark</w:t>
        <w:tab/>
        <w:t>27</w:t>
      </w:r>
    </w:p>
    <w:p>
      <w:pPr>
        <w:tabs>
          <w:tab w:pos="9029" w:val="right" w:leader="dot"/>
        </w:tabs>
        <w:spacing w:line="360" w:lineRule="auto"/>
        <w:ind w:left="0"/>
      </w:pPr>
      <w:r>
        <w:rPr>
          <w:b w:val="0"/>
          <w:i w:val="0"/>
        </w:rPr>
        <w:t>Table 8. XGBoost Hyperparameter Search and Selected Values</w:t>
        <w:tab/>
        <w:t>28</w:t>
      </w:r>
    </w:p>
    <w:p>
      <w:pPr>
        <w:tabs>
          <w:tab w:pos="9029" w:val="right" w:leader="dot"/>
        </w:tabs>
        <w:spacing w:line="360" w:lineRule="auto"/>
        <w:ind w:left="0"/>
      </w:pPr>
      <w:r>
        <w:rPr>
          <w:b w:val="0"/>
          <w:i w:val="0"/>
        </w:rPr>
        <w:t>Table 9. Descriptive Statistics of the Physical Properties of Buildings (n = 160)</w:t>
        <w:tab/>
        <w:t>33</w:t>
      </w:r>
    </w:p>
    <w:p>
      <w:pPr>
        <w:tabs>
          <w:tab w:pos="9029" w:val="right" w:leader="dot"/>
        </w:tabs>
        <w:spacing w:line="360" w:lineRule="auto"/>
        <w:ind w:left="0"/>
      </w:pPr>
      <w:r>
        <w:rPr>
          <w:b w:val="0"/>
          <w:i w:val="0"/>
        </w:rPr>
        <w:t>Table 10. Descriptive Statistics of the Physical Properties of Bridges (n = 140)</w:t>
        <w:tab/>
        <w:t>33</w:t>
      </w:r>
    </w:p>
    <w:p>
      <w:pPr>
        <w:tabs>
          <w:tab w:pos="9029" w:val="right" w:leader="dot"/>
        </w:tabs>
        <w:spacing w:line="360" w:lineRule="auto"/>
        <w:ind w:left="0"/>
      </w:pPr>
      <w:r>
        <w:rPr>
          <w:b w:val="0"/>
          <w:i w:val="0"/>
        </w:rPr>
        <w:t>Table 11. Structural System and Foundation Composition of the Benchmark</w:t>
        <w:tab/>
        <w:t>34</w:t>
      </w:r>
    </w:p>
    <w:p>
      <w:pPr>
        <w:tabs>
          <w:tab w:pos="9029" w:val="right" w:leader="dot"/>
        </w:tabs>
        <w:spacing w:line="360" w:lineRule="auto"/>
        <w:ind w:left="0"/>
      </w:pPr>
      <w:r>
        <w:rPr>
          <w:b w:val="0"/>
          <w:i w:val="0"/>
        </w:rPr>
        <w:t>Table 12. Project Budget Characteristics of the Benchmark</w:t>
        <w:tab/>
        <w:t>34</w:t>
      </w:r>
    </w:p>
    <w:p>
      <w:pPr>
        <w:tabs>
          <w:tab w:pos="9029" w:val="right" w:leader="dot"/>
        </w:tabs>
        <w:spacing w:line="360" w:lineRule="auto"/>
        <w:ind w:left="0"/>
      </w:pPr>
      <w:r>
        <w:rPr>
          <w:b w:val="0"/>
          <w:i w:val="0"/>
        </w:rPr>
        <w:t>Table 13. Design Template Library of BUHAY-AH</w:t>
        <w:tab/>
        <w:t>35</w:t>
      </w:r>
    </w:p>
    <w:p>
      <w:pPr>
        <w:tabs>
          <w:tab w:pos="9029" w:val="right" w:leader="dot"/>
        </w:tabs>
        <w:spacing w:line="360" w:lineRule="auto"/>
        <w:ind w:left="0"/>
      </w:pPr>
      <w:r>
        <w:rPr>
          <w:b w:val="0"/>
          <w:i w:val="0"/>
        </w:rPr>
        <w:t>Table 14. Budget-to-Design Results (Lean Start Quotation, Albay 2025, Lot ≤ 60 m)</w:t>
        <w:tab/>
        <w:t>38</w:t>
      </w:r>
    </w:p>
    <w:p>
      <w:pPr>
        <w:tabs>
          <w:tab w:pos="9029" w:val="right" w:leader="dot"/>
        </w:tabs>
        <w:spacing w:line="360" w:lineRule="auto"/>
        <w:ind w:left="0"/>
      </w:pPr>
      <w:r>
        <w:rPr>
          <w:b w:val="0"/>
          <w:i w:val="0"/>
        </w:rPr>
        <w:t>Table 15. Bridge Designs Recommended by Gap Length (Two Lanes)</w:t>
        <w:tab/>
        <w:t>39</w:t>
      </w:r>
    </w:p>
    <w:p>
      <w:pPr>
        <w:tabs>
          <w:tab w:pos="9029" w:val="right" w:leader="dot"/>
        </w:tabs>
        <w:spacing w:line="360" w:lineRule="auto"/>
        <w:ind w:left="0"/>
      </w:pPr>
      <w:r>
        <w:rPr>
          <w:b w:val="0"/>
          <w:i w:val="0"/>
        </w:rPr>
        <w:t>Table 16. Quotations of the Reference Plans (Albay, 2025 Prices)</w:t>
        <w:tab/>
        <w:t>41</w:t>
      </w:r>
    </w:p>
    <w:p>
      <w:pPr>
        <w:tabs>
          <w:tab w:pos="9029" w:val="right" w:leader="dot"/>
        </w:tabs>
        <w:spacing w:line="360" w:lineRule="auto"/>
        <w:ind w:left="0"/>
      </w:pPr>
      <w:r>
        <w:rPr>
          <w:b w:val="0"/>
          <w:i w:val="0"/>
        </w:rPr>
        <w:t>Table 17. Accuracy of the Standards-Based Estimate against Fair Awarded Costs</w:t>
        <w:tab/>
        <w:t>42</w:t>
      </w:r>
    </w:p>
    <w:p>
      <w:pPr>
        <w:tabs>
          <w:tab w:pos="9029" w:val="right" w:leader="dot"/>
        </w:tabs>
        <w:spacing w:line="360" w:lineRule="auto"/>
        <w:ind w:left="0"/>
      </w:pPr>
      <w:r>
        <w:rPr>
          <w:b w:val="0"/>
          <w:i w:val="0"/>
        </w:rPr>
        <w:t>Table 18. Variance Inflation Factor of the Building Predictors</w:t>
        <w:tab/>
        <w:t>44</w:t>
      </w:r>
    </w:p>
    <w:p>
      <w:pPr>
        <w:tabs>
          <w:tab w:pos="9029" w:val="right" w:leader="dot"/>
        </w:tabs>
        <w:spacing w:line="360" w:lineRule="auto"/>
        <w:ind w:left="0"/>
      </w:pPr>
      <w:r>
        <w:rPr>
          <w:b w:val="0"/>
          <w:i w:val="0"/>
        </w:rPr>
        <w:t>Table 19. Variance Inflation Factor of the Bridge Predictors, Full and Reduced Models</w:t>
        <w:tab/>
        <w:t>44</w:t>
      </w:r>
    </w:p>
    <w:p>
      <w:pPr>
        <w:tabs>
          <w:tab w:pos="9029" w:val="right" w:leader="dot"/>
        </w:tabs>
        <w:spacing w:line="360" w:lineRule="auto"/>
        <w:ind w:left="0"/>
      </w:pPr>
      <w:r>
        <w:rPr>
          <w:b w:val="0"/>
          <w:i w:val="0"/>
        </w:rPr>
        <w:t>Table 20. Ordinary Least Squares Results for Buildings</w:t>
        <w:tab/>
        <w:t>45</w:t>
      </w:r>
    </w:p>
    <w:p>
      <w:pPr>
        <w:tabs>
          <w:tab w:pos="9029" w:val="right" w:leader="dot"/>
        </w:tabs>
        <w:spacing w:line="360" w:lineRule="auto"/>
        <w:ind w:left="0"/>
      </w:pPr>
      <w:r>
        <w:rPr>
          <w:b w:val="0"/>
          <w:i w:val="0"/>
        </w:rPr>
        <w:t>Table 21. Ordinary Least Squares Results for Bridges</w:t>
        <w:tab/>
        <w:t>45</w:t>
      </w:r>
    </w:p>
    <w:p>
      <w:pPr>
        <w:tabs>
          <w:tab w:pos="9029" w:val="right" w:leader="dot"/>
        </w:tabs>
        <w:spacing w:line="360" w:lineRule="auto"/>
        <w:ind w:left="0"/>
      </w:pPr>
      <w:r>
        <w:rPr>
          <w:b w:val="0"/>
          <w:i w:val="0"/>
        </w:rPr>
        <w:t>Table 22. Performance of the Multiple Linear Regression Models under LOOCV</w:t>
        <w:tab/>
        <w:t>46</w:t>
      </w:r>
    </w:p>
    <w:p>
      <w:pPr>
        <w:tabs>
          <w:tab w:pos="9029" w:val="right" w:leader="dot"/>
        </w:tabs>
        <w:spacing w:line="360" w:lineRule="auto"/>
        <w:ind w:left="0"/>
      </w:pPr>
      <w:r>
        <w:rPr>
          <w:b w:val="0"/>
          <w:i w:val="0"/>
        </w:rPr>
        <w:t>Table 23. XGBoost Feature Importance (Gain Share)</w:t>
        <w:tab/>
        <w:t>47</w:t>
      </w:r>
    </w:p>
    <w:p>
      <w:pPr>
        <w:tabs>
          <w:tab w:pos="9029" w:val="right" w:leader="dot"/>
        </w:tabs>
        <w:spacing w:line="360" w:lineRule="auto"/>
        <w:ind w:left="0"/>
      </w:pPr>
      <w:r>
        <w:rPr>
          <w:b w:val="0"/>
          <w:i w:val="0"/>
        </w:rPr>
        <w:t>Table 24. Performance of the XGBoost Models under LOOCV</w:t>
        <w:tab/>
        <w:t>47</w:t>
      </w:r>
    </w:p>
    <w:p>
      <w:pPr>
        <w:tabs>
          <w:tab w:pos="9029" w:val="right" w:leader="dot"/>
        </w:tabs>
        <w:spacing w:line="360" w:lineRule="auto"/>
        <w:ind w:left="0"/>
      </w:pPr>
      <w:r>
        <w:rPr>
          <w:b w:val="0"/>
          <w:i w:val="0"/>
        </w:rPr>
        <w:t>Table 25. Comparison of Multiple Linear Regression and XGBoost</w:t>
        <w:tab/>
        <w:t>48</w:t>
      </w:r>
    </w:p>
    <w:p>
      <w:pPr>
        <w:tabs>
          <w:tab w:pos="9029" w:val="right" w:leader="dot"/>
        </w:tabs>
        <w:spacing w:line="360" w:lineRule="auto"/>
        <w:ind w:left="0"/>
      </w:pPr>
      <w:r>
        <w:rPr>
          <w:b w:val="0"/>
          <w:i w:val="0"/>
        </w:rPr>
        <w:t>Table 26. Detection Performance against Injected Overpricing</w:t>
        <w:tab/>
        <w:t>50</w:t>
      </w:r>
    </w:p>
    <w:p>
      <w:pPr>
        <w:tabs>
          <w:tab w:pos="9029" w:val="right" w:leader="dot"/>
        </w:tabs>
        <w:spacing w:line="360" w:lineRule="auto"/>
        <w:ind w:left="0"/>
      </w:pPr>
      <w:r>
        <w:rPr>
          <w:b w:val="0"/>
          <w:i w:val="0"/>
        </w:rPr>
        <w:t>Table 27. Highest-Risk Contracts Flagged by BUHAY-AH</w:t>
        <w:tab/>
        <w:t>51</w:t>
      </w:r>
    </w:p>
    <w:p>
      <w:pPr>
        <w:tabs>
          <w:tab w:pos="9029" w:val="right" w:leader="dot"/>
        </w:tabs>
        <w:spacing w:line="360" w:lineRule="auto"/>
        <w:ind w:left="0"/>
      </w:pPr>
      <w:r>
        <w:rPr>
          <w:b w:val="0"/>
          <w:i w:val="0"/>
        </w:rPr>
        <w:t>Table 28. Extension Design Templates (Albay, 2025 Prices)</w:t>
        <w:tab/>
        <w:t>52</w:t>
      </w:r>
    </w:p>
    <w:p>
      <w:pPr>
        <w:tabs>
          <w:tab w:pos="9029" w:val="right" w:leader="dot"/>
        </w:tabs>
        <w:spacing w:line="360" w:lineRule="auto"/>
        <w:ind w:left="0"/>
      </w:pPr>
      <w:r>
        <w:rPr>
          <w:b w:val="0"/>
          <w:i w:val="0"/>
        </w:rPr>
        <w:t>Table 29. Airfield and Port Templates</w:t>
        <w:tab/>
        <w:t>55</w:t>
      </w:r>
    </w:p>
    <w:p>
      <w:pPr>
        <w:tabs>
          <w:tab w:pos="9029" w:val="right" w:leader="dot"/>
        </w:tabs>
        <w:spacing w:line="360" w:lineRule="auto"/>
        <w:ind w:left="0"/>
      </w:pPr>
      <w:r>
        <w:rPr>
          <w:b w:val="0"/>
          <w:i w:val="0"/>
        </w:rPr>
        <w:t>Table 30. Accuracy and Standards-Based Detection on SBD-EXT</w:t>
        <w:tab/>
        <w:t>56</w:t>
      </w:r>
    </w:p>
    <w:p>
      <w:r>
        <w:br w:type="page"/>
      </w:r>
    </w:p>
    <w:p>
      <w:pPr>
        <w:spacing w:line="480" w:lineRule="auto" w:after="0"/>
        <w:jc w:val="center"/>
      </w:pPr>
      <w:r>
        <w:rPr>
          <w:b/>
          <w:i w:val="0"/>
        </w:rPr>
        <w:t>LIST OF EQUATIONS</w:t>
      </w:r>
    </w:p>
    <w:p>
      <w:pPr>
        <w:spacing w:line="480" w:lineRule="auto" w:after="0"/>
        <w:ind w:firstLine="720"/>
        <w:jc w:val="both"/>
      </w:pPr>
      <w:r>
        <w:rPr>
          <w:b w:val="0"/>
          <w:i w:val="0"/>
        </w:rPr>
        <w:t>This section lists the numbered equations of the study in the order they appear. Each entry gives the name of the formula, the section where it is defined, and how it is used in the model or in the BUHAY-AH application.</w:t>
      </w:r>
    </w:p>
    <w:p>
      <w:pPr>
        <w:keepNext/>
        <w:spacing w:line="360" w:lineRule="auto" w:after="0"/>
        <w:jc w:val="left"/>
      </w:pPr>
      <w:r>
        <w:rPr>
          <w:b/>
          <w:i w:val="0"/>
        </w:rPr>
        <w:t>Equation 1. Building Footprint from Space Modules</w:t>
      </w:r>
      <w:r>
        <w:rPr>
          <w:b w:val="0"/>
          <w:i w:val="0"/>
        </w:rPr>
        <w:t xml:space="preserve"> (Design Generation and Budget-to-Design Optimization)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445454" cy="375513"/>
            <wp:docPr id="1" name="Picture 1"/>
            <wp:cNvGraphicFramePr>
              <a:graphicFrameLocks noChangeAspect="1"/>
            </wp:cNvGraphicFramePr>
            <a:graphic>
              <a:graphicData uri="http://schemas.openxmlformats.org/drawingml/2006/picture">
                <pic:pic>
                  <pic:nvPicPr>
                    <pic:cNvPr id="0" name="pack.png"/>
                    <pic:cNvPicPr/>
                  </pic:nvPicPr>
                  <pic:blipFill>
                    <a:blip r:embed="rId10"/>
                    <a:stretch>
                      <a:fillRect/>
                    </a:stretch>
                  </pic:blipFill>
                  <pic:spPr>
                    <a:xfrm>
                      <a:off x="0" y="0"/>
                      <a:ext cx="3445454" cy="375513"/>
                    </a:xfrm>
                    <a:prstGeom prst="rect"/>
                  </pic:spPr>
                </pic:pic>
              </a:graphicData>
            </a:graphic>
          </wp:inline>
        </w:drawing>
      </w:r>
      <w:r>
        <w:tab/>
        <w:t>Eq. 1</w:t>
      </w:r>
    </w:p>
    <w:p>
      <w:pPr>
        <w:spacing w:line="360" w:lineRule="auto" w:after="160"/>
        <w:ind w:firstLine="720"/>
        <w:jc w:val="both"/>
      </w:pPr>
      <w:r>
        <w:rPr>
          <w:b w:val="0"/>
          <w:i w:val="0"/>
        </w:rPr>
        <w:t>Gives the length, width and floor area of a generated design from its space modules; used by the design studio and the budget search.</w:t>
      </w:r>
    </w:p>
    <w:p>
      <w:pPr>
        <w:keepNext/>
        <w:spacing w:line="360" w:lineRule="auto" w:after="0"/>
        <w:jc w:val="left"/>
      </w:pPr>
      <w:r>
        <w:rPr>
          <w:b/>
          <w:i w:val="0"/>
        </w:rPr>
        <w:t>Equation 2. Design Capacity</w:t>
      </w:r>
      <w:r>
        <w:rPr>
          <w:b w:val="0"/>
          <w:i w:val="0"/>
        </w:rPr>
        <w:t xml:space="preserve"> (Design Generation and Budget-to-Design Optimization)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758341" cy="346252"/>
            <wp:docPr id="2" name="Picture 2"/>
            <wp:cNvGraphicFramePr>
              <a:graphicFrameLocks noChangeAspect="1"/>
            </wp:cNvGraphicFramePr>
            <a:graphic>
              <a:graphicData uri="http://schemas.openxmlformats.org/drawingml/2006/picture">
                <pic:pic>
                  <pic:nvPicPr>
                    <pic:cNvPr id="0" name="cap.png"/>
                    <pic:cNvPicPr/>
                  </pic:nvPicPr>
                  <pic:blipFill>
                    <a:blip r:embed="rId11"/>
                    <a:stretch>
                      <a:fillRect/>
                    </a:stretch>
                  </pic:blipFill>
                  <pic:spPr>
                    <a:xfrm>
                      <a:off x="0" y="0"/>
                      <a:ext cx="758341" cy="346252"/>
                    </a:xfrm>
                    <a:prstGeom prst="rect"/>
                  </pic:spPr>
                </pic:pic>
              </a:graphicData>
            </a:graphic>
          </wp:inline>
        </w:drawing>
      </w:r>
      <w:r>
        <w:tab/>
        <w:t>Eq. 2</w:t>
      </w:r>
    </w:p>
    <w:p>
      <w:pPr>
        <w:spacing w:line="360" w:lineRule="auto" w:after="160"/>
        <w:ind w:firstLine="720"/>
        <w:jc w:val="both"/>
      </w:pPr>
      <w:r>
        <w:rPr>
          <w:b w:val="0"/>
          <w:i w:val="0"/>
        </w:rPr>
        <w:t>Counts classrooms, beds, staff, persons, stalls, passengers or bays of a design; the objective of budget-to-design.</w:t>
      </w:r>
    </w:p>
    <w:p>
      <w:pPr>
        <w:keepNext/>
        <w:spacing w:line="360" w:lineRule="auto" w:after="0"/>
        <w:jc w:val="left"/>
      </w:pPr>
      <w:r>
        <w:rPr>
          <w:b/>
          <w:i w:val="0"/>
        </w:rPr>
        <w:t>Equation 3. Budget-to-Design Integer Program</w:t>
      </w:r>
      <w:r>
        <w:rPr>
          <w:b w:val="0"/>
          <w:i w:val="0"/>
        </w:rPr>
        <w:t xml:space="preserve"> (Design Generation and Budget-to-Design Optimization)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635396" cy="324307"/>
            <wp:docPr id="3" name="Picture 3"/>
            <wp:cNvGraphicFramePr>
              <a:graphicFrameLocks noChangeAspect="1"/>
            </wp:cNvGraphicFramePr>
            <a:graphic>
              <a:graphicData uri="http://schemas.openxmlformats.org/drawingml/2006/picture">
                <pic:pic>
                  <pic:nvPicPr>
                    <pic:cNvPr id="0" name="opt.png"/>
                    <pic:cNvPicPr/>
                  </pic:nvPicPr>
                  <pic:blipFill>
                    <a:blip r:embed="rId12"/>
                    <a:stretch>
                      <a:fillRect/>
                    </a:stretch>
                  </pic:blipFill>
                  <pic:spPr>
                    <a:xfrm>
                      <a:off x="0" y="0"/>
                      <a:ext cx="4635396" cy="324307"/>
                    </a:xfrm>
                    <a:prstGeom prst="rect"/>
                  </pic:spPr>
                </pic:pic>
              </a:graphicData>
            </a:graphic>
          </wp:inline>
        </w:drawing>
      </w:r>
      <w:r>
        <w:tab/>
        <w:t>Eq. 3</w:t>
      </w:r>
    </w:p>
    <w:p>
      <w:pPr>
        <w:spacing w:line="360" w:lineRule="auto" w:after="160"/>
        <w:ind w:firstLine="720"/>
        <w:jc w:val="both"/>
      </w:pPr>
      <w:r>
        <w:rPr>
          <w:b w:val="0"/>
          <w:i w:val="0"/>
        </w:rPr>
        <w:t>Chooses the largest capacity whose quotation fits the budget, lot and storey limits; solved by exhaustive enumeration.</w:t>
      </w:r>
    </w:p>
    <w:p>
      <w:pPr>
        <w:keepNext/>
        <w:spacing w:line="360" w:lineRule="auto" w:after="0"/>
        <w:jc w:val="left"/>
      </w:pPr>
      <w:r>
        <w:rPr>
          <w:b/>
          <w:i w:val="0"/>
        </w:rPr>
        <w:t>Equation 4. Pareto Dominance</w:t>
      </w:r>
      <w:r>
        <w:rPr>
          <w:b w:val="0"/>
          <w:i w:val="0"/>
        </w:rPr>
        <w:t xml:space="preserve"> (Design Generation and Budget-to-Design Optimization)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918499" cy="241401"/>
            <wp:docPr id="4" name="Picture 4"/>
            <wp:cNvGraphicFramePr>
              <a:graphicFrameLocks noChangeAspect="1"/>
            </wp:cNvGraphicFramePr>
            <a:graphic>
              <a:graphicData uri="http://schemas.openxmlformats.org/drawingml/2006/picture">
                <pic:pic>
                  <pic:nvPicPr>
                    <pic:cNvPr id="0" name="pareto.png"/>
                    <pic:cNvPicPr/>
                  </pic:nvPicPr>
                  <pic:blipFill>
                    <a:blip r:embed="rId13"/>
                    <a:stretch>
                      <a:fillRect/>
                    </a:stretch>
                  </pic:blipFill>
                  <pic:spPr>
                    <a:xfrm>
                      <a:off x="0" y="0"/>
                      <a:ext cx="3918499" cy="241401"/>
                    </a:xfrm>
                    <a:prstGeom prst="rect"/>
                  </pic:spPr>
                </pic:pic>
              </a:graphicData>
            </a:graphic>
          </wp:inline>
        </w:drawing>
      </w:r>
      <w:r>
        <w:tab/>
        <w:t>Eq. 4</w:t>
      </w:r>
    </w:p>
    <w:p>
      <w:pPr>
        <w:spacing w:line="360" w:lineRule="auto" w:after="160"/>
        <w:ind w:firstLine="720"/>
        <w:jc w:val="both"/>
      </w:pPr>
      <w:r>
        <w:rPr>
          <w:b w:val="0"/>
          <w:i w:val="0"/>
        </w:rPr>
        <w:t>Removes designs beaten on both capacity and cost, so the app shows only efficient options.</w:t>
      </w:r>
    </w:p>
    <w:p>
      <w:pPr>
        <w:keepNext/>
        <w:spacing w:line="360" w:lineRule="auto" w:after="0"/>
        <w:jc w:val="left"/>
      </w:pPr>
      <w:r>
        <w:rPr>
          <w:b/>
          <w:i w:val="0"/>
        </w:rPr>
        <w:t>Equation 5. Bridge Type and Span Selection</w:t>
      </w:r>
      <w:r>
        <w:rPr>
          <w:b w:val="0"/>
          <w:i w:val="0"/>
        </w:rPr>
        <w:t xml:space="preserve"> (Design Generation and Budget-to-Design Optimization)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867297" cy="307238"/>
            <wp:docPr id="5" name="Picture 5"/>
            <wp:cNvGraphicFramePr>
              <a:graphicFrameLocks noChangeAspect="1"/>
            </wp:cNvGraphicFramePr>
            <a:graphic>
              <a:graphicData uri="http://schemas.openxmlformats.org/drawingml/2006/picture">
                <pic:pic>
                  <pic:nvPicPr>
                    <pic:cNvPr id="0" name="bridge.png"/>
                    <pic:cNvPicPr/>
                  </pic:nvPicPr>
                  <pic:blipFill>
                    <a:blip r:embed="rId14"/>
                    <a:stretch>
                      <a:fillRect/>
                    </a:stretch>
                  </pic:blipFill>
                  <pic:spPr>
                    <a:xfrm>
                      <a:off x="0" y="0"/>
                      <a:ext cx="3867297" cy="307238"/>
                    </a:xfrm>
                    <a:prstGeom prst="rect"/>
                  </pic:spPr>
                </pic:pic>
              </a:graphicData>
            </a:graphic>
          </wp:inline>
        </w:drawing>
      </w:r>
      <w:r>
        <w:tab/>
        <w:t>Eq. 5</w:t>
      </w:r>
    </w:p>
    <w:p>
      <w:pPr>
        <w:spacing w:line="360" w:lineRule="auto" w:after="160"/>
        <w:ind w:firstLine="720"/>
        <w:jc w:val="both"/>
      </w:pPr>
      <w:r>
        <w:rPr>
          <w:b w:val="0"/>
          <w:i w:val="0"/>
        </w:rPr>
        <w:t>Picks the cheapest superstructure and span count for a gap; used by the bridge designer.</w:t>
      </w:r>
    </w:p>
    <w:p>
      <w:pPr>
        <w:keepNext/>
        <w:spacing w:line="360" w:lineRule="auto" w:after="0"/>
        <w:jc w:val="left"/>
      </w:pPr>
      <w:r>
        <w:rPr>
          <w:b/>
          <w:i w:val="0"/>
        </w:rPr>
        <w:t>Equation 6. Isolated Footing Size</w:t>
      </w:r>
      <w:r>
        <w:rPr>
          <w:b w:val="0"/>
          <w:i w:val="0"/>
        </w:rPr>
        <w:t xml:space="preserve"> (Quantity Take-Off and Quotation Engine)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133854" cy="480364"/>
            <wp:docPr id="6" name="Picture 6"/>
            <wp:cNvGraphicFramePr>
              <a:graphicFrameLocks noChangeAspect="1"/>
            </wp:cNvGraphicFramePr>
            <a:graphic>
              <a:graphicData uri="http://schemas.openxmlformats.org/drawingml/2006/picture">
                <pic:pic>
                  <pic:nvPicPr>
                    <pic:cNvPr id="0" name="footing.png"/>
                    <pic:cNvPicPr/>
                  </pic:nvPicPr>
                  <pic:blipFill>
                    <a:blip r:embed="rId15"/>
                    <a:stretch>
                      <a:fillRect/>
                    </a:stretch>
                  </pic:blipFill>
                  <pic:spPr>
                    <a:xfrm>
                      <a:off x="0" y="0"/>
                      <a:ext cx="1133854" cy="480364"/>
                    </a:xfrm>
                    <a:prstGeom prst="rect"/>
                  </pic:spPr>
                </pic:pic>
              </a:graphicData>
            </a:graphic>
          </wp:inline>
        </w:drawing>
      </w:r>
      <w:r>
        <w:tab/>
        <w:t>Eq. 6</w:t>
      </w:r>
    </w:p>
    <w:p>
      <w:pPr>
        <w:spacing w:line="360" w:lineRule="auto" w:after="160"/>
        <w:ind w:firstLine="720"/>
        <w:jc w:val="both"/>
      </w:pPr>
      <w:r>
        <w:rPr>
          <w:b w:val="0"/>
          <w:i w:val="0"/>
        </w:rPr>
        <w:t>Sizes each footing from the column load and soil bearing; feeds the concrete, rebar and excavation items.</w:t>
      </w:r>
    </w:p>
    <w:p>
      <w:pPr>
        <w:keepNext/>
        <w:spacing w:line="360" w:lineRule="auto" w:after="0"/>
        <w:jc w:val="left"/>
      </w:pPr>
      <w:r>
        <w:rPr>
          <w:b/>
          <w:i w:val="0"/>
        </w:rPr>
        <w:t>Equation 7. Reinforcing Steel Mass</w:t>
      </w:r>
      <w:r>
        <w:rPr>
          <w:b w:val="0"/>
          <w:i w:val="0"/>
        </w:rPr>
        <w:t xml:space="preserve"> (Quantity Take-Off and Quotation Engine)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007057" cy="321868"/>
            <wp:docPr id="7" name="Picture 7"/>
            <wp:cNvGraphicFramePr>
              <a:graphicFrameLocks noChangeAspect="1"/>
            </wp:cNvGraphicFramePr>
            <a:graphic>
              <a:graphicData uri="http://schemas.openxmlformats.org/drawingml/2006/picture">
                <pic:pic>
                  <pic:nvPicPr>
                    <pic:cNvPr id="0" name="rebar.png"/>
                    <pic:cNvPicPr/>
                  </pic:nvPicPr>
                  <pic:blipFill>
                    <a:blip r:embed="rId16"/>
                    <a:stretch>
                      <a:fillRect/>
                    </a:stretch>
                  </pic:blipFill>
                  <pic:spPr>
                    <a:xfrm>
                      <a:off x="0" y="0"/>
                      <a:ext cx="1007057" cy="321868"/>
                    </a:xfrm>
                    <a:prstGeom prst="rect"/>
                  </pic:spPr>
                </pic:pic>
              </a:graphicData>
            </a:graphic>
          </wp:inline>
        </w:drawing>
      </w:r>
      <w:r>
        <w:tab/>
        <w:t>Eq. 7</w:t>
      </w:r>
    </w:p>
    <w:p>
      <w:pPr>
        <w:spacing w:line="360" w:lineRule="auto" w:after="160"/>
        <w:ind w:firstLine="720"/>
        <w:jc w:val="both"/>
      </w:pPr>
      <w:r>
        <w:rPr>
          <w:b w:val="0"/>
          <w:i w:val="0"/>
        </w:rPr>
        <w:t>Turns concrete volumes into kilograms of reinforcing steel by element and tier.</w:t>
      </w:r>
    </w:p>
    <w:p>
      <w:pPr>
        <w:keepNext/>
        <w:spacing w:line="360" w:lineRule="auto" w:after="0"/>
        <w:jc w:val="left"/>
      </w:pPr>
      <w:r>
        <w:rPr>
          <w:b/>
          <w:i w:val="0"/>
        </w:rPr>
        <w:t>Equation 8. Estimated Direct Cost</w:t>
      </w:r>
      <w:r>
        <w:rPr>
          <w:b w:val="0"/>
          <w:i w:val="0"/>
        </w:rPr>
        <w:t xml:space="preserve"> (Quantity Take-Off and Quotation Engine)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419146" cy="395020"/>
            <wp:docPr id="8" name="Picture 8"/>
            <wp:cNvGraphicFramePr>
              <a:graphicFrameLocks noChangeAspect="1"/>
            </wp:cNvGraphicFramePr>
            <a:graphic>
              <a:graphicData uri="http://schemas.openxmlformats.org/drawingml/2006/picture">
                <pic:pic>
                  <pic:nvPicPr>
                    <pic:cNvPr id="0" name="edc.png"/>
                    <pic:cNvPicPr/>
                  </pic:nvPicPr>
                  <pic:blipFill>
                    <a:blip r:embed="rId17"/>
                    <a:stretch>
                      <a:fillRect/>
                    </a:stretch>
                  </pic:blipFill>
                  <pic:spPr>
                    <a:xfrm>
                      <a:off x="0" y="0"/>
                      <a:ext cx="1419146" cy="395020"/>
                    </a:xfrm>
                    <a:prstGeom prst="rect"/>
                  </pic:spPr>
                </pic:pic>
              </a:graphicData>
            </a:graphic>
          </wp:inline>
        </w:drawing>
      </w:r>
      <w:r>
        <w:tab/>
        <w:t>Eq. 8</w:t>
      </w:r>
    </w:p>
    <w:p>
      <w:pPr>
        <w:spacing w:line="360" w:lineRule="auto" w:after="160"/>
        <w:ind w:firstLine="720"/>
        <w:jc w:val="both"/>
      </w:pPr>
      <w:r>
        <w:rPr>
          <w:b w:val="0"/>
          <w:i w:val="0"/>
        </w:rPr>
        <w:t>Sums every pay-item quantity times its unit cost, location factor and year index; the direct cost of the plan.</w:t>
      </w:r>
    </w:p>
    <w:p>
      <w:pPr>
        <w:keepNext/>
        <w:spacing w:line="360" w:lineRule="auto" w:after="0"/>
        <w:jc w:val="left"/>
      </w:pPr>
      <w:r>
        <w:rPr>
          <w:b/>
          <w:i w:val="0"/>
        </w:rPr>
        <w:t>Equation 9. Approved Budget for the Contract</w:t>
      </w:r>
      <w:r>
        <w:rPr>
          <w:b w:val="0"/>
          <w:i w:val="0"/>
        </w:rPr>
        <w:t xml:space="preserve"> (Quantity Take-Off and Quotation Engine)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965346" cy="241401"/>
            <wp:docPr id="9" name="Picture 9"/>
            <wp:cNvGraphicFramePr>
              <a:graphicFrameLocks noChangeAspect="1"/>
            </wp:cNvGraphicFramePr>
            <a:graphic>
              <a:graphicData uri="http://schemas.openxmlformats.org/drawingml/2006/picture">
                <pic:pic>
                  <pic:nvPicPr>
                    <pic:cNvPr id="0" name="abc.png"/>
                    <pic:cNvPicPr/>
                  </pic:nvPicPr>
                  <pic:blipFill>
                    <a:blip r:embed="rId18"/>
                    <a:stretch>
                      <a:fillRect/>
                    </a:stretch>
                  </pic:blipFill>
                  <pic:spPr>
                    <a:xfrm>
                      <a:off x="0" y="0"/>
                      <a:ext cx="1965346" cy="241401"/>
                    </a:xfrm>
                    <a:prstGeom prst="rect"/>
                  </pic:spPr>
                </pic:pic>
              </a:graphicData>
            </a:graphic>
          </wp:inline>
        </w:drawing>
      </w:r>
      <w:r>
        <w:tab/>
        <w:t>Eq. 9</w:t>
      </w:r>
    </w:p>
    <w:p>
      <w:pPr>
        <w:spacing w:line="360" w:lineRule="auto" w:after="160"/>
        <w:ind w:firstLine="720"/>
        <w:jc w:val="both"/>
      </w:pPr>
      <w:r>
        <w:rPr>
          <w:b w:val="0"/>
          <w:i w:val="0"/>
        </w:rPr>
        <w:t>Adds OCM, profit and 5% VAT to the direct cost; gives the lean, standard and ceiling quotations.</w:t>
      </w:r>
    </w:p>
    <w:p>
      <w:pPr>
        <w:keepNext/>
        <w:spacing w:line="360" w:lineRule="auto" w:after="0"/>
        <w:jc w:val="left"/>
      </w:pPr>
      <w:r>
        <w:rPr>
          <w:b/>
          <w:i w:val="0"/>
        </w:rPr>
        <w:t>Equation 10. Over-Budget Ratio</w:t>
      </w:r>
      <w:r>
        <w:rPr>
          <w:b w:val="0"/>
          <w:i w:val="0"/>
        </w:rPr>
        <w:t xml:space="preserve"> (Quantity Take-Off and Quotation Engine)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009499" cy="416966"/>
            <wp:docPr id="10" name="Picture 10"/>
            <wp:cNvGraphicFramePr>
              <a:graphicFrameLocks noChangeAspect="1"/>
            </wp:cNvGraphicFramePr>
            <a:graphic>
              <a:graphicData uri="http://schemas.openxmlformats.org/drawingml/2006/picture">
                <pic:pic>
                  <pic:nvPicPr>
                    <pic:cNvPr id="0" name="obr.png"/>
                    <pic:cNvPicPr/>
                  </pic:nvPicPr>
                  <pic:blipFill>
                    <a:blip r:embed="rId19"/>
                    <a:stretch>
                      <a:fillRect/>
                    </a:stretch>
                  </pic:blipFill>
                  <pic:spPr>
                    <a:xfrm>
                      <a:off x="0" y="0"/>
                      <a:ext cx="1009499" cy="416966"/>
                    </a:xfrm>
                    <a:prstGeom prst="rect"/>
                  </pic:spPr>
                </pic:pic>
              </a:graphicData>
            </a:graphic>
          </wp:inline>
        </w:drawing>
      </w:r>
      <w:r>
        <w:tab/>
        <w:t>Eq. 10</w:t>
      </w:r>
    </w:p>
    <w:p>
      <w:pPr>
        <w:spacing w:line="360" w:lineRule="auto" w:after="160"/>
        <w:ind w:firstLine="720"/>
        <w:jc w:val="both"/>
      </w:pPr>
      <w:r>
        <w:rPr>
          <w:b w:val="0"/>
          <w:i w:val="0"/>
        </w:rPr>
        <w:t>Divides the contract amount by the standard estimate; the main over-budget signal.</w:t>
      </w:r>
    </w:p>
    <w:p>
      <w:pPr>
        <w:keepNext/>
        <w:spacing w:line="360" w:lineRule="auto" w:after="0"/>
        <w:jc w:val="left"/>
      </w:pPr>
      <w:r>
        <w:rPr>
          <w:b/>
          <w:i w:val="0"/>
        </w:rPr>
        <w:t>Equation 11. Terminal Site Pavement and Canopy</w:t>
      </w:r>
      <w:r>
        <w:rPr>
          <w:b w:val="0"/>
          <w:i w:val="0"/>
        </w:rPr>
        <w:t xml:space="preserve"> (Extension to Hospitals, Transport Terminals, Airfields and Ports)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723428" cy="321868"/>
            <wp:docPr id="11" name="Picture 11"/>
            <wp:cNvGraphicFramePr>
              <a:graphicFrameLocks noChangeAspect="1"/>
            </wp:cNvGraphicFramePr>
            <a:graphic>
              <a:graphicData uri="http://schemas.openxmlformats.org/drawingml/2006/picture">
                <pic:pic>
                  <pic:nvPicPr>
                    <pic:cNvPr id="0" name="bays.png"/>
                    <pic:cNvPicPr/>
                  </pic:nvPicPr>
                  <pic:blipFill>
                    <a:blip r:embed="rId20"/>
                    <a:stretch>
                      <a:fillRect/>
                    </a:stretch>
                  </pic:blipFill>
                  <pic:spPr>
                    <a:xfrm>
                      <a:off x="0" y="0"/>
                      <a:ext cx="3723428" cy="321868"/>
                    </a:xfrm>
                    <a:prstGeom prst="rect"/>
                  </pic:spPr>
                </pic:pic>
              </a:graphicData>
            </a:graphic>
          </wp:inline>
        </w:drawing>
      </w:r>
      <w:r>
        <w:tab/>
        <w:t>Eq. 11</w:t>
      </w:r>
    </w:p>
    <w:p>
      <w:pPr>
        <w:spacing w:line="360" w:lineRule="auto" w:after="160"/>
        <w:ind w:firstLine="720"/>
        <w:jc w:val="both"/>
      </w:pPr>
      <w:r>
        <w:rPr>
          <w:b w:val="0"/>
          <w:i w:val="0"/>
        </w:rPr>
        <w:t>Gives the PCCP area and loading canopy of a jeepney, UV Express or bus terminal from its bays.</w:t>
      </w:r>
    </w:p>
    <w:p>
      <w:pPr>
        <w:keepNext/>
        <w:spacing w:line="360" w:lineRule="auto" w:after="0"/>
        <w:jc w:val="left"/>
      </w:pPr>
      <w:r>
        <w:rPr>
          <w:b/>
          <w:i w:val="0"/>
        </w:rPr>
        <w:t>Equation 12. Airfield Pavement Quantities and Lights</w:t>
      </w:r>
      <w:r>
        <w:rPr>
          <w:b w:val="0"/>
          <w:i w:val="0"/>
        </w:rPr>
        <w:t xml:space="preserve"> (Extension to Hospitals, Transport Terminals, Airfields and Ports)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937755" cy="222098"/>
            <wp:docPr id="12" name="Picture 12"/>
            <wp:cNvGraphicFramePr>
              <a:graphicFrameLocks noChangeAspect="1"/>
            </wp:cNvGraphicFramePr>
            <a:graphic>
              <a:graphicData uri="http://schemas.openxmlformats.org/drawingml/2006/picture">
                <pic:pic>
                  <pic:nvPicPr>
                    <pic:cNvPr id="0" name="airfield.png"/>
                    <pic:cNvPicPr/>
                  </pic:nvPicPr>
                  <pic:blipFill>
                    <a:blip r:embed="rId21"/>
                    <a:stretch>
                      <a:fillRect/>
                    </a:stretch>
                  </pic:blipFill>
                  <pic:spPr>
                    <a:xfrm>
                      <a:off x="0" y="0"/>
                      <a:ext cx="4937755" cy="222098"/>
                    </a:xfrm>
                    <a:prstGeom prst="rect"/>
                  </pic:spPr>
                </pic:pic>
              </a:graphicData>
            </a:graphic>
          </wp:inline>
        </w:drawing>
      </w:r>
      <w:r>
        <w:tab/>
        <w:t>Eq. 12</w:t>
      </w:r>
    </w:p>
    <w:p>
      <w:pPr>
        <w:spacing w:line="360" w:lineRule="auto" w:after="160"/>
        <w:ind w:firstLine="720"/>
        <w:jc w:val="both"/>
      </w:pPr>
      <w:r>
        <w:rPr>
          <w:b w:val="0"/>
          <w:i w:val="0"/>
        </w:rPr>
        <w:t>Gives the PCC, base and subbase volumes and the number of edge, threshold and end lights of a runway or taxiway.</w:t>
      </w:r>
    </w:p>
    <w:p>
      <w:pPr>
        <w:keepNext/>
        <w:spacing w:line="360" w:lineRule="auto" w:after="0"/>
        <w:jc w:val="left"/>
      </w:pPr>
      <w:r>
        <w:rPr>
          <w:b/>
          <w:i w:val="0"/>
        </w:rPr>
        <w:t>Equation 13. Pier Piles, Pile Length and Fenders</w:t>
      </w:r>
      <w:r>
        <w:rPr>
          <w:b w:val="0"/>
          <w:i w:val="0"/>
        </w:rPr>
        <w:t xml:space="preserve"> (Extension to Hospitals, Transport Terminals, Airfields and Ports)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810959" cy="251155"/>
            <wp:docPr id="13" name="Picture 13"/>
            <wp:cNvGraphicFramePr>
              <a:graphicFrameLocks noChangeAspect="1"/>
            </wp:cNvGraphicFramePr>
            <a:graphic>
              <a:graphicData uri="http://schemas.openxmlformats.org/drawingml/2006/picture">
                <pic:pic>
                  <pic:nvPicPr>
                    <pic:cNvPr id="0" name="piles.png"/>
                    <pic:cNvPicPr/>
                  </pic:nvPicPr>
                  <pic:blipFill>
                    <a:blip r:embed="rId22"/>
                    <a:stretch>
                      <a:fillRect/>
                    </a:stretch>
                  </pic:blipFill>
                  <pic:spPr>
                    <a:xfrm>
                      <a:off x="0" y="0"/>
                      <a:ext cx="4810959" cy="251155"/>
                    </a:xfrm>
                    <a:prstGeom prst="rect"/>
                  </pic:spPr>
                </pic:pic>
              </a:graphicData>
            </a:graphic>
          </wp:inline>
        </w:drawing>
      </w:r>
      <w:r>
        <w:tab/>
        <w:t>Eq. 13</w:t>
      </w:r>
    </w:p>
    <w:p>
      <w:pPr>
        <w:spacing w:line="360" w:lineRule="auto" w:after="160"/>
        <w:ind w:firstLine="720"/>
        <w:jc w:val="both"/>
      </w:pPr>
      <w:r>
        <w:rPr>
          <w:b w:val="0"/>
          <w:i w:val="0"/>
        </w:rPr>
        <w:t>Gives the pile length, number of piles and number of fenders of an open-type pier or wharf.</w:t>
      </w:r>
    </w:p>
    <w:p>
      <w:pPr>
        <w:keepNext/>
        <w:spacing w:line="360" w:lineRule="auto" w:after="0"/>
        <w:jc w:val="left"/>
      </w:pPr>
      <w:r>
        <w:rPr>
          <w:b/>
          <w:i w:val="0"/>
        </w:rPr>
        <w:t>Equation 14. Over-Budget Risk Index for Extension Types</w:t>
      </w:r>
      <w:r>
        <w:rPr>
          <w:b w:val="0"/>
          <w:i w:val="0"/>
        </w:rPr>
        <w:t xml:space="preserve"> (Extension to Hospitals, Transport Terminals, Airfields and Ports)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2343298" cy="431596"/>
            <wp:docPr id="14" name="Picture 14"/>
            <wp:cNvGraphicFramePr>
              <a:graphicFrameLocks noChangeAspect="1"/>
            </wp:cNvGraphicFramePr>
            <a:graphic>
              <a:graphicData uri="http://schemas.openxmlformats.org/drawingml/2006/picture">
                <pic:pic>
                  <pic:nvPicPr>
                    <pic:cNvPr id="0" name="bri_ext.png"/>
                    <pic:cNvPicPr/>
                  </pic:nvPicPr>
                  <pic:blipFill>
                    <a:blip r:embed="rId23"/>
                    <a:stretch>
                      <a:fillRect/>
                    </a:stretch>
                  </pic:blipFill>
                  <pic:spPr>
                    <a:xfrm>
                      <a:off x="0" y="0"/>
                      <a:ext cx="2343298" cy="431596"/>
                    </a:xfrm>
                    <a:prstGeom prst="rect"/>
                  </pic:spPr>
                </pic:pic>
              </a:graphicData>
            </a:graphic>
          </wp:inline>
        </w:drawing>
      </w:r>
      <w:r>
        <w:tab/>
        <w:t>Eq. 14</w:t>
      </w:r>
    </w:p>
    <w:p>
      <w:pPr>
        <w:spacing w:line="360" w:lineRule="auto" w:after="160"/>
        <w:ind w:firstLine="720"/>
        <w:jc w:val="both"/>
      </w:pPr>
      <w:r>
        <w:rPr>
          <w:b w:val="0"/>
          <w:i w:val="0"/>
        </w:rPr>
        <w:t>Risk index used for hospitals, terminals, airfields and ports, where only the standards-based signal is available.</w:t>
      </w:r>
    </w:p>
    <w:p>
      <w:pPr>
        <w:keepNext/>
        <w:spacing w:line="360" w:lineRule="auto" w:after="0"/>
        <w:jc w:val="left"/>
      </w:pPr>
      <w:r>
        <w:rPr>
          <w:b/>
          <w:i w:val="0"/>
        </w:rPr>
        <w:t>Equation 15. Simulated Awarded Cost</w:t>
      </w:r>
      <w:r>
        <w:rPr>
          <w:b w:val="0"/>
          <w:i w:val="0"/>
        </w:rPr>
        <w:t xml:space="preserve"> (Simulated Benchmark Dataset (SBD-300))</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104075" cy="241401"/>
            <wp:docPr id="15" name="Picture 15"/>
            <wp:cNvGraphicFramePr>
              <a:graphicFrameLocks noChangeAspect="1"/>
            </wp:cNvGraphicFramePr>
            <a:graphic>
              <a:graphicData uri="http://schemas.openxmlformats.org/drawingml/2006/picture">
                <pic:pic>
                  <pic:nvPicPr>
                    <pic:cNvPr id="0" name="sim.png"/>
                    <pic:cNvPicPr/>
                  </pic:nvPicPr>
                  <pic:blipFill>
                    <a:blip r:embed="rId24"/>
                    <a:stretch>
                      <a:fillRect/>
                    </a:stretch>
                  </pic:blipFill>
                  <pic:spPr>
                    <a:xfrm>
                      <a:off x="0" y="0"/>
                      <a:ext cx="3104075" cy="241401"/>
                    </a:xfrm>
                    <a:prstGeom prst="rect"/>
                  </pic:spPr>
                </pic:pic>
              </a:graphicData>
            </a:graphic>
          </wp:inline>
        </w:drawing>
      </w:r>
      <w:r>
        <w:tab/>
        <w:t>Eq. 15</w:t>
      </w:r>
    </w:p>
    <w:p>
      <w:pPr>
        <w:spacing w:line="360" w:lineRule="auto" w:after="160"/>
        <w:ind w:firstLine="720"/>
        <w:jc w:val="both"/>
      </w:pPr>
      <w:r>
        <w:rPr>
          <w:b w:val="0"/>
          <w:i w:val="0"/>
        </w:rPr>
        <w:t>Generates the awarded amounts of the simulated benchmarks with bid noise and injected overpricing.</w:t>
      </w:r>
    </w:p>
    <w:p>
      <w:pPr>
        <w:keepNext/>
        <w:spacing w:line="360" w:lineRule="auto" w:after="0"/>
        <w:jc w:val="left"/>
      </w:pPr>
      <w:r>
        <w:rPr>
          <w:b/>
          <w:i w:val="0"/>
        </w:rPr>
        <w:t>Equation 16. Multiple Linear Regression Formula</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426465" cy="416966"/>
            <wp:docPr id="16" name="Picture 16"/>
            <wp:cNvGraphicFramePr>
              <a:graphicFrameLocks noChangeAspect="1"/>
            </wp:cNvGraphicFramePr>
            <a:graphic>
              <a:graphicData uri="http://schemas.openxmlformats.org/drawingml/2006/picture">
                <pic:pic>
                  <pic:nvPicPr>
                    <pic:cNvPr id="0" name="mlr.png"/>
                    <pic:cNvPicPr/>
                  </pic:nvPicPr>
                  <pic:blipFill>
                    <a:blip r:embed="rId25"/>
                    <a:stretch>
                      <a:fillRect/>
                    </a:stretch>
                  </pic:blipFill>
                  <pic:spPr>
                    <a:xfrm>
                      <a:off x="0" y="0"/>
                      <a:ext cx="1426465" cy="416966"/>
                    </a:xfrm>
                    <a:prstGeom prst="rect"/>
                  </pic:spPr>
                </pic:pic>
              </a:graphicData>
            </a:graphic>
          </wp:inline>
        </w:drawing>
      </w:r>
      <w:r>
        <w:tab/>
        <w:t>Eq. 16</w:t>
      </w:r>
    </w:p>
    <w:p>
      <w:pPr>
        <w:spacing w:line="360" w:lineRule="auto" w:after="160"/>
        <w:ind w:firstLine="720"/>
        <w:jc w:val="both"/>
      </w:pPr>
      <w:r>
        <w:rPr>
          <w:b w:val="0"/>
          <w:i w:val="0"/>
        </w:rPr>
        <w:t>The interpretable cost model fitted on SBD-300 buildings and bridges.</w:t>
      </w:r>
    </w:p>
    <w:p>
      <w:pPr>
        <w:keepNext/>
        <w:spacing w:line="360" w:lineRule="auto" w:after="0"/>
        <w:jc w:val="left"/>
      </w:pPr>
      <w:r>
        <w:rPr>
          <w:b/>
          <w:i w:val="0"/>
        </w:rPr>
        <w:t>Equation 17. Variance Inflation Factor</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938784" cy="475488"/>
            <wp:docPr id="17" name="Picture 17"/>
            <wp:cNvGraphicFramePr>
              <a:graphicFrameLocks noChangeAspect="1"/>
            </wp:cNvGraphicFramePr>
            <a:graphic>
              <a:graphicData uri="http://schemas.openxmlformats.org/drawingml/2006/picture">
                <pic:pic>
                  <pic:nvPicPr>
                    <pic:cNvPr id="0" name="vif.png"/>
                    <pic:cNvPicPr/>
                  </pic:nvPicPr>
                  <pic:blipFill>
                    <a:blip r:embed="rId26"/>
                    <a:stretch>
                      <a:fillRect/>
                    </a:stretch>
                  </pic:blipFill>
                  <pic:spPr>
                    <a:xfrm>
                      <a:off x="0" y="0"/>
                      <a:ext cx="938784" cy="475488"/>
                    </a:xfrm>
                    <a:prstGeom prst="rect"/>
                  </pic:spPr>
                </pic:pic>
              </a:graphicData>
            </a:graphic>
          </wp:inline>
        </w:drawing>
      </w:r>
      <w:r>
        <w:tab/>
        <w:t>Eq. 17</w:t>
      </w:r>
    </w:p>
    <w:p>
      <w:pPr>
        <w:spacing w:line="360" w:lineRule="auto" w:after="160"/>
        <w:ind w:firstLine="720"/>
        <w:jc w:val="both"/>
      </w:pPr>
      <w:r>
        <w:rPr>
          <w:b w:val="0"/>
          <w:i w:val="0"/>
        </w:rPr>
        <w:t>Screens predictors for multicollinearity before the regression is fitted.</w:t>
      </w:r>
    </w:p>
    <w:p>
      <w:pPr>
        <w:keepNext/>
        <w:spacing w:line="360" w:lineRule="auto" w:after="0"/>
        <w:jc w:val="left"/>
      </w:pPr>
      <w:r>
        <w:rPr>
          <w:b/>
          <w:i w:val="0"/>
        </w:rPr>
        <w:t>Equation 18. XGBoost Additive Model and Regularized Objective</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818538" cy="416966"/>
            <wp:docPr id="18" name="Picture 18"/>
            <wp:cNvGraphicFramePr>
              <a:graphicFrameLocks noChangeAspect="1"/>
            </wp:cNvGraphicFramePr>
            <a:graphic>
              <a:graphicData uri="http://schemas.openxmlformats.org/drawingml/2006/picture">
                <pic:pic>
                  <pic:nvPicPr>
                    <pic:cNvPr id="0" name="xgb.png"/>
                    <pic:cNvPicPr/>
                  </pic:nvPicPr>
                  <pic:blipFill>
                    <a:blip r:embed="rId27"/>
                    <a:stretch>
                      <a:fillRect/>
                    </a:stretch>
                  </pic:blipFill>
                  <pic:spPr>
                    <a:xfrm>
                      <a:off x="0" y="0"/>
                      <a:ext cx="3818538" cy="416966"/>
                    </a:xfrm>
                    <a:prstGeom prst="rect"/>
                  </pic:spPr>
                </pic:pic>
              </a:graphicData>
            </a:graphic>
          </wp:inline>
        </w:drawing>
      </w:r>
      <w:r>
        <w:tab/>
        <w:t>Eq. 18</w:t>
      </w:r>
    </w:p>
    <w:p>
      <w:pPr>
        <w:spacing w:line="360" w:lineRule="auto" w:after="160"/>
        <w:ind w:firstLine="720"/>
        <w:jc w:val="both"/>
      </w:pPr>
      <w:r>
        <w:rPr>
          <w:b w:val="0"/>
          <w:i w:val="0"/>
        </w:rPr>
        <w:t>The gradient-boosted cost model and its regularized training objective.</w:t>
      </w:r>
    </w:p>
    <w:p>
      <w:pPr>
        <w:keepNext/>
        <w:spacing w:line="360" w:lineRule="auto" w:after="0"/>
        <w:jc w:val="left"/>
      </w:pPr>
      <w:r>
        <w:rPr>
          <w:b/>
          <w:i w:val="0"/>
        </w:rPr>
        <w:t>Equation 19. Isolation Forest Anomaly Score</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335734" cy="392582"/>
            <wp:docPr id="19" name="Picture 19"/>
            <wp:cNvGraphicFramePr>
              <a:graphicFrameLocks noChangeAspect="1"/>
            </wp:cNvGraphicFramePr>
            <a:graphic>
              <a:graphicData uri="http://schemas.openxmlformats.org/drawingml/2006/picture">
                <pic:pic>
                  <pic:nvPicPr>
                    <pic:cNvPr id="0" name="iforest.png"/>
                    <pic:cNvPicPr/>
                  </pic:nvPicPr>
                  <pic:blipFill>
                    <a:blip r:embed="rId28"/>
                    <a:stretch>
                      <a:fillRect/>
                    </a:stretch>
                  </pic:blipFill>
                  <pic:spPr>
                    <a:xfrm>
                      <a:off x="0" y="0"/>
                      <a:ext cx="3335734" cy="392582"/>
                    </a:xfrm>
                    <a:prstGeom prst="rect"/>
                  </pic:spPr>
                </pic:pic>
              </a:graphicData>
            </a:graphic>
          </wp:inline>
        </w:drawing>
      </w:r>
      <w:r>
        <w:tab/>
        <w:t>Eq. 19</w:t>
      </w:r>
    </w:p>
    <w:p>
      <w:pPr>
        <w:spacing w:line="360" w:lineRule="auto" w:after="160"/>
        <w:ind w:firstLine="720"/>
        <w:jc w:val="both"/>
      </w:pPr>
      <w:r>
        <w:rPr>
          <w:b w:val="0"/>
          <w:i w:val="0"/>
        </w:rPr>
        <w:t>Scores how unusual a contract is from its features, residual and over-budget ratio.</w:t>
      </w:r>
    </w:p>
    <w:p>
      <w:pPr>
        <w:keepNext/>
        <w:spacing w:line="360" w:lineRule="auto" w:after="0"/>
        <w:jc w:val="left"/>
      </w:pPr>
      <w:r>
        <w:rPr>
          <w:b/>
          <w:i w:val="0"/>
        </w:rPr>
        <w:t>Equation 20. SHAP Additive Feature Attribution</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189938" cy="436473"/>
            <wp:docPr id="20" name="Picture 20"/>
            <wp:cNvGraphicFramePr>
              <a:graphicFrameLocks noChangeAspect="1"/>
            </wp:cNvGraphicFramePr>
            <a:graphic>
              <a:graphicData uri="http://schemas.openxmlformats.org/drawingml/2006/picture">
                <pic:pic>
                  <pic:nvPicPr>
                    <pic:cNvPr id="0" name="shap.png"/>
                    <pic:cNvPicPr/>
                  </pic:nvPicPr>
                  <pic:blipFill>
                    <a:blip r:embed="rId29"/>
                    <a:stretch>
                      <a:fillRect/>
                    </a:stretch>
                  </pic:blipFill>
                  <pic:spPr>
                    <a:xfrm>
                      <a:off x="0" y="0"/>
                      <a:ext cx="1189938" cy="436473"/>
                    </a:xfrm>
                    <a:prstGeom prst="rect"/>
                  </pic:spPr>
                </pic:pic>
              </a:graphicData>
            </a:graphic>
          </wp:inline>
        </w:drawing>
      </w:r>
      <w:r>
        <w:tab/>
        <w:t>Eq. 20</w:t>
      </w:r>
    </w:p>
    <w:p>
      <w:pPr>
        <w:spacing w:line="360" w:lineRule="auto" w:after="160"/>
        <w:ind w:firstLine="720"/>
        <w:jc w:val="both"/>
      </w:pPr>
      <w:r>
        <w:rPr>
          <w:b w:val="0"/>
          <w:i w:val="0"/>
        </w:rPr>
        <w:t>Splits each XGBoost prediction into feature contributions shown in the Check screen.</w:t>
      </w:r>
    </w:p>
    <w:p>
      <w:pPr>
        <w:keepNext/>
        <w:spacing w:line="360" w:lineRule="auto" w:after="0"/>
        <w:jc w:val="left"/>
      </w:pPr>
      <w:r>
        <w:rPr>
          <w:b/>
          <w:i w:val="0"/>
        </w:rPr>
        <w:t>Equation 21. BUHAY-AH Risk Index</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2665165" cy="241401"/>
            <wp:docPr id="21" name="Picture 21"/>
            <wp:cNvGraphicFramePr>
              <a:graphicFrameLocks noChangeAspect="1"/>
            </wp:cNvGraphicFramePr>
            <a:graphic>
              <a:graphicData uri="http://schemas.openxmlformats.org/drawingml/2006/picture">
                <pic:pic>
                  <pic:nvPicPr>
                    <pic:cNvPr id="0" name="bri.png"/>
                    <pic:cNvPicPr/>
                  </pic:nvPicPr>
                  <pic:blipFill>
                    <a:blip r:embed="rId30"/>
                    <a:stretch>
                      <a:fillRect/>
                    </a:stretch>
                  </pic:blipFill>
                  <pic:spPr>
                    <a:xfrm>
                      <a:off x="0" y="0"/>
                      <a:ext cx="2665165" cy="241401"/>
                    </a:xfrm>
                    <a:prstGeom prst="rect"/>
                  </pic:spPr>
                </pic:pic>
              </a:graphicData>
            </a:graphic>
          </wp:inline>
        </w:drawing>
      </w:r>
      <w:r>
        <w:tab/>
        <w:t>Eq. 21</w:t>
      </w:r>
    </w:p>
    <w:p>
      <w:pPr>
        <w:spacing w:line="360" w:lineRule="auto" w:after="160"/>
        <w:ind w:firstLine="720"/>
        <w:jc w:val="both"/>
      </w:pPr>
      <w:r>
        <w:rPr>
          <w:b w:val="0"/>
          <w:i w:val="0"/>
        </w:rPr>
        <w:t>Combines the three signals into the BUHAY-AH Risk Index; 30 or more is flagged.</w:t>
      </w:r>
    </w:p>
    <w:p>
      <w:pPr>
        <w:keepNext/>
        <w:spacing w:line="360" w:lineRule="auto" w:after="0"/>
        <w:jc w:val="left"/>
      </w:pPr>
      <w:r>
        <w:rPr>
          <w:b/>
          <w:i w:val="0"/>
        </w:rPr>
        <w:t>Equation 22. BUHAY-AH Risk Index Component Scores</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008730" cy="475488"/>
            <wp:docPr id="22" name="Picture 22"/>
            <wp:cNvGraphicFramePr>
              <a:graphicFrameLocks noChangeAspect="1"/>
            </wp:cNvGraphicFramePr>
            <a:graphic>
              <a:graphicData uri="http://schemas.openxmlformats.org/drawingml/2006/picture">
                <pic:pic>
                  <pic:nvPicPr>
                    <pic:cNvPr id="0" name="bri_s.png"/>
                    <pic:cNvPicPr/>
                  </pic:nvPicPr>
                  <pic:blipFill>
                    <a:blip r:embed="rId31"/>
                    <a:stretch>
                      <a:fillRect/>
                    </a:stretch>
                  </pic:blipFill>
                  <pic:spPr>
                    <a:xfrm>
                      <a:off x="0" y="0"/>
                      <a:ext cx="4008730" cy="475488"/>
                    </a:xfrm>
                    <a:prstGeom prst="rect"/>
                  </pic:spPr>
                </pic:pic>
              </a:graphicData>
            </a:graphic>
          </wp:inline>
        </w:drawing>
      </w:r>
      <w:r>
        <w:tab/>
        <w:t>Eq. 22</w:t>
      </w:r>
    </w:p>
    <w:p>
      <w:pPr>
        <w:spacing w:line="360" w:lineRule="auto" w:after="160"/>
        <w:ind w:firstLine="720"/>
        <w:jc w:val="both"/>
      </w:pPr>
      <w:r>
        <w:rPr>
          <w:b w:val="0"/>
          <w:i w:val="0"/>
        </w:rPr>
        <w:t>Scales and clips the over-budget, model and isolation signals to 0–1.</w:t>
      </w:r>
    </w:p>
    <w:p>
      <w:pPr>
        <w:keepNext/>
        <w:spacing w:line="360" w:lineRule="auto" w:after="0"/>
        <w:jc w:val="left"/>
      </w:pPr>
      <w:r>
        <w:rPr>
          <w:b/>
          <w:i w:val="0"/>
        </w:rPr>
        <w:t>Equation 23. Root Mean Square Error</w:t>
      </w:r>
      <w:r>
        <w:rPr>
          <w:b w:val="0"/>
          <w:i w:val="0"/>
        </w:rPr>
        <w:t xml:space="preserve"> (Model Validation)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653234" cy="475488"/>
            <wp:docPr id="23" name="Picture 23"/>
            <wp:cNvGraphicFramePr>
              <a:graphicFrameLocks noChangeAspect="1"/>
            </wp:cNvGraphicFramePr>
            <a:graphic>
              <a:graphicData uri="http://schemas.openxmlformats.org/drawingml/2006/picture">
                <pic:pic>
                  <pic:nvPicPr>
                    <pic:cNvPr id="0" name="rmse.png"/>
                    <pic:cNvPicPr/>
                  </pic:nvPicPr>
                  <pic:blipFill>
                    <a:blip r:embed="rId32"/>
                    <a:stretch>
                      <a:fillRect/>
                    </a:stretch>
                  </pic:blipFill>
                  <pic:spPr>
                    <a:xfrm>
                      <a:off x="0" y="0"/>
                      <a:ext cx="1653234" cy="475488"/>
                    </a:xfrm>
                    <a:prstGeom prst="rect"/>
                  </pic:spPr>
                </pic:pic>
              </a:graphicData>
            </a:graphic>
          </wp:inline>
        </w:drawing>
      </w:r>
      <w:r>
        <w:tab/>
        <w:t>Eq. 23</w:t>
      </w:r>
    </w:p>
    <w:p>
      <w:pPr>
        <w:spacing w:line="360" w:lineRule="auto" w:after="160"/>
        <w:ind w:firstLine="720"/>
        <w:jc w:val="both"/>
      </w:pPr>
      <w:r>
        <w:rPr>
          <w:b w:val="0"/>
          <w:i w:val="0"/>
        </w:rPr>
        <w:t>Typical prediction error in pesos under LOOCV.</w:t>
      </w:r>
    </w:p>
    <w:p>
      <w:pPr>
        <w:keepNext/>
        <w:spacing w:line="360" w:lineRule="auto" w:after="0"/>
        <w:jc w:val="left"/>
      </w:pPr>
      <w:r>
        <w:rPr>
          <w:b/>
          <w:i w:val="0"/>
        </w:rPr>
        <w:t>Equation 24. Coefficient of Determination</w:t>
      </w:r>
      <w:r>
        <w:rPr>
          <w:b w:val="0"/>
          <w:i w:val="0"/>
        </w:rPr>
        <w:t xml:space="preserve"> (Model Validation)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316734" cy="675436"/>
            <wp:docPr id="24" name="Picture 24"/>
            <wp:cNvGraphicFramePr>
              <a:graphicFrameLocks noChangeAspect="1"/>
            </wp:cNvGraphicFramePr>
            <a:graphic>
              <a:graphicData uri="http://schemas.openxmlformats.org/drawingml/2006/picture">
                <pic:pic>
                  <pic:nvPicPr>
                    <pic:cNvPr id="0" name="r2.png"/>
                    <pic:cNvPicPr/>
                  </pic:nvPicPr>
                  <pic:blipFill>
                    <a:blip r:embed="rId33"/>
                    <a:stretch>
                      <a:fillRect/>
                    </a:stretch>
                  </pic:blipFill>
                  <pic:spPr>
                    <a:xfrm>
                      <a:off x="0" y="0"/>
                      <a:ext cx="1316734" cy="675436"/>
                    </a:xfrm>
                    <a:prstGeom prst="rect"/>
                  </pic:spPr>
                </pic:pic>
              </a:graphicData>
            </a:graphic>
          </wp:inline>
        </w:drawing>
      </w:r>
      <w:r>
        <w:tab/>
        <w:t>Eq. 24</w:t>
      </w:r>
    </w:p>
    <w:p>
      <w:pPr>
        <w:spacing w:line="360" w:lineRule="auto" w:after="160"/>
        <w:ind w:firstLine="720"/>
        <w:jc w:val="both"/>
      </w:pPr>
      <w:r>
        <w:rPr>
          <w:b w:val="0"/>
          <w:i w:val="0"/>
        </w:rPr>
        <w:t>Share of cost variance explained by a model or estimate.</w:t>
      </w:r>
    </w:p>
    <w:p>
      <w:pPr>
        <w:keepNext/>
        <w:spacing w:line="360" w:lineRule="auto" w:after="0"/>
        <w:jc w:val="left"/>
      </w:pPr>
      <w:r>
        <w:rPr>
          <w:b/>
          <w:i w:val="0"/>
        </w:rPr>
        <w:t>Equation 25. Mean Absolute Percentage Error</w:t>
      </w:r>
      <w:r>
        <w:rPr>
          <w:b w:val="0"/>
          <w:i w:val="0"/>
        </w:rPr>
        <w:t xml:space="preserve"> (Model Validation)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819046" cy="434035"/>
            <wp:docPr id="25" name="Picture 25"/>
            <wp:cNvGraphicFramePr>
              <a:graphicFrameLocks noChangeAspect="1"/>
            </wp:cNvGraphicFramePr>
            <a:graphic>
              <a:graphicData uri="http://schemas.openxmlformats.org/drawingml/2006/picture">
                <pic:pic>
                  <pic:nvPicPr>
                    <pic:cNvPr id="0" name="mape.png"/>
                    <pic:cNvPicPr/>
                  </pic:nvPicPr>
                  <pic:blipFill>
                    <a:blip r:embed="rId34"/>
                    <a:stretch>
                      <a:fillRect/>
                    </a:stretch>
                  </pic:blipFill>
                  <pic:spPr>
                    <a:xfrm>
                      <a:off x="0" y="0"/>
                      <a:ext cx="1819046" cy="434035"/>
                    </a:xfrm>
                    <a:prstGeom prst="rect"/>
                  </pic:spPr>
                </pic:pic>
              </a:graphicData>
            </a:graphic>
          </wp:inline>
        </w:drawing>
      </w:r>
      <w:r>
        <w:tab/>
        <w:t>Eq. 25</w:t>
      </w:r>
    </w:p>
    <w:p>
      <w:pPr>
        <w:spacing w:line="360" w:lineRule="auto" w:after="160"/>
        <w:ind w:firstLine="720"/>
        <w:jc w:val="both"/>
      </w:pPr>
      <w:r>
        <w:rPr>
          <w:b w:val="0"/>
          <w:i w:val="0"/>
        </w:rPr>
        <w:t>Average percentage error; compares small and large projects fairly.</w:t>
      </w:r>
    </w:p>
    <w:p>
      <w:pPr>
        <w:keepNext/>
        <w:spacing w:line="360" w:lineRule="auto" w:after="0"/>
        <w:jc w:val="left"/>
      </w:pPr>
      <w:r>
        <w:rPr>
          <w:b/>
          <w:i w:val="0"/>
        </w:rPr>
        <w:t>Equation 26. Precision, Recall and F1-Score</w:t>
      </w:r>
      <w:r>
        <w:rPr>
          <w:b w:val="0"/>
          <w:i w:val="0"/>
        </w:rPr>
        <w:t xml:space="preserve"> (Model Validation)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118712" cy="397459"/>
            <wp:docPr id="26" name="Picture 26"/>
            <wp:cNvGraphicFramePr>
              <a:graphicFrameLocks noChangeAspect="1"/>
            </wp:cNvGraphicFramePr>
            <a:graphic>
              <a:graphicData uri="http://schemas.openxmlformats.org/drawingml/2006/picture">
                <pic:pic>
                  <pic:nvPicPr>
                    <pic:cNvPr id="0" name="prf.png"/>
                    <pic:cNvPicPr/>
                  </pic:nvPicPr>
                  <pic:blipFill>
                    <a:blip r:embed="rId35"/>
                    <a:stretch>
                      <a:fillRect/>
                    </a:stretch>
                  </pic:blipFill>
                  <pic:spPr>
                    <a:xfrm>
                      <a:off x="0" y="0"/>
                      <a:ext cx="3118712" cy="397459"/>
                    </a:xfrm>
                    <a:prstGeom prst="rect"/>
                  </pic:spPr>
                </pic:pic>
              </a:graphicData>
            </a:graphic>
          </wp:inline>
        </w:drawing>
      </w:r>
      <w:r>
        <w:tab/>
        <w:t>Eq. 26</w:t>
      </w:r>
    </w:p>
    <w:p>
      <w:pPr>
        <w:spacing w:line="360" w:lineRule="auto" w:after="160"/>
        <w:ind w:firstLine="720"/>
        <w:jc w:val="both"/>
      </w:pPr>
      <w:r>
        <w:rPr>
          <w:b w:val="0"/>
          <w:i w:val="0"/>
        </w:rPr>
        <w:t>Detection metrics against the injected overpricing labels.</w:t>
      </w:r>
    </w:p>
    <w:p>
      <w:r>
        <w:br w:type="page"/>
      </w:r>
    </w:p>
    <w:p>
      <w:pPr>
        <w:spacing w:line="480" w:lineRule="auto" w:after="0"/>
        <w:jc w:val="center"/>
      </w:pPr>
      <w:r>
        <w:rPr>
          <w:b/>
          <w:i w:val="0"/>
        </w:rPr>
        <w:t>LIST OF APPENDICES</w:t>
      </w:r>
    </w:p>
    <w:p>
      <w:pPr>
        <w:tabs>
          <w:tab w:pos="9029" w:val="right" w:leader="dot"/>
        </w:tabs>
        <w:spacing w:line="360" w:lineRule="auto"/>
        <w:ind w:left="0"/>
      </w:pPr>
      <w:r>
        <w:rPr>
          <w:b w:val="0"/>
          <w:i w:val="0"/>
        </w:rPr>
        <w:t>Appendix A. Sample Records of the Simulated Benchmark Dataset (SBD-300)</w:t>
        <w:tab/>
        <w:t>75</w:t>
      </w:r>
    </w:p>
    <w:p>
      <w:pPr>
        <w:tabs>
          <w:tab w:pos="9029" w:val="right" w:leader="dot"/>
        </w:tabs>
        <w:spacing w:line="360" w:lineRule="auto"/>
        <w:ind w:left="0"/>
      </w:pPr>
      <w:r>
        <w:rPr>
          <w:b w:val="0"/>
          <w:i w:val="0"/>
        </w:rPr>
        <w:t>Appendix B. BUHAY-AH Unit Price Book</w:t>
        <w:tab/>
        <w:t>77</w:t>
      </w:r>
    </w:p>
    <w:p>
      <w:pPr>
        <w:tabs>
          <w:tab w:pos="9029" w:val="right" w:leader="dot"/>
        </w:tabs>
        <w:spacing w:line="360" w:lineRule="auto"/>
        <w:ind w:left="0"/>
      </w:pPr>
      <w:r>
        <w:rPr>
          <w:b w:val="0"/>
          <w:i w:val="0"/>
        </w:rPr>
        <w:t>Appendix C. Bill of Quantities of a 2-Storey 4-Classroom School Building</w:t>
        <w:tab/>
        <w:t>79</w:t>
      </w:r>
    </w:p>
    <w:p>
      <w:pPr>
        <w:tabs>
          <w:tab w:pos="9029" w:val="right" w:leader="dot"/>
        </w:tabs>
        <w:spacing w:line="360" w:lineRule="auto"/>
        <w:ind w:left="0"/>
      </w:pPr>
      <w:r>
        <w:rPr>
          <w:b w:val="0"/>
          <w:i w:val="0"/>
        </w:rPr>
        <w:t>Appendix D. Cost Summary of a Three-Span RCDG Bridge</w:t>
        <w:tab/>
        <w:t>80</w:t>
      </w:r>
    </w:p>
    <w:p>
      <w:pPr>
        <w:tabs>
          <w:tab w:pos="9029" w:val="right" w:leader="dot"/>
        </w:tabs>
        <w:spacing w:line="360" w:lineRule="auto"/>
        <w:ind w:left="0"/>
      </w:pPr>
      <w:r>
        <w:rPr>
          <w:b w:val="0"/>
          <w:i w:val="0"/>
        </w:rPr>
        <w:t>Appendix E. Snippets of Methodology (Quantity Take-Off Engine)</w:t>
        <w:tab/>
        <w:t>81</w:t>
      </w:r>
    </w:p>
    <w:p>
      <w:pPr>
        <w:tabs>
          <w:tab w:pos="9029" w:val="right" w:leader="dot"/>
        </w:tabs>
        <w:spacing w:line="360" w:lineRule="auto"/>
        <w:ind w:left="0"/>
      </w:pPr>
      <w:r>
        <w:rPr>
          <w:b w:val="0"/>
          <w:i w:val="0"/>
        </w:rPr>
        <w:t>Appendix F. Snippets of Methodology (Model Training)</w:t>
        <w:tab/>
        <w:t>82</w:t>
      </w:r>
    </w:p>
    <w:p>
      <w:pPr>
        <w:tabs>
          <w:tab w:pos="9029" w:val="right" w:leader="dot"/>
        </w:tabs>
        <w:spacing w:line="360" w:lineRule="auto"/>
        <w:ind w:left="0"/>
      </w:pPr>
      <w:r>
        <w:rPr>
          <w:b w:val="0"/>
          <w:i w:val="0"/>
        </w:rPr>
        <w:t>Appendix G. Multiple Linear Regression: Actual vs. Predicted Cost</w:t>
        <w:tab/>
        <w:t>83</w:t>
      </w:r>
    </w:p>
    <w:p>
      <w:pPr>
        <w:tabs>
          <w:tab w:pos="9029" w:val="right" w:leader="dot"/>
        </w:tabs>
        <w:spacing w:line="360" w:lineRule="auto"/>
        <w:ind w:left="0"/>
      </w:pPr>
      <w:r>
        <w:rPr>
          <w:b w:val="0"/>
          <w:i w:val="0"/>
        </w:rPr>
        <w:t>Appendix H. Extreme Gradient Boosting: Actual vs. Predicted Cost</w:t>
        <w:tab/>
        <w:t>84</w:t>
      </w:r>
    </w:p>
    <w:p>
      <w:pPr>
        <w:tabs>
          <w:tab w:pos="9029" w:val="right" w:leader="dot"/>
        </w:tabs>
        <w:spacing w:line="360" w:lineRule="auto"/>
        <w:ind w:left="0"/>
      </w:pPr>
      <w:r>
        <w:rPr>
          <w:b w:val="0"/>
          <w:i w:val="0"/>
        </w:rPr>
        <w:t>Appendix I. Isolation Forest: Cost Residual vs. Anomaly Score</w:t>
        <w:tab/>
        <w:t>85</w:t>
      </w:r>
    </w:p>
    <w:p>
      <w:pPr>
        <w:tabs>
          <w:tab w:pos="9029" w:val="right" w:leader="dot"/>
        </w:tabs>
        <w:spacing w:line="360" w:lineRule="auto"/>
        <w:ind w:left="0"/>
      </w:pPr>
      <w:r>
        <w:rPr>
          <w:b w:val="0"/>
          <w:i w:val="0"/>
        </w:rPr>
        <w:t>Appendix J. User Guide of the BUHAY-AH Application</w:t>
        <w:tab/>
        <w:t>86</w:t>
      </w:r>
    </w:p>
    <w:p>
      <w:pPr>
        <w:tabs>
          <w:tab w:pos="9029" w:val="right" w:leader="dot"/>
        </w:tabs>
        <w:spacing w:line="360" w:lineRule="auto"/>
        <w:ind w:left="0"/>
      </w:pPr>
      <w:r>
        <w:rPr>
          <w:b w:val="0"/>
          <w:i w:val="0"/>
        </w:rPr>
        <w:t>Appendix K. Design Template Library</w:t>
        <w:tab/>
        <w:t>87</w:t>
      </w:r>
    </w:p>
    <w:p>
      <w:pPr>
        <w:tabs>
          <w:tab w:pos="9029" w:val="right" w:leader="dot"/>
        </w:tabs>
        <w:spacing w:line="360" w:lineRule="auto"/>
        <w:ind w:left="0"/>
      </w:pPr>
      <w:r>
        <w:rPr>
          <w:b w:val="0"/>
          <w:i w:val="0"/>
        </w:rPr>
        <w:t>Appendix L. Research Plan</w:t>
        <w:tab/>
        <w:t>89</w:t>
      </w:r>
    </w:p>
    <w:p>
      <w:pPr>
        <w:tabs>
          <w:tab w:pos="9029" w:val="right" w:leader="dot"/>
        </w:tabs>
        <w:spacing w:line="360" w:lineRule="auto"/>
        <w:ind w:left="0"/>
      </w:pPr>
      <w:r>
        <w:rPr>
          <w:b w:val="0"/>
          <w:i w:val="0"/>
        </w:rPr>
        <w:t>Appendix M. Risk and Safety Assessment</w:t>
        <w:tab/>
        <w:t>90</w:t>
      </w:r>
    </w:p>
    <w:p>
      <w:pPr>
        <w:tabs>
          <w:tab w:pos="9029" w:val="right" w:leader="dot"/>
        </w:tabs>
        <w:spacing w:line="360" w:lineRule="auto"/>
        <w:ind w:left="0"/>
      </w:pPr>
      <w:r>
        <w:rPr>
          <w:b w:val="0"/>
          <w:i w:val="0"/>
        </w:rPr>
        <w:t>Appendix N. Algorithms and Code Availability</w:t>
        <w:tab/>
        <w:t>91</w:t>
      </w:r>
    </w:p>
    <w:p>
      <w:pPr>
        <w:tabs>
          <w:tab w:pos="9029" w:val="right" w:leader="dot"/>
        </w:tabs>
        <w:spacing w:line="360" w:lineRule="auto"/>
        <w:ind w:left="0"/>
      </w:pPr>
      <w:r>
        <w:rPr>
          <w:b w:val="0"/>
          <w:i w:val="0"/>
        </w:rPr>
        <w:t>Appendix O. Additional References Cited</w:t>
        <w:tab/>
        <w:t>92</w:t>
      </w:r>
    </w:p>
    <w:p>
      <w:pPr>
        <w:sectPr>
          <w:headerReference w:type="default" r:id="rId9"/>
          <w:pgSz w:w="11906" w:h="16838"/>
          <w:pgMar w:top="1440" w:right="1440" w:bottom="1440" w:left="1440" w:header="720" w:footer="720" w:gutter="0"/>
          <w:cols w:space="720"/>
          <w:docGrid w:linePitch="360"/>
          <w:pgNumType w:fmt="lowerRoman" w:start="1"/>
        </w:sectPr>
      </w:pPr>
    </w:p>
    <w:p>
      <w:pPr>
        <w:keepNext/>
        <w:spacing w:line="480" w:lineRule="auto" w:after="0"/>
        <w:jc w:val="center"/>
      </w:pPr>
      <w:r>
        <w:rPr>
          <w:b/>
          <w:i w:val="0"/>
        </w:rPr>
        <w:t>INTRODUCTION</w:t>
      </w:r>
    </w:p>
    <w:p>
      <w:pPr>
        <w:keepNext/>
        <w:spacing w:line="480" w:lineRule="auto" w:after="0"/>
        <w:jc w:val="left"/>
      </w:pPr>
      <w:r>
        <w:rPr>
          <w:b/>
          <w:i w:val="0"/>
        </w:rPr>
        <w:t>Background of the Study</w:t>
      </w:r>
    </w:p>
    <w:p>
      <w:pPr>
        <w:spacing w:line="480" w:lineRule="auto" w:after="0"/>
        <w:ind w:firstLine="720"/>
        <w:jc w:val="both"/>
      </w:pPr>
      <w:r>
        <w:rPr>
          <w:b w:val="0"/>
          <w:i w:val="0"/>
        </w:rPr>
        <w:t>A building can pass inspection on paper and still cost the public far more than it should. Across the world, construction is consistently ranked among the sectors most exposed to corruption, and the Infrastructure Transparency Initiative estimates that 10% to 30% of investment in publicly funded infrastructure is lost to corruption, mismanagement and inefficiency (CoST, n.d.; Kenny, 2007). Large, one-off public projects are especially vulnerable because the client, the designer and the contractor hold very different information about what the work really requires (Locatelli et al., 2017), and cost estimates for public works are often shaped by strategic misrepresentation rather than honest error (Flyvbjerg et al., 2002). For this reason, procurement oversight has moved toward red-flag indicators that can be computed from contract data at scale instead of case by case (Fazekas &amp; Tóth, 2016; OECD, 2016).</w:t>
      </w:r>
    </w:p>
    <w:p>
      <w:pPr>
        <w:spacing w:line="480" w:lineRule="auto" w:after="0"/>
        <w:ind w:firstLine="720"/>
        <w:jc w:val="both"/>
      </w:pPr>
      <w:r>
        <w:rPr>
          <w:b w:val="0"/>
          <w:i w:val="0"/>
        </w:rPr>
        <w:t>The Philippines shows the same pattern. Its score in the 2025 Corruption Perceptions Index fell to 32 out of 100, ranking 120th of 182 countries and the lowest since the current scoring method was adopted (Transparency International, 2026; Philstar, 2026). The decline followed a year dominated by public works. In August 2025 the President reported that flood-control projects implemented from July 2022 to May 2025 totalled ₱545.64 billion and that about 20% of this amount went to only 15 contractors (DZRH News, 2025; Philippine Center for Investigative Journalism [PCIJ], 2025). Executive Order No. 94, s. 2025 then created the Independent Commission for Infrastructure to investigate anomalies and misuse of funds in flood-control and other infrastructure projects (Interaksyon, 2025). Overpricing does not always come from hidden deals; sometimes it sits in the arithmetic of the budget itself. In its 2022 audit of Cebu City, the Commission on Audit found the Cebu City Medical Center building overstated by about ₱62.64 million, partly because value-added tax was computed at 12% instead of the 5% prescribed by DPWH Department Order No. 197, s. 2016 (Cebu Daily News, 2023).</w:t>
      </w:r>
    </w:p>
    <w:p>
      <w:pPr>
        <w:spacing w:line="480" w:lineRule="auto" w:after="0"/>
        <w:ind w:firstLine="720"/>
        <w:jc w:val="both"/>
      </w:pPr>
      <w:r>
        <w:rPr>
          <w:b w:val="0"/>
          <w:i w:val="0"/>
        </w:rPr>
        <w:t>Buildings and bridges carry a particular weight in this problem. School buildings, health stations and evacuation centers are the facilities communities rely on during typhoons, and bridges are the links that keep them reachable. When the ₱1.225-billion Cabagan–Santa Maria Bridge in Isabela partially collapsed on 27 February 2025, less than a month after its official completion, investigators were asked to look into possible corruption alongside questions of design and overloading (Philstar, 2025). For buildings, every peso of padding is a classroom or a clinic room that is not built. Yet the estimate behind every public project, the program of works and the Detailed Unit Price Analysis that produce the Approved Budget for the Contract (ABC), is prepared project by project inside the implementing office, and outside reviewers such as local officials, auditors, journalists and citizens rarely have the means to rebuild an estimate from the plans.</w:t>
      </w:r>
    </w:p>
    <w:p>
      <w:pPr>
        <w:spacing w:line="480" w:lineRule="auto" w:after="0"/>
        <w:ind w:firstLine="720"/>
        <w:jc w:val="both"/>
      </w:pPr>
      <w:r>
        <w:rPr>
          <w:b w:val="0"/>
          <w:i w:val="0"/>
        </w:rPr>
        <w:t>Bicol Region V faces these concerns directly. The region lies in NSCP Seismic Zone 4 and in the path of frequent typhoons, so its public works program builds many school buildings, evacuation centers, health facilities and bridges. Earlier work on Bicol road contracts documented Commission on Audit findings on DPWH-Bicol projects worth ₱13 billion with lapses, and a 2025 Senate hearing that questioned farm-to-market road projects priced 68% above benchmark (Buban, 2026). These findings show that cost checks against an independent estimate are needed, but that they currently happen late, one project at a time, and mostly after funds have been released.</w:t>
      </w:r>
    </w:p>
    <w:p>
      <w:pPr>
        <w:spacing w:line="480" w:lineRule="auto" w:after="0"/>
        <w:ind w:firstLine="720"/>
        <w:jc w:val="both"/>
      </w:pPr>
      <w:r>
        <w:rPr>
          <w:b w:val="0"/>
          <w:i w:val="0"/>
        </w:rPr>
        <w:t>The same need reaches beyond schools and bridges. Hospitals funded under the Universal Health Care Act (Republic Act No. 11223), airport passenger terminals and runways, seaport terminals, piers and RoRo ramps, and the jeepney, UV Express and bus terminals required by the Public Utility Vehicle Modernization Program (Department of Transportation [DOTr], 2017) are among the largest facilities a region builds. Bicol has a new international airport in Daraga, RoRo ports such as Matnog that link Luzon to the Visayas, and growing provincial hospitals, yet no open tool prices them from their plans.</w:t>
      </w:r>
    </w:p>
    <w:p>
      <w:pPr>
        <w:spacing w:line="480" w:lineRule="auto" w:after="0"/>
        <w:ind w:firstLine="720"/>
        <w:jc w:val="both"/>
      </w:pPr>
      <w:r>
        <w:rPr>
          <w:b w:val="0"/>
          <w:i w:val="0"/>
        </w:rPr>
        <w:t>Machine learning has opened a way to screen many contracts at once. Regression has long been used for early cost estimates of construction projects (Mahamid, 2011), and recent reviews show tree ensembles and other parametric models becoming the standard tools for construction cost prediction (Elmousalami, 2020). Larocque et al. (2025) applied explainable machine learning to 11,646 road contracts, while Coffie and Cudjoe (2024) paired Extreme Gradient Boosting (XGBoost) with Shapley additive explanations (SHAP) to predict construction cost overruns. For anomaly detection, Isolation Forest isolates unusual records without requiring labelled fraud cases (Liu et al., 2008). Locally, the CORA system combined Multiple Linear Regression, XGBoost and Isolation Forest on 90 completed DPWH road contracts in Bicol, reaching an R</w:t>
      </w:r>
      <w:r>
        <w:rPr>
          <w:b w:val="0"/>
          <w:i w:val="0"/>
          <w:vertAlign w:val="superscript"/>
        </w:rPr>
        <w:t>2</w:t>
      </w:r>
      <w:r>
        <w:rPr>
          <w:b w:val="0"/>
          <w:i w:val="0"/>
        </w:rPr>
        <w:t xml:space="preserve"> of 0.8723 and a MAPE of 29.20% and flagging three contracts for review (Buban, 2026).</w:t>
      </w:r>
    </w:p>
    <w:p>
      <w:pPr>
        <w:spacing w:line="480" w:lineRule="auto" w:after="0"/>
        <w:ind w:firstLine="720"/>
        <w:jc w:val="both"/>
      </w:pPr>
      <w:r>
        <w:rPr>
          <w:b w:val="0"/>
          <w:i w:val="0"/>
        </w:rPr>
        <w:t xml:space="preserve">These tools, however, share one blind spot: they learn what similar projects </w:t>
      </w:r>
      <w:r>
        <w:rPr>
          <w:b w:val="0"/>
          <w:i/>
        </w:rPr>
        <w:t>have</w:t>
      </w:r>
      <w:r>
        <w:rPr>
          <w:b w:val="0"/>
          <w:i w:val="0"/>
        </w:rPr>
        <w:t xml:space="preserve"> cost, not what a project </w:t>
      </w:r>
      <w:r>
        <w:rPr>
          <w:b w:val="0"/>
          <w:i/>
        </w:rPr>
        <w:t>should</w:t>
      </w:r>
      <w:r>
        <w:rPr>
          <w:b w:val="0"/>
          <w:i w:val="0"/>
        </w:rPr>
        <w:t xml:space="preserve"> cost. If past prices are padded, the model learns the padding. They also cannot give a contractor, a local government or a citizen a defensible starting price for a new building or bridge. Cost engineering has long answered the second question with bottom-up, "should-cost" estimates built from quantities and unit rates (U.S. Government Accountability Office [GAO], 2020), and the DPWH already prices projects this way through its pay items and Detailed Unit Price Analysis. What is missing is an independent, open tool that does this from the plan, under the same standards, and then uses machine learning as a second opinion rather than as the only reference.</w:t>
      </w:r>
    </w:p>
    <w:p>
      <w:pPr>
        <w:spacing w:line="480" w:lineRule="auto" w:after="0"/>
        <w:ind w:firstLine="720"/>
        <w:jc w:val="both"/>
      </w:pPr>
      <w:r>
        <w:rPr>
          <w:b w:val="0"/>
          <w:i w:val="0"/>
        </w:rPr>
        <w:t>A second need goes further back. Many barangays, schools and municipalities do not yet have plans when they ask for a facility; they have a need, such as eight more classrooms or a place for 300 evacuees, and a budget. Today the design and its price are prepared by the same offices that later award the contract, so the requesting community has no independent sense of what its money should buy.</w:t>
      </w:r>
    </w:p>
    <w:p>
      <w:pPr>
        <w:spacing w:line="480" w:lineRule="auto" w:after="0"/>
        <w:ind w:firstLine="720"/>
        <w:jc w:val="both"/>
      </w:pPr>
      <w:r>
        <w:rPr>
          <w:b w:val="0"/>
          <w:i w:val="0"/>
        </w:rPr>
        <w:t xml:space="preserve">To close these gaps, this study develops BUHAY-AH (Buildings-and-Bridges Unit-cost Hybrid Analytics and Yardstick for Accountable and Honest infrastructure). Given a requirement or a budget, BUHAY-AH composes a schematic design from reusable space modules sized to DepEd, DOH, National Building Code and DSWD norms, and searches storey counts and capacities for the largest design whose quotation fits the budget. Given a design or an existing plan, it performs a parametric quantity take-off following the National Structural Code of the Philippines (NSCP) 2015, the DPWH Standard Specifications, the AASHTO LRFD Bridge Design Specifications and the National Building Code, prices the bill of quantities with DPWH pay items, and builds an ABC in three tiers: a lean start quotation, a standard fair estimate and a ceiling. When a contract amount is entered, the system compares it with the ceiling, with an XGBoost estimate learned from past projects and with an Isolation Forest score, and combines the three into the BUHAY-AH Risk Index. The name </w:t>
      </w:r>
      <w:r>
        <w:rPr>
          <w:b w:val="0"/>
          <w:i/>
        </w:rPr>
        <w:t>buhay</w:t>
      </w:r>
      <w:r>
        <w:rPr>
          <w:b w:val="0"/>
          <w:i w:val="0"/>
        </w:rPr>
        <w:t>, Filipino for "life", reflects both the research brought to life as a working application and the lives that depend on honest public infrastructure. Like CORA, BUHAY-AH is a screening layer: a flag calls for review and is never treated as proof of wrongdoing.</w:t>
      </w:r>
    </w:p>
    <w:p>
      <w:pPr>
        <w:keepNext/>
        <w:spacing w:line="480" w:lineRule="auto" w:after="0"/>
        <w:jc w:val="left"/>
      </w:pPr>
      <w:r>
        <w:rPr>
          <w:b/>
          <w:i w:val="0"/>
        </w:rPr>
        <w:t>Research Gap and Rationale</w:t>
      </w:r>
    </w:p>
    <w:p>
      <w:pPr>
        <w:spacing w:line="480" w:lineRule="auto" w:after="0"/>
        <w:ind w:firstLine="720"/>
        <w:jc w:val="both"/>
      </w:pPr>
      <w:r>
        <w:rPr>
          <w:b w:val="0"/>
          <w:i w:val="0"/>
        </w:rPr>
        <w:t xml:space="preserve">Five gaps motivate this study. First, there is a </w:t>
      </w:r>
      <w:r>
        <w:rPr>
          <w:b/>
          <w:i w:val="0"/>
        </w:rPr>
        <w:t>scope gap</w:t>
      </w:r>
      <w:r>
        <w:rPr>
          <w:b w:val="0"/>
          <w:i w:val="0"/>
        </w:rPr>
        <w:t>. Local cost-screening research has focused on roads, and CORA itself recommended extending the approach to buildings, bridges and other project types (Buban, 2026). Buildings and bridges have very different cost structures from pavements: vertical structural frames, masonry and finishes, mechanical, electrical, plumbing and fire protection works, piles, girders and substructures. A road model cannot price them.</w:t>
      </w:r>
    </w:p>
    <w:p>
      <w:pPr>
        <w:spacing w:line="480" w:lineRule="auto" w:after="0"/>
        <w:ind w:firstLine="720"/>
        <w:jc w:val="both"/>
      </w:pPr>
      <w:r>
        <w:rPr>
          <w:b w:val="0"/>
          <w:i w:val="0"/>
        </w:rPr>
        <w:t xml:space="preserve">Second, there is a </w:t>
      </w:r>
      <w:r>
        <w:rPr>
          <w:b/>
          <w:i w:val="0"/>
        </w:rPr>
        <w:t>reference gap</w:t>
      </w:r>
      <w:r>
        <w:rPr>
          <w:b w:val="0"/>
          <w:i w:val="0"/>
        </w:rPr>
        <w:t>. Data-driven models are top-down. They estimate cost from what comparable contracts were awarded for, so they are only as clean as their training data and they cannot produce an itemized quotation. Bottom-up estimates based on standards are the professional norm for fair pricing (GAO, 2020), but no open tool in the Philippines generates one from a plan and puts it beside a machine-learning check.</w:t>
      </w:r>
    </w:p>
    <w:p>
      <w:pPr>
        <w:spacing w:line="480" w:lineRule="auto" w:after="0"/>
        <w:ind w:firstLine="720"/>
        <w:jc w:val="both"/>
      </w:pPr>
      <w:r>
        <w:rPr>
          <w:b w:val="0"/>
          <w:i w:val="0"/>
        </w:rPr>
        <w:t xml:space="preserve">Third, there is a </w:t>
      </w:r>
      <w:r>
        <w:rPr>
          <w:b/>
          <w:i w:val="0"/>
        </w:rPr>
        <w:t>validation gap</w:t>
      </w:r>
      <w:r>
        <w:rPr>
          <w:b w:val="0"/>
          <w:i w:val="0"/>
        </w:rPr>
        <w:t>. Anomaly detectors in procurement are rarely tested against cases whose truth is known. CORA could report which contracts Isolation Forest flagged but not how many padded contracts it missed, and it recommended validating the flags (Buban, 2026). Without known positives, precision and recall cannot be measured.</w:t>
      </w:r>
    </w:p>
    <w:p>
      <w:pPr>
        <w:spacing w:line="480" w:lineRule="auto" w:after="0"/>
        <w:ind w:firstLine="720"/>
        <w:jc w:val="both"/>
      </w:pPr>
      <w:r>
        <w:rPr>
          <w:b w:val="0"/>
          <w:i w:val="0"/>
        </w:rPr>
        <w:t xml:space="preserve">Fourth, there is a </w:t>
      </w:r>
      <w:r>
        <w:rPr>
          <w:b/>
          <w:i w:val="0"/>
        </w:rPr>
        <w:t>design gap</w:t>
      </w:r>
      <w:r>
        <w:rPr>
          <w:b w:val="0"/>
          <w:i w:val="0"/>
        </w:rPr>
        <w:t>. Cost tools assume that a plan already exists. Communities that only know what they need and how much they have cannot obtain an independent starting design and price, and no local study has treated the choice of storeys and capacity under a budget as an optimization problem that can be solved exactly.</w:t>
      </w:r>
    </w:p>
    <w:p>
      <w:pPr>
        <w:spacing w:line="480" w:lineRule="auto" w:after="0"/>
        <w:ind w:firstLine="720"/>
        <w:jc w:val="both"/>
      </w:pPr>
      <w:r>
        <w:rPr>
          <w:b w:val="0"/>
          <w:i w:val="0"/>
        </w:rPr>
        <w:t xml:space="preserve">Fifth, there is an </w:t>
      </w:r>
      <w:r>
        <w:rPr>
          <w:b/>
          <w:i w:val="0"/>
        </w:rPr>
        <w:t>access gap</w:t>
      </w:r>
      <w:r>
        <w:rPr>
          <w:b w:val="0"/>
          <w:i w:val="0"/>
        </w:rPr>
        <w:t>. Most models stay in notebooks or desktop dashboards. The people closest to a project, such as barangay and municipal officials, school heads, auditors and reporters, need a tool on their phones that works with a need, a budget, a plan or a contract amount and that explains its answer in plain terms.</w:t>
      </w:r>
    </w:p>
    <w:p>
      <w:pPr>
        <w:spacing w:line="480" w:lineRule="auto" w:after="0"/>
        <w:ind w:firstLine="720"/>
        <w:jc w:val="both"/>
      </w:pPr>
      <w:r>
        <w:rPr>
          <w:b w:val="0"/>
          <w:i w:val="0"/>
        </w:rPr>
        <w:t>BUHAY-AH addresses these gaps by (1) covering public buildings, hospitals, transport terminals, bridges, airfield pavements and port structures, (2) pairing a standards-based yardstick with machine learning so that each checks the other, (3) validating detection on a benchmark in which overpricing was injected deliberately and is therefore known, (4) generating designs from requirements and budgets through exhaustive constrained search, and (5) delivering the system as an installable mobile application, an Android package and a download website.</w:t>
      </w:r>
    </w:p>
    <w:p>
      <w:pPr>
        <w:keepNext/>
        <w:spacing w:line="480" w:lineRule="auto" w:after="0"/>
        <w:jc w:val="left"/>
      </w:pPr>
      <w:r>
        <w:rPr>
          <w:b/>
          <w:i w:val="0"/>
        </w:rPr>
        <w:t>Objective of the Study</w:t>
      </w:r>
    </w:p>
    <w:p>
      <w:pPr>
        <w:spacing w:line="480" w:lineRule="auto" w:after="0"/>
        <w:ind w:firstLine="720"/>
        <w:jc w:val="both"/>
      </w:pPr>
      <w:r>
        <w:rPr>
          <w:b w:val="0"/>
          <w:i w:val="0"/>
        </w:rPr>
        <w:t>This study aimed to develop BUHAY-AH, a budget-to-blueprint design generator, standards-based quantity take-off and hybrid machine-learning system that produces start quotations and detects over-budgeted public buildings, bridges, airports and seaports in Bicol Region V. Specifically, it sought to answer the following research questions:</w:t>
      </w:r>
    </w:p>
    <w:p>
      <w:pPr>
        <w:tabs>
          <w:tab w:pos="1080" w:val="left"/>
        </w:tabs>
        <w:spacing w:line="480" w:lineRule="auto"/>
        <w:ind w:left="1080" w:hanging="360"/>
        <w:jc w:val="both"/>
      </w:pPr>
      <w:r>
        <w:rPr>
          <w:b w:val="0"/>
          <w:i w:val="0"/>
        </w:rPr>
        <w:t>1.</w:t>
        <w:tab/>
        <w:t>What plan variables and derived indicators can be extracted from building and bridge plans and engineering standards to estimate construction cost, in terms of: (a) physical properties; (b) structural system and foundation; and (c) location and price year?</w:t>
      </w:r>
    </w:p>
    <w:p>
      <w:pPr>
        <w:tabs>
          <w:tab w:pos="1080" w:val="left"/>
        </w:tabs>
        <w:spacing w:line="480" w:lineRule="auto"/>
        <w:ind w:left="1080" w:hanging="360"/>
        <w:jc w:val="both"/>
      </w:pPr>
      <w:r>
        <w:rPr>
          <w:b w:val="0"/>
          <w:i w:val="0"/>
        </w:rPr>
        <w:t>2.</w:t>
        <w:tab/>
        <w:t>How can schematic designs of public buildings and bridges be generated from a requirement or a budget, in terms of: (a) a modular design library; (b) budget-to-design optimization; and (c) compliance with space and design standards?</w:t>
      </w:r>
    </w:p>
    <w:p>
      <w:pPr>
        <w:tabs>
          <w:tab w:pos="1080" w:val="left"/>
        </w:tabs>
        <w:spacing w:line="480" w:lineRule="auto"/>
        <w:ind w:left="1080" w:hanging="360"/>
        <w:jc w:val="both"/>
      </w:pPr>
      <w:r>
        <w:rPr>
          <w:b w:val="0"/>
          <w:i w:val="0"/>
        </w:rPr>
        <w:t>3.</w:t>
        <w:tab/>
        <w:t>How accurately does the standards-based quantity take-off engine estimate the construction cost of public buildings and bridges, in terms of: (a) the lean start quotation, standard fair estimate and ceiling; and (b) the mean absolute percentage error and coefficient of determination against fair awarded costs?</w:t>
      </w:r>
    </w:p>
    <w:p>
      <w:pPr>
        <w:tabs>
          <w:tab w:pos="1080" w:val="left"/>
        </w:tabs>
        <w:spacing w:line="480" w:lineRule="auto"/>
        <w:ind w:left="1080" w:hanging="360"/>
        <w:jc w:val="both"/>
      </w:pPr>
      <w:r>
        <w:rPr>
          <w:b w:val="0"/>
          <w:i w:val="0"/>
        </w:rPr>
        <w:t>4.</w:t>
        <w:tab/>
        <w:t>How do (a) Multiple Linear Regression and (b) Extreme Gradient Boosting perform in predicting the construction cost of buildings and bridges, in terms of R</w:t>
      </w:r>
      <w:r>
        <w:rPr>
          <w:b w:val="0"/>
          <w:i w:val="0"/>
          <w:vertAlign w:val="superscript"/>
        </w:rPr>
        <w:t>2</w:t>
      </w:r>
      <w:r>
        <w:rPr>
          <w:b w:val="0"/>
          <w:i w:val="0"/>
        </w:rPr>
        <w:t>, root mean square error and mean absolute percentage error under leave-one-out cross-validation?</w:t>
      </w:r>
    </w:p>
    <w:p>
      <w:pPr>
        <w:tabs>
          <w:tab w:pos="1080" w:val="left"/>
        </w:tabs>
        <w:spacing w:line="480" w:lineRule="auto"/>
        <w:ind w:left="1080" w:hanging="360"/>
        <w:jc w:val="both"/>
      </w:pPr>
      <w:r>
        <w:rPr>
          <w:b w:val="0"/>
          <w:i w:val="0"/>
        </w:rPr>
        <w:t>5.</w:t>
        <w:tab/>
        <w:t>How effectively do (a) the over-budget ratio, (b) the XGBoost cost residual, (c) the Isolation Forest, and (d) the hybrid BUHAY-AH Risk Index detect over-budgeted contracts, in terms of precision, recall, F1-score and area under the ROC curve?</w:t>
      </w:r>
    </w:p>
    <w:p>
      <w:pPr>
        <w:tabs>
          <w:tab w:pos="1080" w:val="left"/>
        </w:tabs>
        <w:spacing w:line="480" w:lineRule="auto"/>
        <w:ind w:left="1080" w:hanging="360"/>
        <w:jc w:val="both"/>
      </w:pPr>
      <w:r>
        <w:rPr>
          <w:b w:val="0"/>
          <w:i w:val="0"/>
        </w:rPr>
        <w:t>6.</w:t>
        <w:tab/>
        <w:t>How can the design generator and the standards-based engine be extended to hospitals, airport and seaport passenger terminals, jeepney, UV Express and bus terminals, airfield pavements and port structures, in terms of: (a) design templates and space standards; (b) accuracy of the standard estimate; and (c) detection of over-budgeted contracts by the standards-based rule?</w:t>
      </w:r>
    </w:p>
    <w:p>
      <w:pPr>
        <w:tabs>
          <w:tab w:pos="1080" w:val="left"/>
        </w:tabs>
        <w:spacing w:line="480" w:lineRule="auto"/>
        <w:ind w:left="1080" w:hanging="360"/>
        <w:jc w:val="both"/>
      </w:pPr>
      <w:r>
        <w:rPr>
          <w:b w:val="0"/>
          <w:i w:val="0"/>
        </w:rPr>
        <w:t>7.</w:t>
        <w:tab/>
        <w:t>How can the system be deployed as (a) a mobile application with a design studio, (b) a download website, and (c) an explainable interface with floor plans, parametric 3D models and SHAP explanations?</w:t>
      </w:r>
    </w:p>
    <w:p>
      <w:pPr>
        <w:keepNext/>
        <w:spacing w:line="480" w:lineRule="auto" w:after="0"/>
        <w:jc w:val="left"/>
      </w:pPr>
      <w:r>
        <w:rPr>
          <w:b/>
          <w:i w:val="0"/>
        </w:rPr>
        <w:t>Significance of the Study</w:t>
      </w:r>
    </w:p>
    <w:p>
      <w:pPr>
        <w:spacing w:line="480" w:lineRule="auto" w:after="0"/>
        <w:ind w:firstLine="720"/>
        <w:jc w:val="both"/>
      </w:pPr>
      <w:r>
        <w:rPr>
          <w:b w:val="0"/>
          <w:i w:val="0"/>
        </w:rPr>
        <w:t>This study supports transparent and accountable spending on public buildings and bridges in Bicol by giving anyone with a need, a budget or a plan an itemized, standards-based design and price, and a fast way to see whether a contract amount is defensible. It extends its benefits to the following:</w:t>
      </w:r>
    </w:p>
    <w:p>
      <w:pPr>
        <w:spacing w:line="480" w:lineRule="auto" w:after="0"/>
        <w:ind w:firstLine="720"/>
        <w:jc w:val="both"/>
      </w:pPr>
      <w:r>
        <w:rPr>
          <w:b/>
          <w:i w:val="0"/>
        </w:rPr>
        <w:t>DPWH and Implementing Offices.</w:t>
      </w:r>
      <w:r>
        <w:rPr>
          <w:b w:val="0"/>
          <w:i w:val="0"/>
        </w:rPr>
        <w:t xml:space="preserve"> District engineering offices can cross-check programs of works and ABCs against an independent take-off before bidding, and catch errors such as wrong markups or VAT rates early.</w:t>
      </w:r>
    </w:p>
    <w:p>
      <w:pPr>
        <w:spacing w:line="480" w:lineRule="auto" w:after="0"/>
        <w:ind w:firstLine="720"/>
        <w:jc w:val="both"/>
      </w:pPr>
      <w:r>
        <w:rPr>
          <w:b/>
          <w:i w:val="0"/>
        </w:rPr>
        <w:t>Government Auditing and Investigating Bodies.</w:t>
      </w:r>
      <w:r>
        <w:rPr>
          <w:b w:val="0"/>
          <w:i w:val="0"/>
        </w:rPr>
        <w:t xml:space="preserve"> The Commission on Audit, the Office of the Ombudsman and the Independent Commission for Infrastructure can rank contracts by risk and focus field inspections on the projects that need them most.</w:t>
      </w:r>
    </w:p>
    <w:p>
      <w:pPr>
        <w:spacing w:line="480" w:lineRule="auto" w:after="0"/>
        <w:ind w:firstLine="720"/>
        <w:jc w:val="both"/>
      </w:pPr>
      <w:r>
        <w:rPr>
          <w:b/>
          <w:i w:val="0"/>
        </w:rPr>
        <w:t>Local Government Units, DepEd and DOH Facility Owners.</w:t>
      </w:r>
      <w:r>
        <w:rPr>
          <w:b w:val="0"/>
          <w:i w:val="0"/>
        </w:rPr>
        <w:t xml:space="preserve"> Offices that request school buildings, health stations and evacuation centers obtain a starting design and quotation from their requirement or budget, plan their requests, and question estimates that exceed the ceiling.</w:t>
      </w:r>
    </w:p>
    <w:p>
      <w:pPr>
        <w:spacing w:line="480" w:lineRule="auto" w:after="0"/>
        <w:ind w:firstLine="720"/>
        <w:jc w:val="both"/>
      </w:pPr>
      <w:r>
        <w:rPr>
          <w:b/>
          <w:i w:val="0"/>
        </w:rPr>
        <w:t>DOH, DOTr, CAAP, PPA and Transport Cooperatives.</w:t>
      </w:r>
      <w:r>
        <w:rPr>
          <w:b w:val="0"/>
          <w:i w:val="0"/>
        </w:rPr>
        <w:t xml:space="preserve"> Agencies and cooperatives that build hospitals, airports, seaports and PUV terminals get a design, a price and a ceiling for each project.</w:t>
      </w:r>
    </w:p>
    <w:p>
      <w:pPr>
        <w:spacing w:line="480" w:lineRule="auto" w:after="0"/>
        <w:ind w:firstLine="720"/>
        <w:jc w:val="both"/>
      </w:pPr>
      <w:r>
        <w:rPr>
          <w:b/>
          <w:i w:val="0"/>
        </w:rPr>
        <w:t>Contractors.</w:t>
      </w:r>
      <w:r>
        <w:rPr>
          <w:b w:val="0"/>
          <w:i w:val="0"/>
        </w:rPr>
        <w:t xml:space="preserve"> Honest contractors gain a public reference that rewards fair bids and helps them defend their pricing.</w:t>
      </w:r>
    </w:p>
    <w:p>
      <w:pPr>
        <w:spacing w:line="480" w:lineRule="auto" w:after="0"/>
        <w:ind w:firstLine="720"/>
        <w:jc w:val="both"/>
      </w:pPr>
      <w:r>
        <w:rPr>
          <w:b/>
          <w:i w:val="0"/>
        </w:rPr>
        <w:t>Filipino Taxpayers, Civil Society and Media.</w:t>
      </w:r>
      <w:r>
        <w:rPr>
          <w:b w:val="0"/>
          <w:i w:val="0"/>
        </w:rPr>
        <w:t xml:space="preserve"> Citizens and journalists can check a project on their phones, see the bill of quantities behind a price and see what a given budget should build.</w:t>
      </w:r>
    </w:p>
    <w:p>
      <w:pPr>
        <w:spacing w:line="480" w:lineRule="auto" w:after="0"/>
        <w:ind w:firstLine="720"/>
        <w:jc w:val="both"/>
      </w:pPr>
      <w:r>
        <w:rPr>
          <w:b/>
          <w:i w:val="0"/>
        </w:rPr>
        <w:t>SDG 16.5, 16.6 and 16.10 Alignment.</w:t>
      </w:r>
      <w:r>
        <w:rPr>
          <w:b w:val="0"/>
          <w:i w:val="0"/>
        </w:rPr>
        <w:t xml:space="preserve"> The system targets corruption and bribery in public contracting, supports effective, accountable and transparent institutions, and widens public access to cost information (United Nations, 2015).</w:t>
      </w:r>
    </w:p>
    <w:p>
      <w:pPr>
        <w:spacing w:line="480" w:lineRule="auto" w:after="0"/>
        <w:ind w:firstLine="720"/>
        <w:jc w:val="both"/>
      </w:pPr>
      <w:r>
        <w:rPr>
          <w:b/>
          <w:i w:val="0"/>
        </w:rPr>
        <w:t>SDG 9.1 and 11.5 Alignment.</w:t>
      </w:r>
      <w:r>
        <w:rPr>
          <w:b w:val="0"/>
          <w:i w:val="0"/>
        </w:rPr>
        <w:t xml:space="preserve"> Fair pricing protects the quality of resilient infrastructure and of the facilities that reduce disaster losses in a typhoon- and earthquake-prone region.</w:t>
      </w:r>
    </w:p>
    <w:p>
      <w:pPr>
        <w:spacing w:line="480" w:lineRule="auto" w:after="0"/>
        <w:ind w:firstLine="720"/>
        <w:jc w:val="both"/>
      </w:pPr>
      <w:r>
        <w:rPr>
          <w:b/>
          <w:i w:val="0"/>
        </w:rPr>
        <w:t>SDG 12.7 and 4.a Alignment.</w:t>
      </w:r>
      <w:r>
        <w:rPr>
          <w:b w:val="0"/>
          <w:i w:val="0"/>
        </w:rPr>
        <w:t xml:space="preserve"> The lean, code-compliant start quotation supports sustainable public procurement under Republic Act No. 12009 and stretches school-building funds to more classrooms.</w:t>
      </w:r>
    </w:p>
    <w:p>
      <w:pPr>
        <w:spacing w:line="480" w:lineRule="auto" w:after="0"/>
        <w:ind w:firstLine="720"/>
        <w:jc w:val="both"/>
      </w:pPr>
      <w:r>
        <w:rPr>
          <w:b/>
          <w:i w:val="0"/>
        </w:rPr>
        <w:t>Academe and Future Researchers.</w:t>
      </w:r>
      <w:r>
        <w:rPr>
          <w:b w:val="0"/>
          <w:i w:val="0"/>
        </w:rPr>
        <w:t xml:space="preserve"> The study contributes a reproducible pipeline, a benchmark with known overpricing and an open price book that future work can validate with actual contract records and extend to other project types.</w:t>
      </w:r>
    </w:p>
    <w:p>
      <w:pPr>
        <w:keepNext/>
        <w:spacing w:line="480" w:lineRule="auto" w:after="0"/>
        <w:jc w:val="left"/>
      </w:pPr>
      <w:r>
        <w:rPr>
          <w:b/>
          <w:i w:val="0"/>
        </w:rPr>
        <w:t>Scope and Delimitation</w:t>
      </w:r>
    </w:p>
    <w:p>
      <w:pPr>
        <w:spacing w:line="480" w:lineRule="auto" w:after="0"/>
        <w:ind w:firstLine="720"/>
        <w:jc w:val="both"/>
      </w:pPr>
      <w:r>
        <w:rPr>
          <w:b w:val="0"/>
          <w:i w:val="0"/>
        </w:rPr>
        <w:t>This study covers public buildings and bridges in the six provinces of Bicol Region V (Albay, Camarines Norte, Camarines Sur, Catanduanes, Masbate and Sorsogon) with price years from 2022 to 2026. Buildings include school buildings, government offices, health facilities, multi-purpose halls and evacuation centers, dormitories and public markets and covered courts built as reinforced-concrete frames of up to six storeys; taller buildings are priced indicatively. Bridges include reinforced-concrete box culverts, reinforced-concrete deck girder (RCDG), prestressed concrete girder (PSCG) and steel truss bridges on spread footings, driven precast piles or bored piles. The extension covers DOH Level 1 to 3 hospitals, airport and seaport passenger terminals, land transport terminals for jeepneys, UV Express vans and buses, rigid runway, taxiway and apron pavements, and open-type piers and wharves on piles with causeways and RoRo ramps.</w:t>
      </w:r>
    </w:p>
    <w:p>
      <w:pPr>
        <w:spacing w:line="480" w:lineRule="auto" w:after="0"/>
        <w:ind w:firstLine="720"/>
        <w:jc w:val="both"/>
      </w:pPr>
      <w:r>
        <w:rPr>
          <w:b w:val="0"/>
          <w:i w:val="0"/>
        </w:rPr>
        <w:t>Air-traffic, navigation, medical and baggage equipment beyond the allowances, breakwater design, roads (covered by CORA), flood-control structures, water supply systems, land acquisition, right-of-way, design and supervision fees, furniture and equipment are excluded. Unit costs are indicative direct costs for 2025 based in Albay, adjusted by province location factors and a yearly cost index, and are meant to be replaced by the implementing office's current Detailed Unit Price Analysis or regional price data. Plan input accepts dimensions, reference plans and two-dimensional DXF outlines; building information models and scanned drawings are not parsed. Generated designs are schematic: they fix the spaces, footprint, storeys and structural grid needed for estimating, and must be developed and signed by licensed architects and engineers before construction.</w:t>
      </w:r>
    </w:p>
    <w:p>
      <w:pPr>
        <w:spacing w:line="480" w:lineRule="auto" w:after="0"/>
        <w:ind w:firstLine="720"/>
        <w:jc w:val="both"/>
      </w:pPr>
      <w:r>
        <w:rPr>
          <w:b w:val="0"/>
          <w:i w:val="0"/>
        </w:rPr>
        <w:t>Because machine-readable plans and itemized bills of quantities for awarded DPWH buildings and bridges are not publicly available in bulk, the models were trained and the detectors validated on a 300-project simulated benchmark (SBD-300). Each simulated project carries hidden site and market variation that the plan-level estimate cannot see, and 12% of projects carry injected overpricing whose size is known. The reported accuracy and detection figures therefore describe performance under the stated simulation assumptions and must be re-validated on actual contracts before operational use. The extension types are outside the training data of the models and are screened by the standards-based rule on a separate 180-project benchmark (SBD-EXT). Lastly, BUHAY-AH is a screening tool: it does not replace the Commission on Audit, the Office of the Ombudsman, the Independent Commission for Infrastructure or any official audit procedure, and a flag is not evidence of irregularity, error or fraud.</w:t>
      </w:r>
    </w:p>
    <w:p>
      <w:pPr>
        <w:keepNext/>
        <w:spacing w:line="480" w:lineRule="auto" w:after="0"/>
        <w:jc w:val="left"/>
      </w:pPr>
      <w:r>
        <w:rPr>
          <w:b/>
          <w:i w:val="0"/>
        </w:rPr>
        <w:t>Definition of Terms</w:t>
      </w:r>
    </w:p>
    <w:p>
      <w:pPr>
        <w:spacing w:line="480" w:lineRule="auto" w:after="0"/>
        <w:ind w:firstLine="720"/>
        <w:jc w:val="both"/>
      </w:pPr>
      <w:r>
        <w:rPr>
          <w:b w:val="0"/>
          <w:i w:val="0"/>
        </w:rPr>
        <w:t>The following terms are defined conceptually and operationally to ensure a common understanding of the key concepts used in this study:</w:t>
      </w:r>
    </w:p>
    <w:p>
      <w:pPr>
        <w:spacing w:line="480" w:lineRule="auto" w:after="0"/>
        <w:ind w:firstLine="720"/>
        <w:jc w:val="both"/>
      </w:pPr>
      <w:r>
        <w:rPr>
          <w:b/>
          <w:i/>
        </w:rPr>
        <w:t>Approved Budget for the Contract (ABC).</w:t>
      </w:r>
      <w:r>
        <w:rPr>
          <w:b w:val="0"/>
          <w:i w:val="0"/>
        </w:rPr>
        <w:t xml:space="preserve"> The ceiling price a procuring entity sets for a contract. In this study, it is the estimated direct cost plus OCM, profit and VAT computed under DPWH D.O. 197 s. 2016 and D.O. 30 s. 2025, produced for each quotation tier.</w:t>
      </w:r>
    </w:p>
    <w:p>
      <w:pPr>
        <w:spacing w:line="480" w:lineRule="auto" w:after="0"/>
        <w:ind w:firstLine="720"/>
        <w:jc w:val="both"/>
      </w:pPr>
      <w:r>
        <w:rPr>
          <w:b/>
          <w:i/>
        </w:rPr>
        <w:t>Anomaly Score.</w:t>
      </w:r>
      <w:r>
        <w:rPr>
          <w:b w:val="0"/>
          <w:i w:val="0"/>
        </w:rPr>
        <w:t xml:space="preserve"> A value from 0 to 1 produced by the Isolation Forest; the higher the score, the easier a contract is to isolate from the others and the more unusual it is.</w:t>
      </w:r>
    </w:p>
    <w:p>
      <w:pPr>
        <w:spacing w:line="480" w:lineRule="auto" w:after="0"/>
        <w:ind w:firstLine="720"/>
        <w:jc w:val="both"/>
      </w:pPr>
      <w:r>
        <w:rPr>
          <w:b/>
          <w:i/>
        </w:rPr>
        <w:t>BUHAY-AH Risk Index (BRI).</w:t>
      </w:r>
      <w:r>
        <w:rPr>
          <w:b w:val="0"/>
          <w:i w:val="0"/>
        </w:rPr>
        <w:t xml:space="preserve"> A score from 0 to 100 that combines the over-budget ratio, the XGBoost cost residual and the anomaly score. A BRI of 30 or more is a high-risk flag; 20 to 30 calls for review.</w:t>
      </w:r>
    </w:p>
    <w:p>
      <w:pPr>
        <w:spacing w:line="480" w:lineRule="auto" w:after="0"/>
        <w:ind w:firstLine="720"/>
        <w:jc w:val="both"/>
      </w:pPr>
      <w:r>
        <w:rPr>
          <w:b/>
          <w:i/>
        </w:rPr>
        <w:t>Ceiling Estimate.</w:t>
      </w:r>
      <w:r>
        <w:rPr>
          <w:b w:val="0"/>
          <w:i w:val="0"/>
        </w:rPr>
        <w:t xml:space="preserve"> The highest price that can still be defended for a plan, computed with upper-bound reinforcement, premium finishes and a scope contingency. Amounts above it are flagged as over budget.</w:t>
      </w:r>
    </w:p>
    <w:p>
      <w:pPr>
        <w:spacing w:line="480" w:lineRule="auto" w:after="0"/>
        <w:ind w:firstLine="720"/>
        <w:jc w:val="both"/>
      </w:pPr>
      <w:r>
        <w:rPr>
          <w:b/>
          <w:i/>
        </w:rPr>
        <w:t>Budget-to-Design Optimization.</w:t>
      </w:r>
      <w:r>
        <w:rPr>
          <w:b w:val="0"/>
          <w:i w:val="0"/>
        </w:rPr>
        <w:t xml:space="preserve"> The search for the largest design of a facility whose quotation fits a budget, solved by evaluating every combination of storeys and capacity and keeping the Pareto-efficient designs.</w:t>
      </w:r>
    </w:p>
    <w:p>
      <w:pPr>
        <w:spacing w:line="480" w:lineRule="auto" w:after="0"/>
        <w:ind w:firstLine="720"/>
        <w:jc w:val="both"/>
      </w:pPr>
      <w:r>
        <w:rPr>
          <w:b/>
          <w:i/>
        </w:rPr>
        <w:t>Design Module.</w:t>
      </w:r>
      <w:r>
        <w:rPr>
          <w:b w:val="0"/>
          <w:i w:val="0"/>
        </w:rPr>
        <w:t xml:space="preserve"> A reusable space, such as a 7 × 9 m classroom, a six-bed ward or a hall bay for 20 persons, with a width, depth, category and capacity, from which designs are composed.</w:t>
      </w:r>
    </w:p>
    <w:p>
      <w:pPr>
        <w:spacing w:line="480" w:lineRule="auto" w:after="0"/>
        <w:ind w:firstLine="720"/>
        <w:jc w:val="both"/>
      </w:pPr>
      <w:r>
        <w:rPr>
          <w:b/>
          <w:i/>
        </w:rPr>
        <w:t>Design Template.</w:t>
      </w:r>
      <w:r>
        <w:rPr>
          <w:b w:val="0"/>
          <w:i w:val="0"/>
        </w:rPr>
        <w:t xml:space="preserve"> A saved program of design modules, storeys and layout for a typical facility; one of 41 building and 13 bridge designs in the library, which users can edit and combine.</w:t>
      </w:r>
    </w:p>
    <w:p>
      <w:pPr>
        <w:spacing w:line="480" w:lineRule="auto" w:after="0"/>
        <w:ind w:firstLine="720"/>
        <w:jc w:val="both"/>
      </w:pPr>
      <w:r>
        <w:rPr>
          <w:b/>
          <w:i/>
        </w:rPr>
        <w:t>Detailed Unit Price Analysis (DUPA).</w:t>
      </w:r>
      <w:r>
        <w:rPr>
          <w:b w:val="0"/>
          <w:i w:val="0"/>
        </w:rPr>
        <w:t xml:space="preserve"> The DPWH breakdown of the material, labor and equipment cost of one unit of a pay item. The BUHAY-AH price book holds the resulting direct unit costs.</w:t>
      </w:r>
    </w:p>
    <w:p>
      <w:pPr>
        <w:spacing w:line="480" w:lineRule="auto" w:after="0"/>
        <w:ind w:firstLine="720"/>
        <w:jc w:val="both"/>
      </w:pPr>
      <w:r>
        <w:rPr>
          <w:b/>
          <w:i/>
        </w:rPr>
        <w:t>Estimated Direct Cost (EDC).</w:t>
      </w:r>
      <w:r>
        <w:rPr>
          <w:b w:val="0"/>
          <w:i w:val="0"/>
        </w:rPr>
        <w:t xml:space="preserve"> The sum of all pay-item quantities times their unit costs, adjusted for location and price year, before indirect costs.</w:t>
      </w:r>
    </w:p>
    <w:p>
      <w:pPr>
        <w:spacing w:line="480" w:lineRule="auto" w:after="0"/>
        <w:ind w:firstLine="720"/>
        <w:jc w:val="both"/>
      </w:pPr>
      <w:r>
        <w:rPr>
          <w:b/>
          <w:i/>
        </w:rPr>
        <w:t>Extreme Gradient Boosting (XGBoost).</w:t>
      </w:r>
      <w:r>
        <w:rPr>
          <w:b w:val="0"/>
          <w:i w:val="0"/>
        </w:rPr>
        <w:t xml:space="preserve"> A gradient-boosted tree algorithm used as the primary data-driven cost model, trained on the logarithm of awarded cost from plan features (Chen &amp; Guestrin, 2016).</w:t>
      </w:r>
    </w:p>
    <w:p>
      <w:pPr>
        <w:spacing w:line="480" w:lineRule="auto" w:after="0"/>
        <w:ind w:firstLine="720"/>
        <w:jc w:val="both"/>
      </w:pPr>
      <w:r>
        <w:rPr>
          <w:b/>
          <w:i/>
        </w:rPr>
        <w:t>Isolation Forest.</w:t>
      </w:r>
      <w:r>
        <w:rPr>
          <w:b w:val="0"/>
          <w:i w:val="0"/>
        </w:rPr>
        <w:t xml:space="preserve"> An unsupervised algorithm that isolates records through random splits and scores unusual records by their short average path length, without labelled examples (Liu et al., 2008).</w:t>
      </w:r>
    </w:p>
    <w:p>
      <w:pPr>
        <w:spacing w:line="480" w:lineRule="auto" w:after="0"/>
        <w:ind w:firstLine="720"/>
        <w:jc w:val="both"/>
      </w:pPr>
      <w:r>
        <w:rPr>
          <w:b/>
          <w:i/>
        </w:rPr>
        <w:t>Lean Start Quotation.</w:t>
      </w:r>
      <w:r>
        <w:rPr>
          <w:b w:val="0"/>
          <w:i w:val="0"/>
        </w:rPr>
        <w:t xml:space="preserve"> The lowest code-compliant price of a plan, computed with code-minimum reinforcement and basic finishes while keeping all NSCP, DPWH and PD 1096 requirements; the recommended starting price.</w:t>
      </w:r>
    </w:p>
    <w:p>
      <w:pPr>
        <w:spacing w:line="480" w:lineRule="auto" w:after="0"/>
        <w:ind w:firstLine="720"/>
        <w:jc w:val="both"/>
      </w:pPr>
      <w:r>
        <w:rPr>
          <w:b/>
          <w:i/>
        </w:rPr>
        <w:t>Leave-One-Out Cross-Validation (LOOCV).</w:t>
      </w:r>
      <w:r>
        <w:rPr>
          <w:b w:val="0"/>
          <w:i w:val="0"/>
        </w:rPr>
        <w:t xml:space="preserve"> A validation method in which each project is predicted by a model trained on all other projects, used here to measure prediction error on unseen projects.</w:t>
      </w:r>
    </w:p>
    <w:p>
      <w:pPr>
        <w:spacing w:line="480" w:lineRule="auto" w:after="0"/>
        <w:ind w:firstLine="720"/>
        <w:jc w:val="both"/>
      </w:pPr>
      <w:r>
        <w:rPr>
          <w:b/>
          <w:i/>
        </w:rPr>
        <w:t>Multiple Linear Regression (MLR).</w:t>
      </w:r>
      <w:r>
        <w:rPr>
          <w:b w:val="0"/>
          <w:i w:val="0"/>
        </w:rPr>
        <w:t xml:space="preserve"> A statistical model that expresses awarded cost as a weighted sum of plan features; the interpretable baseline of this study.</w:t>
      </w:r>
    </w:p>
    <w:p>
      <w:pPr>
        <w:spacing w:line="480" w:lineRule="auto" w:after="0"/>
        <w:ind w:firstLine="720"/>
        <w:jc w:val="both"/>
      </w:pPr>
      <w:r>
        <w:rPr>
          <w:b/>
          <w:i/>
        </w:rPr>
        <w:t>Over-Budget Ratio (OBR).</w:t>
      </w:r>
      <w:r>
        <w:rPr>
          <w:b w:val="0"/>
          <w:i w:val="0"/>
        </w:rPr>
        <w:t xml:space="preserve"> The contract amount divided by the BUHAY-AH standard fair estimate. A ratio of 1.00 means the contract equals the standard estimate.</w:t>
      </w:r>
    </w:p>
    <w:p>
      <w:pPr>
        <w:spacing w:line="480" w:lineRule="auto" w:after="0"/>
        <w:ind w:firstLine="720"/>
        <w:jc w:val="both"/>
      </w:pPr>
      <w:r>
        <w:rPr>
          <w:b/>
          <w:i/>
        </w:rPr>
        <w:t>Parametric 3D Visualization.</w:t>
      </w:r>
      <w:r>
        <w:rPr>
          <w:b w:val="0"/>
          <w:i w:val="0"/>
        </w:rPr>
        <w:t xml:space="preserve"> A 3D model generated directly from the plan variables and the engine's geometry, tinted by the screening result.</w:t>
      </w:r>
    </w:p>
    <w:p>
      <w:pPr>
        <w:spacing w:line="480" w:lineRule="auto" w:after="0"/>
        <w:ind w:firstLine="720"/>
        <w:jc w:val="both"/>
      </w:pPr>
      <w:r>
        <w:rPr>
          <w:b/>
          <w:i/>
        </w:rPr>
        <w:t>Plan (Blueprint).</w:t>
      </w:r>
      <w:r>
        <w:rPr>
          <w:b w:val="0"/>
          <w:i w:val="0"/>
        </w:rPr>
        <w:t xml:space="preserve"> The architectural and engineering drawings of a building or bridge. Operationally, the set of plan variables in Table 1, entered by the user, taken from a reference plan or read from a DXF file.</w:t>
      </w:r>
    </w:p>
    <w:p>
      <w:pPr>
        <w:spacing w:line="480" w:lineRule="auto" w:after="0"/>
        <w:ind w:firstLine="720"/>
        <w:jc w:val="both"/>
      </w:pPr>
      <w:r>
        <w:rPr>
          <w:b/>
          <w:i/>
        </w:rPr>
        <w:t>Price Book.</w:t>
      </w:r>
      <w:r>
        <w:rPr>
          <w:b w:val="0"/>
          <w:i w:val="0"/>
        </w:rPr>
        <w:t xml:space="preserve"> The table of DPWH pay items and their direct unit costs used by the engine, editable by the user.</w:t>
      </w:r>
    </w:p>
    <w:p>
      <w:pPr>
        <w:spacing w:line="480" w:lineRule="auto" w:after="0"/>
        <w:ind w:firstLine="720"/>
        <w:jc w:val="both"/>
      </w:pPr>
      <w:r>
        <w:rPr>
          <w:b/>
          <w:i/>
        </w:rPr>
        <w:t>Pareto-Efficient Design.</w:t>
      </w:r>
      <w:r>
        <w:rPr>
          <w:b w:val="0"/>
          <w:i w:val="0"/>
        </w:rPr>
        <w:t xml:space="preserve"> A design that no other design beats on both capacity and cost.</w:t>
      </w:r>
    </w:p>
    <w:p>
      <w:pPr>
        <w:spacing w:line="480" w:lineRule="auto" w:after="0"/>
        <w:ind w:firstLine="720"/>
        <w:jc w:val="both"/>
      </w:pPr>
      <w:r>
        <w:rPr>
          <w:b/>
          <w:i/>
        </w:rPr>
        <w:t>Progressive Web Application (PWA).</w:t>
      </w:r>
      <w:r>
        <w:rPr>
          <w:b w:val="0"/>
          <w:i w:val="0"/>
        </w:rPr>
        <w:t xml:space="preserve"> A web application that can be installed on a phone or computer and works offline; the form in which BUHAY-AH is delivered.</w:t>
      </w:r>
    </w:p>
    <w:p>
      <w:pPr>
        <w:spacing w:line="480" w:lineRule="auto" w:after="0"/>
        <w:ind w:firstLine="720"/>
        <w:jc w:val="both"/>
      </w:pPr>
      <w:r>
        <w:rPr>
          <w:b/>
          <w:i/>
        </w:rPr>
        <w:t>Quantity Take-Off (QTO).</w:t>
      </w:r>
      <w:r>
        <w:rPr>
          <w:b w:val="0"/>
          <w:i w:val="0"/>
        </w:rPr>
        <w:t xml:space="preserve"> The measurement of work quantities, such as cubic meters of concrete and kilograms of reinforcing steel, from a plan. In BUHAY-AH it is computed parametrically from the plan variables using engineering standards.</w:t>
      </w:r>
    </w:p>
    <w:p>
      <w:pPr>
        <w:spacing w:line="480" w:lineRule="auto" w:after="0"/>
        <w:ind w:firstLine="720"/>
        <w:jc w:val="both"/>
      </w:pPr>
      <w:r>
        <w:rPr>
          <w:b/>
          <w:i/>
        </w:rPr>
        <w:t>Reference Plan.</w:t>
      </w:r>
      <w:r>
        <w:rPr>
          <w:b w:val="0"/>
          <w:i w:val="0"/>
        </w:rPr>
        <w:t xml:space="preserve"> One of 19 typical configurations of DPWH-implemented buildings and bridges stored in the application as a starting point, the "previous plans" library.</w:t>
      </w:r>
    </w:p>
    <w:p>
      <w:pPr>
        <w:spacing w:line="480" w:lineRule="auto" w:after="0"/>
        <w:ind w:firstLine="720"/>
        <w:jc w:val="both"/>
      </w:pPr>
      <w:r>
        <w:rPr>
          <w:b/>
          <w:i/>
        </w:rPr>
        <w:t>SHAP (SHapley Additive exPlanations).</w:t>
      </w:r>
      <w:r>
        <w:rPr>
          <w:b w:val="0"/>
          <w:i w:val="0"/>
        </w:rPr>
        <w:t xml:space="preserve"> A method that splits each model prediction into the contributions of its input features, shown in the application as the reasons behind the expected cost (Lundberg &amp; Lee, 2017).</w:t>
      </w:r>
    </w:p>
    <w:p>
      <w:pPr>
        <w:spacing w:line="480" w:lineRule="auto" w:after="0"/>
        <w:ind w:firstLine="720"/>
        <w:jc w:val="both"/>
      </w:pPr>
      <w:r>
        <w:rPr>
          <w:b/>
          <w:i/>
        </w:rPr>
        <w:t>Schematic Design.</w:t>
      </w:r>
      <w:r>
        <w:rPr>
          <w:b w:val="0"/>
          <w:i w:val="0"/>
        </w:rPr>
        <w:t xml:space="preserve"> A design that fixes the spaces, footprint, storeys and structural grid needed for estimating, drawn as floor plans or elevations; it is not a construction drawing.</w:t>
      </w:r>
    </w:p>
    <w:p>
      <w:pPr>
        <w:spacing w:line="480" w:lineRule="auto" w:after="0"/>
        <w:ind w:firstLine="720"/>
        <w:jc w:val="both"/>
      </w:pPr>
      <w:r>
        <w:rPr>
          <w:b/>
          <w:i/>
        </w:rPr>
        <w:t>Simulated Benchmark Dataset (SBD-300).</w:t>
      </w:r>
      <w:r>
        <w:rPr>
          <w:b w:val="0"/>
          <w:i w:val="0"/>
        </w:rPr>
        <w:t xml:space="preserve"> The 300 simulated projects (160 buildings, 140 bridges) used to train and validate the models, with known true costs and 36 injected overpricing cases.</w:t>
      </w:r>
    </w:p>
    <w:p>
      <w:pPr>
        <w:spacing w:line="480" w:lineRule="auto" w:after="0"/>
        <w:ind w:firstLine="720"/>
        <w:jc w:val="both"/>
      </w:pPr>
      <w:r>
        <w:rPr>
          <w:b/>
          <w:i/>
        </w:rPr>
        <w:t>Standard Fair Estimate.</w:t>
      </w:r>
      <w:r>
        <w:rPr>
          <w:b w:val="0"/>
          <w:i w:val="0"/>
        </w:rPr>
        <w:t xml:space="preserve"> The ABC of a plan computed with typical DPWH design intensities and standard finishes; the reference for the over-budget ratio.</w:t>
      </w:r>
    </w:p>
    <w:p>
      <w:pPr>
        <w:keepNext/>
        <w:spacing w:line="480" w:lineRule="auto" w:after="0"/>
        <w:jc w:val="center"/>
      </w:pPr>
      <w:r>
        <w:rPr>
          <w:b/>
          <w:i w:val="0"/>
        </w:rPr>
        <w:t>FRAMEWORK</w:t>
      </w:r>
    </w:p>
    <w:p>
      <w:pPr>
        <w:keepNext/>
        <w:spacing w:line="480" w:lineRule="auto" w:after="0"/>
        <w:jc w:val="left"/>
      </w:pPr>
      <w:r>
        <w:rPr>
          <w:b/>
          <w:i w:val="0"/>
        </w:rPr>
        <w:t>Theoretical Framework</w:t>
      </w:r>
    </w:p>
    <w:p>
      <w:pPr>
        <w:spacing w:line="480" w:lineRule="auto" w:after="0"/>
        <w:ind w:firstLine="720"/>
        <w:jc w:val="both"/>
      </w:pPr>
      <w:r>
        <w:rPr>
          <w:b w:val="0"/>
          <w:i w:val="0"/>
        </w:rPr>
        <w:t>The theoretical framework rests on five theories that explain how a fair price can be established, how deviations from it arise, how the best design can be chosen under a budget, how a model can learn expected cost from data, and how its predictions can be explained. Each contributes a component of BUHAY-AH.</w:t>
      </w:r>
    </w:p>
    <w:p>
      <w:pPr>
        <w:spacing w:line="480" w:lineRule="auto" w:after="0"/>
        <w:ind w:firstLine="720"/>
        <w:jc w:val="both"/>
      </w:pPr>
      <w:r>
        <w:rPr>
          <w:b/>
          <w:i/>
        </w:rPr>
        <w:t>Agency Theory</w:t>
      </w:r>
      <w:r>
        <w:rPr>
          <w:b w:val="0"/>
          <w:i w:val="0"/>
        </w:rPr>
        <w:t>, formulated by Jensen and Meckling (1976), describes the relationship between a principal who delegates work and an agent whose interests and information differ. In public construction, the public and the oversight bodies are the principals, while implementing offices and contractors are the agents who know more about the true quantities and costs. The resulting information asymmetry is what padding exploits. In this study, the gap between a contract amount and an independent standards-based estimate, the over-budget ratio, is the measurable form of that asymmetry, and a large gap triggers review rather than accusation.</w:t>
      </w:r>
    </w:p>
    <w:p>
      <w:pPr>
        <w:spacing w:line="480" w:lineRule="auto" w:after="0"/>
        <w:ind w:firstLine="720"/>
        <w:jc w:val="both"/>
      </w:pPr>
      <w:r>
        <w:rPr>
          <w:b/>
          <w:i/>
        </w:rPr>
        <w:t>Should-Cost (Engineering Cost Estimating) Theory</w:t>
      </w:r>
      <w:r>
        <w:rPr>
          <w:b w:val="0"/>
          <w:i w:val="0"/>
        </w:rPr>
        <w:t xml:space="preserve"> holds that a fair price for a defined scope can be built bottom-up from the quantities of work and the unit cost of each item, plus justified indirect costs (GAO, 2020). Flyvbjerg et al. (2002) showed that public works estimates drift from such fundamentals when incentives reward misrepresentation. In this study, the theory grounds the quantity take-off engine: quantities come from the plan through NSCP, DPWH and AASHTO rules, and the ABC follows the DPWH indirect-cost structure, producing the lean, standard and ceiling tiers that serve as the yardstick.</w:t>
      </w:r>
    </w:p>
    <w:p>
      <w:pPr>
        <w:spacing w:line="480" w:lineRule="auto" w:after="0"/>
        <w:ind w:firstLine="720"/>
        <w:jc w:val="both"/>
      </w:pPr>
      <w:r>
        <w:rPr>
          <w:b/>
          <w:i/>
        </w:rPr>
        <w:t>Optimization Theory</w:t>
      </w:r>
      <w:r>
        <w:rPr>
          <w:b w:val="0"/>
          <w:i w:val="0"/>
        </w:rPr>
        <w:t xml:space="preserve"> studies how to choose the best decision from a set of feasible ones. When there are several objectives, such as more classrooms and lower cost, a decision is Pareto-efficient if no other decision is at least as good on every objective and better on one (Pareto, 1906); choosing integer quantities such as storeys and rooms is a problem of combinatorial optimization (Nemhauser &amp; Wolsey, 1988). In this study, budget-to-design is written as a constrained integer program, solved exactly by enumerating the discrete design space, and reported as the set of Pareto-efficient designs.</w:t>
      </w:r>
    </w:p>
    <w:p>
      <w:pPr>
        <w:spacing w:line="480" w:lineRule="auto" w:after="0"/>
        <w:ind w:firstLine="720"/>
        <w:jc w:val="both"/>
      </w:pPr>
      <w:r>
        <w:rPr>
          <w:b/>
          <w:i/>
        </w:rPr>
        <w:t>Statistical Learning Theory</w:t>
      </w:r>
      <w:r>
        <w:rPr>
          <w:b w:val="0"/>
          <w:i w:val="0"/>
        </w:rPr>
        <w:t>, developed by Vapnik (1998), treats prediction as learning a function from a finite sample and judges it by its error on unseen cases. It guides the data-driven layer: Multiple Linear Regression serves as an interpretable baseline, XGBoost learns non-linear patterns, and leave-one-out cross-validation measures generalization error. Isolation Forest applies the same learning view to anomalies, which are few and different and therefore easy to isolate (Liu et al., 2008).</w:t>
      </w:r>
    </w:p>
    <w:p>
      <w:pPr>
        <w:spacing w:line="480" w:lineRule="auto" w:after="0"/>
        <w:ind w:firstLine="720"/>
        <w:jc w:val="both"/>
      </w:pPr>
      <w:r>
        <w:rPr>
          <w:b/>
          <w:i/>
        </w:rPr>
        <w:t>Cooperative Game Theory</w:t>
      </w:r>
      <w:r>
        <w:rPr>
          <w:b w:val="0"/>
          <w:i w:val="0"/>
        </w:rPr>
        <w:t xml:space="preserve"> provides the Shapley value, which divides a coalition's payout among its members in proportion to their contribution (Shapley, 1953). Lundberg and Lee (2017) adapted it into SHAP, where each feature is a player and the predicted cost is the payout. In this study, SHAP shows auditors which plan features drove the expected cost of a project, so that a flag can be explained. Together these theories support the development of BUHAY-AH, as shown in Figure 1.</w:t>
      </w:r>
    </w:p>
    <w:p>
      <w:pPr>
        <w:keepNext/>
        <w:spacing w:line="240" w:lineRule="auto" w:after="0" w:before="120"/>
        <w:jc w:val="left"/>
      </w:pPr>
      <w:r>
        <w:rPr>
          <w:b/>
          <w:i w:val="0"/>
        </w:rPr>
        <w:t>Figure 1.</w:t>
      </w:r>
    </w:p>
    <w:p>
      <w:pPr>
        <w:keepNext/>
        <w:spacing w:line="240" w:lineRule="auto" w:after="0"/>
        <w:jc w:val="left"/>
      </w:pPr>
      <w:r>
        <w:rPr>
          <w:b w:val="0"/>
          <w:i/>
        </w:rPr>
        <w:t>Theoretical Paradigm</w:t>
      </w:r>
    </w:p>
    <w:p>
      <w:pPr>
        <w:spacing w:line="240" w:lineRule="auto" w:after="200"/>
        <w:jc w:val="center"/>
      </w:pPr>
      <w:r>
        <w:drawing>
          <wp:inline xmlns:a="http://schemas.openxmlformats.org/drawingml/2006/main" xmlns:pic="http://schemas.openxmlformats.org/drawingml/2006/picture">
            <wp:extent cx="5852160" cy="2159618"/>
            <wp:docPr id="27" name="Picture 27"/>
            <wp:cNvGraphicFramePr>
              <a:graphicFrameLocks noChangeAspect="1"/>
            </wp:cNvGraphicFramePr>
            <a:graphic>
              <a:graphicData uri="http://schemas.openxmlformats.org/drawingml/2006/picture">
                <pic:pic>
                  <pic:nvPicPr>
                    <pic:cNvPr id="0" name="diagram_theoretical.png"/>
                    <pic:cNvPicPr/>
                  </pic:nvPicPr>
                  <pic:blipFill>
                    <a:blip r:embed="rId37"/>
                    <a:stretch>
                      <a:fillRect/>
                    </a:stretch>
                  </pic:blipFill>
                  <pic:spPr>
                    <a:xfrm>
                      <a:off x="0" y="0"/>
                      <a:ext cx="5852160" cy="2159618"/>
                    </a:xfrm>
                    <a:prstGeom prst="rect"/>
                  </pic:spPr>
                </pic:pic>
              </a:graphicData>
            </a:graphic>
          </wp:inline>
        </w:drawing>
      </w:r>
    </w:p>
    <w:p>
      <w:pPr>
        <w:keepNext/>
        <w:spacing w:line="480" w:lineRule="auto" w:after="0"/>
        <w:jc w:val="left"/>
      </w:pPr>
      <w:r>
        <w:rPr>
          <w:b/>
          <w:i w:val="0"/>
        </w:rPr>
        <w:t>Conceptual Framework</w:t>
      </w:r>
    </w:p>
    <w:p>
      <w:pPr>
        <w:spacing w:line="480" w:lineRule="auto" w:after="0"/>
        <w:ind w:firstLine="720"/>
        <w:jc w:val="both"/>
      </w:pPr>
      <w:r>
        <w:rPr>
          <w:b w:val="0"/>
          <w:i w:val="0"/>
        </w:rPr>
        <w:t>This study was anchored on the Input-Process-Output-Feedback model, which shows how needs, budgets, plans, standards and data are transformed into designs, quotations and flags. The model fits the study because it makes explicit which inputs come from the plan, which from the standards and which from historical data, and how the outputs are fed back to improve the system.</w:t>
      </w:r>
    </w:p>
    <w:p>
      <w:pPr>
        <w:spacing w:line="480" w:lineRule="auto" w:after="0"/>
        <w:ind w:firstLine="720"/>
        <w:jc w:val="both"/>
      </w:pPr>
      <w:r>
        <w:rPr>
          <w:b w:val="0"/>
          <w:i w:val="0"/>
        </w:rPr>
        <w:t xml:space="preserve">The </w:t>
      </w:r>
      <w:r>
        <w:rPr>
          <w:b/>
          <w:i w:val="0"/>
        </w:rPr>
        <w:t>input</w:t>
      </w:r>
      <w:r>
        <w:rPr>
          <w:b w:val="0"/>
          <w:i w:val="0"/>
        </w:rPr>
        <w:t xml:space="preserve"> consists of a requirement (classrooms, beds, staff, persons or stalls) or a budget when no blueprint exists, and of building and bridge plans, whether templates, reference plans, DXF floor plans or dimensions typed by the user; the plan variables they contain; the DPWH pay items and unit costs in the BUHAY-AH price book; the engineering standards that turn plans into quantities; and the contract amounts of past projects used to train the models.</w:t>
      </w:r>
    </w:p>
    <w:p>
      <w:pPr>
        <w:spacing w:line="480" w:lineRule="auto" w:after="0"/>
        <w:ind w:firstLine="720"/>
        <w:jc w:val="both"/>
      </w:pPr>
      <w:r>
        <w:rPr>
          <w:b w:val="0"/>
          <w:i w:val="0"/>
        </w:rPr>
        <w:t xml:space="preserve">The </w:t>
      </w:r>
      <w:r>
        <w:rPr>
          <w:b/>
          <w:i w:val="0"/>
        </w:rPr>
        <w:t>process</w:t>
      </w:r>
      <w:r>
        <w:rPr>
          <w:b w:val="0"/>
          <w:i w:val="0"/>
        </w:rPr>
        <w:t xml:space="preserve"> begins with design generation, which lays out reusable space modules into a schematic plan and, for a budget, searches storeys and capacities for the best design that fits. The parametric quantity take-off then converts plan variables into concrete, reinforcing steel, formwork, masonry, roofing, finishes, piles and girders. Quantities are priced into an estimated direct cost and an ABC in three tiers. In parallel, Multiple Linear Regression and XGBoost estimate the expected cost from past projects, Isolation Forest scores how unusual a contract is, SHAP explains the expected cost, and the BUHAY-AH Risk Index combines the signals.</w:t>
      </w:r>
    </w:p>
    <w:p>
      <w:pPr>
        <w:spacing w:line="480" w:lineRule="auto" w:after="0"/>
        <w:ind w:firstLine="720"/>
        <w:jc w:val="both"/>
      </w:pPr>
      <w:r>
        <w:rPr>
          <w:b w:val="0"/>
          <w:i w:val="0"/>
        </w:rPr>
        <w:t xml:space="preserve">The </w:t>
      </w:r>
      <w:r>
        <w:rPr>
          <w:b/>
          <w:i w:val="0"/>
        </w:rPr>
        <w:t>output</w:t>
      </w:r>
      <w:r>
        <w:rPr>
          <w:b w:val="0"/>
          <w:i w:val="0"/>
        </w:rPr>
        <w:t xml:space="preserve"> includes schematic floor plans, bridge elevations and 3D models; the lean start quotation, standard fair estimate and ceiling with a full bill of quantities; over-budget flags with their risk index, drivers and line-item variances; validated accuracy and detection metrics; and the deployed mobile application, Android package, offline package and download website. The </w:t>
      </w:r>
      <w:r>
        <w:rPr>
          <w:b/>
          <w:i w:val="0"/>
        </w:rPr>
        <w:t>feedback</w:t>
      </w:r>
      <w:r>
        <w:rPr>
          <w:b w:val="0"/>
          <w:i w:val="0"/>
        </w:rPr>
        <w:t xml:space="preserve"> loop returns residuals, confirmed flags, user updates to the price book and saved checks to refine the price book, thresholds and models.</w:t>
      </w:r>
    </w:p>
    <w:p>
      <w:pPr>
        <w:keepNext/>
        <w:spacing w:line="240" w:lineRule="auto" w:after="0" w:before="120"/>
        <w:jc w:val="left"/>
      </w:pPr>
      <w:r>
        <w:rPr>
          <w:b/>
          <w:i w:val="0"/>
        </w:rPr>
        <w:t>Figure 2.</w:t>
      </w:r>
    </w:p>
    <w:p>
      <w:pPr>
        <w:keepNext/>
        <w:spacing w:line="240" w:lineRule="auto" w:after="0"/>
        <w:jc w:val="left"/>
      </w:pPr>
      <w:r>
        <w:rPr>
          <w:b w:val="0"/>
          <w:i/>
        </w:rPr>
        <w:t>Conceptual Paradigm</w:t>
      </w:r>
    </w:p>
    <w:p>
      <w:pPr>
        <w:spacing w:line="240" w:lineRule="auto" w:after="200"/>
        <w:jc w:val="center"/>
      </w:pPr>
      <w:r>
        <w:drawing>
          <wp:inline xmlns:a="http://schemas.openxmlformats.org/drawingml/2006/main" xmlns:pic="http://schemas.openxmlformats.org/drawingml/2006/picture">
            <wp:extent cx="5852160" cy="2497873"/>
            <wp:docPr id="28" name="Picture 28"/>
            <wp:cNvGraphicFramePr>
              <a:graphicFrameLocks noChangeAspect="1"/>
            </wp:cNvGraphicFramePr>
            <a:graphic>
              <a:graphicData uri="http://schemas.openxmlformats.org/drawingml/2006/picture">
                <pic:pic>
                  <pic:nvPicPr>
                    <pic:cNvPr id="0" name="diagram_conceptual.png"/>
                    <pic:cNvPicPr/>
                  </pic:nvPicPr>
                  <pic:blipFill>
                    <a:blip r:embed="rId38"/>
                    <a:stretch>
                      <a:fillRect/>
                    </a:stretch>
                  </pic:blipFill>
                  <pic:spPr>
                    <a:xfrm>
                      <a:off x="0" y="0"/>
                      <a:ext cx="5852160" cy="2497873"/>
                    </a:xfrm>
                    <a:prstGeom prst="rect"/>
                  </pic:spPr>
                </pic:pic>
              </a:graphicData>
            </a:graphic>
          </wp:inline>
        </w:drawing>
      </w:r>
    </w:p>
    <w:p>
      <w:pPr>
        <w:keepNext/>
        <w:spacing w:line="480" w:lineRule="auto" w:after="0"/>
        <w:jc w:val="left"/>
      </w:pPr>
      <w:r>
        <w:rPr>
          <w:b/>
          <w:i w:val="0"/>
        </w:rPr>
        <w:t>Mathematical Framework</w:t>
      </w:r>
    </w:p>
    <w:p>
      <w:pPr>
        <w:spacing w:line="480" w:lineRule="auto" w:after="0"/>
        <w:ind w:firstLine="720"/>
        <w:jc w:val="both"/>
      </w:pPr>
      <w:r>
        <w:rPr>
          <w:b w:val="0"/>
          <w:i w:val="0"/>
        </w:rPr>
        <w:t>This study used a quantitative developmental research design combined with a simulation-based computational experiment, the approach of the Mathematics and Computational Science: the problem was expressed as mathematical models and solved with algorithms whose accuracy was measured. Four kinds of mathematics carry the study: a deterministic parametric cost model (quantity take-off and ABC), combinatorial optimization (budget-to-design), statistical and machine-learning models (regression, gradient boosting, isolation and Shapley values), and Monte Carlo simulation (the benchmark with known overpricing). The developmental part designed and built the design generator, the quantity take-off engine, the hybrid models and the application. The experimental part generated a benchmark of 300 projects in which the true cost and the presence and size of overpricing are known, so that estimation accuracy and detection performance could be measured directly. Model performance was measured through leave-one-out cross-validation (LOOCV) and reported as R</w:t>
      </w:r>
      <w:r>
        <w:rPr>
          <w:b w:val="0"/>
          <w:i w:val="0"/>
          <w:vertAlign w:val="superscript"/>
        </w:rPr>
        <w:t>2</w:t>
      </w:r>
      <w:r>
        <w:rPr>
          <w:b w:val="0"/>
          <w:i w:val="0"/>
        </w:rPr>
        <w:t>, RMSE and MAPE, while detection was reported as precision, recall, F1-score and the area under the ROC curve (AUC). The study involved no human participants, animals or hazardous materials; all computation ran on an ordinary laptop and in a web browser.</w:t>
      </w:r>
    </w:p>
    <w:p>
      <w:pPr>
        <w:spacing w:line="480" w:lineRule="auto" w:after="0"/>
        <w:ind w:firstLine="720"/>
        <w:jc w:val="both"/>
      </w:pPr>
      <w:r>
        <w:rPr>
          <w:b w:val="0"/>
          <w:i w:val="0"/>
        </w:rPr>
        <w:t>The system was developed in Python 3 with pandas, NumPy, scikit-learn, statsmodels, XGBoost, SHAP and matplotlib (Pedregosa et al., 2011; Seabold &amp; Perktold, 2010; Chen &amp; Guestrin, 2016; Lundberg &amp; Lee, 2017), and in JavaScript for the application. The methods are as follows: Plan Acquisition and Design Generation, Standards Codification, Quantity Take-Off and Quotation, Simulated Benchmark Generation, Model Development, Model Validation, Explanation and Risk Scoring, and App and Website Development.</w:t>
      </w:r>
    </w:p>
    <w:p>
      <w:pPr>
        <w:keepNext/>
        <w:spacing w:line="240" w:lineRule="auto" w:after="0" w:before="120"/>
        <w:jc w:val="left"/>
      </w:pPr>
      <w:r>
        <w:rPr>
          <w:b/>
          <w:i w:val="0"/>
        </w:rPr>
        <w:t>Figure 3.</w:t>
      </w:r>
    </w:p>
    <w:p>
      <w:pPr>
        <w:keepNext/>
        <w:spacing w:line="240" w:lineRule="auto" w:after="0"/>
        <w:jc w:val="left"/>
      </w:pPr>
      <w:r>
        <w:rPr>
          <w:b w:val="0"/>
          <w:i/>
        </w:rPr>
        <w:t>Methodological Paradigm</w:t>
      </w:r>
    </w:p>
    <w:p>
      <w:pPr>
        <w:spacing w:line="240" w:lineRule="auto" w:after="200"/>
        <w:jc w:val="center"/>
      </w:pPr>
      <w:r>
        <w:drawing>
          <wp:inline xmlns:a="http://schemas.openxmlformats.org/drawingml/2006/main" xmlns:pic="http://schemas.openxmlformats.org/drawingml/2006/picture">
            <wp:extent cx="5852160" cy="1498724"/>
            <wp:docPr id="29" name="Picture 29"/>
            <wp:cNvGraphicFramePr>
              <a:graphicFrameLocks noChangeAspect="1"/>
            </wp:cNvGraphicFramePr>
            <a:graphic>
              <a:graphicData uri="http://schemas.openxmlformats.org/drawingml/2006/picture">
                <pic:pic>
                  <pic:nvPicPr>
                    <pic:cNvPr id="0" name="diagram_method.png"/>
                    <pic:cNvPicPr/>
                  </pic:nvPicPr>
                  <pic:blipFill>
                    <a:blip r:embed="rId39"/>
                    <a:stretch>
                      <a:fillRect/>
                    </a:stretch>
                  </pic:blipFill>
                  <pic:spPr>
                    <a:xfrm>
                      <a:off x="0" y="0"/>
                      <a:ext cx="5852160" cy="1498724"/>
                    </a:xfrm>
                    <a:prstGeom prst="rect"/>
                  </pic:spPr>
                </pic:pic>
              </a:graphicData>
            </a:graphic>
          </wp:inline>
        </w:drawing>
      </w:r>
    </w:p>
    <w:p>
      <w:pPr>
        <w:keepNext/>
        <w:spacing w:line="480" w:lineRule="auto" w:after="0"/>
        <w:ind w:left="720"/>
        <w:jc w:val="left"/>
      </w:pPr>
      <w:r>
        <w:rPr>
          <w:b/>
          <w:i w:val="0"/>
        </w:rPr>
        <w:t>Plan Acquisition and Variable Extraction</w:t>
      </w:r>
    </w:p>
    <w:p>
      <w:pPr>
        <w:spacing w:line="480" w:lineRule="auto" w:after="0"/>
        <w:ind w:firstLine="720"/>
        <w:jc w:val="both"/>
      </w:pPr>
      <w:r>
        <w:rPr>
          <w:b w:val="0"/>
          <w:i w:val="0"/>
        </w:rPr>
        <w:t>BUHAY-AH accepts a plan through four routes. A user can generate one from a requirement or a budget (next section); start from one of the design templates or the 19 reference plans, which are typical configurations of DPWH-implemented facilities such as one- to four-storey school buildings, health stations, evacuation centers, offices, markets, box culverts and girder and truss bridges; import a floor plan in DXF format; or type the dimensions. For DXF files, the largest closed polyline is read as the building outline, its area is computed with the shoelace formula and its perimeter from the vertex distances, and lines on layers named like WALL or PARTITION are measured as interior walls, halved when walls are drawn with two lines. Drawing units are read from the $INSUNITS header or inferred from the drawing extent. Table 1 lists the plan variables used.</w:t>
      </w:r>
    </w:p>
    <w:p>
      <w:pPr>
        <w:keepNext/>
        <w:spacing w:line="240" w:lineRule="auto" w:after="0" w:before="120"/>
        <w:jc w:val="left"/>
      </w:pPr>
      <w:r>
        <w:rPr>
          <w:b/>
          <w:i w:val="0"/>
        </w:rPr>
        <w:t>Table 1.</w:t>
      </w:r>
    </w:p>
    <w:p>
      <w:pPr>
        <w:keepNext/>
        <w:spacing w:line="240" w:lineRule="auto" w:after="0"/>
        <w:jc w:val="left"/>
      </w:pPr>
      <w:r>
        <w:rPr>
          <w:b w:val="0"/>
          <w:i/>
        </w:rPr>
        <w:t>Plan Variables Extracted by BUHAY-AH</w:t>
      </w:r>
    </w:p>
    <w:tbl>
      <w:tblPr>
        <w:tblW w:type="auto" w:w="0"/>
        <w:jc w:val="center"/>
        <w:tblLayout w:type="fixed"/>
        <w:tblLook w:firstColumn="1" w:firstRow="1" w:lastColumn="0" w:lastRow="0" w:noHBand="0" w:noVBand="1" w:val="04A0"/>
        <w:tblLayout w:type="fixed"/>
      </w:tblPr>
      <w:tblGrid>
        <w:gridCol w:w="3456"/>
        <w:gridCol w:w="1296"/>
        <w:gridCol w:w="1440"/>
        <w:gridCol w:w="3168"/>
      </w:tblGrid>
      <w:tr>
        <w:tc>
          <w:tcPr>
            <w:tcW w:type="dxa" w:w="3456"/>
            <w:tcBorders>
              <w:top w:val="single" w:sz="12" w:color="000000"/>
              <w:bottom w:val="single" w:sz="8" w:color="000000"/>
            </w:tcBorders>
          </w:tcPr>
          <w:p>
            <w:pPr>
              <w:spacing w:line="240" w:lineRule="auto" w:before="40" w:after="40"/>
              <w:jc w:val="center"/>
            </w:pPr>
            <w:r/>
            <w:r>
              <w:rPr>
                <w:b/>
                <w:i w:val="0"/>
                <w:sz w:val="20"/>
              </w:rPr>
              <w:t>VARIABLE</w:t>
            </w:r>
          </w:p>
        </w:tc>
        <w:tc>
          <w:tcPr>
            <w:tcW w:type="dxa" w:w="1296"/>
            <w:tcBorders>
              <w:top w:val="single" w:sz="12" w:color="000000"/>
              <w:bottom w:val="single" w:sz="8" w:color="000000"/>
            </w:tcBorders>
          </w:tcPr>
          <w:p>
            <w:pPr>
              <w:spacing w:line="240" w:lineRule="auto" w:before="40" w:after="40"/>
              <w:jc w:val="center"/>
            </w:pPr>
            <w:r/>
            <w:r>
              <w:rPr>
                <w:b/>
                <w:i w:val="0"/>
                <w:sz w:val="20"/>
              </w:rPr>
              <w:t>ASSET</w:t>
            </w:r>
          </w:p>
        </w:tc>
        <w:tc>
          <w:tcPr>
            <w:tcW w:type="dxa" w:w="1440"/>
            <w:tcBorders>
              <w:top w:val="single" w:sz="12" w:color="000000"/>
              <w:bottom w:val="single" w:sz="8" w:color="000000"/>
            </w:tcBorders>
          </w:tcPr>
          <w:p>
            <w:pPr>
              <w:spacing w:line="240" w:lineRule="auto" w:before="40" w:after="40"/>
              <w:jc w:val="center"/>
            </w:pPr>
            <w:r/>
            <w:r>
              <w:rPr>
                <w:b/>
                <w:i w:val="0"/>
                <w:sz w:val="20"/>
              </w:rPr>
              <w:t>UNIT</w:t>
            </w:r>
          </w:p>
        </w:tc>
        <w:tc>
          <w:tcPr>
            <w:tcW w:type="dxa" w:w="3168"/>
            <w:tcBorders>
              <w:top w:val="single" w:sz="12" w:color="000000"/>
              <w:bottom w:val="single" w:sz="8" w:color="000000"/>
            </w:tcBorders>
          </w:tcPr>
          <w:p>
            <w:pPr>
              <w:spacing w:line="240" w:lineRule="auto" w:before="40" w:after="40"/>
              <w:jc w:val="center"/>
            </w:pPr>
            <w:r/>
            <w:r>
              <w:rPr>
                <w:b/>
                <w:i w:val="0"/>
                <w:sz w:val="20"/>
              </w:rPr>
              <w:t>SOURCE IN PLAN</w:t>
            </w:r>
          </w:p>
        </w:tc>
      </w:tr>
      <w:tr>
        <w:tc>
          <w:tcPr>
            <w:tcW w:type="dxa" w:w="3456"/>
            <w:shd w:val="clear" w:color="auto" w:fill="EFEFEF"/>
          </w:tcPr>
          <w:p>
            <w:pPr>
              <w:spacing w:line="240" w:lineRule="auto" w:before="40" w:after="40"/>
              <w:jc w:val="left"/>
            </w:pPr>
            <w:r/>
            <w:r>
              <w:rPr>
                <w:b w:val="0"/>
                <w:i/>
                <w:sz w:val="20"/>
              </w:rPr>
              <w:t>Length, width, footprint, perimeter</w:t>
            </w:r>
          </w:p>
        </w:tc>
        <w:tc>
          <w:tcPr>
            <w:tcW w:type="dxa" w:w="1296"/>
            <w:shd w:val="clear" w:color="auto" w:fill="EFEFEF"/>
          </w:tcPr>
          <w:p>
            <w:pPr>
              <w:spacing w:line="240" w:lineRule="auto" w:before="40" w:after="40"/>
              <w:jc w:val="center"/>
            </w:pPr>
            <w:r/>
            <w:r>
              <w:rPr>
                <w:b w:val="0"/>
                <w:i w:val="0"/>
                <w:sz w:val="20"/>
              </w:rPr>
              <w:t>Building</w:t>
            </w:r>
          </w:p>
        </w:tc>
        <w:tc>
          <w:tcPr>
            <w:tcW w:type="dxa" w:w="1440"/>
            <w:shd w:val="clear" w:color="auto" w:fill="EFEFEF"/>
          </w:tcPr>
          <w:p>
            <w:pPr>
              <w:spacing w:line="240" w:lineRule="auto" w:before="40" w:after="40"/>
              <w:jc w:val="center"/>
            </w:pPr>
            <w:r/>
            <w:r>
              <w:rPr>
                <w:b w:val="0"/>
                <w:i w:val="0"/>
                <w:sz w:val="20"/>
              </w:rPr>
              <w:t>m, m²</w:t>
            </w:r>
          </w:p>
        </w:tc>
        <w:tc>
          <w:tcPr>
            <w:tcW w:type="dxa" w:w="3168"/>
            <w:shd w:val="clear" w:color="auto" w:fill="EFEFEF"/>
          </w:tcPr>
          <w:p>
            <w:pPr>
              <w:spacing w:line="240" w:lineRule="auto" w:before="40" w:after="40"/>
              <w:jc w:val="center"/>
            </w:pPr>
            <w:r/>
            <w:r>
              <w:rPr>
                <w:b w:val="0"/>
                <w:i w:val="0"/>
                <w:sz w:val="20"/>
              </w:rPr>
              <w:t>Floor plan / DXF outline</w:t>
            </w:r>
          </w:p>
        </w:tc>
      </w:tr>
      <w:tr>
        <w:tc>
          <w:tcPr>
            <w:tcW w:type="dxa" w:w="3456"/>
          </w:tcPr>
          <w:p>
            <w:pPr>
              <w:spacing w:line="240" w:lineRule="auto" w:before="40" w:after="40"/>
              <w:jc w:val="left"/>
            </w:pPr>
            <w:r/>
            <w:r>
              <w:rPr>
                <w:b w:val="0"/>
                <w:i/>
                <w:sz w:val="20"/>
              </w:rPr>
              <w:t>Number of storeys, floor-to-floor height</w:t>
            </w:r>
          </w:p>
        </w:tc>
        <w:tc>
          <w:tcPr>
            <w:tcW w:type="dxa" w:w="1296"/>
          </w:tcPr>
          <w:p>
            <w:pPr>
              <w:spacing w:line="240" w:lineRule="auto" w:before="40" w:after="40"/>
              <w:jc w:val="center"/>
            </w:pPr>
            <w:r/>
            <w:r>
              <w:rPr>
                <w:b w:val="0"/>
                <w:i w:val="0"/>
                <w:sz w:val="20"/>
              </w:rPr>
              <w:t>Building</w:t>
            </w:r>
          </w:p>
        </w:tc>
        <w:tc>
          <w:tcPr>
            <w:tcW w:type="dxa" w:w="1440"/>
          </w:tcPr>
          <w:p>
            <w:pPr>
              <w:spacing w:line="240" w:lineRule="auto" w:before="40" w:after="40"/>
              <w:jc w:val="center"/>
            </w:pPr>
            <w:r/>
            <w:r>
              <w:rPr>
                <w:b w:val="0"/>
                <w:i w:val="0"/>
                <w:sz w:val="20"/>
              </w:rPr>
              <w:t>–, m</w:t>
            </w:r>
          </w:p>
        </w:tc>
        <w:tc>
          <w:tcPr>
            <w:tcW w:type="dxa" w:w="3168"/>
          </w:tcPr>
          <w:p>
            <w:pPr>
              <w:spacing w:line="240" w:lineRule="auto" w:before="40" w:after="40"/>
              <w:jc w:val="center"/>
            </w:pPr>
            <w:r/>
            <w:r>
              <w:rPr>
                <w:b w:val="0"/>
                <w:i w:val="0"/>
                <w:sz w:val="20"/>
              </w:rPr>
              <w:t>Sections, elevations</w:t>
            </w:r>
          </w:p>
        </w:tc>
      </w:tr>
      <w:tr>
        <w:tc>
          <w:tcPr>
            <w:tcW w:type="dxa" w:w="3456"/>
            <w:shd w:val="clear" w:color="auto" w:fill="EFEFEF"/>
          </w:tcPr>
          <w:p>
            <w:pPr>
              <w:spacing w:line="240" w:lineRule="auto" w:before="40" w:after="40"/>
              <w:jc w:val="left"/>
            </w:pPr>
            <w:r/>
            <w:r>
              <w:rPr>
                <w:b w:val="0"/>
                <w:i/>
                <w:sz w:val="20"/>
              </w:rPr>
              <w:t>Column spacing (both directions)</w:t>
            </w:r>
          </w:p>
        </w:tc>
        <w:tc>
          <w:tcPr>
            <w:tcW w:type="dxa" w:w="1296"/>
            <w:shd w:val="clear" w:color="auto" w:fill="EFEFEF"/>
          </w:tcPr>
          <w:p>
            <w:pPr>
              <w:spacing w:line="240" w:lineRule="auto" w:before="40" w:after="40"/>
              <w:jc w:val="center"/>
            </w:pPr>
            <w:r/>
            <w:r>
              <w:rPr>
                <w:b w:val="0"/>
                <w:i w:val="0"/>
                <w:sz w:val="20"/>
              </w:rPr>
              <w:t>Building</w:t>
            </w:r>
          </w:p>
        </w:tc>
        <w:tc>
          <w:tcPr>
            <w:tcW w:type="dxa" w:w="1440"/>
            <w:shd w:val="clear" w:color="auto" w:fill="EFEFEF"/>
          </w:tcPr>
          <w:p>
            <w:pPr>
              <w:spacing w:line="240" w:lineRule="auto" w:before="40" w:after="40"/>
              <w:jc w:val="center"/>
            </w:pPr>
            <w:r/>
            <w:r>
              <w:rPr>
                <w:b w:val="0"/>
                <w:i w:val="0"/>
                <w:sz w:val="20"/>
              </w:rPr>
              <w:t>m</w:t>
            </w:r>
          </w:p>
        </w:tc>
        <w:tc>
          <w:tcPr>
            <w:tcW w:type="dxa" w:w="3168"/>
            <w:shd w:val="clear" w:color="auto" w:fill="EFEFEF"/>
          </w:tcPr>
          <w:p>
            <w:pPr>
              <w:spacing w:line="240" w:lineRule="auto" w:before="40" w:after="40"/>
              <w:jc w:val="center"/>
            </w:pPr>
            <w:r/>
            <w:r>
              <w:rPr>
                <w:b w:val="0"/>
                <w:i w:val="0"/>
                <w:sz w:val="20"/>
              </w:rPr>
              <w:t>Structural grid</w:t>
            </w:r>
          </w:p>
        </w:tc>
      </w:tr>
      <w:tr>
        <w:tc>
          <w:tcPr>
            <w:tcW w:type="dxa" w:w="3456"/>
          </w:tcPr>
          <w:p>
            <w:pPr>
              <w:spacing w:line="240" w:lineRule="auto" w:before="40" w:after="40"/>
              <w:jc w:val="left"/>
            </w:pPr>
            <w:r/>
            <w:r>
              <w:rPr>
                <w:b w:val="0"/>
                <w:i/>
                <w:sz w:val="20"/>
              </w:rPr>
              <w:t>Facility type, roof system</w:t>
            </w:r>
          </w:p>
        </w:tc>
        <w:tc>
          <w:tcPr>
            <w:tcW w:type="dxa" w:w="1296"/>
          </w:tcPr>
          <w:p>
            <w:pPr>
              <w:spacing w:line="240" w:lineRule="auto" w:before="40" w:after="40"/>
              <w:jc w:val="center"/>
            </w:pPr>
            <w:r/>
            <w:r>
              <w:rPr>
                <w:b w:val="0"/>
                <w:i w:val="0"/>
                <w:sz w:val="20"/>
              </w:rPr>
              <w:t>Building</w:t>
            </w:r>
          </w:p>
        </w:tc>
        <w:tc>
          <w:tcPr>
            <w:tcW w:type="dxa" w:w="1440"/>
          </w:tcPr>
          <w:p>
            <w:pPr>
              <w:spacing w:line="240" w:lineRule="auto" w:before="40" w:after="40"/>
              <w:jc w:val="center"/>
            </w:pPr>
            <w:r/>
            <w:r>
              <w:rPr>
                <w:b w:val="0"/>
                <w:i w:val="0"/>
                <w:sz w:val="20"/>
              </w:rPr>
              <w:t>category</w:t>
            </w:r>
          </w:p>
        </w:tc>
        <w:tc>
          <w:tcPr>
            <w:tcW w:type="dxa" w:w="3168"/>
          </w:tcPr>
          <w:p>
            <w:pPr>
              <w:spacing w:line="240" w:lineRule="auto" w:before="40" w:after="40"/>
              <w:jc w:val="center"/>
            </w:pPr>
            <w:r/>
            <w:r>
              <w:rPr>
                <w:b w:val="0"/>
                <w:i w:val="0"/>
                <w:sz w:val="20"/>
              </w:rPr>
              <w:t>Title block, roof framing plan</w:t>
            </w:r>
          </w:p>
        </w:tc>
      </w:tr>
      <w:tr>
        <w:tc>
          <w:tcPr>
            <w:tcW w:type="dxa" w:w="3456"/>
            <w:shd w:val="clear" w:color="auto" w:fill="EFEFEF"/>
          </w:tcPr>
          <w:p>
            <w:pPr>
              <w:spacing w:line="240" w:lineRule="auto" w:before="40" w:after="40"/>
              <w:jc w:val="left"/>
            </w:pPr>
            <w:r/>
            <w:r>
              <w:rPr>
                <w:b w:val="0"/>
                <w:i/>
                <w:sz w:val="20"/>
              </w:rPr>
              <w:t>Allowable soil bearing, seismic zone</w:t>
            </w:r>
          </w:p>
        </w:tc>
        <w:tc>
          <w:tcPr>
            <w:tcW w:type="dxa" w:w="1296"/>
            <w:shd w:val="clear" w:color="auto" w:fill="EFEFEF"/>
          </w:tcPr>
          <w:p>
            <w:pPr>
              <w:spacing w:line="240" w:lineRule="auto" w:before="40" w:after="40"/>
              <w:jc w:val="center"/>
            </w:pPr>
            <w:r/>
            <w:r>
              <w:rPr>
                <w:b w:val="0"/>
                <w:i w:val="0"/>
                <w:sz w:val="20"/>
              </w:rPr>
              <w:t>Building</w:t>
            </w:r>
          </w:p>
        </w:tc>
        <w:tc>
          <w:tcPr>
            <w:tcW w:type="dxa" w:w="1440"/>
            <w:shd w:val="clear" w:color="auto" w:fill="EFEFEF"/>
          </w:tcPr>
          <w:p>
            <w:pPr>
              <w:spacing w:line="240" w:lineRule="auto" w:before="40" w:after="40"/>
              <w:jc w:val="center"/>
            </w:pPr>
            <w:r/>
            <w:r>
              <w:rPr>
                <w:b w:val="0"/>
                <w:i w:val="0"/>
                <w:sz w:val="20"/>
              </w:rPr>
              <w:t>kPa, zone</w:t>
            </w:r>
          </w:p>
        </w:tc>
        <w:tc>
          <w:tcPr>
            <w:tcW w:type="dxa" w:w="3168"/>
            <w:shd w:val="clear" w:color="auto" w:fill="EFEFEF"/>
          </w:tcPr>
          <w:p>
            <w:pPr>
              <w:spacing w:line="240" w:lineRule="auto" w:before="40" w:after="40"/>
              <w:jc w:val="center"/>
            </w:pPr>
            <w:r/>
            <w:r>
              <w:rPr>
                <w:b w:val="0"/>
                <w:i w:val="0"/>
                <w:sz w:val="20"/>
              </w:rPr>
              <w:t>Geotechnical report, NSCP map</w:t>
            </w:r>
          </w:p>
        </w:tc>
      </w:tr>
      <w:tr>
        <w:tc>
          <w:tcPr>
            <w:tcW w:type="dxa" w:w="3456"/>
          </w:tcPr>
          <w:p>
            <w:pPr>
              <w:spacing w:line="240" w:lineRule="auto" w:before="40" w:after="40"/>
              <w:jc w:val="left"/>
            </w:pPr>
            <w:r/>
            <w:r>
              <w:rPr>
                <w:b w:val="0"/>
                <w:i/>
                <w:sz w:val="20"/>
              </w:rPr>
              <w:t>Interior wall length</w:t>
            </w:r>
          </w:p>
        </w:tc>
        <w:tc>
          <w:tcPr>
            <w:tcW w:type="dxa" w:w="1296"/>
          </w:tcPr>
          <w:p>
            <w:pPr>
              <w:spacing w:line="240" w:lineRule="auto" w:before="40" w:after="40"/>
              <w:jc w:val="center"/>
            </w:pPr>
            <w:r/>
            <w:r>
              <w:rPr>
                <w:b w:val="0"/>
                <w:i w:val="0"/>
                <w:sz w:val="20"/>
              </w:rPr>
              <w:t>Building</w:t>
            </w:r>
          </w:p>
        </w:tc>
        <w:tc>
          <w:tcPr>
            <w:tcW w:type="dxa" w:w="1440"/>
          </w:tcPr>
          <w:p>
            <w:pPr>
              <w:spacing w:line="240" w:lineRule="auto" w:before="40" w:after="40"/>
              <w:jc w:val="center"/>
            </w:pPr>
            <w:r/>
            <w:r>
              <w:rPr>
                <w:b w:val="0"/>
                <w:i w:val="0"/>
                <w:sz w:val="20"/>
              </w:rPr>
              <w:t>m</w:t>
            </w:r>
          </w:p>
        </w:tc>
        <w:tc>
          <w:tcPr>
            <w:tcW w:type="dxa" w:w="3168"/>
          </w:tcPr>
          <w:p>
            <w:pPr>
              <w:spacing w:line="240" w:lineRule="auto" w:before="40" w:after="40"/>
              <w:jc w:val="center"/>
            </w:pPr>
            <w:r/>
            <w:r>
              <w:rPr>
                <w:b w:val="0"/>
                <w:i w:val="0"/>
                <w:sz w:val="20"/>
              </w:rPr>
              <w:t>Floor plan / DXF wall layers</w:t>
            </w:r>
          </w:p>
        </w:tc>
      </w:tr>
      <w:tr>
        <w:tc>
          <w:tcPr>
            <w:tcW w:type="dxa" w:w="3456"/>
            <w:shd w:val="clear" w:color="auto" w:fill="EFEFEF"/>
          </w:tcPr>
          <w:p>
            <w:pPr>
              <w:spacing w:line="240" w:lineRule="auto" w:before="40" w:after="40"/>
              <w:jc w:val="left"/>
            </w:pPr>
            <w:r/>
            <w:r>
              <w:rPr>
                <w:b w:val="0"/>
                <w:i/>
                <w:sz w:val="20"/>
              </w:rPr>
              <w:t>Total length, number of spans</w:t>
            </w:r>
          </w:p>
        </w:tc>
        <w:tc>
          <w:tcPr>
            <w:tcW w:type="dxa" w:w="1296"/>
            <w:shd w:val="clear" w:color="auto" w:fill="EFEFEF"/>
          </w:tcPr>
          <w:p>
            <w:pPr>
              <w:spacing w:line="240" w:lineRule="auto" w:before="40" w:after="40"/>
              <w:jc w:val="center"/>
            </w:pPr>
            <w:r/>
            <w:r>
              <w:rPr>
                <w:b w:val="0"/>
                <w:i w:val="0"/>
                <w:sz w:val="20"/>
              </w:rPr>
              <w:t>Bridge</w:t>
            </w:r>
          </w:p>
        </w:tc>
        <w:tc>
          <w:tcPr>
            <w:tcW w:type="dxa" w:w="1440"/>
            <w:shd w:val="clear" w:color="auto" w:fill="EFEFEF"/>
          </w:tcPr>
          <w:p>
            <w:pPr>
              <w:spacing w:line="240" w:lineRule="auto" w:before="40" w:after="40"/>
              <w:jc w:val="center"/>
            </w:pPr>
            <w:r/>
            <w:r>
              <w:rPr>
                <w:b w:val="0"/>
                <w:i w:val="0"/>
                <w:sz w:val="20"/>
              </w:rPr>
              <w:t>m, –</w:t>
            </w:r>
          </w:p>
        </w:tc>
        <w:tc>
          <w:tcPr>
            <w:tcW w:type="dxa" w:w="3168"/>
            <w:shd w:val="clear" w:color="auto" w:fill="EFEFEF"/>
          </w:tcPr>
          <w:p>
            <w:pPr>
              <w:spacing w:line="240" w:lineRule="auto" w:before="40" w:after="40"/>
              <w:jc w:val="center"/>
            </w:pPr>
            <w:r/>
            <w:r>
              <w:rPr>
                <w:b w:val="0"/>
                <w:i w:val="0"/>
                <w:sz w:val="20"/>
              </w:rPr>
              <w:t>General plan and elevation</w:t>
            </w:r>
          </w:p>
        </w:tc>
      </w:tr>
      <w:tr>
        <w:tc>
          <w:tcPr>
            <w:tcW w:type="dxa" w:w="3456"/>
          </w:tcPr>
          <w:p>
            <w:pPr>
              <w:spacing w:line="240" w:lineRule="auto" w:before="40" w:after="40"/>
              <w:jc w:val="left"/>
            </w:pPr>
            <w:r/>
            <w:r>
              <w:rPr>
                <w:b w:val="0"/>
                <w:i/>
                <w:sz w:val="20"/>
              </w:rPr>
              <w:t>Carriageway and sidewalk widths</w:t>
            </w:r>
          </w:p>
        </w:tc>
        <w:tc>
          <w:tcPr>
            <w:tcW w:type="dxa" w:w="1296"/>
          </w:tcPr>
          <w:p>
            <w:pPr>
              <w:spacing w:line="240" w:lineRule="auto" w:before="40" w:after="40"/>
              <w:jc w:val="center"/>
            </w:pPr>
            <w:r/>
            <w:r>
              <w:rPr>
                <w:b w:val="0"/>
                <w:i w:val="0"/>
                <w:sz w:val="20"/>
              </w:rPr>
              <w:t>Bridge</w:t>
            </w:r>
          </w:p>
        </w:tc>
        <w:tc>
          <w:tcPr>
            <w:tcW w:type="dxa" w:w="1440"/>
          </w:tcPr>
          <w:p>
            <w:pPr>
              <w:spacing w:line="240" w:lineRule="auto" w:before="40" w:after="40"/>
              <w:jc w:val="center"/>
            </w:pPr>
            <w:r/>
            <w:r>
              <w:rPr>
                <w:b w:val="0"/>
                <w:i w:val="0"/>
                <w:sz w:val="20"/>
              </w:rPr>
              <w:t>m</w:t>
            </w:r>
          </w:p>
        </w:tc>
        <w:tc>
          <w:tcPr>
            <w:tcW w:type="dxa" w:w="3168"/>
          </w:tcPr>
          <w:p>
            <w:pPr>
              <w:spacing w:line="240" w:lineRule="auto" w:before="40" w:after="40"/>
              <w:jc w:val="center"/>
            </w:pPr>
            <w:r/>
            <w:r>
              <w:rPr>
                <w:b w:val="0"/>
                <w:i w:val="0"/>
                <w:sz w:val="20"/>
              </w:rPr>
              <w:t>Typical deck section</w:t>
            </w:r>
          </w:p>
        </w:tc>
      </w:tr>
      <w:tr>
        <w:tc>
          <w:tcPr>
            <w:tcW w:type="dxa" w:w="3456"/>
            <w:shd w:val="clear" w:color="auto" w:fill="EFEFEF"/>
          </w:tcPr>
          <w:p>
            <w:pPr>
              <w:spacing w:line="240" w:lineRule="auto" w:before="40" w:after="40"/>
              <w:jc w:val="left"/>
            </w:pPr>
            <w:r/>
            <w:r>
              <w:rPr>
                <w:b w:val="0"/>
                <w:i/>
                <w:sz w:val="20"/>
              </w:rPr>
              <w:t>Pier and abutment heights</w:t>
            </w:r>
          </w:p>
        </w:tc>
        <w:tc>
          <w:tcPr>
            <w:tcW w:type="dxa" w:w="1296"/>
            <w:shd w:val="clear" w:color="auto" w:fill="EFEFEF"/>
          </w:tcPr>
          <w:p>
            <w:pPr>
              <w:spacing w:line="240" w:lineRule="auto" w:before="40" w:after="40"/>
              <w:jc w:val="center"/>
            </w:pPr>
            <w:r/>
            <w:r>
              <w:rPr>
                <w:b w:val="0"/>
                <w:i w:val="0"/>
                <w:sz w:val="20"/>
              </w:rPr>
              <w:t>Bridge</w:t>
            </w:r>
          </w:p>
        </w:tc>
        <w:tc>
          <w:tcPr>
            <w:tcW w:type="dxa" w:w="1440"/>
            <w:shd w:val="clear" w:color="auto" w:fill="EFEFEF"/>
          </w:tcPr>
          <w:p>
            <w:pPr>
              <w:spacing w:line="240" w:lineRule="auto" w:before="40" w:after="40"/>
              <w:jc w:val="center"/>
            </w:pPr>
            <w:r/>
            <w:r>
              <w:rPr>
                <w:b w:val="0"/>
                <w:i w:val="0"/>
                <w:sz w:val="20"/>
              </w:rPr>
              <w:t>m</w:t>
            </w:r>
          </w:p>
        </w:tc>
        <w:tc>
          <w:tcPr>
            <w:tcW w:type="dxa" w:w="3168"/>
            <w:shd w:val="clear" w:color="auto" w:fill="EFEFEF"/>
          </w:tcPr>
          <w:p>
            <w:pPr>
              <w:spacing w:line="240" w:lineRule="auto" w:before="40" w:after="40"/>
              <w:jc w:val="center"/>
            </w:pPr>
            <w:r/>
            <w:r>
              <w:rPr>
                <w:b w:val="0"/>
                <w:i w:val="0"/>
                <w:sz w:val="20"/>
              </w:rPr>
              <w:t>Substructure details</w:t>
            </w:r>
          </w:p>
        </w:tc>
      </w:tr>
      <w:tr>
        <w:tc>
          <w:tcPr>
            <w:tcW w:type="dxa" w:w="3456"/>
          </w:tcPr>
          <w:p>
            <w:pPr>
              <w:spacing w:line="240" w:lineRule="auto" w:before="40" w:after="40"/>
              <w:jc w:val="left"/>
            </w:pPr>
            <w:r/>
            <w:r>
              <w:rPr>
                <w:b w:val="0"/>
                <w:i/>
                <w:sz w:val="20"/>
              </w:rPr>
              <w:t>Superstructure and foundation type, pile length</w:t>
            </w:r>
          </w:p>
        </w:tc>
        <w:tc>
          <w:tcPr>
            <w:tcW w:type="dxa" w:w="1296"/>
          </w:tcPr>
          <w:p>
            <w:pPr>
              <w:spacing w:line="240" w:lineRule="auto" w:before="40" w:after="40"/>
              <w:jc w:val="center"/>
            </w:pPr>
            <w:r/>
            <w:r>
              <w:rPr>
                <w:b w:val="0"/>
                <w:i w:val="0"/>
                <w:sz w:val="20"/>
              </w:rPr>
              <w:t>Bridge</w:t>
            </w:r>
          </w:p>
        </w:tc>
        <w:tc>
          <w:tcPr>
            <w:tcW w:type="dxa" w:w="1440"/>
          </w:tcPr>
          <w:p>
            <w:pPr>
              <w:spacing w:line="240" w:lineRule="auto" w:before="40" w:after="40"/>
              <w:jc w:val="center"/>
            </w:pPr>
            <w:r/>
            <w:r>
              <w:rPr>
                <w:b w:val="0"/>
                <w:i w:val="0"/>
                <w:sz w:val="20"/>
              </w:rPr>
              <w:t>category, m</w:t>
            </w:r>
          </w:p>
        </w:tc>
        <w:tc>
          <w:tcPr>
            <w:tcW w:type="dxa" w:w="3168"/>
          </w:tcPr>
          <w:p>
            <w:pPr>
              <w:spacing w:line="240" w:lineRule="auto" w:before="40" w:after="40"/>
              <w:jc w:val="center"/>
            </w:pPr>
            <w:r/>
            <w:r>
              <w:rPr>
                <w:b w:val="0"/>
                <w:i w:val="0"/>
                <w:sz w:val="20"/>
              </w:rPr>
              <w:t>General notes, pile schedule</w:t>
            </w:r>
          </w:p>
        </w:tc>
      </w:tr>
      <w:tr>
        <w:tc>
          <w:tcPr>
            <w:tcW w:type="dxa" w:w="3456"/>
            <w:shd w:val="clear" w:color="auto" w:fill="EFEFEF"/>
            <w:tcBorders>
              <w:bottom w:val="single" w:sz="12" w:color="000000"/>
            </w:tcBorders>
          </w:tcPr>
          <w:p>
            <w:pPr>
              <w:spacing w:line="240" w:lineRule="auto" w:before="40" w:after="40"/>
              <w:jc w:val="left"/>
            </w:pPr>
            <w:r/>
            <w:r>
              <w:rPr>
                <w:b w:val="0"/>
                <w:i/>
                <w:sz w:val="20"/>
              </w:rPr>
              <w:t>Province and price year</w:t>
            </w:r>
          </w:p>
        </w:tc>
        <w:tc>
          <w:tcPr>
            <w:tcW w:type="dxa" w:w="1296"/>
            <w:shd w:val="clear" w:color="auto" w:fill="EFEFEF"/>
            <w:tcBorders>
              <w:bottom w:val="single" w:sz="12" w:color="000000"/>
            </w:tcBorders>
          </w:tcPr>
          <w:p>
            <w:pPr>
              <w:spacing w:line="240" w:lineRule="auto" w:before="40" w:after="40"/>
              <w:jc w:val="center"/>
            </w:pPr>
            <w:r/>
            <w:r>
              <w:rPr>
                <w:b w:val="0"/>
                <w:i w:val="0"/>
                <w:sz w:val="20"/>
              </w:rPr>
              <w:t>Both</w:t>
            </w:r>
          </w:p>
        </w:tc>
        <w:tc>
          <w:tcPr>
            <w:tcW w:type="dxa" w:w="1440"/>
            <w:shd w:val="clear" w:color="auto" w:fill="EFEFEF"/>
            <w:tcBorders>
              <w:bottom w:val="single" w:sz="12" w:color="000000"/>
            </w:tcBorders>
          </w:tcPr>
          <w:p>
            <w:pPr>
              <w:spacing w:line="240" w:lineRule="auto" w:before="40" w:after="40"/>
              <w:jc w:val="center"/>
            </w:pPr>
            <w:r/>
            <w:r>
              <w:rPr>
                <w:b w:val="0"/>
                <w:i w:val="0"/>
                <w:sz w:val="20"/>
              </w:rPr>
              <w:t>category, year</w:t>
            </w:r>
          </w:p>
        </w:tc>
        <w:tc>
          <w:tcPr>
            <w:tcW w:type="dxa" w:w="3168"/>
            <w:shd w:val="clear" w:color="auto" w:fill="EFEFEF"/>
            <w:tcBorders>
              <w:bottom w:val="single" w:sz="12" w:color="000000"/>
            </w:tcBorders>
          </w:tcPr>
          <w:p>
            <w:pPr>
              <w:spacing w:line="240" w:lineRule="auto" w:before="40" w:after="40"/>
              <w:jc w:val="center"/>
            </w:pPr>
            <w:r/>
            <w:r>
              <w:rPr>
                <w:b w:val="0"/>
                <w:i w:val="0"/>
                <w:sz w:val="20"/>
              </w:rPr>
              <w:t>Project location, program year</w:t>
            </w:r>
          </w:p>
        </w:tc>
      </w:tr>
    </w:tbl>
    <w:p>
      <w:pPr>
        <w:spacing w:line="240" w:lineRule="auto" w:after="80"/>
      </w:pPr>
    </w:p>
    <w:p>
      <w:pPr>
        <w:spacing w:line="480" w:lineRule="auto" w:after="0"/>
        <w:ind w:firstLine="720"/>
        <w:jc w:val="both"/>
      </w:pPr>
      <w:r>
        <w:rPr>
          <w:b w:val="0"/>
          <w:i w:val="0"/>
        </w:rPr>
        <w:t>Derived indicators were then computed. For buildings, gross floor area (GFA) is footprint area times the number of storeys and the structural span is the larger bay dimension. For bridges, deck width is the carriageway plus both sidewalks plus 0.60 m of railing and curb, deck area is total length times deck width, and span length is total length divided by the number of spans. Categorical systems were encoded as ordinal indices: facility type by MEPF intensity (evacuation center 1 to health facility 6), superstructure by structural complexity (box culvert 1 to steel truss 4) and foundation by depth (spread footing 1 to bored pile 3). A location factor captures freight and barge premiums on island provinces, and a cost index brings each price year to 2025 levels (Table 2).</w:t>
      </w:r>
    </w:p>
    <w:p>
      <w:pPr>
        <w:keepNext/>
        <w:spacing w:line="240" w:lineRule="auto" w:after="0" w:before="120"/>
        <w:jc w:val="left"/>
      </w:pPr>
      <w:r>
        <w:rPr>
          <w:b/>
          <w:i w:val="0"/>
        </w:rPr>
        <w:t>Table 2.</w:t>
      </w:r>
    </w:p>
    <w:p>
      <w:pPr>
        <w:keepNext/>
        <w:spacing w:line="240" w:lineRule="auto" w:after="0"/>
        <w:jc w:val="left"/>
      </w:pPr>
      <w:r>
        <w:rPr>
          <w:b w:val="0"/>
          <w:i/>
        </w:rPr>
        <w:t>Location Factors and Yearly Cost Index</w:t>
      </w:r>
    </w:p>
    <w:tbl>
      <w:tblPr>
        <w:tblW w:type="auto" w:w="0"/>
        <w:jc w:val="center"/>
        <w:tblLayout w:type="fixed"/>
        <w:tblLook w:firstColumn="1" w:firstRow="1" w:lastColumn="0" w:lastRow="0" w:noHBand="0" w:noVBand="1" w:val="04A0"/>
        <w:tblLayout w:type="fixed"/>
      </w:tblPr>
      <w:tblGrid>
        <w:gridCol w:w="2592"/>
        <w:gridCol w:w="2015"/>
        <w:gridCol w:w="2015"/>
        <w:gridCol w:w="2015"/>
      </w:tblGrid>
      <w:tr>
        <w:tc>
          <w:tcPr>
            <w:tcW w:type="dxa" w:w="2592"/>
            <w:tcBorders>
              <w:top w:val="single" w:sz="12" w:color="000000"/>
              <w:bottom w:val="single" w:sz="8" w:color="000000"/>
            </w:tcBorders>
          </w:tcPr>
          <w:p>
            <w:pPr>
              <w:spacing w:line="240" w:lineRule="auto" w:before="40" w:after="40"/>
              <w:jc w:val="center"/>
            </w:pPr>
            <w:r/>
            <w:r>
              <w:rPr>
                <w:b/>
                <w:i w:val="0"/>
                <w:sz w:val="20"/>
              </w:rPr>
              <w:t>PROVINCE</w:t>
            </w:r>
          </w:p>
        </w:tc>
        <w:tc>
          <w:tcPr>
            <w:tcW w:type="dxa" w:w="2016"/>
            <w:tcBorders>
              <w:top w:val="single" w:sz="12" w:color="000000"/>
              <w:bottom w:val="single" w:sz="8" w:color="000000"/>
            </w:tcBorders>
          </w:tcPr>
          <w:p>
            <w:pPr>
              <w:spacing w:line="240" w:lineRule="auto" w:before="40" w:after="40"/>
              <w:jc w:val="center"/>
            </w:pPr>
            <w:r/>
            <w:r>
              <w:rPr>
                <w:b/>
                <w:i w:val="0"/>
                <w:sz w:val="20"/>
              </w:rPr>
              <w:t>LOCATION FACTOR</w:t>
            </w:r>
          </w:p>
        </w:tc>
        <w:tc>
          <w:tcPr>
            <w:tcW w:type="dxa" w:w="2016"/>
            <w:tcBorders>
              <w:top w:val="single" w:sz="12" w:color="000000"/>
              <w:bottom w:val="single" w:sz="8" w:color="000000"/>
            </w:tcBorders>
          </w:tcPr>
          <w:p>
            <w:pPr>
              <w:spacing w:line="240" w:lineRule="auto" w:before="40" w:after="40"/>
              <w:jc w:val="center"/>
            </w:pPr>
            <w:r/>
            <w:r>
              <w:rPr>
                <w:b/>
                <w:i w:val="0"/>
                <w:sz w:val="20"/>
              </w:rPr>
              <w:t>PRICE YEAR</w:t>
            </w:r>
          </w:p>
        </w:tc>
        <w:tc>
          <w:tcPr>
            <w:tcW w:type="dxa" w:w="2016"/>
            <w:tcBorders>
              <w:top w:val="single" w:sz="12" w:color="000000"/>
              <w:bottom w:val="single" w:sz="8" w:color="000000"/>
            </w:tcBorders>
          </w:tcPr>
          <w:p>
            <w:pPr>
              <w:spacing w:line="240" w:lineRule="auto" w:before="40" w:after="40"/>
              <w:jc w:val="center"/>
            </w:pPr>
            <w:r/>
            <w:r>
              <w:rPr>
                <w:b/>
                <w:i w:val="0"/>
                <w:sz w:val="20"/>
              </w:rPr>
              <w:t>COST INDEX</w:t>
            </w:r>
          </w:p>
        </w:tc>
      </w:tr>
      <w:tr>
        <w:tc>
          <w:tcPr>
            <w:tcW w:type="dxa" w:w="2592"/>
            <w:shd w:val="clear" w:color="auto" w:fill="EFEFEF"/>
          </w:tcPr>
          <w:p>
            <w:pPr>
              <w:spacing w:line="240" w:lineRule="auto" w:before="40" w:after="40"/>
              <w:jc w:val="left"/>
            </w:pPr>
            <w:r/>
            <w:r>
              <w:rPr>
                <w:b w:val="0"/>
                <w:i/>
                <w:sz w:val="20"/>
              </w:rPr>
              <w:t>Albay (base)</w:t>
            </w:r>
          </w:p>
        </w:tc>
        <w:tc>
          <w:tcPr>
            <w:tcW w:type="dxa" w:w="2016"/>
            <w:shd w:val="clear" w:color="auto" w:fill="EFEFEF"/>
          </w:tcPr>
          <w:p>
            <w:pPr>
              <w:spacing w:line="240" w:lineRule="auto" w:before="40" w:after="40"/>
              <w:jc w:val="center"/>
            </w:pPr>
            <w:r/>
            <w:r>
              <w:rPr>
                <w:b w:val="0"/>
                <w:i w:val="0"/>
                <w:sz w:val="20"/>
              </w:rPr>
              <w:t>1.00</w:t>
            </w:r>
          </w:p>
        </w:tc>
        <w:tc>
          <w:tcPr>
            <w:tcW w:type="dxa" w:w="2016"/>
            <w:shd w:val="clear" w:color="auto" w:fill="EFEFEF"/>
          </w:tcPr>
          <w:p>
            <w:pPr>
              <w:spacing w:line="240" w:lineRule="auto" w:before="40" w:after="40"/>
              <w:jc w:val="center"/>
            </w:pPr>
            <w:r/>
            <w:r>
              <w:rPr>
                <w:b w:val="0"/>
                <w:i w:val="0"/>
                <w:sz w:val="20"/>
              </w:rPr>
              <w:t>2022</w:t>
            </w:r>
          </w:p>
        </w:tc>
        <w:tc>
          <w:tcPr>
            <w:tcW w:type="dxa" w:w="2016"/>
            <w:shd w:val="clear" w:color="auto" w:fill="EFEFEF"/>
          </w:tcPr>
          <w:p>
            <w:pPr>
              <w:spacing w:line="240" w:lineRule="auto" w:before="40" w:after="40"/>
              <w:jc w:val="center"/>
            </w:pPr>
            <w:r/>
            <w:r>
              <w:rPr>
                <w:b w:val="0"/>
                <w:i w:val="0"/>
                <w:sz w:val="20"/>
              </w:rPr>
              <w:t>0.90</w:t>
            </w:r>
          </w:p>
        </w:tc>
      </w:tr>
      <w:tr>
        <w:tc>
          <w:tcPr>
            <w:tcW w:type="dxa" w:w="2592"/>
          </w:tcPr>
          <w:p>
            <w:pPr>
              <w:spacing w:line="240" w:lineRule="auto" w:before="40" w:after="40"/>
              <w:jc w:val="left"/>
            </w:pPr>
            <w:r/>
            <w:r>
              <w:rPr>
                <w:b w:val="0"/>
                <w:i/>
                <w:sz w:val="20"/>
              </w:rPr>
              <w:t>Camarines Sur</w:t>
            </w:r>
          </w:p>
        </w:tc>
        <w:tc>
          <w:tcPr>
            <w:tcW w:type="dxa" w:w="2016"/>
          </w:tcPr>
          <w:p>
            <w:pPr>
              <w:spacing w:line="240" w:lineRule="auto" w:before="40" w:after="40"/>
              <w:jc w:val="center"/>
            </w:pPr>
            <w:r/>
            <w:r>
              <w:rPr>
                <w:b w:val="0"/>
                <w:i w:val="0"/>
                <w:sz w:val="20"/>
              </w:rPr>
              <w:t>1.00</w:t>
            </w:r>
          </w:p>
        </w:tc>
        <w:tc>
          <w:tcPr>
            <w:tcW w:type="dxa" w:w="2016"/>
          </w:tcPr>
          <w:p>
            <w:pPr>
              <w:spacing w:line="240" w:lineRule="auto" w:before="40" w:after="40"/>
              <w:jc w:val="center"/>
            </w:pPr>
            <w:r/>
            <w:r>
              <w:rPr>
                <w:b w:val="0"/>
                <w:i w:val="0"/>
                <w:sz w:val="20"/>
              </w:rPr>
              <w:t>2023</w:t>
            </w:r>
          </w:p>
        </w:tc>
        <w:tc>
          <w:tcPr>
            <w:tcW w:type="dxa" w:w="2016"/>
          </w:tcPr>
          <w:p>
            <w:pPr>
              <w:spacing w:line="240" w:lineRule="auto" w:before="40" w:after="40"/>
              <w:jc w:val="center"/>
            </w:pPr>
            <w:r/>
            <w:r>
              <w:rPr>
                <w:b w:val="0"/>
                <w:i w:val="0"/>
                <w:sz w:val="20"/>
              </w:rPr>
              <w:t>0.94</w:t>
            </w:r>
          </w:p>
        </w:tc>
      </w:tr>
      <w:tr>
        <w:tc>
          <w:tcPr>
            <w:tcW w:type="dxa" w:w="2592"/>
            <w:shd w:val="clear" w:color="auto" w:fill="EFEFEF"/>
          </w:tcPr>
          <w:p>
            <w:pPr>
              <w:spacing w:line="240" w:lineRule="auto" w:before="40" w:after="40"/>
              <w:jc w:val="left"/>
            </w:pPr>
            <w:r/>
            <w:r>
              <w:rPr>
                <w:b w:val="0"/>
                <w:i/>
                <w:sz w:val="20"/>
              </w:rPr>
              <w:t>Camarines Norte</w:t>
            </w:r>
          </w:p>
        </w:tc>
        <w:tc>
          <w:tcPr>
            <w:tcW w:type="dxa" w:w="2016"/>
            <w:shd w:val="clear" w:color="auto" w:fill="EFEFEF"/>
          </w:tcPr>
          <w:p>
            <w:pPr>
              <w:spacing w:line="240" w:lineRule="auto" w:before="40" w:after="40"/>
              <w:jc w:val="center"/>
            </w:pPr>
            <w:r/>
            <w:r>
              <w:rPr>
                <w:b w:val="0"/>
                <w:i w:val="0"/>
                <w:sz w:val="20"/>
              </w:rPr>
              <w:t>1.03</w:t>
            </w:r>
          </w:p>
        </w:tc>
        <w:tc>
          <w:tcPr>
            <w:tcW w:type="dxa" w:w="2016"/>
            <w:shd w:val="clear" w:color="auto" w:fill="EFEFEF"/>
          </w:tcPr>
          <w:p>
            <w:pPr>
              <w:spacing w:line="240" w:lineRule="auto" w:before="40" w:after="40"/>
              <w:jc w:val="center"/>
            </w:pPr>
            <w:r/>
            <w:r>
              <w:rPr>
                <w:b w:val="0"/>
                <w:i w:val="0"/>
                <w:sz w:val="20"/>
              </w:rPr>
              <w:t>2024</w:t>
            </w:r>
          </w:p>
        </w:tc>
        <w:tc>
          <w:tcPr>
            <w:tcW w:type="dxa" w:w="2016"/>
            <w:shd w:val="clear" w:color="auto" w:fill="EFEFEF"/>
          </w:tcPr>
          <w:p>
            <w:pPr>
              <w:spacing w:line="240" w:lineRule="auto" w:before="40" w:after="40"/>
              <w:jc w:val="center"/>
            </w:pPr>
            <w:r/>
            <w:r>
              <w:rPr>
                <w:b w:val="0"/>
                <w:i w:val="0"/>
                <w:sz w:val="20"/>
              </w:rPr>
              <w:t>0.97</w:t>
            </w:r>
          </w:p>
        </w:tc>
      </w:tr>
      <w:tr>
        <w:tc>
          <w:tcPr>
            <w:tcW w:type="dxa" w:w="2592"/>
          </w:tcPr>
          <w:p>
            <w:pPr>
              <w:spacing w:line="240" w:lineRule="auto" w:before="40" w:after="40"/>
              <w:jc w:val="left"/>
            </w:pPr>
            <w:r/>
            <w:r>
              <w:rPr>
                <w:b w:val="0"/>
                <w:i/>
                <w:sz w:val="20"/>
              </w:rPr>
              <w:t>Sorsogon</w:t>
            </w:r>
          </w:p>
        </w:tc>
        <w:tc>
          <w:tcPr>
            <w:tcW w:type="dxa" w:w="2016"/>
          </w:tcPr>
          <w:p>
            <w:pPr>
              <w:spacing w:line="240" w:lineRule="auto" w:before="40" w:after="40"/>
              <w:jc w:val="center"/>
            </w:pPr>
            <w:r/>
            <w:r>
              <w:rPr>
                <w:b w:val="0"/>
                <w:i w:val="0"/>
                <w:sz w:val="20"/>
              </w:rPr>
              <w:t>1.03</w:t>
            </w:r>
          </w:p>
        </w:tc>
        <w:tc>
          <w:tcPr>
            <w:tcW w:type="dxa" w:w="2016"/>
          </w:tcPr>
          <w:p>
            <w:pPr>
              <w:spacing w:line="240" w:lineRule="auto" w:before="40" w:after="40"/>
              <w:jc w:val="center"/>
            </w:pPr>
            <w:r/>
            <w:r>
              <w:rPr>
                <w:b w:val="0"/>
                <w:i w:val="0"/>
                <w:sz w:val="20"/>
              </w:rPr>
              <w:t>2025 (base)</w:t>
            </w:r>
          </w:p>
        </w:tc>
        <w:tc>
          <w:tcPr>
            <w:tcW w:type="dxa" w:w="2016"/>
          </w:tcPr>
          <w:p>
            <w:pPr>
              <w:spacing w:line="240" w:lineRule="auto" w:before="40" w:after="40"/>
              <w:jc w:val="center"/>
            </w:pPr>
            <w:r/>
            <w:r>
              <w:rPr>
                <w:b w:val="0"/>
                <w:i w:val="0"/>
                <w:sz w:val="20"/>
              </w:rPr>
              <w:t>1.00</w:t>
            </w:r>
          </w:p>
        </w:tc>
      </w:tr>
      <w:tr>
        <w:tc>
          <w:tcPr>
            <w:tcW w:type="dxa" w:w="2592"/>
            <w:shd w:val="clear" w:color="auto" w:fill="EFEFEF"/>
          </w:tcPr>
          <w:p>
            <w:pPr>
              <w:spacing w:line="240" w:lineRule="auto" w:before="40" w:after="40"/>
              <w:jc w:val="left"/>
            </w:pPr>
            <w:r/>
            <w:r>
              <w:rPr>
                <w:b w:val="0"/>
                <w:i/>
                <w:sz w:val="20"/>
              </w:rPr>
              <w:t>Masbate</w:t>
            </w:r>
          </w:p>
        </w:tc>
        <w:tc>
          <w:tcPr>
            <w:tcW w:type="dxa" w:w="2016"/>
            <w:shd w:val="clear" w:color="auto" w:fill="EFEFEF"/>
          </w:tcPr>
          <w:p>
            <w:pPr>
              <w:spacing w:line="240" w:lineRule="auto" w:before="40" w:after="40"/>
              <w:jc w:val="center"/>
            </w:pPr>
            <w:r/>
            <w:r>
              <w:rPr>
                <w:b w:val="0"/>
                <w:i w:val="0"/>
                <w:sz w:val="20"/>
              </w:rPr>
              <w:t>1.10</w:t>
            </w:r>
          </w:p>
        </w:tc>
        <w:tc>
          <w:tcPr>
            <w:tcW w:type="dxa" w:w="2016"/>
            <w:shd w:val="clear" w:color="auto" w:fill="EFEFEF"/>
          </w:tcPr>
          <w:p>
            <w:pPr>
              <w:spacing w:line="240" w:lineRule="auto" w:before="40" w:after="40"/>
              <w:jc w:val="center"/>
            </w:pPr>
            <w:r/>
            <w:r>
              <w:rPr>
                <w:b w:val="0"/>
                <w:i w:val="0"/>
                <w:sz w:val="20"/>
              </w:rPr>
              <w:t>2026</w:t>
            </w:r>
          </w:p>
        </w:tc>
        <w:tc>
          <w:tcPr>
            <w:tcW w:type="dxa" w:w="2016"/>
            <w:shd w:val="clear" w:color="auto" w:fill="EFEFEF"/>
          </w:tcPr>
          <w:p>
            <w:pPr>
              <w:spacing w:line="240" w:lineRule="auto" w:before="40" w:after="40"/>
              <w:jc w:val="center"/>
            </w:pPr>
            <w:r/>
            <w:r>
              <w:rPr>
                <w:b w:val="0"/>
                <w:i w:val="0"/>
                <w:sz w:val="20"/>
              </w:rPr>
              <w:t>1.03</w:t>
            </w:r>
          </w:p>
        </w:tc>
      </w:tr>
      <w:tr>
        <w:tc>
          <w:tcPr>
            <w:tcW w:type="dxa" w:w="2592"/>
            <w:tcBorders>
              <w:bottom w:val="single" w:sz="12" w:color="000000"/>
            </w:tcBorders>
          </w:tcPr>
          <w:p>
            <w:pPr>
              <w:spacing w:line="240" w:lineRule="auto" w:before="40" w:after="40"/>
              <w:jc w:val="left"/>
            </w:pPr>
            <w:r/>
            <w:r>
              <w:rPr>
                <w:b w:val="0"/>
                <w:i/>
                <w:sz w:val="20"/>
              </w:rPr>
              <w:t>Catanduanes</w:t>
            </w:r>
          </w:p>
        </w:tc>
        <w:tc>
          <w:tcPr>
            <w:tcW w:type="dxa" w:w="2016"/>
            <w:tcBorders>
              <w:bottom w:val="single" w:sz="12" w:color="000000"/>
            </w:tcBorders>
          </w:tcPr>
          <w:p>
            <w:pPr>
              <w:spacing w:line="240" w:lineRule="auto" w:before="40" w:after="40"/>
              <w:jc w:val="center"/>
            </w:pPr>
            <w:r/>
            <w:r>
              <w:rPr>
                <w:b w:val="0"/>
                <w:i w:val="0"/>
                <w:sz w:val="20"/>
              </w:rPr>
              <w:t>1.12</w:t>
            </w:r>
          </w:p>
        </w:tc>
        <w:tc>
          <w:tcPr>
            <w:tcW w:type="dxa" w:w="2016"/>
            <w:tcBorders>
              <w:bottom w:val="single" w:sz="12" w:color="000000"/>
            </w:tcBorders>
          </w:tcPr>
          <w:p>
            <w:pPr>
              <w:spacing w:line="240" w:lineRule="auto" w:before="40" w:after="40"/>
              <w:jc w:val="center"/>
            </w:pPr>
            <w:r/>
            <w:r>
              <w:rPr>
                <w:b w:val="0"/>
                <w:i w:val="0"/>
                <w:sz w:val="20"/>
              </w:rPr>
              <w:t>–</w:t>
            </w:r>
          </w:p>
        </w:tc>
        <w:tc>
          <w:tcPr>
            <w:tcW w:type="dxa" w:w="2016"/>
            <w:tcBorders>
              <w:bottom w:val="single" w:sz="12" w:color="000000"/>
            </w:tcBorders>
          </w:tcPr>
          <w:p>
            <w:pPr>
              <w:spacing w:line="240" w:lineRule="auto" w:before="40" w:after="40"/>
              <w:jc w:val="center"/>
            </w:pPr>
            <w:r/>
            <w:r>
              <w:rPr>
                <w:b w:val="0"/>
                <w:i w:val="0"/>
                <w:sz w:val="20"/>
              </w:rPr>
              <w:t>–</w:t>
            </w:r>
          </w:p>
        </w:tc>
      </w:tr>
    </w:tbl>
    <w:p>
      <w:pPr>
        <w:spacing w:line="240" w:lineRule="auto" w:after="80"/>
      </w:pPr>
    </w:p>
    <w:p>
      <w:pPr>
        <w:keepNext/>
        <w:spacing w:line="480" w:lineRule="auto" w:after="0"/>
        <w:ind w:left="720"/>
        <w:jc w:val="left"/>
      </w:pPr>
      <w:r>
        <w:rPr>
          <w:b/>
          <w:i w:val="0"/>
        </w:rPr>
        <w:t>Design Generation and Budget-to-Design Optimization</w:t>
      </w:r>
    </w:p>
    <w:p>
      <w:pPr>
        <w:spacing w:line="480" w:lineRule="auto" w:after="0"/>
        <w:ind w:firstLine="720"/>
        <w:jc w:val="both"/>
      </w:pPr>
      <w:r>
        <w:rPr>
          <w:b w:val="0"/>
          <w:i w:val="0"/>
        </w:rPr>
        <w:t>When no blueprint exists, BUHAY-AH builds one. The design generator holds 55 reusable space modules, each with a width along the building, a depth, a category and the capacity it adds (Table 3). Module sizes follow the national norms that govern each facility: the 7 × 9 m (63 m²) classroom of the DepEd Educational Facilities Manual (Department of Education, 2010), consultation rooms, wards and delivery rooms after the DOH planning guidelines (Department of Health, 2016), open offices of six workstations, evacuation hall bays that give 3.5 m² of covered living space per person (Sphere Association, 2018), and market bays of six to twelve stalls.</w:t>
      </w:r>
    </w:p>
    <w:p>
      <w:pPr>
        <w:spacing w:line="480" w:lineRule="auto" w:after="0"/>
        <w:ind w:firstLine="720"/>
        <w:jc w:val="both"/>
      </w:pPr>
      <w:r>
        <w:rPr>
          <w:b w:val="0"/>
          <w:i w:val="0"/>
        </w:rPr>
        <w:t xml:space="preserve">A requirement is first turned into a program, the list of spaces the facility needs. For a school of </w:t>
      </w:r>
      <w:r>
        <w:rPr>
          <w:b w:val="0"/>
          <w:i/>
        </w:rPr>
        <w:t>k</w:t>
      </w:r>
      <w:r>
        <w:rPr>
          <w:b w:val="0"/>
          <w:i w:val="0"/>
        </w:rPr>
        <w:t xml:space="preserve"> classrooms the program holds </w:t>
      </w:r>
      <w:r>
        <w:rPr>
          <w:b w:val="0"/>
          <w:i/>
        </w:rPr>
        <w:t>k</w:t>
      </w:r>
      <w:r>
        <w:rPr>
          <w:b w:val="0"/>
          <w:i w:val="0"/>
        </w:rPr>
        <w:t xml:space="preserve"> classrooms and a toilet block on every floor, and adds a principal's office and clinic from six classrooms, a faculty room and library from ten, and science and ICT laboratories from sixteen. Health facilities group beds into six-bed wards, two-bed labor rooms and isolation rooms; offices group staff into six-person open offices; evacuation centers use one hall bay per twenty persons. The spaces are then distributed over </w:t>
      </w:r>
      <w:r>
        <w:rPr>
          <w:b w:val="0"/>
          <w:i/>
        </w:rPr>
        <w:t>N</w:t>
      </w:r>
      <w:r>
        <w:rPr>
          <w:b w:val="0"/>
          <w:i w:val="0"/>
        </w:rPr>
        <w:t xml:space="preserve"> floors with a greedy longest-first rule: the largest module goes to the floor with the shortest run, and spaces that must be reached from the street (offices, clinics, kitchens, stall bays) stay on the ground floor. One stair is added per floor, two when a floor is longer than 30 m so that every floor has two exits (RA 9514). Rooms are placed in rows in one of three layouts: single-loaded (one row facing an open corridor, as in DepEd schools), double-loaded (two rows on a central corridor, as in clinics and offices) or open (one to three rows without a corridor, as in halls and markets). The footprint follows from the rows: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445454" cy="375513"/>
            <wp:docPr id="30" name="Picture 30"/>
            <wp:cNvGraphicFramePr>
              <a:graphicFrameLocks noChangeAspect="1"/>
            </wp:cNvGraphicFramePr>
            <a:graphic>
              <a:graphicData uri="http://schemas.openxmlformats.org/drawingml/2006/picture">
                <pic:pic>
                  <pic:nvPicPr>
                    <pic:cNvPr id="0" name="pack.png"/>
                    <pic:cNvPicPr/>
                  </pic:nvPicPr>
                  <pic:blipFill>
                    <a:blip r:embed="rId10"/>
                    <a:stretch>
                      <a:fillRect/>
                    </a:stretch>
                  </pic:blipFill>
                  <pic:spPr>
                    <a:xfrm>
                      <a:off x="0" y="0"/>
                      <a:ext cx="3445454" cy="375513"/>
                    </a:xfrm>
                    <a:prstGeom prst="rect"/>
                  </pic:spPr>
                </pic:pic>
              </a:graphicData>
            </a:graphic>
          </wp:inline>
        </w:drawing>
      </w:r>
      <w:r>
        <w:tab/>
        <w:t>Eq. 1</w:t>
      </w:r>
    </w:p>
    <w:p>
      <w:pPr>
        <w:spacing w:line="480" w:lineRule="auto" w:after="0"/>
        <w:ind w:firstLine="720"/>
        <w:jc w:val="both"/>
      </w:pPr>
      <w:r>
        <w:rPr>
          <w:b w:val="0"/>
          <w:i w:val="0"/>
        </w:rPr>
        <w:t xml:space="preserve">where </w:t>
      </w:r>
      <w:r>
        <w:rPr>
          <w:b w:val="0"/>
          <w:i/>
        </w:rPr>
        <w:t>w</w:t>
      </w:r>
      <w:r>
        <w:rPr>
          <w:b w:val="0"/>
          <w:i/>
          <w:vertAlign w:val="subscript"/>
        </w:rPr>
        <w:t>i</w:t>
      </w:r>
      <w:r>
        <w:rPr>
          <w:b w:val="0"/>
          <w:i w:val="0"/>
        </w:rPr>
        <w:t xml:space="preserve"> is the width of module </w:t>
      </w:r>
      <w:r>
        <w:rPr>
          <w:b w:val="0"/>
          <w:i/>
        </w:rPr>
        <w:t>i</w:t>
      </w:r>
      <w:r>
        <w:rPr>
          <w:b w:val="0"/>
          <w:i w:val="0"/>
        </w:rPr>
        <w:t xml:space="preserve">, the maximum runs over floors </w:t>
      </w:r>
      <w:r>
        <w:rPr>
          <w:b w:val="0"/>
          <w:i/>
        </w:rPr>
        <w:t>f</w:t>
      </w:r>
      <w:r>
        <w:rPr>
          <w:b w:val="0"/>
          <w:i w:val="0"/>
        </w:rPr>
        <w:t xml:space="preserve"> and rows </w:t>
      </w:r>
      <w:r>
        <w:rPr>
          <w:b w:val="0"/>
          <w:i/>
        </w:rPr>
        <w:t>r</w:t>
      </w:r>
      <w:r>
        <w:rPr>
          <w:b w:val="0"/>
          <w:i w:val="0"/>
        </w:rPr>
        <w:t xml:space="preserve">, </w:t>
      </w:r>
      <w:r>
        <w:rPr>
          <w:b w:val="0"/>
          <w:i/>
        </w:rPr>
        <w:t>n</w:t>
      </w:r>
      <w:r>
        <w:rPr>
          <w:b w:val="0"/>
          <w:i/>
          <w:vertAlign w:val="subscript"/>
        </w:rPr>
        <w:t>r</w:t>
      </w:r>
      <w:r>
        <w:rPr>
          <w:b w:val="0"/>
          <w:i w:val="0"/>
        </w:rPr>
        <w:t xml:space="preserve"> is the number of rows, </w:t>
      </w:r>
      <w:r>
        <w:rPr>
          <w:b w:val="0"/>
          <w:i/>
        </w:rPr>
        <w:t>d</w:t>
      </w:r>
      <w:r>
        <w:rPr>
          <w:b w:val="0"/>
          <w:i w:val="0"/>
        </w:rPr>
        <w:t xml:space="preserve"> the row depth and </w:t>
      </w:r>
      <w:r>
        <w:rPr>
          <w:b w:val="0"/>
          <w:i/>
        </w:rPr>
        <w:t>c</w:t>
      </w:r>
      <w:r>
        <w:rPr>
          <w:b w:val="0"/>
          <w:i w:val="0"/>
        </w:rPr>
        <w:t xml:space="preserve"> the corridor width. The capacity of a design is the sum of its modules' capacities: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758341" cy="346252"/>
            <wp:docPr id="31" name="Picture 31"/>
            <wp:cNvGraphicFramePr>
              <a:graphicFrameLocks noChangeAspect="1"/>
            </wp:cNvGraphicFramePr>
            <a:graphic>
              <a:graphicData uri="http://schemas.openxmlformats.org/drawingml/2006/picture">
                <pic:pic>
                  <pic:nvPicPr>
                    <pic:cNvPr id="0" name="cap.png"/>
                    <pic:cNvPicPr/>
                  </pic:nvPicPr>
                  <pic:blipFill>
                    <a:blip r:embed="rId11"/>
                    <a:stretch>
                      <a:fillRect/>
                    </a:stretch>
                  </pic:blipFill>
                  <pic:spPr>
                    <a:xfrm>
                      <a:off x="0" y="0"/>
                      <a:ext cx="758341" cy="346252"/>
                    </a:xfrm>
                    <a:prstGeom prst="rect"/>
                  </pic:spPr>
                </pic:pic>
              </a:graphicData>
            </a:graphic>
          </wp:inline>
        </w:drawing>
      </w:r>
      <w:r>
        <w:tab/>
        <w:t>Eq. 2</w:t>
      </w:r>
    </w:p>
    <w:p>
      <w:pPr>
        <w:spacing w:line="480" w:lineRule="auto" w:after="0"/>
        <w:ind w:firstLine="720"/>
        <w:jc w:val="both"/>
      </w:pPr>
      <w:r>
        <w:rPr>
          <w:b w:val="0"/>
          <w:i w:val="0"/>
        </w:rPr>
        <w:t>The column grid is set by the module rhythm (4.5 m bays for schools, 5 to 6 m for other buildings), so every generated design yields the plan variables of Table 1 and goes straight into the quantity take-off. Any design, including one saved by the user, can be added to another as a wing: its modules are appended to the program and the layout is regenerated.</w:t>
      </w:r>
    </w:p>
    <w:p>
      <w:pPr>
        <w:spacing w:line="480" w:lineRule="auto" w:after="0"/>
        <w:ind w:firstLine="720"/>
        <w:jc w:val="both"/>
      </w:pPr>
      <w:r>
        <w:rPr>
          <w:b w:val="0"/>
          <w:i w:val="0"/>
        </w:rPr>
        <w:t xml:space="preserve">For a budget </w:t>
      </w:r>
      <w:r>
        <w:rPr>
          <w:b w:val="0"/>
          <w:i/>
        </w:rPr>
        <w:t>B</w:t>
      </w:r>
      <w:r>
        <w:rPr>
          <w:b w:val="0"/>
          <w:i w:val="0"/>
        </w:rPr>
        <w:t xml:space="preserve">, the best design is the solution of a constrained integer program over capacity </w:t>
      </w:r>
      <w:r>
        <w:rPr>
          <w:b w:val="0"/>
          <w:i/>
        </w:rPr>
        <w:t>k</w:t>
      </w:r>
      <w:r>
        <w:rPr>
          <w:b w:val="0"/>
          <w:i w:val="0"/>
        </w:rPr>
        <w:t xml:space="preserve"> and storeys </w:t>
      </w:r>
      <w:r>
        <w:rPr>
          <w:b w:val="0"/>
          <w:i/>
        </w:rPr>
        <w:t>N</w:t>
      </w:r>
      <w:r>
        <w:rPr>
          <w:b w:val="0"/>
          <w:i w:val="0"/>
        </w:rPr>
        <w: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635396" cy="324307"/>
            <wp:docPr id="32" name="Picture 32"/>
            <wp:cNvGraphicFramePr>
              <a:graphicFrameLocks noChangeAspect="1"/>
            </wp:cNvGraphicFramePr>
            <a:graphic>
              <a:graphicData uri="http://schemas.openxmlformats.org/drawingml/2006/picture">
                <pic:pic>
                  <pic:nvPicPr>
                    <pic:cNvPr id="0" name="opt.png"/>
                    <pic:cNvPicPr/>
                  </pic:nvPicPr>
                  <pic:blipFill>
                    <a:blip r:embed="rId12"/>
                    <a:stretch>
                      <a:fillRect/>
                    </a:stretch>
                  </pic:blipFill>
                  <pic:spPr>
                    <a:xfrm>
                      <a:off x="0" y="0"/>
                      <a:ext cx="4635396" cy="324307"/>
                    </a:xfrm>
                    <a:prstGeom prst="rect"/>
                  </pic:spPr>
                </pic:pic>
              </a:graphicData>
            </a:graphic>
          </wp:inline>
        </w:drawing>
      </w:r>
      <w:r>
        <w:tab/>
        <w:t>Eq. 3</w:t>
      </w:r>
    </w:p>
    <w:p>
      <w:pPr>
        <w:spacing w:line="480" w:lineRule="auto" w:after="0"/>
        <w:ind w:firstLine="720"/>
        <w:jc w:val="both"/>
      </w:pPr>
      <w:r>
        <w:rPr>
          <w:b w:val="0"/>
          <w:i w:val="0"/>
        </w:rPr>
        <w:t xml:space="preserve">where </w:t>
      </w:r>
      <w:r>
        <w:rPr>
          <w:b w:val="0"/>
          <w:i/>
        </w:rPr>
        <w:t>τ</w:t>
      </w:r>
      <w:r>
        <w:rPr>
          <w:b w:val="0"/>
          <w:i w:val="0"/>
        </w:rPr>
        <w:t xml:space="preserve"> is the price basis (lean start quotation or standard estimate), </w:t>
      </w:r>
      <w:r>
        <w:rPr>
          <w:b w:val="0"/>
          <w:i/>
        </w:rPr>
        <w:t>L</w:t>
      </w:r>
      <w:r>
        <w:rPr>
          <w:b w:val="0"/>
          <w:i/>
          <w:vertAlign w:val="subscript"/>
        </w:rPr>
        <w:t>max</w:t>
      </w:r>
      <w:r>
        <w:rPr>
          <w:b w:val="0"/>
          <w:i w:val="0"/>
        </w:rPr>
        <w:t xml:space="preserve"> is the longest building the lot allows and </w:t>
      </w:r>
      <w:r>
        <w:rPr>
          <w:b w:val="0"/>
          <w:i/>
        </w:rPr>
        <w:t>N</w:t>
      </w:r>
      <w:r>
        <w:rPr>
          <w:b w:val="0"/>
          <w:i/>
          <w:vertAlign w:val="subscript"/>
        </w:rPr>
        <w:t>max</w:t>
      </w:r>
      <w:r>
        <w:rPr>
          <w:b w:val="0"/>
          <w:i w:val="0"/>
        </w:rPr>
        <w:t xml:space="preserve"> the storey limit. Because support rooms enter at thresholds and a second stair appears beyond 30 m, cost is not monotonic in </w:t>
      </w:r>
      <w:r>
        <w:rPr>
          <w:b w:val="0"/>
          <w:i/>
        </w:rPr>
        <w:t>k</w:t>
      </w:r>
      <w:r>
        <w:rPr>
          <w:b w:val="0"/>
          <w:i w:val="0"/>
        </w:rPr>
        <w:t>, so bisection could skip feasible designs. The solver therefore enumerates every point of the discrete grid and prices each design with the full take-off, which guarantees the optimum. With at most 150 capacity steps and five storey counts, the search costs O(|K| · N</w:t>
      </w:r>
      <w:r>
        <w:rPr>
          <w:b w:val="0"/>
          <w:i w:val="0"/>
          <w:vertAlign w:val="subscript"/>
        </w:rPr>
        <w:t>max</w:t>
      </w:r>
      <w:r>
        <w:rPr>
          <w:b w:val="0"/>
          <w:i w:val="0"/>
        </w:rPr>
        <w:t xml:space="preserve"> · T</w:t>
      </w:r>
      <w:r>
        <w:rPr>
          <w:b w:val="0"/>
          <w:i w:val="0"/>
          <w:vertAlign w:val="subscript"/>
        </w:rPr>
        <w:t>QTO</w:t>
      </w:r>
      <w:r>
        <w:rPr>
          <w:b w:val="0"/>
          <w:i w:val="0"/>
        </w:rPr>
        <w:t>) evaluations at about 0.1 ms each. The results are filtered to the Pareto-efficient set: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918499" cy="241401"/>
            <wp:docPr id="33" name="Picture 33"/>
            <wp:cNvGraphicFramePr>
              <a:graphicFrameLocks noChangeAspect="1"/>
            </wp:cNvGraphicFramePr>
            <a:graphic>
              <a:graphicData uri="http://schemas.openxmlformats.org/drawingml/2006/picture">
                <pic:pic>
                  <pic:nvPicPr>
                    <pic:cNvPr id="0" name="pareto.png"/>
                    <pic:cNvPicPr/>
                  </pic:nvPicPr>
                  <pic:blipFill>
                    <a:blip r:embed="rId13"/>
                    <a:stretch>
                      <a:fillRect/>
                    </a:stretch>
                  </pic:blipFill>
                  <pic:spPr>
                    <a:xfrm>
                      <a:off x="0" y="0"/>
                      <a:ext cx="3918499" cy="241401"/>
                    </a:xfrm>
                    <a:prstGeom prst="rect"/>
                  </pic:spPr>
                </pic:pic>
              </a:graphicData>
            </a:graphic>
          </wp:inline>
        </w:drawing>
      </w:r>
      <w:r>
        <w:tab/>
        <w:t>Eq. 4</w:t>
      </w:r>
    </w:p>
    <w:p>
      <w:pPr>
        <w:spacing w:line="480" w:lineRule="auto" w:after="0"/>
        <w:ind w:firstLine="720"/>
        <w:jc w:val="both"/>
      </w:pPr>
      <w:r>
        <w:rPr>
          <w:b w:val="0"/>
          <w:i w:val="0"/>
        </w:rPr>
        <w:t>so the user sees, for example, the largest school the budget can buy and the cheapest design of each smaller size, but never a design that another beats on both capacity and cost. Algorithm 1 summarizes the procedure.</w:t>
      </w:r>
    </w:p>
    <w:p>
      <w:pPr>
        <w:keepNext/>
        <w:spacing w:line="240" w:lineRule="auto" w:after="0" w:before="120"/>
        <w:jc w:val="left"/>
      </w:pPr>
      <w:r>
        <w:rPr>
          <w:b/>
          <w:i w:val="0"/>
        </w:rPr>
        <w:t>Algorithm 1.</w:t>
      </w:r>
    </w:p>
    <w:p>
      <w:pPr>
        <w:keepNext/>
        <w:spacing w:line="240" w:lineRule="auto" w:after="0"/>
        <w:jc w:val="left"/>
      </w:pPr>
      <w:r>
        <w:rPr>
          <w:b w:val="0"/>
          <w:i/>
        </w:rPr>
        <w:t>Budget-to-Design Search</w:t>
      </w:r>
    </w:p>
    <w:tbl>
      <w:tblPr>
        <w:tblW w:type="auto" w:w="0"/>
        <w:jc w:val="center"/>
        <w:tblLook w:firstColumn="1" w:firstRow="1" w:lastColumn="0" w:lastRow="0" w:noHBand="0" w:noVBand="1" w:val="04A0"/>
      </w:tblPr>
      <w:tblGrid>
        <w:gridCol w:w="9026"/>
      </w:tblGrid>
      <w:tr>
        <w:tc>
          <w:tcPr>
            <w:tcW w:type="dxa" w:w="9026"/>
            <w:shd w:val="clear" w:color="auto" w:fill="F4F6F8"/>
            <w:tcBorders>
              <w:top w:val="single" w:sz="8" w:color="000000"/>
              <w:bottom w:val="single" w:sz="8" w:color="000000"/>
            </w:tcBorders>
          </w:tcPr>
          <w:p>
            <w:pPr>
              <w:spacing w:line="240" w:lineRule="auto"/>
            </w:pPr>
            <w:r/>
            <w:r>
              <w:rPr>
                <w:rFonts w:ascii="Courier New" w:hAnsi="Courier New" w:eastAsia="Courier New"/>
                <w:sz w:val="17"/>
              </w:rPr>
              <w:t>input : usage u, budget B, price basis τ, storey limit Nmax, lot length Lmax</w:t>
            </w:r>
          </w:p>
          <w:p>
            <w:pPr>
              <w:spacing w:line="240" w:lineRule="auto"/>
            </w:pPr>
            <w:r>
              <w:rPr>
                <w:rFonts w:ascii="Courier New" w:hAnsi="Courier New" w:eastAsia="Courier New"/>
                <w:sz w:val="17"/>
              </w:rPr>
              <w:t>output: Pareto-efficient designs that fit B</w:t>
            </w:r>
          </w:p>
          <w:p>
            <w:pPr>
              <w:spacing w:line="240" w:lineRule="auto"/>
            </w:pPr>
            <w:r>
              <w:rPr>
                <w:rFonts w:ascii="Courier New" w:hAnsi="Courier New" w:eastAsia="Courier New"/>
                <w:sz w:val="17"/>
              </w:rPr>
              <w:t>options ← ∅</w:t>
            </w:r>
          </w:p>
          <w:p>
            <w:pPr>
              <w:spacing w:line="240" w:lineRule="auto"/>
            </w:pPr>
            <w:r>
              <w:rPr>
                <w:rFonts w:ascii="Courier New" w:hAnsi="Courier New" w:eastAsia="Courier New"/>
                <w:sz w:val="17"/>
              </w:rPr>
              <w:t>for N ← 1 to Nmax do</w:t>
            </w:r>
          </w:p>
          <w:p>
            <w:pPr>
              <w:spacing w:line="240" w:lineRule="auto"/>
            </w:pPr>
            <w:r>
              <w:rPr>
                <w:rFonts w:ascii="Courier New" w:hAnsi="Courier New" w:eastAsia="Courier New"/>
                <w:sz w:val="17"/>
              </w:rPr>
              <w:t xml:space="preserve">    best ← none</w:t>
            </w:r>
          </w:p>
          <w:p>
            <w:pPr>
              <w:spacing w:line="240" w:lineRule="auto"/>
            </w:pPr>
            <w:r>
              <w:rPr>
                <w:rFonts w:ascii="Courier New" w:hAnsi="Courier New" w:eastAsia="Courier New"/>
                <w:sz w:val="17"/>
              </w:rPr>
              <w:t xml:space="preserve">    for k ← kmin(u) to kmax(u) step Δk(u) do</w:t>
            </w:r>
          </w:p>
          <w:p>
            <w:pPr>
              <w:spacing w:line="240" w:lineRule="auto"/>
            </w:pPr>
            <w:r>
              <w:rPr>
                <w:rFonts w:ascii="Courier New" w:hAnsi="Courier New" w:eastAsia="Courier New"/>
                <w:sz w:val="17"/>
              </w:rPr>
              <w:t xml:space="preserve">        program ← PROGRAM(u, k, N)                  ▹ spaces from DepEd/DOH/NBC/DSWD rules</w:t>
            </w:r>
          </w:p>
          <w:p>
            <w:pPr>
              <w:spacing w:line="240" w:lineRule="auto"/>
            </w:pPr>
            <w:r>
              <w:rPr>
                <w:rFonts w:ascii="Courier New" w:hAnsi="Courier New" w:eastAsia="Courier New"/>
                <w:sz w:val="17"/>
              </w:rPr>
              <w:t xml:space="preserve">        design  ← LAYOUT(program, N)                ▹ greedy longest-first, rows, stairs, grid</w:t>
            </w:r>
          </w:p>
          <w:p>
            <w:pPr>
              <w:spacing w:line="240" w:lineRule="auto"/>
            </w:pPr>
            <w:r>
              <w:rPr>
                <w:rFonts w:ascii="Courier New" w:hAnsi="Courier New" w:eastAsia="Courier New"/>
                <w:sz w:val="17"/>
              </w:rPr>
              <w:t xml:space="preserve">        q       ← QUOTE(design.plan)                ▹ quantity take-off + ABC (Algorithm 2)</w:t>
            </w:r>
          </w:p>
          <w:p>
            <w:pPr>
              <w:spacing w:line="240" w:lineRule="auto"/>
            </w:pPr>
            <w:r>
              <w:rPr>
                <w:rFonts w:ascii="Courier New" w:hAnsi="Courier New" w:eastAsia="Courier New"/>
                <w:sz w:val="17"/>
              </w:rPr>
              <w:t xml:space="preserve">        if q[τ] ≤ B and design.L ≤ Lmax and (best = none or k &gt; best.k) then best ← (k, N, design, q)</w:t>
            </w:r>
          </w:p>
          <w:p>
            <w:pPr>
              <w:spacing w:line="240" w:lineRule="auto"/>
            </w:pPr>
            <w:r>
              <w:rPr>
                <w:rFonts w:ascii="Courier New" w:hAnsi="Courier New" w:eastAsia="Courier New"/>
                <w:sz w:val="17"/>
              </w:rPr>
              <w:t xml:space="preserve">    if best ≠ none then options ← options ∪ {best}</w:t>
            </w:r>
          </w:p>
          <w:p>
            <w:pPr>
              <w:spacing w:line="240" w:lineRule="auto"/>
            </w:pPr>
            <w:r>
              <w:rPr>
                <w:rFonts w:ascii="Courier New" w:hAnsi="Courier New" w:eastAsia="Courier New"/>
                <w:sz w:val="17"/>
              </w:rPr>
              <w:t>return { x ∈ options : no y ∈ options with κ(y) ≥ κ(x), ABC(y) ≤ ABC(x), y ≠ x }</w:t>
            </w:r>
          </w:p>
        </w:tc>
      </w:tr>
    </w:tbl>
    <w:p>
      <w:pPr>
        <w:spacing w:line="240" w:lineRule="auto" w:after="80"/>
      </w:pPr>
    </w:p>
    <w:p>
      <w:pPr>
        <w:spacing w:line="480" w:lineRule="auto" w:after="0"/>
        <w:ind w:firstLine="720"/>
        <w:jc w:val="both"/>
      </w:pPr>
      <w:r>
        <w:rPr>
          <w:b w:val="0"/>
          <w:i w:val="0"/>
        </w:rPr>
        <w:t xml:space="preserve">For bridges, the designer tries every superstructure whose economic span range fits the gap </w:t>
      </w:r>
      <w:r>
        <w:rPr>
          <w:b w:val="0"/>
          <w:i/>
        </w:rPr>
        <w:t>G</w:t>
      </w:r>
      <w:r>
        <w:rPr>
          <w:b w:val="0"/>
          <w:i w:val="0"/>
        </w:rPr>
        <w:t>: box culverts for spans of 1.5 to 4.5 m, RC deck girders for 8 to 25 m, prestressed girders for 24 to 40 m and steel trusses for 40 to 90 m, each at up to three span arrangements. Each option is priced with the bridge take-off and the cheapest is recommended:</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867297" cy="307238"/>
            <wp:docPr id="34" name="Picture 34"/>
            <wp:cNvGraphicFramePr>
              <a:graphicFrameLocks noChangeAspect="1"/>
            </wp:cNvGraphicFramePr>
            <a:graphic>
              <a:graphicData uri="http://schemas.openxmlformats.org/drawingml/2006/picture">
                <pic:pic>
                  <pic:nvPicPr>
                    <pic:cNvPr id="0" name="bridge.png"/>
                    <pic:cNvPicPr/>
                  </pic:nvPicPr>
                  <pic:blipFill>
                    <a:blip r:embed="rId14"/>
                    <a:stretch>
                      <a:fillRect/>
                    </a:stretch>
                  </pic:blipFill>
                  <pic:spPr>
                    <a:xfrm>
                      <a:off x="0" y="0"/>
                      <a:ext cx="3867297" cy="307238"/>
                    </a:xfrm>
                    <a:prstGeom prst="rect"/>
                  </pic:spPr>
                </pic:pic>
              </a:graphicData>
            </a:graphic>
          </wp:inline>
        </w:drawing>
      </w:r>
      <w:r>
        <w:tab/>
        <w:t>Eq. 5</w:t>
      </w:r>
    </w:p>
    <w:p>
      <w:pPr>
        <w:spacing w:line="480" w:lineRule="auto" w:after="0"/>
        <w:ind w:firstLine="720"/>
        <w:jc w:val="both"/>
      </w:pPr>
      <w:r>
        <w:rPr>
          <w:b w:val="0"/>
          <w:i w:val="0"/>
        </w:rPr>
        <w:t>Every generated design is also checked against space and safety rules: classrooms of 63 m², corridors of at least 1.12 m (RA 9514), one or two stairs per floor as above, a toilet block with PWD cubicles on each floor (BP 344), at least 3.5 m² of living space per evacuee, and windows of at least 10% of floor area (PD 1096). Table 3 lists the module library.</w:t>
      </w:r>
    </w:p>
    <w:p>
      <w:pPr>
        <w:keepNext/>
        <w:spacing w:line="240" w:lineRule="auto" w:after="0" w:before="120"/>
        <w:jc w:val="left"/>
      </w:pPr>
      <w:r>
        <w:rPr>
          <w:b/>
          <w:i w:val="0"/>
        </w:rPr>
        <w:t>Table 3.</w:t>
      </w:r>
    </w:p>
    <w:p>
      <w:pPr>
        <w:keepNext/>
        <w:spacing w:line="240" w:lineRule="auto" w:after="0"/>
        <w:jc w:val="left"/>
      </w:pPr>
      <w:r>
        <w:rPr>
          <w:b w:val="0"/>
          <w:i/>
        </w:rPr>
        <w:t>Space Module Library of the Design Generator</w:t>
      </w:r>
    </w:p>
    <w:tbl>
      <w:tblPr>
        <w:tblW w:type="auto" w:w="0"/>
        <w:jc w:val="center"/>
        <w:tblLayout w:type="fixed"/>
        <w:tblLook w:firstColumn="1" w:firstRow="1" w:lastColumn="0" w:lastRow="0" w:noHBand="0" w:noVBand="1" w:val="04A0"/>
        <w:tblLayout w:type="fixed"/>
      </w:tblPr>
      <w:tblGrid>
        <w:gridCol w:w="1728"/>
        <w:gridCol w:w="4464"/>
        <w:gridCol w:w="1728"/>
        <w:gridCol w:w="1296"/>
      </w:tblGrid>
      <w:tr>
        <w:tc>
          <w:tcPr>
            <w:tcW w:type="dxa" w:w="1728"/>
            <w:tcBorders>
              <w:top w:val="single" w:sz="12" w:color="000000"/>
              <w:bottom w:val="single" w:sz="8" w:color="000000"/>
            </w:tcBorders>
          </w:tcPr>
          <w:p>
            <w:pPr>
              <w:spacing w:line="240" w:lineRule="auto" w:before="40" w:after="40"/>
              <w:jc w:val="center"/>
            </w:pPr>
            <w:r/>
            <w:r>
              <w:rPr>
                <w:b/>
                <w:i w:val="0"/>
                <w:sz w:val="17"/>
              </w:rPr>
              <w:t>GROUP</w:t>
            </w:r>
          </w:p>
        </w:tc>
        <w:tc>
          <w:tcPr>
            <w:tcW w:type="dxa" w:w="4464"/>
            <w:tcBorders>
              <w:top w:val="single" w:sz="12" w:color="000000"/>
              <w:bottom w:val="single" w:sz="8" w:color="000000"/>
            </w:tcBorders>
          </w:tcPr>
          <w:p>
            <w:pPr>
              <w:spacing w:line="240" w:lineRule="auto" w:before="40" w:after="40"/>
              <w:jc w:val="center"/>
            </w:pPr>
            <w:r/>
            <w:r>
              <w:rPr>
                <w:b/>
                <w:i w:val="0"/>
                <w:sz w:val="17"/>
              </w:rPr>
              <w:t>SPACE MODULES</w:t>
            </w:r>
          </w:p>
        </w:tc>
        <w:tc>
          <w:tcPr>
            <w:tcW w:type="dxa" w:w="1728"/>
            <w:tcBorders>
              <w:top w:val="single" w:sz="12" w:color="000000"/>
              <w:bottom w:val="single" w:sz="8" w:color="000000"/>
            </w:tcBorders>
          </w:tcPr>
          <w:p>
            <w:pPr>
              <w:spacing w:line="240" w:lineRule="auto" w:before="40" w:after="40"/>
              <w:jc w:val="center"/>
            </w:pPr>
            <w:r/>
            <w:r>
              <w:rPr>
                <w:b/>
                <w:i w:val="0"/>
                <w:sz w:val="17"/>
              </w:rPr>
              <w:t>TYPICAL SIZE</w:t>
            </w:r>
          </w:p>
        </w:tc>
        <w:tc>
          <w:tcPr>
            <w:tcW w:type="dxa" w:w="1296"/>
            <w:tcBorders>
              <w:top w:val="single" w:sz="12" w:color="000000"/>
              <w:bottom w:val="single" w:sz="8" w:color="000000"/>
            </w:tcBorders>
          </w:tcPr>
          <w:p>
            <w:pPr>
              <w:spacing w:line="240" w:lineRule="auto" w:before="40" w:after="40"/>
              <w:jc w:val="center"/>
            </w:pPr>
            <w:r/>
            <w:r>
              <w:rPr>
                <w:b/>
                <w:i w:val="0"/>
                <w:sz w:val="17"/>
              </w:rPr>
              <w:t>NORM</w:t>
            </w:r>
          </w:p>
        </w:tc>
      </w:tr>
      <w:tr>
        <w:tc>
          <w:tcPr>
            <w:tcW w:type="dxa" w:w="1728"/>
            <w:shd w:val="clear" w:color="auto" w:fill="EFEFEF"/>
          </w:tcPr>
          <w:p>
            <w:pPr>
              <w:spacing w:line="240" w:lineRule="auto" w:before="40" w:after="40"/>
              <w:jc w:val="left"/>
            </w:pPr>
            <w:r/>
            <w:r>
              <w:rPr>
                <w:b w:val="0"/>
                <w:i/>
                <w:sz w:val="17"/>
              </w:rPr>
              <w:t>Learning</w:t>
            </w:r>
          </w:p>
        </w:tc>
        <w:tc>
          <w:tcPr>
            <w:tcW w:type="dxa" w:w="4464"/>
            <w:shd w:val="clear" w:color="auto" w:fill="EFEFEF"/>
          </w:tcPr>
          <w:p>
            <w:pPr>
              <w:spacing w:line="240" w:lineRule="auto" w:before="40" w:after="40"/>
              <w:jc w:val="center"/>
            </w:pPr>
            <w:r/>
            <w:r>
              <w:rPr>
                <w:b w:val="0"/>
                <w:i w:val="0"/>
                <w:sz w:val="17"/>
              </w:rPr>
              <w:t>Classroom, kindergarten, science and ICT laboratories, library, TVL workshop, faculty, admin, clinic, guidance, toilets</w:t>
            </w:r>
          </w:p>
        </w:tc>
        <w:tc>
          <w:tcPr>
            <w:tcW w:type="dxa" w:w="1728"/>
            <w:shd w:val="clear" w:color="auto" w:fill="EFEFEF"/>
          </w:tcPr>
          <w:p>
            <w:pPr>
              <w:spacing w:line="240" w:lineRule="auto" w:before="40" w:after="40"/>
              <w:jc w:val="center"/>
            </w:pPr>
            <w:r/>
            <w:r>
              <w:rPr>
                <w:b w:val="0"/>
                <w:i w:val="0"/>
                <w:sz w:val="17"/>
              </w:rPr>
              <w:t>9.0 × 7.0 m (63 m²)</w:t>
            </w:r>
          </w:p>
        </w:tc>
        <w:tc>
          <w:tcPr>
            <w:tcW w:type="dxa" w:w="1296"/>
            <w:shd w:val="clear" w:color="auto" w:fill="EFEFEF"/>
          </w:tcPr>
          <w:p>
            <w:pPr>
              <w:spacing w:line="240" w:lineRule="auto" w:before="40" w:after="40"/>
              <w:jc w:val="center"/>
            </w:pPr>
            <w:r/>
            <w:r>
              <w:rPr>
                <w:b w:val="0"/>
                <w:i w:val="0"/>
                <w:sz w:val="17"/>
              </w:rPr>
              <w:t>DepEd (2010)</w:t>
            </w:r>
          </w:p>
        </w:tc>
      </w:tr>
      <w:tr>
        <w:tc>
          <w:tcPr>
            <w:tcW w:type="dxa" w:w="1728"/>
          </w:tcPr>
          <w:p>
            <w:pPr>
              <w:spacing w:line="240" w:lineRule="auto" w:before="40" w:after="40"/>
              <w:jc w:val="left"/>
            </w:pPr>
            <w:r/>
            <w:r>
              <w:rPr>
                <w:b w:val="0"/>
                <w:i/>
                <w:sz w:val="17"/>
              </w:rPr>
              <w:t>Health</w:t>
            </w:r>
          </w:p>
        </w:tc>
        <w:tc>
          <w:tcPr>
            <w:tcW w:type="dxa" w:w="4464"/>
          </w:tcPr>
          <w:p>
            <w:pPr>
              <w:spacing w:line="240" w:lineRule="auto" w:before="40" w:after="40"/>
              <w:jc w:val="center"/>
            </w:pPr>
            <w:r/>
            <w:r>
              <w:rPr>
                <w:b w:val="0"/>
                <w:i w:val="0"/>
                <w:sz w:val="17"/>
              </w:rPr>
              <w:t>Consultation, treatment, 6-bed ward, labor, isolation, delivery, laboratory, pharmacy, dental, nurse station, waiting, toilets</w:t>
            </w:r>
          </w:p>
        </w:tc>
        <w:tc>
          <w:tcPr>
            <w:tcW w:type="dxa" w:w="1728"/>
          </w:tcPr>
          <w:p>
            <w:pPr>
              <w:spacing w:line="240" w:lineRule="auto" w:before="40" w:after="40"/>
              <w:jc w:val="center"/>
            </w:pPr>
            <w:r/>
            <w:r>
              <w:rPr>
                <w:b w:val="0"/>
                <w:i w:val="0"/>
                <w:sz w:val="17"/>
              </w:rPr>
              <w:t>3.5–7.0 × 5.0 m</w:t>
            </w:r>
          </w:p>
        </w:tc>
        <w:tc>
          <w:tcPr>
            <w:tcW w:type="dxa" w:w="1296"/>
          </w:tcPr>
          <w:p>
            <w:pPr>
              <w:spacing w:line="240" w:lineRule="auto" w:before="40" w:after="40"/>
              <w:jc w:val="center"/>
            </w:pPr>
            <w:r/>
            <w:r>
              <w:rPr>
                <w:b w:val="0"/>
                <w:i w:val="0"/>
                <w:sz w:val="17"/>
              </w:rPr>
              <w:t>DOH (2016)</w:t>
            </w:r>
          </w:p>
        </w:tc>
      </w:tr>
      <w:tr>
        <w:tc>
          <w:tcPr>
            <w:tcW w:type="dxa" w:w="1728"/>
            <w:shd w:val="clear" w:color="auto" w:fill="EFEFEF"/>
          </w:tcPr>
          <w:p>
            <w:pPr>
              <w:spacing w:line="240" w:lineRule="auto" w:before="40" w:after="40"/>
              <w:jc w:val="left"/>
            </w:pPr>
            <w:r/>
            <w:r>
              <w:rPr>
                <w:b w:val="0"/>
                <w:i/>
                <w:sz w:val="17"/>
              </w:rPr>
              <w:t>Civic &amp; office</w:t>
            </w:r>
          </w:p>
        </w:tc>
        <w:tc>
          <w:tcPr>
            <w:tcW w:type="dxa" w:w="4464"/>
            <w:shd w:val="clear" w:color="auto" w:fill="EFEFEF"/>
          </w:tcPr>
          <w:p>
            <w:pPr>
              <w:spacing w:line="240" w:lineRule="auto" w:before="40" w:after="40"/>
              <w:jc w:val="center"/>
            </w:pPr>
            <w:r/>
            <w:r>
              <w:rPr>
                <w:b w:val="0"/>
                <w:i w:val="0"/>
                <w:sz w:val="17"/>
              </w:rPr>
              <w:t>Open office (6 staff), private office, session hall, conference, records, lobby, custodial facility, pantry, toilets</w:t>
            </w:r>
          </w:p>
        </w:tc>
        <w:tc>
          <w:tcPr>
            <w:tcW w:type="dxa" w:w="1728"/>
            <w:shd w:val="clear" w:color="auto" w:fill="EFEFEF"/>
          </w:tcPr>
          <w:p>
            <w:pPr>
              <w:spacing w:line="240" w:lineRule="auto" w:before="40" w:after="40"/>
              <w:jc w:val="center"/>
            </w:pPr>
            <w:r/>
            <w:r>
              <w:rPr>
                <w:b w:val="0"/>
                <w:i w:val="0"/>
                <w:sz w:val="17"/>
              </w:rPr>
              <w:t>3.0–12.0 × 6.0 m</w:t>
            </w:r>
          </w:p>
        </w:tc>
        <w:tc>
          <w:tcPr>
            <w:tcW w:type="dxa" w:w="1296"/>
            <w:shd w:val="clear" w:color="auto" w:fill="EFEFEF"/>
          </w:tcPr>
          <w:p>
            <w:pPr>
              <w:spacing w:line="240" w:lineRule="auto" w:before="40" w:after="40"/>
              <w:jc w:val="center"/>
            </w:pPr>
            <w:r/>
            <w:r>
              <w:rPr>
                <w:b w:val="0"/>
                <w:i w:val="0"/>
                <w:sz w:val="17"/>
              </w:rPr>
              <w:t>PD 1096</w:t>
            </w:r>
          </w:p>
        </w:tc>
      </w:tr>
      <w:tr>
        <w:tc>
          <w:tcPr>
            <w:tcW w:type="dxa" w:w="1728"/>
          </w:tcPr>
          <w:p>
            <w:pPr>
              <w:spacing w:line="240" w:lineRule="auto" w:before="40" w:after="40"/>
              <w:jc w:val="left"/>
            </w:pPr>
            <w:r/>
            <w:r>
              <w:rPr>
                <w:b w:val="0"/>
                <w:i/>
                <w:sz w:val="17"/>
              </w:rPr>
              <w:t>Evacuation &amp; assembly</w:t>
            </w:r>
          </w:p>
        </w:tc>
        <w:tc>
          <w:tcPr>
            <w:tcW w:type="dxa" w:w="4464"/>
          </w:tcPr>
          <w:p>
            <w:pPr>
              <w:spacing w:line="240" w:lineRule="auto" w:before="40" w:after="40"/>
              <w:jc w:val="center"/>
            </w:pPr>
            <w:r/>
            <w:r>
              <w:rPr>
                <w:b w:val="0"/>
                <w:i w:val="0"/>
                <w:sz w:val="17"/>
              </w:rPr>
              <w:t>Hall bay (20 persons), stage, communal kitchen, showers, women &amp; child-friendly space, triage, relief storage</w:t>
            </w:r>
          </w:p>
        </w:tc>
        <w:tc>
          <w:tcPr>
            <w:tcW w:type="dxa" w:w="1728"/>
          </w:tcPr>
          <w:p>
            <w:pPr>
              <w:spacing w:line="240" w:lineRule="auto" w:before="40" w:after="40"/>
              <w:jc w:val="center"/>
            </w:pPr>
            <w:r/>
            <w:r>
              <w:rPr>
                <w:b w:val="0"/>
                <w:i w:val="0"/>
                <w:sz w:val="17"/>
              </w:rPr>
              <w:t>4.0–8.0 × 12.0 m</w:t>
            </w:r>
          </w:p>
        </w:tc>
        <w:tc>
          <w:tcPr>
            <w:tcW w:type="dxa" w:w="1296"/>
          </w:tcPr>
          <w:p>
            <w:pPr>
              <w:spacing w:line="240" w:lineRule="auto" w:before="40" w:after="40"/>
              <w:jc w:val="center"/>
            </w:pPr>
            <w:r/>
            <w:r>
              <w:rPr>
                <w:b w:val="0"/>
                <w:i w:val="0"/>
                <w:sz w:val="17"/>
              </w:rPr>
              <w:t>Sphere (2018)</w:t>
            </w:r>
          </w:p>
        </w:tc>
      </w:tr>
      <w:tr>
        <w:tc>
          <w:tcPr>
            <w:tcW w:type="dxa" w:w="1728"/>
            <w:shd w:val="clear" w:color="auto" w:fill="EFEFEF"/>
          </w:tcPr>
          <w:p>
            <w:pPr>
              <w:spacing w:line="240" w:lineRule="auto" w:before="40" w:after="40"/>
              <w:jc w:val="left"/>
            </w:pPr>
            <w:r/>
            <w:r>
              <w:rPr>
                <w:b w:val="0"/>
                <w:i/>
                <w:sz w:val="17"/>
              </w:rPr>
              <w:t>Market</w:t>
            </w:r>
          </w:p>
        </w:tc>
        <w:tc>
          <w:tcPr>
            <w:tcW w:type="dxa" w:w="4464"/>
            <w:shd w:val="clear" w:color="auto" w:fill="EFEFEF"/>
          </w:tcPr>
          <w:p>
            <w:pPr>
              <w:spacing w:line="240" w:lineRule="auto" w:before="40" w:after="40"/>
              <w:jc w:val="center"/>
            </w:pPr>
            <w:r/>
            <w:r>
              <w:rPr>
                <w:b w:val="0"/>
                <w:i w:val="0"/>
                <w:sz w:val="17"/>
              </w:rPr>
              <w:t>Wet bay (12 stalls), dry bay (10), eatery bay (6), office, loading, toilets</w:t>
            </w:r>
          </w:p>
        </w:tc>
        <w:tc>
          <w:tcPr>
            <w:tcW w:type="dxa" w:w="1728"/>
            <w:shd w:val="clear" w:color="auto" w:fill="EFEFEF"/>
          </w:tcPr>
          <w:p>
            <w:pPr>
              <w:spacing w:line="240" w:lineRule="auto" w:before="40" w:after="40"/>
              <w:jc w:val="center"/>
            </w:pPr>
            <w:r/>
            <w:r>
              <w:rPr>
                <w:b w:val="0"/>
                <w:i w:val="0"/>
                <w:sz w:val="17"/>
              </w:rPr>
              <w:t>4.0–6.0 × 12.0 m</w:t>
            </w:r>
          </w:p>
        </w:tc>
        <w:tc>
          <w:tcPr>
            <w:tcW w:type="dxa" w:w="1296"/>
            <w:shd w:val="clear" w:color="auto" w:fill="EFEFEF"/>
          </w:tcPr>
          <w:p>
            <w:pPr>
              <w:spacing w:line="240" w:lineRule="auto" w:before="40" w:after="40"/>
              <w:jc w:val="center"/>
            </w:pPr>
            <w:r/>
            <w:r>
              <w:rPr>
                <w:b w:val="0"/>
                <w:i w:val="0"/>
                <w:sz w:val="17"/>
              </w:rPr>
              <w:t>PD 1096</w:t>
            </w:r>
          </w:p>
        </w:tc>
      </w:tr>
      <w:tr>
        <w:tc>
          <w:tcPr>
            <w:tcW w:type="dxa" w:w="1728"/>
          </w:tcPr>
          <w:p>
            <w:pPr>
              <w:spacing w:line="240" w:lineRule="auto" w:before="40" w:after="40"/>
              <w:jc w:val="left"/>
            </w:pPr>
            <w:r/>
            <w:r>
              <w:rPr>
                <w:b w:val="0"/>
                <w:i/>
                <w:sz w:val="17"/>
              </w:rPr>
              <w:t>Living</w:t>
            </w:r>
          </w:p>
        </w:tc>
        <w:tc>
          <w:tcPr>
            <w:tcW w:type="dxa" w:w="4464"/>
          </w:tcPr>
          <w:p>
            <w:pPr>
              <w:spacing w:line="240" w:lineRule="auto" w:before="40" w:after="40"/>
              <w:jc w:val="center"/>
            </w:pPr>
            <w:r/>
            <w:r>
              <w:rPr>
                <w:b w:val="0"/>
                <w:i w:val="0"/>
                <w:sz w:val="17"/>
              </w:rPr>
              <w:t>Dorm room (8 beds), staff quarters, toilet &amp; bath, lounge, warden, laundry</w:t>
            </w:r>
          </w:p>
        </w:tc>
        <w:tc>
          <w:tcPr>
            <w:tcW w:type="dxa" w:w="1728"/>
          </w:tcPr>
          <w:p>
            <w:pPr>
              <w:spacing w:line="240" w:lineRule="auto" w:before="40" w:after="40"/>
              <w:jc w:val="center"/>
            </w:pPr>
            <w:r/>
            <w:r>
              <w:rPr>
                <w:b w:val="0"/>
                <w:i w:val="0"/>
                <w:sz w:val="17"/>
              </w:rPr>
              <w:t>3.0–6.0 × 5.0 m</w:t>
            </w:r>
          </w:p>
        </w:tc>
        <w:tc>
          <w:tcPr>
            <w:tcW w:type="dxa" w:w="1296"/>
          </w:tcPr>
          <w:p>
            <w:pPr>
              <w:spacing w:line="240" w:lineRule="auto" w:before="40" w:after="40"/>
              <w:jc w:val="center"/>
            </w:pPr>
            <w:r/>
            <w:r>
              <w:rPr>
                <w:b w:val="0"/>
                <w:i w:val="0"/>
                <w:sz w:val="17"/>
              </w:rPr>
              <w:t>PD 1096</w:t>
            </w:r>
          </w:p>
        </w:tc>
      </w:tr>
      <w:tr>
        <w:tc>
          <w:tcPr>
            <w:tcW w:type="dxa" w:w="1728"/>
            <w:shd w:val="clear" w:color="auto" w:fill="EFEFEF"/>
            <w:tcBorders>
              <w:bottom w:val="single" w:sz="12" w:color="000000"/>
            </w:tcBorders>
          </w:tcPr>
          <w:p>
            <w:pPr>
              <w:spacing w:line="240" w:lineRule="auto" w:before="40" w:after="40"/>
              <w:jc w:val="left"/>
            </w:pPr>
            <w:r/>
            <w:r>
              <w:rPr>
                <w:b w:val="0"/>
                <w:i/>
                <w:sz w:val="17"/>
              </w:rPr>
              <w:t>Court &amp; circulation</w:t>
            </w:r>
          </w:p>
        </w:tc>
        <w:tc>
          <w:tcPr>
            <w:tcW w:type="dxa" w:w="4464"/>
            <w:shd w:val="clear" w:color="auto" w:fill="EFEFEF"/>
            <w:tcBorders>
              <w:bottom w:val="single" w:sz="12" w:color="000000"/>
            </w:tcBorders>
          </w:tcPr>
          <w:p>
            <w:pPr>
              <w:spacing w:line="240" w:lineRule="auto" w:before="40" w:after="40"/>
              <w:jc w:val="center"/>
            </w:pPr>
            <w:r/>
            <w:r>
              <w:rPr>
                <w:b w:val="0"/>
                <w:i w:val="0"/>
                <w:sz w:val="17"/>
              </w:rPr>
              <w:t>Playing court 28 × 15 m with run-off, bleachers, stair</w:t>
            </w:r>
          </w:p>
        </w:tc>
        <w:tc>
          <w:tcPr>
            <w:tcW w:type="dxa" w:w="1728"/>
            <w:shd w:val="clear" w:color="auto" w:fill="EFEFEF"/>
            <w:tcBorders>
              <w:bottom w:val="single" w:sz="12" w:color="000000"/>
            </w:tcBorders>
          </w:tcPr>
          <w:p>
            <w:pPr>
              <w:spacing w:line="240" w:lineRule="auto" w:before="40" w:after="40"/>
              <w:jc w:val="center"/>
            </w:pPr>
            <w:r/>
            <w:r>
              <w:rPr>
                <w:b w:val="0"/>
                <w:i w:val="0"/>
                <w:sz w:val="17"/>
              </w:rPr>
              <w:t>32 × 20 m; 3.5 m stair</w:t>
            </w:r>
          </w:p>
        </w:tc>
        <w:tc>
          <w:tcPr>
            <w:tcW w:type="dxa" w:w="1296"/>
            <w:shd w:val="clear" w:color="auto" w:fill="EFEFEF"/>
            <w:tcBorders>
              <w:bottom w:val="single" w:sz="12" w:color="000000"/>
            </w:tcBorders>
          </w:tcPr>
          <w:p>
            <w:pPr>
              <w:spacing w:line="240" w:lineRule="auto" w:before="40" w:after="40"/>
              <w:jc w:val="center"/>
            </w:pPr>
            <w:r/>
            <w:r>
              <w:rPr>
                <w:b w:val="0"/>
                <w:i w:val="0"/>
                <w:sz w:val="17"/>
              </w:rPr>
              <w:t>RA 9514</w:t>
            </w:r>
          </w:p>
        </w:tc>
      </w:tr>
    </w:tbl>
    <w:p>
      <w:pPr>
        <w:spacing w:line="240" w:lineRule="auto" w:after="80"/>
      </w:pPr>
    </w:p>
    <w:p>
      <w:pPr>
        <w:keepNext/>
        <w:spacing w:line="480" w:lineRule="auto" w:after="0"/>
        <w:ind w:left="720"/>
        <w:jc w:val="left"/>
      </w:pPr>
      <w:r>
        <w:rPr>
          <w:b/>
          <w:i w:val="0"/>
        </w:rPr>
        <w:t>Standards Codification and Price Book</w:t>
      </w:r>
    </w:p>
    <w:p>
      <w:pPr>
        <w:spacing w:line="480" w:lineRule="auto" w:after="0"/>
        <w:ind w:firstLine="720"/>
        <w:jc w:val="both"/>
      </w:pPr>
      <w:r>
        <w:rPr>
          <w:b w:val="0"/>
          <w:i w:val="0"/>
        </w:rPr>
        <w:t>The engineering standards were codified as take-off rules, and the unit costs as a price book keyed to DPWH pay items: Volume III (2019) item numbers for building works, adopted through D.O. No. 42, s. 2021, and Volume II (2013) item numbers for bridge works. Each rate is a direct cost covering materials, labor and equipment for Bicol in 2025, and every rate can be edited in the application so that implementing offices can load their own Detailed Unit Price Analysis. Table 4 shows selected entries; the full price book is in Appendix B.</w:t>
      </w:r>
    </w:p>
    <w:p>
      <w:pPr>
        <w:keepNext/>
        <w:spacing w:line="240" w:lineRule="auto" w:after="0" w:before="120"/>
        <w:jc w:val="left"/>
      </w:pPr>
      <w:r>
        <w:rPr>
          <w:b/>
          <w:i w:val="0"/>
        </w:rPr>
        <w:t>Table 4.</w:t>
      </w:r>
    </w:p>
    <w:p>
      <w:pPr>
        <w:keepNext/>
        <w:spacing w:line="240" w:lineRule="auto" w:after="0"/>
        <w:jc w:val="left"/>
      </w:pPr>
      <w:r>
        <w:rPr>
          <w:b w:val="0"/>
          <w:i/>
        </w:rPr>
        <w:t>Selected Pay Items and Direct Unit Costs in the BUHAY-AH Price Book</w:t>
      </w:r>
    </w:p>
    <w:tbl>
      <w:tblPr>
        <w:tblW w:type="auto" w:w="0"/>
        <w:jc w:val="center"/>
        <w:tblLayout w:type="fixed"/>
        <w:tblLook w:firstColumn="1" w:firstRow="1" w:lastColumn="0" w:lastRow="0" w:noHBand="0" w:noVBand="1" w:val="04A0"/>
        <w:tblLayout w:type="fixed"/>
      </w:tblPr>
      <w:tblGrid>
        <w:gridCol w:w="1296"/>
        <w:gridCol w:w="5616"/>
        <w:gridCol w:w="864"/>
        <w:gridCol w:w="1296"/>
      </w:tblGrid>
      <w:tr>
        <w:tc>
          <w:tcPr>
            <w:tcW w:type="dxa" w:w="1296"/>
            <w:tcBorders>
              <w:top w:val="single" w:sz="12" w:color="000000"/>
              <w:bottom w:val="single" w:sz="8" w:color="000000"/>
            </w:tcBorders>
          </w:tcPr>
          <w:p>
            <w:pPr>
              <w:spacing w:line="240" w:lineRule="auto" w:before="40" w:after="40"/>
              <w:jc w:val="center"/>
            </w:pPr>
            <w:r/>
            <w:r>
              <w:rPr>
                <w:b/>
                <w:i w:val="0"/>
                <w:sz w:val="18"/>
              </w:rPr>
              <w:t>PAY ITEM</w:t>
            </w:r>
          </w:p>
        </w:tc>
        <w:tc>
          <w:tcPr>
            <w:tcW w:type="dxa" w:w="5616"/>
            <w:tcBorders>
              <w:top w:val="single" w:sz="12" w:color="000000"/>
              <w:bottom w:val="single" w:sz="8" w:color="000000"/>
            </w:tcBorders>
          </w:tcPr>
          <w:p>
            <w:pPr>
              <w:spacing w:line="240" w:lineRule="auto" w:before="40" w:after="40"/>
              <w:jc w:val="center"/>
            </w:pPr>
            <w:r/>
            <w:r>
              <w:rPr>
                <w:b/>
                <w:i w:val="0"/>
                <w:sz w:val="18"/>
              </w:rPr>
              <w:t>DESCRIPTION</w:t>
            </w:r>
          </w:p>
        </w:tc>
        <w:tc>
          <w:tcPr>
            <w:tcW w:type="dxa" w:w="864"/>
            <w:tcBorders>
              <w:top w:val="single" w:sz="12" w:color="000000"/>
              <w:bottom w:val="single" w:sz="8" w:color="000000"/>
            </w:tcBorders>
          </w:tcPr>
          <w:p>
            <w:pPr>
              <w:spacing w:line="240" w:lineRule="auto" w:before="40" w:after="40"/>
              <w:jc w:val="center"/>
            </w:pPr>
            <w:r/>
            <w:r>
              <w:rPr>
                <w:b/>
                <w:i w:val="0"/>
                <w:sz w:val="18"/>
              </w:rPr>
              <w:t>UNIT</w:t>
            </w:r>
          </w:p>
        </w:tc>
        <w:tc>
          <w:tcPr>
            <w:tcW w:type="dxa" w:w="1296"/>
            <w:tcBorders>
              <w:top w:val="single" w:sz="12" w:color="000000"/>
              <w:bottom w:val="single" w:sz="8" w:color="000000"/>
            </w:tcBorders>
          </w:tcPr>
          <w:p>
            <w:pPr>
              <w:spacing w:line="240" w:lineRule="auto" w:before="40" w:after="40"/>
              <w:jc w:val="center"/>
            </w:pPr>
            <w:r/>
            <w:r>
              <w:rPr>
                <w:b/>
                <w:i w:val="0"/>
                <w:sz w:val="18"/>
              </w:rPr>
              <w:t>RATE (₱)</w:t>
            </w:r>
          </w:p>
        </w:tc>
      </w:tr>
      <w:tr>
        <w:tc>
          <w:tcPr>
            <w:tcW w:type="dxa" w:w="1296"/>
            <w:shd w:val="clear" w:color="auto" w:fill="EFEFEF"/>
          </w:tcPr>
          <w:p>
            <w:pPr>
              <w:spacing w:line="240" w:lineRule="auto" w:before="40" w:after="40"/>
              <w:jc w:val="left"/>
            </w:pPr>
            <w:r/>
            <w:r>
              <w:rPr>
                <w:b w:val="0"/>
                <w:i w:val="0"/>
                <w:sz w:val="18"/>
              </w:rPr>
              <w:t>900 (1)c</w:t>
            </w:r>
          </w:p>
        </w:tc>
        <w:tc>
          <w:tcPr>
            <w:tcW w:type="dxa" w:w="5616"/>
            <w:shd w:val="clear" w:color="auto" w:fill="EFEFEF"/>
          </w:tcPr>
          <w:p>
            <w:pPr>
              <w:spacing w:line="240" w:lineRule="auto" w:before="40" w:after="40"/>
              <w:jc w:val="left"/>
            </w:pPr>
            <w:r/>
            <w:r>
              <w:rPr>
                <w:b w:val="0"/>
                <w:i w:val="0"/>
                <w:sz w:val="18"/>
              </w:rPr>
              <w:t>Structural concrete, fc′ 20.7 MPa (3000 psi), 28 days</w:t>
            </w:r>
          </w:p>
        </w:tc>
        <w:tc>
          <w:tcPr>
            <w:tcW w:type="dxa" w:w="864"/>
            <w:shd w:val="clear" w:color="auto" w:fill="EFEFEF"/>
          </w:tcPr>
          <w:p>
            <w:pPr>
              <w:spacing w:line="240" w:lineRule="auto" w:before="40" w:after="40"/>
              <w:jc w:val="center"/>
            </w:pPr>
            <w:r/>
            <w:r>
              <w:rPr>
                <w:b w:val="0"/>
                <w:i w:val="0"/>
                <w:sz w:val="18"/>
              </w:rPr>
              <w:t>m³</w:t>
            </w:r>
          </w:p>
        </w:tc>
        <w:tc>
          <w:tcPr>
            <w:tcW w:type="dxa" w:w="1296"/>
            <w:shd w:val="clear" w:color="auto" w:fill="EFEFEF"/>
          </w:tcPr>
          <w:p>
            <w:pPr>
              <w:spacing w:line="240" w:lineRule="auto" w:before="40" w:after="40"/>
              <w:jc w:val="right"/>
            </w:pPr>
            <w:r/>
            <w:r>
              <w:rPr>
                <w:b w:val="0"/>
                <w:i w:val="0"/>
                <w:sz w:val="18"/>
              </w:rPr>
              <w:t>7,900</w:t>
            </w:r>
          </w:p>
        </w:tc>
      </w:tr>
      <w:tr>
        <w:tc>
          <w:tcPr>
            <w:tcW w:type="dxa" w:w="1296"/>
          </w:tcPr>
          <w:p>
            <w:pPr>
              <w:spacing w:line="240" w:lineRule="auto" w:before="40" w:after="40"/>
              <w:jc w:val="left"/>
            </w:pPr>
            <w:r/>
            <w:r>
              <w:rPr>
                <w:b w:val="0"/>
                <w:i w:val="0"/>
                <w:sz w:val="18"/>
              </w:rPr>
              <w:t>902 (1)</w:t>
            </w:r>
          </w:p>
        </w:tc>
        <w:tc>
          <w:tcPr>
            <w:tcW w:type="dxa" w:w="5616"/>
          </w:tcPr>
          <w:p>
            <w:pPr>
              <w:spacing w:line="240" w:lineRule="auto" w:before="40" w:after="40"/>
              <w:jc w:val="left"/>
            </w:pPr>
            <w:r/>
            <w:r>
              <w:rPr>
                <w:b w:val="0"/>
                <w:i w:val="0"/>
                <w:sz w:val="18"/>
              </w:rPr>
              <w:t>Reinforcing steel bars, deformed, Gr. 40/60, incl. tie wire</w:t>
            </w:r>
          </w:p>
        </w:tc>
        <w:tc>
          <w:tcPr>
            <w:tcW w:type="dxa" w:w="864"/>
          </w:tcPr>
          <w:p>
            <w:pPr>
              <w:spacing w:line="240" w:lineRule="auto" w:before="40" w:after="40"/>
              <w:jc w:val="center"/>
            </w:pPr>
            <w:r/>
            <w:r>
              <w:rPr>
                <w:b w:val="0"/>
                <w:i w:val="0"/>
                <w:sz w:val="18"/>
              </w:rPr>
              <w:t>kg</w:t>
            </w:r>
          </w:p>
        </w:tc>
        <w:tc>
          <w:tcPr>
            <w:tcW w:type="dxa" w:w="1296"/>
          </w:tcPr>
          <w:p>
            <w:pPr>
              <w:spacing w:line="240" w:lineRule="auto" w:before="40" w:after="40"/>
              <w:jc w:val="right"/>
            </w:pPr>
            <w:r/>
            <w:r>
              <w:rPr>
                <w:b w:val="0"/>
                <w:i w:val="0"/>
                <w:sz w:val="18"/>
              </w:rPr>
              <w:t>82</w:t>
            </w:r>
          </w:p>
        </w:tc>
      </w:tr>
      <w:tr>
        <w:tc>
          <w:tcPr>
            <w:tcW w:type="dxa" w:w="1296"/>
            <w:shd w:val="clear" w:color="auto" w:fill="EFEFEF"/>
          </w:tcPr>
          <w:p>
            <w:pPr>
              <w:spacing w:line="240" w:lineRule="auto" w:before="40" w:after="40"/>
              <w:jc w:val="left"/>
            </w:pPr>
            <w:r/>
            <w:r>
              <w:rPr>
                <w:b w:val="0"/>
                <w:i w:val="0"/>
                <w:sz w:val="18"/>
              </w:rPr>
              <w:t>903 (2)</w:t>
            </w:r>
          </w:p>
        </w:tc>
        <w:tc>
          <w:tcPr>
            <w:tcW w:type="dxa" w:w="5616"/>
            <w:shd w:val="clear" w:color="auto" w:fill="EFEFEF"/>
          </w:tcPr>
          <w:p>
            <w:pPr>
              <w:spacing w:line="240" w:lineRule="auto" w:before="40" w:after="40"/>
              <w:jc w:val="left"/>
            </w:pPr>
            <w:r/>
            <w:r>
              <w:rPr>
                <w:b w:val="0"/>
                <w:i w:val="0"/>
                <w:sz w:val="18"/>
              </w:rPr>
              <w:t>Formworks and falseworks</w:t>
            </w:r>
          </w:p>
        </w:tc>
        <w:tc>
          <w:tcPr>
            <w:tcW w:type="dxa" w:w="864"/>
            <w:shd w:val="clear" w:color="auto" w:fill="EFEFEF"/>
          </w:tcPr>
          <w:p>
            <w:pPr>
              <w:spacing w:line="240" w:lineRule="auto" w:before="40" w:after="40"/>
              <w:jc w:val="center"/>
            </w:pPr>
            <w:r/>
            <w:r>
              <w:rPr>
                <w:b w:val="0"/>
                <w:i w:val="0"/>
                <w:sz w:val="18"/>
              </w:rPr>
              <w:t>m²</w:t>
            </w:r>
          </w:p>
        </w:tc>
        <w:tc>
          <w:tcPr>
            <w:tcW w:type="dxa" w:w="1296"/>
            <w:shd w:val="clear" w:color="auto" w:fill="EFEFEF"/>
          </w:tcPr>
          <w:p>
            <w:pPr>
              <w:spacing w:line="240" w:lineRule="auto" w:before="40" w:after="40"/>
              <w:jc w:val="right"/>
            </w:pPr>
            <w:r/>
            <w:r>
              <w:rPr>
                <w:b w:val="0"/>
                <w:i w:val="0"/>
                <w:sz w:val="18"/>
              </w:rPr>
              <w:t>850</w:t>
            </w:r>
          </w:p>
        </w:tc>
      </w:tr>
      <w:tr>
        <w:tc>
          <w:tcPr>
            <w:tcW w:type="dxa" w:w="1296"/>
          </w:tcPr>
          <w:p>
            <w:pPr>
              <w:spacing w:line="240" w:lineRule="auto" w:before="40" w:after="40"/>
              <w:jc w:val="left"/>
            </w:pPr>
            <w:r/>
            <w:r>
              <w:rPr>
                <w:b w:val="0"/>
                <w:i w:val="0"/>
                <w:sz w:val="18"/>
              </w:rPr>
              <w:t>1046 (3)</w:t>
            </w:r>
          </w:p>
        </w:tc>
        <w:tc>
          <w:tcPr>
            <w:tcW w:type="dxa" w:w="5616"/>
          </w:tcPr>
          <w:p>
            <w:pPr>
              <w:spacing w:line="240" w:lineRule="auto" w:before="40" w:after="40"/>
              <w:jc w:val="left"/>
            </w:pPr>
            <w:r/>
            <w:r>
              <w:rPr>
                <w:b w:val="0"/>
                <w:i w:val="0"/>
                <w:sz w:val="18"/>
              </w:rPr>
              <w:t>CHB masonry 150 mm, reinforced &amp; grouted (exterior)</w:t>
            </w:r>
          </w:p>
        </w:tc>
        <w:tc>
          <w:tcPr>
            <w:tcW w:type="dxa" w:w="864"/>
          </w:tcPr>
          <w:p>
            <w:pPr>
              <w:spacing w:line="240" w:lineRule="auto" w:before="40" w:after="40"/>
              <w:jc w:val="center"/>
            </w:pPr>
            <w:r/>
            <w:r>
              <w:rPr>
                <w:b w:val="0"/>
                <w:i w:val="0"/>
                <w:sz w:val="18"/>
              </w:rPr>
              <w:t>m²</w:t>
            </w:r>
          </w:p>
        </w:tc>
        <w:tc>
          <w:tcPr>
            <w:tcW w:type="dxa" w:w="1296"/>
          </w:tcPr>
          <w:p>
            <w:pPr>
              <w:spacing w:line="240" w:lineRule="auto" w:before="40" w:after="40"/>
              <w:jc w:val="right"/>
            </w:pPr>
            <w:r/>
            <w:r>
              <w:rPr>
                <w:b w:val="0"/>
                <w:i w:val="0"/>
                <w:sz w:val="18"/>
              </w:rPr>
              <w:t>1,080</w:t>
            </w:r>
          </w:p>
        </w:tc>
      </w:tr>
      <w:tr>
        <w:tc>
          <w:tcPr>
            <w:tcW w:type="dxa" w:w="1296"/>
            <w:shd w:val="clear" w:color="auto" w:fill="EFEFEF"/>
          </w:tcPr>
          <w:p>
            <w:pPr>
              <w:spacing w:line="240" w:lineRule="auto" w:before="40" w:after="40"/>
              <w:jc w:val="left"/>
            </w:pPr>
            <w:r/>
            <w:r>
              <w:rPr>
                <w:b w:val="0"/>
                <w:i w:val="0"/>
                <w:sz w:val="18"/>
              </w:rPr>
              <w:t>1046 (2)</w:t>
            </w:r>
          </w:p>
        </w:tc>
        <w:tc>
          <w:tcPr>
            <w:tcW w:type="dxa" w:w="5616"/>
            <w:shd w:val="clear" w:color="auto" w:fill="EFEFEF"/>
          </w:tcPr>
          <w:p>
            <w:pPr>
              <w:spacing w:line="240" w:lineRule="auto" w:before="40" w:after="40"/>
              <w:jc w:val="left"/>
            </w:pPr>
            <w:r/>
            <w:r>
              <w:rPr>
                <w:b w:val="0"/>
                <w:i w:val="0"/>
                <w:sz w:val="18"/>
              </w:rPr>
              <w:t>CHB masonry 100 mm (partitions)</w:t>
            </w:r>
          </w:p>
        </w:tc>
        <w:tc>
          <w:tcPr>
            <w:tcW w:type="dxa" w:w="864"/>
            <w:shd w:val="clear" w:color="auto" w:fill="EFEFEF"/>
          </w:tcPr>
          <w:p>
            <w:pPr>
              <w:spacing w:line="240" w:lineRule="auto" w:before="40" w:after="40"/>
              <w:jc w:val="center"/>
            </w:pPr>
            <w:r/>
            <w:r>
              <w:rPr>
                <w:b w:val="0"/>
                <w:i w:val="0"/>
                <w:sz w:val="18"/>
              </w:rPr>
              <w:t>m²</w:t>
            </w:r>
          </w:p>
        </w:tc>
        <w:tc>
          <w:tcPr>
            <w:tcW w:type="dxa" w:w="1296"/>
            <w:shd w:val="clear" w:color="auto" w:fill="EFEFEF"/>
          </w:tcPr>
          <w:p>
            <w:pPr>
              <w:spacing w:line="240" w:lineRule="auto" w:before="40" w:after="40"/>
              <w:jc w:val="right"/>
            </w:pPr>
            <w:r/>
            <w:r>
              <w:rPr>
                <w:b w:val="0"/>
                <w:i w:val="0"/>
                <w:sz w:val="18"/>
              </w:rPr>
              <w:t>880</w:t>
            </w:r>
          </w:p>
        </w:tc>
      </w:tr>
      <w:tr>
        <w:tc>
          <w:tcPr>
            <w:tcW w:type="dxa" w:w="1296"/>
          </w:tcPr>
          <w:p>
            <w:pPr>
              <w:spacing w:line="240" w:lineRule="auto" w:before="40" w:after="40"/>
              <w:jc w:val="left"/>
            </w:pPr>
            <w:r/>
            <w:r>
              <w:rPr>
                <w:b w:val="0"/>
                <w:i w:val="0"/>
                <w:sz w:val="18"/>
              </w:rPr>
              <w:t>1027 (1)</w:t>
            </w:r>
          </w:p>
        </w:tc>
        <w:tc>
          <w:tcPr>
            <w:tcW w:type="dxa" w:w="5616"/>
          </w:tcPr>
          <w:p>
            <w:pPr>
              <w:spacing w:line="240" w:lineRule="auto" w:before="40" w:after="40"/>
              <w:jc w:val="left"/>
            </w:pPr>
            <w:r/>
            <w:r>
              <w:rPr>
                <w:b w:val="0"/>
                <w:i w:val="0"/>
                <w:sz w:val="18"/>
              </w:rPr>
              <w:t>Cement plaster finish</w:t>
            </w:r>
          </w:p>
        </w:tc>
        <w:tc>
          <w:tcPr>
            <w:tcW w:type="dxa" w:w="864"/>
          </w:tcPr>
          <w:p>
            <w:pPr>
              <w:spacing w:line="240" w:lineRule="auto" w:before="40" w:after="40"/>
              <w:jc w:val="center"/>
            </w:pPr>
            <w:r/>
            <w:r>
              <w:rPr>
                <w:b w:val="0"/>
                <w:i w:val="0"/>
                <w:sz w:val="18"/>
              </w:rPr>
              <w:t>m²</w:t>
            </w:r>
          </w:p>
        </w:tc>
        <w:tc>
          <w:tcPr>
            <w:tcW w:type="dxa" w:w="1296"/>
          </w:tcPr>
          <w:p>
            <w:pPr>
              <w:spacing w:line="240" w:lineRule="auto" w:before="40" w:after="40"/>
              <w:jc w:val="right"/>
            </w:pPr>
            <w:r/>
            <w:r>
              <w:rPr>
                <w:b w:val="0"/>
                <w:i w:val="0"/>
                <w:sz w:val="18"/>
              </w:rPr>
              <w:t>360</w:t>
            </w:r>
          </w:p>
        </w:tc>
      </w:tr>
      <w:tr>
        <w:tc>
          <w:tcPr>
            <w:tcW w:type="dxa" w:w="1296"/>
            <w:shd w:val="clear" w:color="auto" w:fill="EFEFEF"/>
          </w:tcPr>
          <w:p>
            <w:pPr>
              <w:spacing w:line="240" w:lineRule="auto" w:before="40" w:after="40"/>
              <w:jc w:val="left"/>
            </w:pPr>
            <w:r/>
            <w:r>
              <w:rPr>
                <w:b w:val="0"/>
                <w:i w:val="0"/>
                <w:sz w:val="18"/>
              </w:rPr>
              <w:t>1047 (3)</w:t>
            </w:r>
          </w:p>
        </w:tc>
        <w:tc>
          <w:tcPr>
            <w:tcW w:type="dxa" w:w="5616"/>
            <w:shd w:val="clear" w:color="auto" w:fill="EFEFEF"/>
          </w:tcPr>
          <w:p>
            <w:pPr>
              <w:spacing w:line="240" w:lineRule="auto" w:before="40" w:after="40"/>
              <w:jc w:val="left"/>
            </w:pPr>
            <w:r/>
            <w:r>
              <w:rPr>
                <w:b w:val="0"/>
                <w:i w:val="0"/>
                <w:sz w:val="18"/>
              </w:rPr>
              <w:t>Structural steel trusses &amp; purlins, fabricated &amp; installed</w:t>
            </w:r>
          </w:p>
        </w:tc>
        <w:tc>
          <w:tcPr>
            <w:tcW w:type="dxa" w:w="864"/>
            <w:shd w:val="clear" w:color="auto" w:fill="EFEFEF"/>
          </w:tcPr>
          <w:p>
            <w:pPr>
              <w:spacing w:line="240" w:lineRule="auto" w:before="40" w:after="40"/>
              <w:jc w:val="center"/>
            </w:pPr>
            <w:r/>
            <w:r>
              <w:rPr>
                <w:b w:val="0"/>
                <w:i w:val="0"/>
                <w:sz w:val="18"/>
              </w:rPr>
              <w:t>kg</w:t>
            </w:r>
          </w:p>
        </w:tc>
        <w:tc>
          <w:tcPr>
            <w:tcW w:type="dxa" w:w="1296"/>
            <w:shd w:val="clear" w:color="auto" w:fill="EFEFEF"/>
          </w:tcPr>
          <w:p>
            <w:pPr>
              <w:spacing w:line="240" w:lineRule="auto" w:before="40" w:after="40"/>
              <w:jc w:val="right"/>
            </w:pPr>
            <w:r/>
            <w:r>
              <w:rPr>
                <w:b w:val="0"/>
                <w:i w:val="0"/>
                <w:sz w:val="18"/>
              </w:rPr>
              <w:t>140</w:t>
            </w:r>
          </w:p>
        </w:tc>
      </w:tr>
      <w:tr>
        <w:tc>
          <w:tcPr>
            <w:tcW w:type="dxa" w:w="1296"/>
          </w:tcPr>
          <w:p>
            <w:pPr>
              <w:spacing w:line="240" w:lineRule="auto" w:before="40" w:after="40"/>
              <w:jc w:val="left"/>
            </w:pPr>
            <w:r/>
            <w:r>
              <w:rPr>
                <w:b w:val="0"/>
                <w:i w:val="0"/>
                <w:sz w:val="18"/>
              </w:rPr>
              <w:t>1013 (2)</w:t>
            </w:r>
          </w:p>
        </w:tc>
        <w:tc>
          <w:tcPr>
            <w:tcW w:type="dxa" w:w="5616"/>
          </w:tcPr>
          <w:p>
            <w:pPr>
              <w:spacing w:line="240" w:lineRule="auto" w:before="40" w:after="40"/>
              <w:jc w:val="left"/>
            </w:pPr>
            <w:r/>
            <w:r>
              <w:rPr>
                <w:b w:val="0"/>
                <w:i w:val="0"/>
                <w:sz w:val="18"/>
              </w:rPr>
              <w:t>Pre-painted long-span metal roofing 0.50 mm, incl. accessories</w:t>
            </w:r>
          </w:p>
        </w:tc>
        <w:tc>
          <w:tcPr>
            <w:tcW w:type="dxa" w:w="864"/>
          </w:tcPr>
          <w:p>
            <w:pPr>
              <w:spacing w:line="240" w:lineRule="auto" w:before="40" w:after="40"/>
              <w:jc w:val="center"/>
            </w:pPr>
            <w:r/>
            <w:r>
              <w:rPr>
                <w:b w:val="0"/>
                <w:i w:val="0"/>
                <w:sz w:val="18"/>
              </w:rPr>
              <w:t>m²</w:t>
            </w:r>
          </w:p>
        </w:tc>
        <w:tc>
          <w:tcPr>
            <w:tcW w:type="dxa" w:w="1296"/>
          </w:tcPr>
          <w:p>
            <w:pPr>
              <w:spacing w:line="240" w:lineRule="auto" w:before="40" w:after="40"/>
              <w:jc w:val="right"/>
            </w:pPr>
            <w:r/>
            <w:r>
              <w:rPr>
                <w:b w:val="0"/>
                <w:i w:val="0"/>
                <w:sz w:val="18"/>
              </w:rPr>
              <w:t>760</w:t>
            </w:r>
          </w:p>
        </w:tc>
      </w:tr>
      <w:tr>
        <w:tc>
          <w:tcPr>
            <w:tcW w:type="dxa" w:w="1296"/>
            <w:shd w:val="clear" w:color="auto" w:fill="EFEFEF"/>
          </w:tcPr>
          <w:p>
            <w:pPr>
              <w:spacing w:line="240" w:lineRule="auto" w:before="40" w:after="40"/>
              <w:jc w:val="left"/>
            </w:pPr>
            <w:r/>
            <w:r>
              <w:rPr>
                <w:b w:val="0"/>
                <w:i w:val="0"/>
                <w:sz w:val="18"/>
              </w:rPr>
              <w:t>1018 (2)</w:t>
            </w:r>
          </w:p>
        </w:tc>
        <w:tc>
          <w:tcPr>
            <w:tcW w:type="dxa" w:w="5616"/>
            <w:shd w:val="clear" w:color="auto" w:fill="EFEFEF"/>
          </w:tcPr>
          <w:p>
            <w:pPr>
              <w:spacing w:line="240" w:lineRule="auto" w:before="40" w:after="40"/>
              <w:jc w:val="left"/>
            </w:pPr>
            <w:r/>
            <w:r>
              <w:rPr>
                <w:b w:val="0"/>
                <w:i w:val="0"/>
                <w:sz w:val="18"/>
              </w:rPr>
              <w:t>Ceramic floor tiles 600 × 600 mm</w:t>
            </w:r>
          </w:p>
        </w:tc>
        <w:tc>
          <w:tcPr>
            <w:tcW w:type="dxa" w:w="864"/>
            <w:shd w:val="clear" w:color="auto" w:fill="EFEFEF"/>
          </w:tcPr>
          <w:p>
            <w:pPr>
              <w:spacing w:line="240" w:lineRule="auto" w:before="40" w:after="40"/>
              <w:jc w:val="center"/>
            </w:pPr>
            <w:r/>
            <w:r>
              <w:rPr>
                <w:b w:val="0"/>
                <w:i w:val="0"/>
                <w:sz w:val="18"/>
              </w:rPr>
              <w:t>m²</w:t>
            </w:r>
          </w:p>
        </w:tc>
        <w:tc>
          <w:tcPr>
            <w:tcW w:type="dxa" w:w="1296"/>
            <w:shd w:val="clear" w:color="auto" w:fill="EFEFEF"/>
          </w:tcPr>
          <w:p>
            <w:pPr>
              <w:spacing w:line="240" w:lineRule="auto" w:before="40" w:after="40"/>
              <w:jc w:val="right"/>
            </w:pPr>
            <w:r/>
            <w:r>
              <w:rPr>
                <w:b w:val="0"/>
                <w:i w:val="0"/>
                <w:sz w:val="18"/>
              </w:rPr>
              <w:t>1,180</w:t>
            </w:r>
          </w:p>
        </w:tc>
      </w:tr>
      <w:tr>
        <w:tc>
          <w:tcPr>
            <w:tcW w:type="dxa" w:w="1296"/>
          </w:tcPr>
          <w:p>
            <w:pPr>
              <w:spacing w:line="240" w:lineRule="auto" w:before="40" w:after="40"/>
              <w:jc w:val="left"/>
            </w:pPr>
            <w:r/>
            <w:r>
              <w:rPr>
                <w:b w:val="0"/>
                <w:i w:val="0"/>
                <w:sz w:val="18"/>
              </w:rPr>
              <w:t>1008 (1)</w:t>
            </w:r>
          </w:p>
        </w:tc>
        <w:tc>
          <w:tcPr>
            <w:tcW w:type="dxa" w:w="5616"/>
          </w:tcPr>
          <w:p>
            <w:pPr>
              <w:spacing w:line="240" w:lineRule="auto" w:before="40" w:after="40"/>
              <w:jc w:val="left"/>
            </w:pPr>
            <w:r/>
            <w:r>
              <w:rPr>
                <w:b w:val="0"/>
                <w:i w:val="0"/>
                <w:sz w:val="18"/>
              </w:rPr>
              <w:t>Aluminum-framed glass windows</w:t>
            </w:r>
          </w:p>
        </w:tc>
        <w:tc>
          <w:tcPr>
            <w:tcW w:type="dxa" w:w="864"/>
          </w:tcPr>
          <w:p>
            <w:pPr>
              <w:spacing w:line="240" w:lineRule="auto" w:before="40" w:after="40"/>
              <w:jc w:val="center"/>
            </w:pPr>
            <w:r/>
            <w:r>
              <w:rPr>
                <w:b w:val="0"/>
                <w:i w:val="0"/>
                <w:sz w:val="18"/>
              </w:rPr>
              <w:t>m²</w:t>
            </w:r>
          </w:p>
        </w:tc>
        <w:tc>
          <w:tcPr>
            <w:tcW w:type="dxa" w:w="1296"/>
          </w:tcPr>
          <w:p>
            <w:pPr>
              <w:spacing w:line="240" w:lineRule="auto" w:before="40" w:after="40"/>
              <w:jc w:val="right"/>
            </w:pPr>
            <w:r/>
            <w:r>
              <w:rPr>
                <w:b w:val="0"/>
                <w:i w:val="0"/>
                <w:sz w:val="18"/>
              </w:rPr>
              <w:t>6,200</w:t>
            </w:r>
          </w:p>
        </w:tc>
      </w:tr>
      <w:tr>
        <w:tc>
          <w:tcPr>
            <w:tcW w:type="dxa" w:w="1296"/>
            <w:shd w:val="clear" w:color="auto" w:fill="EFEFEF"/>
          </w:tcPr>
          <w:p>
            <w:pPr>
              <w:spacing w:line="240" w:lineRule="auto" w:before="40" w:after="40"/>
              <w:jc w:val="left"/>
            </w:pPr>
            <w:r/>
            <w:r>
              <w:rPr>
                <w:b w:val="0"/>
                <w:i w:val="0"/>
                <w:sz w:val="18"/>
              </w:rPr>
              <w:t>1010</w:t>
            </w:r>
          </w:p>
        </w:tc>
        <w:tc>
          <w:tcPr>
            <w:tcW w:type="dxa" w:w="5616"/>
            <w:shd w:val="clear" w:color="auto" w:fill="EFEFEF"/>
          </w:tcPr>
          <w:p>
            <w:pPr>
              <w:spacing w:line="240" w:lineRule="auto" w:before="40" w:after="40"/>
              <w:jc w:val="left"/>
            </w:pPr>
            <w:r/>
            <w:r>
              <w:rPr>
                <w:b w:val="0"/>
                <w:i w:val="0"/>
                <w:sz w:val="18"/>
              </w:rPr>
              <w:t>Doors complete with jamb &amp; hardware</w:t>
            </w:r>
          </w:p>
        </w:tc>
        <w:tc>
          <w:tcPr>
            <w:tcW w:type="dxa" w:w="864"/>
            <w:shd w:val="clear" w:color="auto" w:fill="EFEFEF"/>
          </w:tcPr>
          <w:p>
            <w:pPr>
              <w:spacing w:line="240" w:lineRule="auto" w:before="40" w:after="40"/>
              <w:jc w:val="center"/>
            </w:pPr>
            <w:r/>
            <w:r>
              <w:rPr>
                <w:b w:val="0"/>
                <w:i w:val="0"/>
                <w:sz w:val="18"/>
              </w:rPr>
              <w:t>set</w:t>
            </w:r>
          </w:p>
        </w:tc>
        <w:tc>
          <w:tcPr>
            <w:tcW w:type="dxa" w:w="1296"/>
            <w:shd w:val="clear" w:color="auto" w:fill="EFEFEF"/>
          </w:tcPr>
          <w:p>
            <w:pPr>
              <w:spacing w:line="240" w:lineRule="auto" w:before="40" w:after="40"/>
              <w:jc w:val="right"/>
            </w:pPr>
            <w:r/>
            <w:r>
              <w:rPr>
                <w:b w:val="0"/>
                <w:i w:val="0"/>
                <w:sz w:val="18"/>
              </w:rPr>
              <w:t>13,500</w:t>
            </w:r>
          </w:p>
        </w:tc>
      </w:tr>
      <w:tr>
        <w:tc>
          <w:tcPr>
            <w:tcW w:type="dxa" w:w="1296"/>
          </w:tcPr>
          <w:p>
            <w:pPr>
              <w:spacing w:line="240" w:lineRule="auto" w:before="40" w:after="40"/>
              <w:jc w:val="left"/>
            </w:pPr>
            <w:r/>
            <w:r>
              <w:rPr>
                <w:b w:val="0"/>
                <w:i w:val="0"/>
                <w:sz w:val="18"/>
              </w:rPr>
              <w:t>803 (1)a</w:t>
            </w:r>
          </w:p>
        </w:tc>
        <w:tc>
          <w:tcPr>
            <w:tcW w:type="dxa" w:w="5616"/>
          </w:tcPr>
          <w:p>
            <w:pPr>
              <w:spacing w:line="240" w:lineRule="auto" w:before="40" w:after="40"/>
              <w:jc w:val="left"/>
            </w:pPr>
            <w:r/>
            <w:r>
              <w:rPr>
                <w:b w:val="0"/>
                <w:i w:val="0"/>
                <w:sz w:val="18"/>
              </w:rPr>
              <w:t>Structure excavation, common soil</w:t>
            </w:r>
          </w:p>
        </w:tc>
        <w:tc>
          <w:tcPr>
            <w:tcW w:type="dxa" w:w="864"/>
          </w:tcPr>
          <w:p>
            <w:pPr>
              <w:spacing w:line="240" w:lineRule="auto" w:before="40" w:after="40"/>
              <w:jc w:val="center"/>
            </w:pPr>
            <w:r/>
            <w:r>
              <w:rPr>
                <w:b w:val="0"/>
                <w:i w:val="0"/>
                <w:sz w:val="18"/>
              </w:rPr>
              <w:t>m³</w:t>
            </w:r>
          </w:p>
        </w:tc>
        <w:tc>
          <w:tcPr>
            <w:tcW w:type="dxa" w:w="1296"/>
          </w:tcPr>
          <w:p>
            <w:pPr>
              <w:spacing w:line="240" w:lineRule="auto" w:before="40" w:after="40"/>
              <w:jc w:val="right"/>
            </w:pPr>
            <w:r/>
            <w:r>
              <w:rPr>
                <w:b w:val="0"/>
                <w:i w:val="0"/>
                <w:sz w:val="18"/>
              </w:rPr>
              <w:t>380</w:t>
            </w:r>
          </w:p>
        </w:tc>
      </w:tr>
      <w:tr>
        <w:tc>
          <w:tcPr>
            <w:tcW w:type="dxa" w:w="1296"/>
            <w:shd w:val="clear" w:color="auto" w:fill="EFEFEF"/>
          </w:tcPr>
          <w:p>
            <w:pPr>
              <w:spacing w:line="240" w:lineRule="auto" w:before="40" w:after="40"/>
              <w:jc w:val="left"/>
            </w:pPr>
            <w:r/>
            <w:r>
              <w:rPr>
                <w:b w:val="0"/>
                <w:i w:val="0"/>
                <w:sz w:val="18"/>
              </w:rPr>
              <w:t>405 (1)a</w:t>
            </w:r>
          </w:p>
        </w:tc>
        <w:tc>
          <w:tcPr>
            <w:tcW w:type="dxa" w:w="5616"/>
            <w:shd w:val="clear" w:color="auto" w:fill="EFEFEF"/>
          </w:tcPr>
          <w:p>
            <w:pPr>
              <w:spacing w:line="240" w:lineRule="auto" w:before="40" w:after="40"/>
              <w:jc w:val="left"/>
            </w:pPr>
            <w:r/>
            <w:r>
              <w:rPr>
                <w:b w:val="0"/>
                <w:i w:val="0"/>
                <w:sz w:val="18"/>
              </w:rPr>
              <w:t>Structural concrete Class A — deck &amp; girders, incl. forms</w:t>
            </w:r>
          </w:p>
        </w:tc>
        <w:tc>
          <w:tcPr>
            <w:tcW w:type="dxa" w:w="864"/>
            <w:shd w:val="clear" w:color="auto" w:fill="EFEFEF"/>
          </w:tcPr>
          <w:p>
            <w:pPr>
              <w:spacing w:line="240" w:lineRule="auto" w:before="40" w:after="40"/>
              <w:jc w:val="center"/>
            </w:pPr>
            <w:r/>
            <w:r>
              <w:rPr>
                <w:b w:val="0"/>
                <w:i w:val="0"/>
                <w:sz w:val="18"/>
              </w:rPr>
              <w:t>m³</w:t>
            </w:r>
          </w:p>
        </w:tc>
        <w:tc>
          <w:tcPr>
            <w:tcW w:type="dxa" w:w="1296"/>
            <w:shd w:val="clear" w:color="auto" w:fill="EFEFEF"/>
          </w:tcPr>
          <w:p>
            <w:pPr>
              <w:spacing w:line="240" w:lineRule="auto" w:before="40" w:after="40"/>
              <w:jc w:val="right"/>
            </w:pPr>
            <w:r/>
            <w:r>
              <w:rPr>
                <w:b w:val="0"/>
                <w:i w:val="0"/>
                <w:sz w:val="18"/>
              </w:rPr>
              <w:t>13,500</w:t>
            </w:r>
          </w:p>
        </w:tc>
      </w:tr>
      <w:tr>
        <w:tc>
          <w:tcPr>
            <w:tcW w:type="dxa" w:w="1296"/>
          </w:tcPr>
          <w:p>
            <w:pPr>
              <w:spacing w:line="240" w:lineRule="auto" w:before="40" w:after="40"/>
              <w:jc w:val="left"/>
            </w:pPr>
            <w:r/>
            <w:r>
              <w:rPr>
                <w:b w:val="0"/>
                <w:i w:val="0"/>
                <w:sz w:val="18"/>
              </w:rPr>
              <w:t>405 (1)b</w:t>
            </w:r>
          </w:p>
        </w:tc>
        <w:tc>
          <w:tcPr>
            <w:tcW w:type="dxa" w:w="5616"/>
          </w:tcPr>
          <w:p>
            <w:pPr>
              <w:spacing w:line="240" w:lineRule="auto" w:before="40" w:after="40"/>
              <w:jc w:val="left"/>
            </w:pPr>
            <w:r/>
            <w:r>
              <w:rPr>
                <w:b w:val="0"/>
                <w:i w:val="0"/>
                <w:sz w:val="18"/>
              </w:rPr>
              <w:t>Structural concrete Class A — abutments, piers, walls, incl. forms</w:t>
            </w:r>
          </w:p>
        </w:tc>
        <w:tc>
          <w:tcPr>
            <w:tcW w:type="dxa" w:w="864"/>
          </w:tcPr>
          <w:p>
            <w:pPr>
              <w:spacing w:line="240" w:lineRule="auto" w:before="40" w:after="40"/>
              <w:jc w:val="center"/>
            </w:pPr>
            <w:r/>
            <w:r>
              <w:rPr>
                <w:b w:val="0"/>
                <w:i w:val="0"/>
                <w:sz w:val="18"/>
              </w:rPr>
              <w:t>m³</w:t>
            </w:r>
          </w:p>
        </w:tc>
        <w:tc>
          <w:tcPr>
            <w:tcW w:type="dxa" w:w="1296"/>
          </w:tcPr>
          <w:p>
            <w:pPr>
              <w:spacing w:line="240" w:lineRule="auto" w:before="40" w:after="40"/>
              <w:jc w:val="right"/>
            </w:pPr>
            <w:r/>
            <w:r>
              <w:rPr>
                <w:b w:val="0"/>
                <w:i w:val="0"/>
                <w:sz w:val="18"/>
              </w:rPr>
              <w:t>11,200</w:t>
            </w:r>
          </w:p>
        </w:tc>
      </w:tr>
      <w:tr>
        <w:tc>
          <w:tcPr>
            <w:tcW w:type="dxa" w:w="1296"/>
            <w:shd w:val="clear" w:color="auto" w:fill="EFEFEF"/>
          </w:tcPr>
          <w:p>
            <w:pPr>
              <w:spacing w:line="240" w:lineRule="auto" w:before="40" w:after="40"/>
              <w:jc w:val="left"/>
            </w:pPr>
            <w:r/>
            <w:r>
              <w:rPr>
                <w:b w:val="0"/>
                <w:i w:val="0"/>
                <w:sz w:val="18"/>
              </w:rPr>
              <w:t>405 (1)c</w:t>
            </w:r>
          </w:p>
        </w:tc>
        <w:tc>
          <w:tcPr>
            <w:tcW w:type="dxa" w:w="5616"/>
            <w:shd w:val="clear" w:color="auto" w:fill="EFEFEF"/>
          </w:tcPr>
          <w:p>
            <w:pPr>
              <w:spacing w:line="240" w:lineRule="auto" w:before="40" w:after="40"/>
              <w:jc w:val="left"/>
            </w:pPr>
            <w:r/>
            <w:r>
              <w:rPr>
                <w:b w:val="0"/>
                <w:i w:val="0"/>
                <w:sz w:val="18"/>
              </w:rPr>
              <w:t>Structural concrete Class A — footings, pile caps, approach slabs</w:t>
            </w:r>
          </w:p>
        </w:tc>
        <w:tc>
          <w:tcPr>
            <w:tcW w:type="dxa" w:w="864"/>
            <w:shd w:val="clear" w:color="auto" w:fill="EFEFEF"/>
          </w:tcPr>
          <w:p>
            <w:pPr>
              <w:spacing w:line="240" w:lineRule="auto" w:before="40" w:after="40"/>
              <w:jc w:val="center"/>
            </w:pPr>
            <w:r/>
            <w:r>
              <w:rPr>
                <w:b w:val="0"/>
                <w:i w:val="0"/>
                <w:sz w:val="18"/>
              </w:rPr>
              <w:t>m³</w:t>
            </w:r>
          </w:p>
        </w:tc>
        <w:tc>
          <w:tcPr>
            <w:tcW w:type="dxa" w:w="1296"/>
            <w:shd w:val="clear" w:color="auto" w:fill="EFEFEF"/>
          </w:tcPr>
          <w:p>
            <w:pPr>
              <w:spacing w:line="240" w:lineRule="auto" w:before="40" w:after="40"/>
              <w:jc w:val="right"/>
            </w:pPr>
            <w:r/>
            <w:r>
              <w:rPr>
                <w:b w:val="0"/>
                <w:i w:val="0"/>
                <w:sz w:val="18"/>
              </w:rPr>
              <w:t>9,400</w:t>
            </w:r>
          </w:p>
        </w:tc>
      </w:tr>
      <w:tr>
        <w:tc>
          <w:tcPr>
            <w:tcW w:type="dxa" w:w="1296"/>
          </w:tcPr>
          <w:p>
            <w:pPr>
              <w:spacing w:line="240" w:lineRule="auto" w:before="40" w:after="40"/>
              <w:jc w:val="left"/>
            </w:pPr>
            <w:r/>
            <w:r>
              <w:rPr>
                <w:b w:val="0"/>
                <w:i w:val="0"/>
                <w:sz w:val="18"/>
              </w:rPr>
              <w:t>404 (1)</w:t>
            </w:r>
          </w:p>
        </w:tc>
        <w:tc>
          <w:tcPr>
            <w:tcW w:type="dxa" w:w="5616"/>
          </w:tcPr>
          <w:p>
            <w:pPr>
              <w:spacing w:line="240" w:lineRule="auto" w:before="40" w:after="40"/>
              <w:jc w:val="left"/>
            </w:pPr>
            <w:r/>
            <w:r>
              <w:rPr>
                <w:b w:val="0"/>
                <w:i w:val="0"/>
                <w:sz w:val="18"/>
              </w:rPr>
              <w:t>Reinforcing steel Gr. 60, incl. tie wire</w:t>
            </w:r>
          </w:p>
        </w:tc>
        <w:tc>
          <w:tcPr>
            <w:tcW w:type="dxa" w:w="864"/>
          </w:tcPr>
          <w:p>
            <w:pPr>
              <w:spacing w:line="240" w:lineRule="auto" w:before="40" w:after="40"/>
              <w:jc w:val="center"/>
            </w:pPr>
            <w:r/>
            <w:r>
              <w:rPr>
                <w:b w:val="0"/>
                <w:i w:val="0"/>
                <w:sz w:val="18"/>
              </w:rPr>
              <w:t>kg</w:t>
            </w:r>
          </w:p>
        </w:tc>
        <w:tc>
          <w:tcPr>
            <w:tcW w:type="dxa" w:w="1296"/>
          </w:tcPr>
          <w:p>
            <w:pPr>
              <w:spacing w:line="240" w:lineRule="auto" w:before="40" w:after="40"/>
              <w:jc w:val="right"/>
            </w:pPr>
            <w:r/>
            <w:r>
              <w:rPr>
                <w:b w:val="0"/>
                <w:i w:val="0"/>
                <w:sz w:val="18"/>
              </w:rPr>
              <w:t>84</w:t>
            </w:r>
          </w:p>
        </w:tc>
      </w:tr>
      <w:tr>
        <w:tc>
          <w:tcPr>
            <w:tcW w:type="dxa" w:w="1296"/>
            <w:shd w:val="clear" w:color="auto" w:fill="EFEFEF"/>
          </w:tcPr>
          <w:p>
            <w:pPr>
              <w:spacing w:line="240" w:lineRule="auto" w:before="40" w:after="40"/>
              <w:jc w:val="left"/>
            </w:pPr>
            <w:r/>
            <w:r>
              <w:rPr>
                <w:b w:val="0"/>
                <w:i w:val="0"/>
                <w:sz w:val="18"/>
              </w:rPr>
              <w:t>406 (1)b</w:t>
            </w:r>
          </w:p>
        </w:tc>
        <w:tc>
          <w:tcPr>
            <w:tcW w:type="dxa" w:w="5616"/>
            <w:shd w:val="clear" w:color="auto" w:fill="EFEFEF"/>
          </w:tcPr>
          <w:p>
            <w:pPr>
              <w:spacing w:line="240" w:lineRule="auto" w:before="40" w:after="40"/>
              <w:jc w:val="left"/>
            </w:pPr>
            <w:r/>
            <w:r>
              <w:rPr>
                <w:b w:val="0"/>
                <w:i w:val="0"/>
                <w:sz w:val="18"/>
              </w:rPr>
              <w:t>Precast PSC girder AASHTO Type IV — supply, fabricate, launch</w:t>
            </w:r>
          </w:p>
        </w:tc>
        <w:tc>
          <w:tcPr>
            <w:tcW w:type="dxa" w:w="864"/>
            <w:shd w:val="clear" w:color="auto" w:fill="EFEFEF"/>
          </w:tcPr>
          <w:p>
            <w:pPr>
              <w:spacing w:line="240" w:lineRule="auto" w:before="40" w:after="40"/>
              <w:jc w:val="center"/>
            </w:pPr>
            <w:r/>
            <w:r>
              <w:rPr>
                <w:b w:val="0"/>
                <w:i w:val="0"/>
                <w:sz w:val="18"/>
              </w:rPr>
              <w:t>m</w:t>
            </w:r>
          </w:p>
        </w:tc>
        <w:tc>
          <w:tcPr>
            <w:tcW w:type="dxa" w:w="1296"/>
            <w:shd w:val="clear" w:color="auto" w:fill="EFEFEF"/>
          </w:tcPr>
          <w:p>
            <w:pPr>
              <w:spacing w:line="240" w:lineRule="auto" w:before="40" w:after="40"/>
              <w:jc w:val="right"/>
            </w:pPr>
            <w:r/>
            <w:r>
              <w:rPr>
                <w:b w:val="0"/>
                <w:i w:val="0"/>
                <w:sz w:val="18"/>
              </w:rPr>
              <w:t>42,000</w:t>
            </w:r>
          </w:p>
        </w:tc>
      </w:tr>
      <w:tr>
        <w:tc>
          <w:tcPr>
            <w:tcW w:type="dxa" w:w="1296"/>
          </w:tcPr>
          <w:p>
            <w:pPr>
              <w:spacing w:line="240" w:lineRule="auto" w:before="40" w:after="40"/>
              <w:jc w:val="left"/>
            </w:pPr>
            <w:r/>
            <w:r>
              <w:rPr>
                <w:b w:val="0"/>
                <w:i w:val="0"/>
                <w:sz w:val="18"/>
              </w:rPr>
              <w:t>403 (1)</w:t>
            </w:r>
          </w:p>
        </w:tc>
        <w:tc>
          <w:tcPr>
            <w:tcW w:type="dxa" w:w="5616"/>
          </w:tcPr>
          <w:p>
            <w:pPr>
              <w:spacing w:line="240" w:lineRule="auto" w:before="40" w:after="40"/>
              <w:jc w:val="left"/>
            </w:pPr>
            <w:r/>
            <w:r>
              <w:rPr>
                <w:b w:val="0"/>
                <w:i w:val="0"/>
                <w:sz w:val="18"/>
              </w:rPr>
              <w:t>Structural steel, fabricated, painted &amp; erected</w:t>
            </w:r>
          </w:p>
        </w:tc>
        <w:tc>
          <w:tcPr>
            <w:tcW w:type="dxa" w:w="864"/>
          </w:tcPr>
          <w:p>
            <w:pPr>
              <w:spacing w:line="240" w:lineRule="auto" w:before="40" w:after="40"/>
              <w:jc w:val="center"/>
            </w:pPr>
            <w:r/>
            <w:r>
              <w:rPr>
                <w:b w:val="0"/>
                <w:i w:val="0"/>
                <w:sz w:val="18"/>
              </w:rPr>
              <w:t>kg</w:t>
            </w:r>
          </w:p>
        </w:tc>
        <w:tc>
          <w:tcPr>
            <w:tcW w:type="dxa" w:w="1296"/>
          </w:tcPr>
          <w:p>
            <w:pPr>
              <w:spacing w:line="240" w:lineRule="auto" w:before="40" w:after="40"/>
              <w:jc w:val="right"/>
            </w:pPr>
            <w:r/>
            <w:r>
              <w:rPr>
                <w:b w:val="0"/>
                <w:i w:val="0"/>
                <w:sz w:val="18"/>
              </w:rPr>
              <w:t>210</w:t>
            </w:r>
          </w:p>
        </w:tc>
      </w:tr>
      <w:tr>
        <w:tc>
          <w:tcPr>
            <w:tcW w:type="dxa" w:w="1296"/>
            <w:shd w:val="clear" w:color="auto" w:fill="EFEFEF"/>
          </w:tcPr>
          <w:p>
            <w:pPr>
              <w:spacing w:line="240" w:lineRule="auto" w:before="40" w:after="40"/>
              <w:jc w:val="left"/>
            </w:pPr>
            <w:r/>
            <w:r>
              <w:rPr>
                <w:b w:val="0"/>
                <w:i w:val="0"/>
                <w:sz w:val="18"/>
              </w:rPr>
              <w:t>400 (11)</w:t>
            </w:r>
          </w:p>
        </w:tc>
        <w:tc>
          <w:tcPr>
            <w:tcW w:type="dxa" w:w="5616"/>
            <w:shd w:val="clear" w:color="auto" w:fill="EFEFEF"/>
          </w:tcPr>
          <w:p>
            <w:pPr>
              <w:spacing w:line="240" w:lineRule="auto" w:before="40" w:after="40"/>
              <w:jc w:val="left"/>
            </w:pPr>
            <w:r/>
            <w:r>
              <w:rPr>
                <w:b w:val="0"/>
                <w:i w:val="0"/>
                <w:sz w:val="18"/>
              </w:rPr>
              <w:t>Precast RC piles 450 × 450 mm, furnished &amp; driven</w:t>
            </w:r>
          </w:p>
        </w:tc>
        <w:tc>
          <w:tcPr>
            <w:tcW w:type="dxa" w:w="864"/>
            <w:shd w:val="clear" w:color="auto" w:fill="EFEFEF"/>
          </w:tcPr>
          <w:p>
            <w:pPr>
              <w:spacing w:line="240" w:lineRule="auto" w:before="40" w:after="40"/>
              <w:jc w:val="center"/>
            </w:pPr>
            <w:r/>
            <w:r>
              <w:rPr>
                <w:b w:val="0"/>
                <w:i w:val="0"/>
                <w:sz w:val="18"/>
              </w:rPr>
              <w:t>m</w:t>
            </w:r>
          </w:p>
        </w:tc>
        <w:tc>
          <w:tcPr>
            <w:tcW w:type="dxa" w:w="1296"/>
            <w:shd w:val="clear" w:color="auto" w:fill="EFEFEF"/>
          </w:tcPr>
          <w:p>
            <w:pPr>
              <w:spacing w:line="240" w:lineRule="auto" w:before="40" w:after="40"/>
              <w:jc w:val="right"/>
            </w:pPr>
            <w:r/>
            <w:r>
              <w:rPr>
                <w:b w:val="0"/>
                <w:i w:val="0"/>
                <w:sz w:val="18"/>
              </w:rPr>
              <w:t>11,500</w:t>
            </w:r>
          </w:p>
        </w:tc>
      </w:tr>
      <w:tr>
        <w:tc>
          <w:tcPr>
            <w:tcW w:type="dxa" w:w="1296"/>
          </w:tcPr>
          <w:p>
            <w:pPr>
              <w:spacing w:line="240" w:lineRule="auto" w:before="40" w:after="40"/>
              <w:jc w:val="left"/>
            </w:pPr>
            <w:r/>
            <w:r>
              <w:rPr>
                <w:b w:val="0"/>
                <w:i w:val="0"/>
                <w:sz w:val="18"/>
              </w:rPr>
              <w:t>400 (17)</w:t>
            </w:r>
          </w:p>
        </w:tc>
        <w:tc>
          <w:tcPr>
            <w:tcW w:type="dxa" w:w="5616"/>
          </w:tcPr>
          <w:p>
            <w:pPr>
              <w:spacing w:line="240" w:lineRule="auto" w:before="40" w:after="40"/>
              <w:jc w:val="left"/>
            </w:pPr>
            <w:r/>
            <w:r>
              <w:rPr>
                <w:b w:val="0"/>
                <w:i w:val="0"/>
                <w:sz w:val="18"/>
              </w:rPr>
              <w:t>Bored piles 1.0 m Ø, drilling incl. temporary casing</w:t>
            </w:r>
          </w:p>
        </w:tc>
        <w:tc>
          <w:tcPr>
            <w:tcW w:type="dxa" w:w="864"/>
          </w:tcPr>
          <w:p>
            <w:pPr>
              <w:spacing w:line="240" w:lineRule="auto" w:before="40" w:after="40"/>
              <w:jc w:val="center"/>
            </w:pPr>
            <w:r/>
            <w:r>
              <w:rPr>
                <w:b w:val="0"/>
                <w:i w:val="0"/>
                <w:sz w:val="18"/>
              </w:rPr>
              <w:t>m</w:t>
            </w:r>
          </w:p>
        </w:tc>
        <w:tc>
          <w:tcPr>
            <w:tcW w:type="dxa" w:w="1296"/>
          </w:tcPr>
          <w:p>
            <w:pPr>
              <w:spacing w:line="240" w:lineRule="auto" w:before="40" w:after="40"/>
              <w:jc w:val="right"/>
            </w:pPr>
            <w:r/>
            <w:r>
              <w:rPr>
                <w:b w:val="0"/>
                <w:i w:val="0"/>
                <w:sz w:val="18"/>
              </w:rPr>
              <w:t>28,000</w:t>
            </w:r>
          </w:p>
        </w:tc>
      </w:tr>
      <w:tr>
        <w:tc>
          <w:tcPr>
            <w:tcW w:type="dxa" w:w="1296"/>
            <w:shd w:val="clear" w:color="auto" w:fill="EFEFEF"/>
          </w:tcPr>
          <w:p>
            <w:pPr>
              <w:spacing w:line="240" w:lineRule="auto" w:before="40" w:after="40"/>
              <w:jc w:val="left"/>
            </w:pPr>
            <w:r/>
            <w:r>
              <w:rPr>
                <w:b w:val="0"/>
                <w:i w:val="0"/>
                <w:sz w:val="18"/>
              </w:rPr>
              <w:t>412 (1)</w:t>
            </w:r>
          </w:p>
        </w:tc>
        <w:tc>
          <w:tcPr>
            <w:tcW w:type="dxa" w:w="5616"/>
            <w:shd w:val="clear" w:color="auto" w:fill="EFEFEF"/>
          </w:tcPr>
          <w:p>
            <w:pPr>
              <w:spacing w:line="240" w:lineRule="auto" w:before="40" w:after="40"/>
              <w:jc w:val="left"/>
            </w:pPr>
            <w:r/>
            <w:r>
              <w:rPr>
                <w:b w:val="0"/>
                <w:i w:val="0"/>
                <w:sz w:val="18"/>
              </w:rPr>
              <w:t>Elastomeric bearing pads</w:t>
            </w:r>
          </w:p>
        </w:tc>
        <w:tc>
          <w:tcPr>
            <w:tcW w:type="dxa" w:w="864"/>
            <w:shd w:val="clear" w:color="auto" w:fill="EFEFEF"/>
          </w:tcPr>
          <w:p>
            <w:pPr>
              <w:spacing w:line="240" w:lineRule="auto" w:before="40" w:after="40"/>
              <w:jc w:val="center"/>
            </w:pPr>
            <w:r/>
            <w:r>
              <w:rPr>
                <w:b w:val="0"/>
                <w:i w:val="0"/>
                <w:sz w:val="18"/>
              </w:rPr>
              <w:t>pc</w:t>
            </w:r>
          </w:p>
        </w:tc>
        <w:tc>
          <w:tcPr>
            <w:tcW w:type="dxa" w:w="1296"/>
            <w:shd w:val="clear" w:color="auto" w:fill="EFEFEF"/>
          </w:tcPr>
          <w:p>
            <w:pPr>
              <w:spacing w:line="240" w:lineRule="auto" w:before="40" w:after="40"/>
              <w:jc w:val="right"/>
            </w:pPr>
            <w:r/>
            <w:r>
              <w:rPr>
                <w:b w:val="0"/>
                <w:i w:val="0"/>
                <w:sz w:val="18"/>
              </w:rPr>
              <w:t>16,500</w:t>
            </w:r>
          </w:p>
        </w:tc>
      </w:tr>
      <w:tr>
        <w:tc>
          <w:tcPr>
            <w:tcW w:type="dxa" w:w="1296"/>
            <w:tcBorders>
              <w:bottom w:val="single" w:sz="12" w:color="000000"/>
            </w:tcBorders>
          </w:tcPr>
          <w:p>
            <w:pPr>
              <w:spacing w:line="240" w:lineRule="auto" w:before="40" w:after="40"/>
              <w:jc w:val="left"/>
            </w:pPr>
            <w:r/>
            <w:r>
              <w:rPr>
                <w:b w:val="0"/>
                <w:i w:val="0"/>
                <w:sz w:val="18"/>
              </w:rPr>
              <w:t>505 (2)</w:t>
            </w:r>
          </w:p>
        </w:tc>
        <w:tc>
          <w:tcPr>
            <w:tcW w:type="dxa" w:w="5616"/>
            <w:tcBorders>
              <w:bottom w:val="single" w:sz="12" w:color="000000"/>
            </w:tcBorders>
          </w:tcPr>
          <w:p>
            <w:pPr>
              <w:spacing w:line="240" w:lineRule="auto" w:before="40" w:after="40"/>
              <w:jc w:val="left"/>
            </w:pPr>
            <w:r/>
            <w:r>
              <w:rPr>
                <w:b w:val="0"/>
                <w:i w:val="0"/>
                <w:sz w:val="18"/>
              </w:rPr>
              <w:t>Grouted riprap, Class A (slope protection)</w:t>
            </w:r>
          </w:p>
        </w:tc>
        <w:tc>
          <w:tcPr>
            <w:tcW w:type="dxa" w:w="864"/>
            <w:tcBorders>
              <w:bottom w:val="single" w:sz="12" w:color="000000"/>
            </w:tcBorders>
          </w:tcPr>
          <w:p>
            <w:pPr>
              <w:spacing w:line="240" w:lineRule="auto" w:before="40" w:after="40"/>
              <w:jc w:val="center"/>
            </w:pPr>
            <w:r/>
            <w:r>
              <w:rPr>
                <w:b w:val="0"/>
                <w:i w:val="0"/>
                <w:sz w:val="18"/>
              </w:rPr>
              <w:t>m³</w:t>
            </w:r>
          </w:p>
        </w:tc>
        <w:tc>
          <w:tcPr>
            <w:tcW w:type="dxa" w:w="1296"/>
            <w:tcBorders>
              <w:bottom w:val="single" w:sz="12" w:color="000000"/>
            </w:tcBorders>
          </w:tcPr>
          <w:p>
            <w:pPr>
              <w:spacing w:line="240" w:lineRule="auto" w:before="40" w:after="40"/>
              <w:jc w:val="right"/>
            </w:pPr>
            <w:r/>
            <w:r>
              <w:rPr>
                <w:b w:val="0"/>
                <w:i w:val="0"/>
                <w:sz w:val="18"/>
              </w:rPr>
              <w:t>3,100</w:t>
            </w:r>
          </w:p>
        </w:tc>
      </w:tr>
    </w:tbl>
    <w:p>
      <w:pPr>
        <w:spacing w:line="240" w:lineRule="auto" w:after="80"/>
      </w:pPr>
    </w:p>
    <w:p>
      <w:pPr>
        <w:spacing w:line="480" w:lineRule="auto" w:after="0"/>
        <w:ind w:firstLine="720"/>
        <w:jc w:val="both"/>
      </w:pPr>
      <w:r>
        <w:rPr>
          <w:b w:val="0"/>
          <w:i w:val="0"/>
        </w:rPr>
        <w:t>Indirect costs follow DPWH Department Order No. 197, s. 2016, whose overhead, contingencies and miscellaneous (OCM) and profit percentages are carried into D.O. No. 30, s. 2025 for estimates from 2026. Both are applied as a share of the estimated direct cost (EDC) by bracket, and value-added tax is 5% of the sum of EDC, OCM and profit (Table 5). BUHAY-AH also uses these caps to check submitted ABCs for excessive markups or a wrong VAT rate.</w:t>
      </w:r>
    </w:p>
    <w:p>
      <w:pPr>
        <w:keepNext/>
        <w:spacing w:line="240" w:lineRule="auto" w:after="0" w:before="120"/>
        <w:jc w:val="left"/>
      </w:pPr>
      <w:r>
        <w:rPr>
          <w:b/>
          <w:i w:val="0"/>
        </w:rPr>
        <w:t>Table 5.</w:t>
      </w:r>
    </w:p>
    <w:p>
      <w:pPr>
        <w:keepNext/>
        <w:spacing w:line="240" w:lineRule="auto" w:after="0"/>
        <w:jc w:val="left"/>
      </w:pPr>
      <w:r>
        <w:rPr>
          <w:b w:val="0"/>
          <w:i/>
        </w:rPr>
        <w:t>Indirect Cost Brackets under DPWH D.O. 197 s. 2016 and D.O. 30 s. 2025</w:t>
      </w:r>
    </w:p>
    <w:tbl>
      <w:tblPr>
        <w:tblW w:type="auto" w:w="0"/>
        <w:jc w:val="center"/>
        <w:tblLayout w:type="fixed"/>
        <w:tblLook w:firstColumn="1" w:firstRow="1" w:lastColumn="0" w:lastRow="0" w:noHBand="0" w:noVBand="1" w:val="04A0"/>
        <w:tblLayout w:type="fixed"/>
      </w:tblPr>
      <w:tblGrid>
        <w:gridCol w:w="3744"/>
        <w:gridCol w:w="2304"/>
        <w:gridCol w:w="1440"/>
        <w:gridCol w:w="1728"/>
      </w:tblGrid>
      <w:tr>
        <w:tc>
          <w:tcPr>
            <w:tcW w:type="dxa" w:w="3744"/>
            <w:tcBorders>
              <w:top w:val="single" w:sz="12" w:color="000000"/>
              <w:bottom w:val="single" w:sz="8" w:color="000000"/>
            </w:tcBorders>
          </w:tcPr>
          <w:p>
            <w:pPr>
              <w:spacing w:line="240" w:lineRule="auto" w:before="40" w:after="40"/>
              <w:jc w:val="center"/>
            </w:pPr>
            <w:r/>
            <w:r>
              <w:rPr>
                <w:b/>
                <w:i w:val="0"/>
                <w:sz w:val="20"/>
              </w:rPr>
              <w:t>ESTIMATED DIRECT COST</w:t>
            </w:r>
          </w:p>
        </w:tc>
        <w:tc>
          <w:tcPr>
            <w:tcW w:type="dxa" w:w="2304"/>
            <w:tcBorders>
              <w:top w:val="single" w:sz="12" w:color="000000"/>
              <w:bottom w:val="single" w:sz="8" w:color="000000"/>
            </w:tcBorders>
          </w:tcPr>
          <w:p>
            <w:pPr>
              <w:spacing w:line="240" w:lineRule="auto" w:before="40" w:after="40"/>
              <w:jc w:val="center"/>
            </w:pPr>
            <w:r/>
            <w:r>
              <w:rPr>
                <w:b/>
                <w:i w:val="0"/>
                <w:sz w:val="20"/>
              </w:rPr>
              <w:t>OCM</w:t>
            </w:r>
          </w:p>
        </w:tc>
        <w:tc>
          <w:tcPr>
            <w:tcW w:type="dxa" w:w="1440"/>
            <w:tcBorders>
              <w:top w:val="single" w:sz="12" w:color="000000"/>
              <w:bottom w:val="single" w:sz="8" w:color="000000"/>
            </w:tcBorders>
          </w:tcPr>
          <w:p>
            <w:pPr>
              <w:spacing w:line="240" w:lineRule="auto" w:before="40" w:after="40"/>
              <w:jc w:val="center"/>
            </w:pPr>
            <w:r/>
            <w:r>
              <w:rPr>
                <w:b/>
                <w:i w:val="0"/>
                <w:sz w:val="20"/>
              </w:rPr>
              <w:t>PROFIT</w:t>
            </w:r>
          </w:p>
        </w:tc>
        <w:tc>
          <w:tcPr>
            <w:tcW w:type="dxa" w:w="1728"/>
            <w:tcBorders>
              <w:top w:val="single" w:sz="12" w:color="000000"/>
              <w:bottom w:val="single" w:sz="8" w:color="000000"/>
            </w:tcBorders>
          </w:tcPr>
          <w:p>
            <w:pPr>
              <w:spacing w:line="240" w:lineRule="auto" w:before="40" w:after="40"/>
              <w:jc w:val="center"/>
            </w:pPr>
            <w:r/>
            <w:r>
              <w:rPr>
                <w:b/>
                <w:i w:val="0"/>
                <w:sz w:val="20"/>
              </w:rPr>
              <w:t>TOTAL MARKUP</w:t>
            </w:r>
          </w:p>
        </w:tc>
      </w:tr>
      <w:tr>
        <w:tc>
          <w:tcPr>
            <w:tcW w:type="dxa" w:w="3744"/>
            <w:shd w:val="clear" w:color="auto" w:fill="EFEFEF"/>
          </w:tcPr>
          <w:p>
            <w:pPr>
              <w:spacing w:line="240" w:lineRule="auto" w:before="40" w:after="40"/>
              <w:jc w:val="left"/>
            </w:pPr>
            <w:r/>
            <w:r>
              <w:rPr>
                <w:b w:val="0"/>
                <w:i/>
                <w:sz w:val="20"/>
              </w:rPr>
              <w:t>Up to ₱5 million</w:t>
            </w:r>
          </w:p>
        </w:tc>
        <w:tc>
          <w:tcPr>
            <w:tcW w:type="dxa" w:w="2304"/>
            <w:shd w:val="clear" w:color="auto" w:fill="EFEFEF"/>
          </w:tcPr>
          <w:p>
            <w:pPr>
              <w:spacing w:line="240" w:lineRule="auto" w:before="40" w:after="40"/>
              <w:jc w:val="center"/>
            </w:pPr>
            <w:r/>
            <w:r>
              <w:rPr>
                <w:b w:val="0"/>
                <w:i w:val="0"/>
                <w:sz w:val="20"/>
              </w:rPr>
              <w:t>15%</w:t>
            </w:r>
          </w:p>
        </w:tc>
        <w:tc>
          <w:tcPr>
            <w:tcW w:type="dxa" w:w="1440"/>
            <w:shd w:val="clear" w:color="auto" w:fill="EFEFEF"/>
          </w:tcPr>
          <w:p>
            <w:pPr>
              <w:spacing w:line="240" w:lineRule="auto" w:before="40" w:after="40"/>
              <w:jc w:val="center"/>
            </w:pPr>
            <w:r/>
            <w:r>
              <w:rPr>
                <w:b w:val="0"/>
                <w:i w:val="0"/>
                <w:sz w:val="20"/>
              </w:rPr>
              <w:t>10%</w:t>
            </w:r>
          </w:p>
        </w:tc>
        <w:tc>
          <w:tcPr>
            <w:tcW w:type="dxa" w:w="1728"/>
            <w:shd w:val="clear" w:color="auto" w:fill="EFEFEF"/>
          </w:tcPr>
          <w:p>
            <w:pPr>
              <w:spacing w:line="240" w:lineRule="auto" w:before="40" w:after="40"/>
              <w:jc w:val="center"/>
            </w:pPr>
            <w:r/>
            <w:r>
              <w:rPr>
                <w:b w:val="0"/>
                <w:i w:val="0"/>
                <w:sz w:val="20"/>
              </w:rPr>
              <w:t>25%</w:t>
            </w:r>
          </w:p>
        </w:tc>
      </w:tr>
      <w:tr>
        <w:tc>
          <w:tcPr>
            <w:tcW w:type="dxa" w:w="3744"/>
          </w:tcPr>
          <w:p>
            <w:pPr>
              <w:spacing w:line="240" w:lineRule="auto" w:before="40" w:after="40"/>
              <w:jc w:val="left"/>
            </w:pPr>
            <w:r/>
            <w:r>
              <w:rPr>
                <w:b w:val="0"/>
                <w:i/>
                <w:sz w:val="20"/>
              </w:rPr>
              <w:t>Above ₱5 million up to ₱50 million</w:t>
            </w:r>
          </w:p>
        </w:tc>
        <w:tc>
          <w:tcPr>
            <w:tcW w:type="dxa" w:w="2304"/>
          </w:tcPr>
          <w:p>
            <w:pPr>
              <w:spacing w:line="240" w:lineRule="auto" w:before="40" w:after="40"/>
              <w:jc w:val="center"/>
            </w:pPr>
            <w:r/>
            <w:r>
              <w:rPr>
                <w:b w:val="0"/>
                <w:i w:val="0"/>
                <w:sz w:val="20"/>
              </w:rPr>
              <w:t>12%</w:t>
            </w:r>
          </w:p>
        </w:tc>
        <w:tc>
          <w:tcPr>
            <w:tcW w:type="dxa" w:w="1440"/>
          </w:tcPr>
          <w:p>
            <w:pPr>
              <w:spacing w:line="240" w:lineRule="auto" w:before="40" w:after="40"/>
              <w:jc w:val="center"/>
            </w:pPr>
            <w:r/>
            <w:r>
              <w:rPr>
                <w:b w:val="0"/>
                <w:i w:val="0"/>
                <w:sz w:val="20"/>
              </w:rPr>
              <w:t>8%</w:t>
            </w:r>
          </w:p>
        </w:tc>
        <w:tc>
          <w:tcPr>
            <w:tcW w:type="dxa" w:w="1728"/>
          </w:tcPr>
          <w:p>
            <w:pPr>
              <w:spacing w:line="240" w:lineRule="auto" w:before="40" w:after="40"/>
              <w:jc w:val="center"/>
            </w:pPr>
            <w:r/>
            <w:r>
              <w:rPr>
                <w:b w:val="0"/>
                <w:i w:val="0"/>
                <w:sz w:val="20"/>
              </w:rPr>
              <w:t>20%</w:t>
            </w:r>
          </w:p>
        </w:tc>
      </w:tr>
      <w:tr>
        <w:tc>
          <w:tcPr>
            <w:tcW w:type="dxa" w:w="3744"/>
            <w:shd w:val="clear" w:color="auto" w:fill="EFEFEF"/>
          </w:tcPr>
          <w:p>
            <w:pPr>
              <w:spacing w:line="240" w:lineRule="auto" w:before="40" w:after="40"/>
              <w:jc w:val="left"/>
            </w:pPr>
            <w:r/>
            <w:r>
              <w:rPr>
                <w:b w:val="0"/>
                <w:i/>
                <w:sz w:val="20"/>
              </w:rPr>
              <w:t>Above ₱50 million up to ₱150 million</w:t>
            </w:r>
          </w:p>
        </w:tc>
        <w:tc>
          <w:tcPr>
            <w:tcW w:type="dxa" w:w="2304"/>
            <w:shd w:val="clear" w:color="auto" w:fill="EFEFEF"/>
          </w:tcPr>
          <w:p>
            <w:pPr>
              <w:spacing w:line="240" w:lineRule="auto" w:before="40" w:after="40"/>
              <w:jc w:val="center"/>
            </w:pPr>
            <w:r/>
            <w:r>
              <w:rPr>
                <w:b w:val="0"/>
                <w:i w:val="0"/>
                <w:sz w:val="20"/>
              </w:rPr>
              <w:t>10%</w:t>
            </w:r>
          </w:p>
        </w:tc>
        <w:tc>
          <w:tcPr>
            <w:tcW w:type="dxa" w:w="1440"/>
            <w:shd w:val="clear" w:color="auto" w:fill="EFEFEF"/>
          </w:tcPr>
          <w:p>
            <w:pPr>
              <w:spacing w:line="240" w:lineRule="auto" w:before="40" w:after="40"/>
              <w:jc w:val="center"/>
            </w:pPr>
            <w:r/>
            <w:r>
              <w:rPr>
                <w:b w:val="0"/>
                <w:i w:val="0"/>
                <w:sz w:val="20"/>
              </w:rPr>
              <w:t>8%</w:t>
            </w:r>
          </w:p>
        </w:tc>
        <w:tc>
          <w:tcPr>
            <w:tcW w:type="dxa" w:w="1728"/>
            <w:shd w:val="clear" w:color="auto" w:fill="EFEFEF"/>
          </w:tcPr>
          <w:p>
            <w:pPr>
              <w:spacing w:line="240" w:lineRule="auto" w:before="40" w:after="40"/>
              <w:jc w:val="center"/>
            </w:pPr>
            <w:r/>
            <w:r>
              <w:rPr>
                <w:b w:val="0"/>
                <w:i w:val="0"/>
                <w:sz w:val="20"/>
              </w:rPr>
              <w:t>18%</w:t>
            </w:r>
          </w:p>
        </w:tc>
      </w:tr>
      <w:tr>
        <w:tc>
          <w:tcPr>
            <w:tcW w:type="dxa" w:w="3744"/>
          </w:tcPr>
          <w:p>
            <w:pPr>
              <w:spacing w:line="240" w:lineRule="auto" w:before="40" w:after="40"/>
              <w:jc w:val="left"/>
            </w:pPr>
            <w:r/>
            <w:r>
              <w:rPr>
                <w:b w:val="0"/>
                <w:i/>
                <w:sz w:val="20"/>
              </w:rPr>
              <w:t>Above ₱150 million</w:t>
            </w:r>
          </w:p>
        </w:tc>
        <w:tc>
          <w:tcPr>
            <w:tcW w:type="dxa" w:w="2304"/>
          </w:tcPr>
          <w:p>
            <w:pPr>
              <w:spacing w:line="240" w:lineRule="auto" w:before="40" w:after="40"/>
              <w:jc w:val="center"/>
            </w:pPr>
            <w:r/>
            <w:r>
              <w:rPr>
                <w:b w:val="0"/>
                <w:i w:val="0"/>
                <w:sz w:val="20"/>
              </w:rPr>
              <w:t>8%</w:t>
            </w:r>
          </w:p>
        </w:tc>
        <w:tc>
          <w:tcPr>
            <w:tcW w:type="dxa" w:w="1440"/>
          </w:tcPr>
          <w:p>
            <w:pPr>
              <w:spacing w:line="240" w:lineRule="auto" w:before="40" w:after="40"/>
              <w:jc w:val="center"/>
            </w:pPr>
            <w:r/>
            <w:r>
              <w:rPr>
                <w:b w:val="0"/>
                <w:i w:val="0"/>
                <w:sz w:val="20"/>
              </w:rPr>
              <w:t>8%</w:t>
            </w:r>
          </w:p>
        </w:tc>
        <w:tc>
          <w:tcPr>
            <w:tcW w:type="dxa" w:w="1728"/>
          </w:tcPr>
          <w:p>
            <w:pPr>
              <w:spacing w:line="240" w:lineRule="auto" w:before="40" w:after="40"/>
              <w:jc w:val="center"/>
            </w:pPr>
            <w:r/>
            <w:r>
              <w:rPr>
                <w:b w:val="0"/>
                <w:i w:val="0"/>
                <w:sz w:val="20"/>
              </w:rPr>
              <w:t>16%</w:t>
            </w:r>
          </w:p>
        </w:tc>
      </w:tr>
      <w:tr>
        <w:tc>
          <w:tcPr>
            <w:tcW w:type="dxa" w:w="3744"/>
            <w:shd w:val="clear" w:color="auto" w:fill="EFEFEF"/>
            <w:tcBorders>
              <w:bottom w:val="single" w:sz="12" w:color="000000"/>
            </w:tcBorders>
          </w:tcPr>
          <w:p>
            <w:pPr>
              <w:spacing w:line="240" w:lineRule="auto" w:before="40" w:after="40"/>
              <w:jc w:val="left"/>
            </w:pPr>
            <w:r/>
            <w:r>
              <w:rPr>
                <w:b w:val="0"/>
                <w:i/>
                <w:sz w:val="20"/>
              </w:rPr>
              <w:t>Value-added tax</w:t>
            </w:r>
          </w:p>
        </w:tc>
        <w:tc>
          <w:tcPr>
            <w:tcW w:type="dxa" w:w="2304"/>
            <w:shd w:val="clear" w:color="auto" w:fill="EFEFEF"/>
            <w:tcBorders>
              <w:bottom w:val="single" w:sz="12" w:color="000000"/>
            </w:tcBorders>
          </w:tcPr>
          <w:p>
            <w:pPr>
              <w:spacing w:line="240" w:lineRule="auto" w:before="40" w:after="40"/>
              <w:jc w:val="center"/>
            </w:pPr>
            <w:r/>
            <w:r>
              <w:rPr>
                <w:b w:val="0"/>
                <w:i w:val="0"/>
                <w:sz w:val="20"/>
              </w:rPr>
              <w:t>5% of (EDC + OCM + profit)</w:t>
            </w:r>
          </w:p>
        </w:tc>
        <w:tc>
          <w:tcPr>
            <w:tcW w:type="dxa" w:w="1440"/>
            <w:shd w:val="clear" w:color="auto" w:fill="EFEFEF"/>
            <w:tcBorders>
              <w:bottom w:val="single" w:sz="12" w:color="000000"/>
            </w:tcBorders>
          </w:tcPr>
          <w:p>
            <w:pPr>
              <w:spacing w:line="240" w:lineRule="auto" w:before="40" w:after="40"/>
              <w:jc w:val="center"/>
            </w:pPr>
            <w:r/>
          </w:p>
        </w:tc>
        <w:tc>
          <w:tcPr>
            <w:tcW w:type="dxa" w:w="1728"/>
            <w:shd w:val="clear" w:color="auto" w:fill="EFEFEF"/>
            <w:tcBorders>
              <w:bottom w:val="single" w:sz="12" w:color="000000"/>
            </w:tcBorders>
          </w:tcPr>
          <w:p>
            <w:pPr>
              <w:spacing w:line="240" w:lineRule="auto" w:before="40" w:after="40"/>
              <w:jc w:val="center"/>
            </w:pPr>
            <w:r/>
          </w:p>
        </w:tc>
      </w:tr>
    </w:tbl>
    <w:p>
      <w:pPr>
        <w:spacing w:line="240" w:lineRule="auto" w:after="80"/>
      </w:pPr>
    </w:p>
    <w:p>
      <w:pPr>
        <w:keepNext/>
        <w:spacing w:line="480" w:lineRule="auto" w:after="0"/>
        <w:ind w:left="720"/>
        <w:jc w:val="left"/>
      </w:pPr>
      <w:r>
        <w:rPr>
          <w:b/>
          <w:i w:val="0"/>
        </w:rPr>
        <w:t>Quantity Take-Off and Quotation Engine</w:t>
      </w:r>
    </w:p>
    <w:p>
      <w:pPr>
        <w:spacing w:line="480" w:lineRule="auto" w:after="0"/>
        <w:ind w:firstLine="720"/>
        <w:jc w:val="both"/>
      </w:pPr>
      <w:r>
        <w:rPr>
          <w:b w:val="0"/>
          <w:i w:val="0"/>
        </w:rPr>
        <w:t>For buildings, the engine lays out the column grid from the plan dimensions and bay spacing and sizes the reinforced-concrete frame from the number of storeys. Columns are 300 mm square for up to two storeys, the NSCP 2015 minimum for special moment frames (Section 418.7.2.1), 400 mm for three to four storeys and 500 mm for five to six. Beam depth is the larger of 0.40 m and span/12, slabs are 125 mm for short spans up to 4.5 m and 150 mm beyond, and isolated footings are sized from the service load on each column and the allowable soil bearing:</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133854" cy="480364"/>
            <wp:docPr id="35" name="Picture 35"/>
            <wp:cNvGraphicFramePr>
              <a:graphicFrameLocks noChangeAspect="1"/>
            </wp:cNvGraphicFramePr>
            <a:graphic>
              <a:graphicData uri="http://schemas.openxmlformats.org/drawingml/2006/picture">
                <pic:pic>
                  <pic:nvPicPr>
                    <pic:cNvPr id="0" name="footing.png"/>
                    <pic:cNvPicPr/>
                  </pic:nvPicPr>
                  <pic:blipFill>
                    <a:blip r:embed="rId15"/>
                    <a:stretch>
                      <a:fillRect/>
                    </a:stretch>
                  </pic:blipFill>
                  <pic:spPr>
                    <a:xfrm>
                      <a:off x="0" y="0"/>
                      <a:ext cx="1133854" cy="480364"/>
                    </a:xfrm>
                    <a:prstGeom prst="rect"/>
                  </pic:spPr>
                </pic:pic>
              </a:graphicData>
            </a:graphic>
          </wp:inline>
        </w:drawing>
      </w:r>
      <w:r>
        <w:tab/>
        <w:t>Eq. 6</w:t>
      </w:r>
    </w:p>
    <w:p>
      <w:pPr>
        <w:spacing w:line="480" w:lineRule="auto" w:after="0"/>
        <w:ind w:firstLine="720"/>
        <w:jc w:val="both"/>
      </w:pPr>
      <w:r>
        <w:rPr>
          <w:b w:val="0"/>
          <w:i w:val="0"/>
        </w:rPr>
        <w:t xml:space="preserve">where </w:t>
      </w:r>
      <w:r>
        <w:rPr>
          <w:b w:val="0"/>
          <w:i/>
        </w:rPr>
        <w:t>α</w:t>
      </w:r>
      <w:r>
        <w:rPr>
          <w:b w:val="0"/>
          <w:i w:val="0"/>
        </w:rPr>
        <w:t xml:space="preserve"> = 0.75 accounts for edge and corner columns, </w:t>
      </w:r>
      <w:r>
        <w:rPr>
          <w:b w:val="0"/>
          <w:i/>
        </w:rPr>
        <w:t>s</w:t>
      </w:r>
      <w:r>
        <w:rPr>
          <w:b w:val="0"/>
          <w:i/>
          <w:vertAlign w:val="subscript"/>
        </w:rPr>
        <w:t>x</w:t>
      </w:r>
      <w:r>
        <w:rPr>
          <w:b w:val="0"/>
          <w:i w:val="0"/>
        </w:rPr>
        <w:t xml:space="preserve"> and </w:t>
      </w:r>
      <w:r>
        <w:rPr>
          <w:b w:val="0"/>
          <w:i/>
        </w:rPr>
        <w:t>s</w:t>
      </w:r>
      <w:r>
        <w:rPr>
          <w:b w:val="0"/>
          <w:i/>
          <w:vertAlign w:val="subscript"/>
        </w:rPr>
        <w:t>y</w:t>
      </w:r>
      <w:r>
        <w:rPr>
          <w:b w:val="0"/>
          <w:i w:val="0"/>
        </w:rPr>
        <w:t xml:space="preserve"> are the bay dimensions, </w:t>
      </w:r>
      <w:r>
        <w:rPr>
          <w:b w:val="0"/>
          <w:i/>
        </w:rPr>
        <w:t>N</w:t>
      </w:r>
      <w:r>
        <w:rPr>
          <w:b w:val="0"/>
          <w:i w:val="0"/>
        </w:rPr>
        <w:t xml:space="preserve"> is the number of storeys, </w:t>
      </w:r>
      <w:r>
        <w:rPr>
          <w:b w:val="0"/>
          <w:i/>
        </w:rPr>
        <w:t>w</w:t>
      </w:r>
      <w:r>
        <w:rPr>
          <w:b w:val="0"/>
          <w:i w:val="0"/>
        </w:rPr>
        <w:t xml:space="preserve"> is the service load per floor (10.0 to 13.0 kPa by facility type) and </w:t>
      </w:r>
      <w:r>
        <w:rPr>
          <w:b w:val="0"/>
          <w:i/>
        </w:rPr>
        <w:t>q</w:t>
      </w:r>
      <w:r>
        <w:rPr>
          <w:b w:val="0"/>
          <w:i/>
          <w:vertAlign w:val="subscript"/>
        </w:rPr>
        <w:t>a</w:t>
      </w:r>
      <w:r>
        <w:rPr>
          <w:b w:val="0"/>
          <w:i w:val="0"/>
        </w:rPr>
        <w:t xml:space="preserve"> is the allowable bearing pressure. Reinforcing steel is computed from element volumes and intensities: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007057" cy="321868"/>
            <wp:docPr id="36" name="Picture 36"/>
            <wp:cNvGraphicFramePr>
              <a:graphicFrameLocks noChangeAspect="1"/>
            </wp:cNvGraphicFramePr>
            <a:graphic>
              <a:graphicData uri="http://schemas.openxmlformats.org/drawingml/2006/picture">
                <pic:pic>
                  <pic:nvPicPr>
                    <pic:cNvPr id="0" name="rebar.png"/>
                    <pic:cNvPicPr/>
                  </pic:nvPicPr>
                  <pic:blipFill>
                    <a:blip r:embed="rId16"/>
                    <a:stretch>
                      <a:fillRect/>
                    </a:stretch>
                  </pic:blipFill>
                  <pic:spPr>
                    <a:xfrm>
                      <a:off x="0" y="0"/>
                      <a:ext cx="1007057" cy="321868"/>
                    </a:xfrm>
                    <a:prstGeom prst="rect"/>
                  </pic:spPr>
                </pic:pic>
              </a:graphicData>
            </a:graphic>
          </wp:inline>
        </w:drawing>
      </w:r>
      <w:r>
        <w:tab/>
        <w:t>Eq. 7</w:t>
      </w:r>
    </w:p>
    <w:p>
      <w:pPr>
        <w:spacing w:line="480" w:lineRule="auto" w:after="0"/>
        <w:ind w:firstLine="720"/>
        <w:jc w:val="both"/>
      </w:pPr>
      <w:r>
        <w:rPr>
          <w:b w:val="0"/>
          <w:i w:val="0"/>
        </w:rPr>
        <w:t xml:space="preserve">where </w:t>
      </w:r>
      <w:r>
        <w:rPr>
          <w:b w:val="0"/>
          <w:i/>
        </w:rPr>
        <w:t>ρ</w:t>
      </w:r>
      <w:r>
        <w:rPr>
          <w:b w:val="0"/>
          <w:i/>
          <w:vertAlign w:val="subscript"/>
        </w:rPr>
        <w:t>e</w:t>
      </w:r>
      <w:r>
        <w:rPr>
          <w:b w:val="0"/>
          <w:i w:val="0"/>
        </w:rPr>
        <w:t xml:space="preserve"> is the reinforcement intensity of element </w:t>
      </w:r>
      <w:r>
        <w:rPr>
          <w:b w:val="0"/>
          <w:i/>
        </w:rPr>
        <w:t>e</w:t>
      </w:r>
      <w:r>
        <w:rPr>
          <w:b w:val="0"/>
          <w:i w:val="0"/>
        </w:rPr>
        <w:t xml:space="preserve"> in kg/m³ (footings 90, columns 220, beams 190, slabs 100, stairs 100 at the standard tier), </w:t>
      </w:r>
      <w:r>
        <w:rPr>
          <w:b w:val="0"/>
          <w:i/>
        </w:rPr>
        <w:t>V</w:t>
      </w:r>
      <w:r>
        <w:rPr>
          <w:b w:val="0"/>
          <w:i/>
          <w:vertAlign w:val="subscript"/>
        </w:rPr>
        <w:t>e</w:t>
      </w:r>
      <w:r>
        <w:rPr>
          <w:b w:val="0"/>
          <w:i w:val="0"/>
        </w:rPr>
        <w:t xml:space="preserve"> is the concrete volume, </w:t>
      </w:r>
      <w:r>
        <w:rPr>
          <w:b w:val="0"/>
          <w:i/>
        </w:rPr>
        <w:t>ζ</w:t>
      </w:r>
      <w:r>
        <w:rPr>
          <w:b w:val="0"/>
          <w:i w:val="0"/>
        </w:rPr>
        <w:t xml:space="preserve"> is 1.00 for Seismic Zone 4 and 0.88 for Zone 2, and </w:t>
      </w:r>
      <w:r>
        <w:rPr>
          <w:b w:val="0"/>
          <w:i/>
        </w:rPr>
        <w:t>τ</w:t>
      </w:r>
      <w:r>
        <w:rPr>
          <w:b w:val="0"/>
          <w:i w:val="0"/>
        </w:rPr>
        <w:t xml:space="preserve"> is the tier factor in Table 6. Masonry, plaster, painting, ceilings and floor finishes follow from wall and floor areas, window area is kept at no less than 10% of floor area as required for natural light by PD 1096, roof steel is taken as 14 + 0.6</w:t>
      </w:r>
      <w:r>
        <w:rPr>
          <w:b w:val="0"/>
          <w:i/>
        </w:rPr>
        <w:t>W</w:t>
      </w:r>
      <w:r>
        <w:rPr>
          <w:b w:val="0"/>
          <w:i w:val="0"/>
        </w:rPr>
        <w:t xml:space="preserve"> kg per m² of footprint plus 5.5 kg/m² of purlins, and electrical, plumbing, fire protection and mechanical works are priced as allowances per m² of GFA by facility type, with sprinklers required for buildings of three or more storeys and for health facilities, markets and dormitories under RA 9514.</w:t>
      </w:r>
    </w:p>
    <w:p>
      <w:pPr>
        <w:spacing w:line="480" w:lineRule="auto" w:after="0"/>
        <w:ind w:firstLine="720"/>
        <w:jc w:val="both"/>
      </w:pPr>
      <w:r>
        <w:rPr>
          <w:b w:val="0"/>
          <w:i w:val="0"/>
        </w:rPr>
        <w:t>For bridges, deck slabs are 200 mm (220 mm on steel trusses). RCDG girders are spaced at about 2.1 m with depth of the larger of 0.90 m and span/13 + 0.10 m. PSCG girders are spaced at about 2.4 m and selected by span: AASHTO Type III up to 24 m, Type IV up to 32 m and bulb-tee BT-1600 beyond. Steel truss weight is (55 + 4.2</w:t>
      </w:r>
      <w:r>
        <w:rPr>
          <w:b w:val="0"/>
          <w:i/>
        </w:rPr>
        <w:t>S</w:t>
      </w:r>
      <w:r>
        <w:rPr>
          <w:b w:val="0"/>
          <w:i w:val="0"/>
        </w:rPr>
        <w:t xml:space="preserve">) kg per m² of deck for span </w:t>
      </w:r>
      <w:r>
        <w:rPr>
          <w:b w:val="0"/>
          <w:i/>
        </w:rPr>
        <w:t>S</w:t>
      </w:r>
      <w:r>
        <w:rPr>
          <w:b w:val="0"/>
          <w:i w:val="0"/>
        </w:rPr>
        <w:t>. Abutment stems are 0.50 + 0.06</w:t>
      </w:r>
      <w:r>
        <w:rPr>
          <w:b w:val="0"/>
          <w:i/>
        </w:rPr>
        <w:t>H</w:t>
      </w:r>
      <w:r>
        <w:rPr>
          <w:b w:val="0"/>
          <w:i w:val="0"/>
        </w:rPr>
        <w:t xml:space="preserve"> m thick on footings 0.55</w:t>
      </w:r>
      <w:r>
        <w:rPr>
          <w:b w:val="0"/>
          <w:i/>
        </w:rPr>
        <w:t>H</w:t>
      </w:r>
      <w:r>
        <w:rPr>
          <w:b w:val="0"/>
          <w:i w:val="0"/>
        </w:rPr>
        <w:t xml:space="preserve"> + 1.2 m wide for height </w:t>
      </w:r>
      <w:r>
        <w:rPr>
          <w:b w:val="0"/>
          <w:i/>
        </w:rPr>
        <w:t>H</w:t>
      </w:r>
      <w:r>
        <w:rPr>
          <w:b w:val="0"/>
          <w:i w:val="0"/>
        </w:rPr>
        <w:t>, piers have two or three circular columns of 1.0 to 1.2 m diameter under a coping, and pile counts follow the pile-cap footprint at 1.2 m spacing for 450 mm driven piles and 3.0 to 3.5 m for 1.0 m bored piles. Bearings, expansion joints, railings, approach slabs, slope protection, approach pavement, mobilization, occupational safety and health, traffic management and testing complete the bill of quantities.</w:t>
      </w:r>
    </w:p>
    <w:p>
      <w:pPr>
        <w:spacing w:line="480" w:lineRule="auto" w:after="0"/>
        <w:ind w:firstLine="720"/>
        <w:jc w:val="both"/>
      </w:pPr>
      <w:r>
        <w:rPr>
          <w:b w:val="0"/>
          <w:i w:val="0"/>
        </w:rPr>
        <w:t xml:space="preserve">Every quantity </w:t>
      </w:r>
      <w:r>
        <w:rPr>
          <w:b w:val="0"/>
          <w:i/>
        </w:rPr>
        <w:t>Q</w:t>
      </w:r>
      <w:r>
        <w:rPr>
          <w:b w:val="0"/>
          <w:i/>
          <w:vertAlign w:val="subscript"/>
        </w:rPr>
        <w:t>i</w:t>
      </w:r>
      <w:r>
        <w:rPr>
          <w:b w:val="0"/>
          <w:i w:val="0"/>
        </w:rPr>
        <w:t xml:space="preserve"> is multiplied by its unit rate </w:t>
      </w:r>
      <w:r>
        <w:rPr>
          <w:b w:val="0"/>
          <w:i/>
        </w:rPr>
        <w:t>r</w:t>
      </w:r>
      <w:r>
        <w:rPr>
          <w:b w:val="0"/>
          <w:i/>
          <w:vertAlign w:val="subscript"/>
        </w:rPr>
        <w:t>i</w:t>
      </w:r>
      <w:r>
        <w:rPr>
          <w:b w:val="0"/>
          <w:i w:val="0"/>
        </w:rPr>
        <w:t xml:space="preserve"> and by the location and year factors to give the estimated direct cost, which is then marked up into the ABC:</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419146" cy="395020"/>
            <wp:docPr id="37" name="Picture 37"/>
            <wp:cNvGraphicFramePr>
              <a:graphicFrameLocks noChangeAspect="1"/>
            </wp:cNvGraphicFramePr>
            <a:graphic>
              <a:graphicData uri="http://schemas.openxmlformats.org/drawingml/2006/picture">
                <pic:pic>
                  <pic:nvPicPr>
                    <pic:cNvPr id="0" name="edc.png"/>
                    <pic:cNvPicPr/>
                  </pic:nvPicPr>
                  <pic:blipFill>
                    <a:blip r:embed="rId17"/>
                    <a:stretch>
                      <a:fillRect/>
                    </a:stretch>
                  </pic:blipFill>
                  <pic:spPr>
                    <a:xfrm>
                      <a:off x="0" y="0"/>
                      <a:ext cx="1419146" cy="395020"/>
                    </a:xfrm>
                    <a:prstGeom prst="rect"/>
                  </pic:spPr>
                </pic:pic>
              </a:graphicData>
            </a:graphic>
          </wp:inline>
        </w:drawing>
      </w:r>
      <w:r>
        <w:tab/>
        <w:t>Eq. 8</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965346" cy="241401"/>
            <wp:docPr id="38" name="Picture 38"/>
            <wp:cNvGraphicFramePr>
              <a:graphicFrameLocks noChangeAspect="1"/>
            </wp:cNvGraphicFramePr>
            <a:graphic>
              <a:graphicData uri="http://schemas.openxmlformats.org/drawingml/2006/picture">
                <pic:pic>
                  <pic:nvPicPr>
                    <pic:cNvPr id="0" name="abc.png"/>
                    <pic:cNvPicPr/>
                  </pic:nvPicPr>
                  <pic:blipFill>
                    <a:blip r:embed="rId18"/>
                    <a:stretch>
                      <a:fillRect/>
                    </a:stretch>
                  </pic:blipFill>
                  <pic:spPr>
                    <a:xfrm>
                      <a:off x="0" y="0"/>
                      <a:ext cx="1965346" cy="241401"/>
                    </a:xfrm>
                    <a:prstGeom prst="rect"/>
                  </pic:spPr>
                </pic:pic>
              </a:graphicData>
            </a:graphic>
          </wp:inline>
        </w:drawing>
      </w:r>
      <w:r>
        <w:tab/>
        <w:t>Eq. 9</w:t>
      </w:r>
    </w:p>
    <w:p>
      <w:pPr>
        <w:spacing w:line="480" w:lineRule="auto" w:after="0"/>
        <w:ind w:firstLine="720"/>
        <w:jc w:val="both"/>
      </w:pPr>
      <w:r>
        <w:rPr>
          <w:b w:val="0"/>
          <w:i w:val="0"/>
        </w:rPr>
        <w:t xml:space="preserve">where </w:t>
      </w:r>
      <w:r>
        <w:rPr>
          <w:b w:val="0"/>
          <w:i/>
        </w:rPr>
        <w:t>o</w:t>
      </w:r>
      <w:r>
        <w:rPr>
          <w:b w:val="0"/>
          <w:i w:val="0"/>
        </w:rPr>
        <w:t xml:space="preserve"> and </w:t>
      </w:r>
      <w:r>
        <w:rPr>
          <w:b w:val="0"/>
          <w:i/>
        </w:rPr>
        <w:t>π</w:t>
      </w:r>
      <w:r>
        <w:rPr>
          <w:b w:val="0"/>
          <w:i w:val="0"/>
        </w:rPr>
        <w:t xml:space="preserve"> are the OCM and profit rates of the EDC bracket and </w:t>
      </w:r>
      <w:r>
        <w:rPr>
          <w:b w:val="0"/>
          <w:i/>
        </w:rPr>
        <w:t>v</w:t>
      </w:r>
      <w:r>
        <w:rPr>
          <w:b w:val="0"/>
          <w:i w:val="0"/>
        </w:rPr>
        <w:t xml:space="preserve"> is the 5% VAT rate. The engine runs three times per plan with the tier settings in Table 6. The lean tier is the </w:t>
      </w:r>
      <w:r>
        <w:rPr>
          <w:b/>
          <w:i w:val="0"/>
        </w:rPr>
        <w:t>start quotation</w:t>
      </w:r>
      <w:r>
        <w:rPr>
          <w:b w:val="0"/>
          <w:i w:val="0"/>
        </w:rPr>
        <w:t>: it keeps every code requirement but uses code-minimum reinforcement and basic finishes. The ceiling tier is the highest price that can still be defended for the scope.</w:t>
      </w:r>
    </w:p>
    <w:p>
      <w:pPr>
        <w:keepNext/>
        <w:spacing w:line="240" w:lineRule="auto" w:after="0" w:before="120"/>
        <w:jc w:val="left"/>
      </w:pPr>
      <w:r>
        <w:rPr>
          <w:b/>
          <w:i w:val="0"/>
        </w:rPr>
        <w:t>Table 6.</w:t>
      </w:r>
    </w:p>
    <w:p>
      <w:pPr>
        <w:keepNext/>
        <w:spacing w:line="240" w:lineRule="auto" w:after="0"/>
        <w:jc w:val="left"/>
      </w:pPr>
      <w:r>
        <w:rPr>
          <w:b w:val="0"/>
          <w:i/>
        </w:rPr>
        <w:t>Quotation Tier Settings</w:t>
      </w:r>
    </w:p>
    <w:tbl>
      <w:tblPr>
        <w:tblW w:type="auto" w:w="0"/>
        <w:jc w:val="center"/>
        <w:tblLayout w:type="fixed"/>
        <w:tblLook w:firstColumn="1" w:firstRow="1" w:lastColumn="0" w:lastRow="0" w:noHBand="0" w:noVBand="1" w:val="04A0"/>
        <w:tblLayout w:type="fixed"/>
      </w:tblPr>
      <w:tblGrid>
        <w:gridCol w:w="2592"/>
        <w:gridCol w:w="2304"/>
        <w:gridCol w:w="2448"/>
        <w:gridCol w:w="2015"/>
      </w:tblGrid>
      <w:tr>
        <w:tc>
          <w:tcPr>
            <w:tcW w:type="dxa" w:w="2592"/>
            <w:tcBorders>
              <w:top w:val="single" w:sz="12" w:color="000000"/>
              <w:bottom w:val="single" w:sz="8" w:color="000000"/>
            </w:tcBorders>
          </w:tcPr>
          <w:p>
            <w:pPr>
              <w:spacing w:line="240" w:lineRule="auto" w:before="40" w:after="40"/>
              <w:jc w:val="center"/>
            </w:pPr>
            <w:r/>
            <w:r>
              <w:rPr>
                <w:b/>
                <w:i w:val="0"/>
                <w:sz w:val="20"/>
              </w:rPr>
              <w:t>SETTING</w:t>
            </w:r>
          </w:p>
        </w:tc>
        <w:tc>
          <w:tcPr>
            <w:tcW w:type="dxa" w:w="2304"/>
            <w:tcBorders>
              <w:top w:val="single" w:sz="12" w:color="000000"/>
              <w:bottom w:val="single" w:sz="8" w:color="000000"/>
            </w:tcBorders>
          </w:tcPr>
          <w:p>
            <w:pPr>
              <w:spacing w:line="240" w:lineRule="auto" w:before="40" w:after="40"/>
              <w:jc w:val="center"/>
            </w:pPr>
            <w:r/>
            <w:r>
              <w:rPr>
                <w:b/>
                <w:i w:val="0"/>
                <w:sz w:val="20"/>
              </w:rPr>
              <w:t>LEAN (START QUOTATION)</w:t>
            </w:r>
          </w:p>
        </w:tc>
        <w:tc>
          <w:tcPr>
            <w:tcW w:type="dxa" w:w="2448"/>
            <w:tcBorders>
              <w:top w:val="single" w:sz="12" w:color="000000"/>
              <w:bottom w:val="single" w:sz="8" w:color="000000"/>
            </w:tcBorders>
          </w:tcPr>
          <w:p>
            <w:pPr>
              <w:spacing w:line="240" w:lineRule="auto" w:before="40" w:after="40"/>
              <w:jc w:val="center"/>
            </w:pPr>
            <w:r/>
            <w:r>
              <w:rPr>
                <w:b/>
                <w:i w:val="0"/>
                <w:sz w:val="20"/>
              </w:rPr>
              <w:t>STANDARD (FAIR ESTIMATE)</w:t>
            </w:r>
          </w:p>
        </w:tc>
        <w:tc>
          <w:tcPr>
            <w:tcW w:type="dxa" w:w="2016"/>
            <w:tcBorders>
              <w:top w:val="single" w:sz="12" w:color="000000"/>
              <w:bottom w:val="single" w:sz="8" w:color="000000"/>
            </w:tcBorders>
          </w:tcPr>
          <w:p>
            <w:pPr>
              <w:spacing w:line="240" w:lineRule="auto" w:before="40" w:after="40"/>
              <w:jc w:val="center"/>
            </w:pPr>
            <w:r/>
            <w:r>
              <w:rPr>
                <w:b/>
                <w:i w:val="0"/>
                <w:sz w:val="20"/>
              </w:rPr>
              <w:t>CEILING</w:t>
            </w:r>
          </w:p>
        </w:tc>
      </w:tr>
      <w:tr>
        <w:tc>
          <w:tcPr>
            <w:tcW w:type="dxa" w:w="2592"/>
            <w:shd w:val="clear" w:color="auto" w:fill="EFEFEF"/>
          </w:tcPr>
          <w:p>
            <w:pPr>
              <w:spacing w:line="240" w:lineRule="auto" w:before="40" w:after="40"/>
              <w:jc w:val="left"/>
            </w:pPr>
            <w:r/>
            <w:r>
              <w:rPr>
                <w:b w:val="0"/>
                <w:i/>
                <w:sz w:val="20"/>
              </w:rPr>
              <w:t>Reinforcement factor τ</w:t>
            </w:r>
          </w:p>
        </w:tc>
        <w:tc>
          <w:tcPr>
            <w:tcW w:type="dxa" w:w="2304"/>
            <w:shd w:val="clear" w:color="auto" w:fill="EFEFEF"/>
          </w:tcPr>
          <w:p>
            <w:pPr>
              <w:spacing w:line="240" w:lineRule="auto" w:before="40" w:after="40"/>
              <w:jc w:val="center"/>
            </w:pPr>
            <w:r/>
            <w:r>
              <w:rPr>
                <w:b w:val="0"/>
                <w:i w:val="0"/>
                <w:sz w:val="20"/>
              </w:rPr>
              <w:t>0.80</w:t>
            </w:r>
          </w:p>
        </w:tc>
        <w:tc>
          <w:tcPr>
            <w:tcW w:type="dxa" w:w="2448"/>
            <w:shd w:val="clear" w:color="auto" w:fill="EFEFEF"/>
          </w:tcPr>
          <w:p>
            <w:pPr>
              <w:spacing w:line="240" w:lineRule="auto" w:before="40" w:after="40"/>
              <w:jc w:val="center"/>
            </w:pPr>
            <w:r/>
            <w:r>
              <w:rPr>
                <w:b w:val="0"/>
                <w:i w:val="0"/>
                <w:sz w:val="20"/>
              </w:rPr>
              <w:t>1.00</w:t>
            </w:r>
          </w:p>
        </w:tc>
        <w:tc>
          <w:tcPr>
            <w:tcW w:type="dxa" w:w="2016"/>
            <w:shd w:val="clear" w:color="auto" w:fill="EFEFEF"/>
          </w:tcPr>
          <w:p>
            <w:pPr>
              <w:spacing w:line="240" w:lineRule="auto" w:before="40" w:after="40"/>
              <w:jc w:val="center"/>
            </w:pPr>
            <w:r/>
            <w:r>
              <w:rPr>
                <w:b w:val="0"/>
                <w:i w:val="0"/>
                <w:sz w:val="20"/>
              </w:rPr>
              <w:t>1.25</w:t>
            </w:r>
          </w:p>
        </w:tc>
      </w:tr>
      <w:tr>
        <w:tc>
          <w:tcPr>
            <w:tcW w:type="dxa" w:w="2592"/>
          </w:tcPr>
          <w:p>
            <w:pPr>
              <w:spacing w:line="240" w:lineRule="auto" w:before="40" w:after="40"/>
              <w:jc w:val="left"/>
            </w:pPr>
            <w:r/>
            <w:r>
              <w:rPr>
                <w:b w:val="0"/>
                <w:i/>
                <w:sz w:val="20"/>
              </w:rPr>
              <w:t>Structural steel factor</w:t>
            </w:r>
          </w:p>
        </w:tc>
        <w:tc>
          <w:tcPr>
            <w:tcW w:type="dxa" w:w="2304"/>
          </w:tcPr>
          <w:p>
            <w:pPr>
              <w:spacing w:line="240" w:lineRule="auto" w:before="40" w:after="40"/>
              <w:jc w:val="center"/>
            </w:pPr>
            <w:r/>
            <w:r>
              <w:rPr>
                <w:b w:val="0"/>
                <w:i w:val="0"/>
                <w:sz w:val="20"/>
              </w:rPr>
              <w:t>0.92</w:t>
            </w:r>
          </w:p>
        </w:tc>
        <w:tc>
          <w:tcPr>
            <w:tcW w:type="dxa" w:w="2448"/>
          </w:tcPr>
          <w:p>
            <w:pPr>
              <w:spacing w:line="240" w:lineRule="auto" w:before="40" w:after="40"/>
              <w:jc w:val="center"/>
            </w:pPr>
            <w:r/>
            <w:r>
              <w:rPr>
                <w:b w:val="0"/>
                <w:i w:val="0"/>
                <w:sz w:val="20"/>
              </w:rPr>
              <w:t>1.00</w:t>
            </w:r>
          </w:p>
        </w:tc>
        <w:tc>
          <w:tcPr>
            <w:tcW w:type="dxa" w:w="2016"/>
          </w:tcPr>
          <w:p>
            <w:pPr>
              <w:spacing w:line="240" w:lineRule="auto" w:before="40" w:after="40"/>
              <w:jc w:val="center"/>
            </w:pPr>
            <w:r/>
            <w:r>
              <w:rPr>
                <w:b w:val="0"/>
                <w:i w:val="0"/>
                <w:sz w:val="20"/>
              </w:rPr>
              <w:t>1.15</w:t>
            </w:r>
          </w:p>
        </w:tc>
      </w:tr>
      <w:tr>
        <w:tc>
          <w:tcPr>
            <w:tcW w:type="dxa" w:w="2592"/>
            <w:shd w:val="clear" w:color="auto" w:fill="EFEFEF"/>
          </w:tcPr>
          <w:p>
            <w:pPr>
              <w:spacing w:line="240" w:lineRule="auto" w:before="40" w:after="40"/>
              <w:jc w:val="left"/>
            </w:pPr>
            <w:r/>
            <w:r>
              <w:rPr>
                <w:b w:val="0"/>
                <w:i/>
                <w:sz w:val="20"/>
              </w:rPr>
              <w:t>Floor finish</w:t>
            </w:r>
          </w:p>
        </w:tc>
        <w:tc>
          <w:tcPr>
            <w:tcW w:type="dxa" w:w="2304"/>
            <w:shd w:val="clear" w:color="auto" w:fill="EFEFEF"/>
          </w:tcPr>
          <w:p>
            <w:pPr>
              <w:spacing w:line="240" w:lineRule="auto" w:before="40" w:after="40"/>
              <w:jc w:val="center"/>
            </w:pPr>
            <w:r/>
            <w:r>
              <w:rPr>
                <w:b w:val="0"/>
                <w:i w:val="0"/>
                <w:sz w:val="20"/>
              </w:rPr>
              <w:t>Cement topping</w:t>
            </w:r>
          </w:p>
        </w:tc>
        <w:tc>
          <w:tcPr>
            <w:tcW w:type="dxa" w:w="2448"/>
            <w:shd w:val="clear" w:color="auto" w:fill="EFEFEF"/>
          </w:tcPr>
          <w:p>
            <w:pPr>
              <w:spacing w:line="240" w:lineRule="auto" w:before="40" w:after="40"/>
              <w:jc w:val="center"/>
            </w:pPr>
            <w:r/>
            <w:r>
              <w:rPr>
                <w:b w:val="0"/>
                <w:i w:val="0"/>
                <w:sz w:val="20"/>
              </w:rPr>
              <w:t>Ceramic tiles</w:t>
            </w:r>
          </w:p>
        </w:tc>
        <w:tc>
          <w:tcPr>
            <w:tcW w:type="dxa" w:w="2016"/>
            <w:shd w:val="clear" w:color="auto" w:fill="EFEFEF"/>
          </w:tcPr>
          <w:p>
            <w:pPr>
              <w:spacing w:line="240" w:lineRule="auto" w:before="40" w:after="40"/>
              <w:jc w:val="center"/>
            </w:pPr>
            <w:r/>
            <w:r>
              <w:rPr>
                <w:b w:val="0"/>
                <w:i w:val="0"/>
                <w:sz w:val="20"/>
              </w:rPr>
              <w:t>Porcelain / granite</w:t>
            </w:r>
          </w:p>
        </w:tc>
      </w:tr>
      <w:tr>
        <w:tc>
          <w:tcPr>
            <w:tcW w:type="dxa" w:w="2592"/>
          </w:tcPr>
          <w:p>
            <w:pPr>
              <w:spacing w:line="240" w:lineRule="auto" w:before="40" w:after="40"/>
              <w:jc w:val="left"/>
            </w:pPr>
            <w:r/>
            <w:r>
              <w:rPr>
                <w:b w:val="0"/>
                <w:i/>
                <w:sz w:val="20"/>
              </w:rPr>
              <w:t>MEPF allowance factor</w:t>
            </w:r>
          </w:p>
        </w:tc>
        <w:tc>
          <w:tcPr>
            <w:tcW w:type="dxa" w:w="2304"/>
          </w:tcPr>
          <w:p>
            <w:pPr>
              <w:spacing w:line="240" w:lineRule="auto" w:before="40" w:after="40"/>
              <w:jc w:val="center"/>
            </w:pPr>
            <w:r/>
            <w:r>
              <w:rPr>
                <w:b w:val="0"/>
                <w:i w:val="0"/>
                <w:sz w:val="20"/>
              </w:rPr>
              <w:t>0.85</w:t>
            </w:r>
          </w:p>
        </w:tc>
        <w:tc>
          <w:tcPr>
            <w:tcW w:type="dxa" w:w="2448"/>
          </w:tcPr>
          <w:p>
            <w:pPr>
              <w:spacing w:line="240" w:lineRule="auto" w:before="40" w:after="40"/>
              <w:jc w:val="center"/>
            </w:pPr>
            <w:r/>
            <w:r>
              <w:rPr>
                <w:b w:val="0"/>
                <w:i w:val="0"/>
                <w:sz w:val="20"/>
              </w:rPr>
              <w:t>1.00</w:t>
            </w:r>
          </w:p>
        </w:tc>
        <w:tc>
          <w:tcPr>
            <w:tcW w:type="dxa" w:w="2016"/>
          </w:tcPr>
          <w:p>
            <w:pPr>
              <w:spacing w:line="240" w:lineRule="auto" w:before="40" w:after="40"/>
              <w:jc w:val="center"/>
            </w:pPr>
            <w:r/>
            <w:r>
              <w:rPr>
                <w:b w:val="0"/>
                <w:i w:val="0"/>
                <w:sz w:val="20"/>
              </w:rPr>
              <w:t>1.25</w:t>
            </w:r>
          </w:p>
        </w:tc>
      </w:tr>
      <w:tr>
        <w:tc>
          <w:tcPr>
            <w:tcW w:type="dxa" w:w="2592"/>
            <w:shd w:val="clear" w:color="auto" w:fill="EFEFEF"/>
          </w:tcPr>
          <w:p>
            <w:pPr>
              <w:spacing w:line="240" w:lineRule="auto" w:before="40" w:after="40"/>
              <w:jc w:val="left"/>
            </w:pPr>
            <w:r/>
            <w:r>
              <w:rPr>
                <w:b w:val="0"/>
                <w:i/>
                <w:sz w:val="20"/>
              </w:rPr>
              <w:t>Mobilization / OSH</w:t>
            </w:r>
          </w:p>
        </w:tc>
        <w:tc>
          <w:tcPr>
            <w:tcW w:type="dxa" w:w="2304"/>
            <w:shd w:val="clear" w:color="auto" w:fill="EFEFEF"/>
          </w:tcPr>
          <w:p>
            <w:pPr>
              <w:spacing w:line="240" w:lineRule="auto" w:before="40" w:after="40"/>
              <w:jc w:val="center"/>
            </w:pPr>
            <w:r/>
            <w:r>
              <w:rPr>
                <w:b w:val="0"/>
                <w:i w:val="0"/>
                <w:sz w:val="20"/>
              </w:rPr>
              <w:t>1.0% / 1.0%</w:t>
            </w:r>
          </w:p>
        </w:tc>
        <w:tc>
          <w:tcPr>
            <w:tcW w:type="dxa" w:w="2448"/>
            <w:shd w:val="clear" w:color="auto" w:fill="EFEFEF"/>
          </w:tcPr>
          <w:p>
            <w:pPr>
              <w:spacing w:line="240" w:lineRule="auto" w:before="40" w:after="40"/>
              <w:jc w:val="center"/>
            </w:pPr>
            <w:r/>
            <w:r>
              <w:rPr>
                <w:b w:val="0"/>
                <w:i w:val="0"/>
                <w:sz w:val="20"/>
              </w:rPr>
              <w:t>1.2% / 1.5%</w:t>
            </w:r>
          </w:p>
        </w:tc>
        <w:tc>
          <w:tcPr>
            <w:tcW w:type="dxa" w:w="2016"/>
            <w:shd w:val="clear" w:color="auto" w:fill="EFEFEF"/>
          </w:tcPr>
          <w:p>
            <w:pPr>
              <w:spacing w:line="240" w:lineRule="auto" w:before="40" w:after="40"/>
              <w:jc w:val="center"/>
            </w:pPr>
            <w:r/>
            <w:r>
              <w:rPr>
                <w:b w:val="0"/>
                <w:i w:val="0"/>
                <w:sz w:val="20"/>
              </w:rPr>
              <w:t>1.5% / 2.0%</w:t>
            </w:r>
          </w:p>
        </w:tc>
      </w:tr>
      <w:tr>
        <w:tc>
          <w:tcPr>
            <w:tcW w:type="dxa" w:w="2592"/>
            <w:tcBorders>
              <w:bottom w:val="single" w:sz="12" w:color="000000"/>
            </w:tcBorders>
          </w:tcPr>
          <w:p>
            <w:pPr>
              <w:spacing w:line="240" w:lineRule="auto" w:before="40" w:after="40"/>
              <w:jc w:val="left"/>
            </w:pPr>
            <w:r/>
            <w:r>
              <w:rPr>
                <w:b w:val="0"/>
                <w:i/>
                <w:sz w:val="20"/>
              </w:rPr>
              <w:t>Scope contingency</w:t>
            </w:r>
          </w:p>
        </w:tc>
        <w:tc>
          <w:tcPr>
            <w:tcW w:type="dxa" w:w="2304"/>
            <w:tcBorders>
              <w:bottom w:val="single" w:sz="12" w:color="000000"/>
            </w:tcBorders>
          </w:tcPr>
          <w:p>
            <w:pPr>
              <w:spacing w:line="240" w:lineRule="auto" w:before="40" w:after="40"/>
              <w:jc w:val="center"/>
            </w:pPr>
            <w:r/>
            <w:r>
              <w:rPr>
                <w:b w:val="0"/>
                <w:i w:val="0"/>
                <w:sz w:val="20"/>
              </w:rPr>
              <w:t>–</w:t>
            </w:r>
          </w:p>
        </w:tc>
        <w:tc>
          <w:tcPr>
            <w:tcW w:type="dxa" w:w="2448"/>
            <w:tcBorders>
              <w:bottom w:val="single" w:sz="12" w:color="000000"/>
            </w:tcBorders>
          </w:tcPr>
          <w:p>
            <w:pPr>
              <w:spacing w:line="240" w:lineRule="auto" w:before="40" w:after="40"/>
              <w:jc w:val="center"/>
            </w:pPr>
            <w:r/>
            <w:r>
              <w:rPr>
                <w:b w:val="0"/>
                <w:i w:val="0"/>
                <w:sz w:val="20"/>
              </w:rPr>
              <w:t>–</w:t>
            </w:r>
          </w:p>
        </w:tc>
        <w:tc>
          <w:tcPr>
            <w:tcW w:type="dxa" w:w="2016"/>
            <w:tcBorders>
              <w:bottom w:val="single" w:sz="12" w:color="000000"/>
            </w:tcBorders>
          </w:tcPr>
          <w:p>
            <w:pPr>
              <w:spacing w:line="240" w:lineRule="auto" w:before="40" w:after="40"/>
              <w:jc w:val="center"/>
            </w:pPr>
            <w:r/>
            <w:r>
              <w:rPr>
                <w:b w:val="0"/>
                <w:i w:val="0"/>
                <w:sz w:val="20"/>
              </w:rPr>
              <w:t>8% of works</w:t>
            </w:r>
          </w:p>
        </w:tc>
      </w:tr>
    </w:tbl>
    <w:p>
      <w:pPr>
        <w:spacing w:line="240" w:lineRule="auto" w:after="80"/>
      </w:pPr>
    </w:p>
    <w:p>
      <w:pPr>
        <w:spacing w:line="480" w:lineRule="auto" w:after="0"/>
        <w:ind w:firstLine="720"/>
        <w:jc w:val="both"/>
      </w:pPr>
      <w:r>
        <w:rPr>
          <w:b w:val="0"/>
          <w:i w:val="0"/>
        </w:rPr>
        <w:t>A contract amount is compared with the standard estimate through the over-budget ratio:</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009499" cy="416966"/>
            <wp:docPr id="39" name="Picture 39"/>
            <wp:cNvGraphicFramePr>
              <a:graphicFrameLocks noChangeAspect="1"/>
            </wp:cNvGraphicFramePr>
            <a:graphic>
              <a:graphicData uri="http://schemas.openxmlformats.org/drawingml/2006/picture">
                <pic:pic>
                  <pic:nvPicPr>
                    <pic:cNvPr id="0" name="obr.png"/>
                    <pic:cNvPicPr/>
                  </pic:nvPicPr>
                  <pic:blipFill>
                    <a:blip r:embed="rId19"/>
                    <a:stretch>
                      <a:fillRect/>
                    </a:stretch>
                  </pic:blipFill>
                  <pic:spPr>
                    <a:xfrm>
                      <a:off x="0" y="0"/>
                      <a:ext cx="1009499" cy="416966"/>
                    </a:xfrm>
                    <a:prstGeom prst="rect"/>
                  </pic:spPr>
                </pic:pic>
              </a:graphicData>
            </a:graphic>
          </wp:inline>
        </w:drawing>
      </w:r>
      <w:r>
        <w:tab/>
        <w:t>Eq. 10</w:t>
      </w:r>
    </w:p>
    <w:p>
      <w:pPr>
        <w:spacing w:line="480" w:lineRule="auto" w:after="0"/>
        <w:ind w:firstLine="720"/>
        <w:jc w:val="both"/>
      </w:pPr>
      <w:r>
        <w:rPr>
          <w:b w:val="0"/>
          <w:i w:val="0"/>
        </w:rPr>
        <w:t>An OBR above 1.10 marks a contract for review, and an amount above the ceiling marks it as an over-budget flag. Algorithm 2 summarizes the engine.</w:t>
      </w:r>
    </w:p>
    <w:p>
      <w:pPr>
        <w:keepNext/>
        <w:spacing w:line="240" w:lineRule="auto" w:after="0" w:before="120"/>
        <w:jc w:val="left"/>
      </w:pPr>
      <w:r>
        <w:rPr>
          <w:b/>
          <w:i w:val="0"/>
        </w:rPr>
        <w:t>Algorithm 2.</w:t>
      </w:r>
    </w:p>
    <w:p>
      <w:pPr>
        <w:keepNext/>
        <w:spacing w:line="240" w:lineRule="auto" w:after="0"/>
        <w:jc w:val="left"/>
      </w:pPr>
      <w:r>
        <w:rPr>
          <w:b w:val="0"/>
          <w:i/>
        </w:rPr>
        <w:t>Quantity Take-Off and Approved Budget for the Contract</w:t>
      </w:r>
    </w:p>
    <w:tbl>
      <w:tblPr>
        <w:tblW w:type="auto" w:w="0"/>
        <w:jc w:val="center"/>
        <w:tblLook w:firstColumn="1" w:firstRow="1" w:lastColumn="0" w:lastRow="0" w:noHBand="0" w:noVBand="1" w:val="04A0"/>
      </w:tblPr>
      <w:tblGrid>
        <w:gridCol w:w="9026"/>
      </w:tblGrid>
      <w:tr>
        <w:tc>
          <w:tcPr>
            <w:tcW w:type="dxa" w:w="9026"/>
            <w:shd w:val="clear" w:color="auto" w:fill="F4F6F8"/>
            <w:tcBorders>
              <w:top w:val="single" w:sz="8" w:color="000000"/>
              <w:bottom w:val="single" w:sz="8" w:color="000000"/>
            </w:tcBorders>
          </w:tcPr>
          <w:p>
            <w:pPr>
              <w:spacing w:line="240" w:lineRule="auto"/>
            </w:pPr>
            <w:r/>
            <w:r>
              <w:rPr>
                <w:rFonts w:ascii="Courier New" w:hAnsi="Courier New" w:eastAsia="Courier New"/>
                <w:sz w:val="17"/>
              </w:rPr>
              <w:t>input : plan variables p, tier τ ∈ {lean, standard, ceiling}, price book r, province, year</w:t>
            </w:r>
          </w:p>
          <w:p>
            <w:pPr>
              <w:spacing w:line="240" w:lineRule="auto"/>
            </w:pPr>
            <w:r>
              <w:rPr>
                <w:rFonts w:ascii="Courier New" w:hAnsi="Courier New" w:eastAsia="Courier New"/>
                <w:sz w:val="17"/>
              </w:rPr>
              <w:t>output: bill of quantities, EDC, ABC</w:t>
            </w:r>
          </w:p>
          <w:p>
            <w:pPr>
              <w:spacing w:line="240" w:lineRule="auto"/>
            </w:pPr>
            <w:r>
              <w:rPr>
                <w:rFonts w:ascii="Courier New" w:hAnsi="Courier New" w:eastAsia="Courier New"/>
                <w:sz w:val="17"/>
              </w:rPr>
              <w:t>grid ← BAYS(p.length, p.width, p.bayX, p.bayY);  sizes ← NSCP_SIZING(p.storeys, spans)</w:t>
            </w:r>
          </w:p>
          <w:p>
            <w:pPr>
              <w:spacing w:line="240" w:lineRule="auto"/>
            </w:pPr>
            <w:r>
              <w:rPr>
                <w:rFonts w:ascii="Courier New" w:hAnsi="Courier New" w:eastAsia="Courier New"/>
                <w:sz w:val="17"/>
              </w:rPr>
              <w:t>for each element e ∈ {footings, columns, beams, slabs, stairs, walls, roof, finishes, MEPF} do</w:t>
            </w:r>
          </w:p>
          <w:p>
            <w:pPr>
              <w:spacing w:line="240" w:lineRule="auto"/>
            </w:pPr>
            <w:r>
              <w:rPr>
                <w:rFonts w:ascii="Courier New" w:hAnsi="Courier New" w:eastAsia="Courier New"/>
                <w:sz w:val="17"/>
              </w:rPr>
              <w:t xml:space="preserve">    V_e ← VOLUME_OR_AREA(e, grid, sizes)                      ▹ NSCP / DPWH / AASHTO parametric rules</w:t>
            </w:r>
          </w:p>
          <w:p>
            <w:pPr>
              <w:spacing w:line="240" w:lineRule="auto"/>
            </w:pPr>
            <w:r>
              <w:rPr>
                <w:rFonts w:ascii="Courier New" w:hAnsi="Courier New" w:eastAsia="Courier New"/>
                <w:sz w:val="17"/>
              </w:rPr>
              <w:t xml:space="preserve">    M_e ← τ.rebar · ζ · ρ_e · V_e                               ▹ reinforcing steel mass</w:t>
            </w:r>
          </w:p>
          <w:p>
            <w:pPr>
              <w:spacing w:line="240" w:lineRule="auto"/>
            </w:pPr>
            <w:r>
              <w:rPr>
                <w:rFonts w:ascii="Courier New" w:hAnsi="Courier New" w:eastAsia="Courier New"/>
                <w:sz w:val="17"/>
              </w:rPr>
              <w:t xml:space="preserve">    add (pay item, Q_e, r_e · λ_loc · λ_yr) to BOQ</w:t>
            </w:r>
          </w:p>
          <w:p>
            <w:pPr>
              <w:spacing w:line="240" w:lineRule="auto"/>
            </w:pPr>
            <w:r>
              <w:rPr>
                <w:rFonts w:ascii="Courier New" w:hAnsi="Courier New" w:eastAsia="Courier New"/>
                <w:sz w:val="17"/>
              </w:rPr>
              <w:t>EDC ← Σ Q_i · r_i · λ_loc · λ_yr                              ▹ estimated direct cost</w:t>
            </w:r>
          </w:p>
          <w:p>
            <w:pPr>
              <w:spacing w:line="240" w:lineRule="auto"/>
            </w:pPr>
            <w:r>
              <w:rPr>
                <w:rFonts w:ascii="Courier New" w:hAnsi="Courier New" w:eastAsia="Courier New"/>
                <w:sz w:val="17"/>
              </w:rPr>
              <w:t>(o, π) ← BRACKET(EDC);  ABC ← EDC · (1 + o + π) · (1 + v)       ▹ D.O. 197 / D.O. 30 markups</w:t>
            </w:r>
          </w:p>
          <w:p>
            <w:pPr>
              <w:spacing w:line="240" w:lineRule="auto"/>
            </w:pPr>
            <w:r>
              <w:rPr>
                <w:rFonts w:ascii="Courier New" w:hAnsi="Courier New" w:eastAsia="Courier New"/>
                <w:sz w:val="17"/>
              </w:rPr>
              <w:t>return BOQ, EDC, ABC</w:t>
            </w:r>
          </w:p>
        </w:tc>
      </w:tr>
    </w:tbl>
    <w:p>
      <w:pPr>
        <w:spacing w:line="240" w:lineRule="auto" w:after="80"/>
      </w:pPr>
    </w:p>
    <w:p>
      <w:pPr>
        <w:keepNext/>
        <w:spacing w:line="480" w:lineRule="auto" w:after="0"/>
        <w:ind w:left="720"/>
        <w:jc w:val="left"/>
      </w:pPr>
      <w:r>
        <w:rPr>
          <w:b/>
          <w:i w:val="0"/>
        </w:rPr>
        <w:t>Extension to Hospitals, Transport Terminals, Airfields and Ports</w:t>
      </w:r>
    </w:p>
    <w:p>
      <w:pPr>
        <w:spacing w:line="480" w:lineRule="auto" w:after="0"/>
        <w:ind w:firstLine="720"/>
        <w:jc w:val="both"/>
      </w:pPr>
      <w:r>
        <w:rPr>
          <w:b w:val="0"/>
          <w:i w:val="0"/>
        </w:rPr>
        <w:t>The design generator was extended with 51 new space modules and six usages: hospitals whose service level grows with size under DOH A.O. 2012-0012 (Level 2 adds ICU and NICU; Level 3 adds dialysis and more operating rooms) on 2.44 m patient corridors (Department of Health, 2016); airport terminals sized by peak-hour passengers (PHP) to at least 14 m² per PHP (International Air Transport Association [IATA], 2019); seaport terminals with 1.5 m² per seated passenger; and jeepney, UV Express and bus terminals whose loading bays follow the design vehicles of AASHTO (2018). Hospitals add medical gases, standby power and bed elevators; terminals add curtain walls, baggage handling and site works. The terminal site area is: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723428" cy="321868"/>
            <wp:docPr id="40" name="Picture 40"/>
            <wp:cNvGraphicFramePr>
              <a:graphicFrameLocks noChangeAspect="1"/>
            </wp:cNvGraphicFramePr>
            <a:graphic>
              <a:graphicData uri="http://schemas.openxmlformats.org/drawingml/2006/picture">
                <pic:pic>
                  <pic:nvPicPr>
                    <pic:cNvPr id="0" name="bays.png"/>
                    <pic:cNvPicPr/>
                  </pic:nvPicPr>
                  <pic:blipFill>
                    <a:blip r:embed="rId20"/>
                    <a:stretch>
                      <a:fillRect/>
                    </a:stretch>
                  </pic:blipFill>
                  <pic:spPr>
                    <a:xfrm>
                      <a:off x="0" y="0"/>
                      <a:ext cx="3723428" cy="321868"/>
                    </a:xfrm>
                    <a:prstGeom prst="rect"/>
                  </pic:spPr>
                </pic:pic>
              </a:graphicData>
            </a:graphic>
          </wp:inline>
        </w:drawing>
      </w:r>
      <w:r>
        <w:tab/>
        <w:t>Eq. 11</w:t>
      </w:r>
    </w:p>
    <w:p>
      <w:pPr>
        <w:spacing w:line="480" w:lineRule="auto" w:after="0"/>
        <w:ind w:firstLine="720"/>
        <w:jc w:val="both"/>
      </w:pPr>
      <w:r>
        <w:rPr>
          <w:b w:val="0"/>
          <w:i w:val="0"/>
        </w:rPr>
        <w:t xml:space="preserve">where </w:t>
      </w:r>
      <w:r>
        <w:rPr>
          <w:b w:val="0"/>
          <w:i/>
        </w:rPr>
        <w:t>n</w:t>
      </w:r>
      <w:r>
        <w:rPr>
          <w:b w:val="0"/>
          <w:i/>
          <w:vertAlign w:val="subscript"/>
        </w:rPr>
        <w:t>m</w:t>
      </w:r>
      <w:r>
        <w:rPr>
          <w:b w:val="0"/>
          <w:i w:val="0"/>
        </w:rPr>
        <w:t xml:space="preserve"> bays of mode </w:t>
      </w:r>
      <w:r>
        <w:rPr>
          <w:b w:val="0"/>
          <w:i/>
        </w:rPr>
        <w:t>m</w:t>
      </w:r>
      <w:r>
        <w:rPr>
          <w:b w:val="0"/>
          <w:i w:val="0"/>
        </w:rPr>
        <w:t xml:space="preserve"> have width </w:t>
      </w:r>
      <w:r>
        <w:rPr>
          <w:b w:val="0"/>
          <w:i/>
        </w:rPr>
        <w:t>w</w:t>
      </w:r>
      <w:r>
        <w:rPr>
          <w:b w:val="0"/>
          <w:i/>
          <w:vertAlign w:val="subscript"/>
        </w:rPr>
        <w:t>m</w:t>
      </w:r>
      <w:r>
        <w:rPr>
          <w:b w:val="0"/>
          <w:i w:val="0"/>
        </w:rPr>
        <w:t xml:space="preserve">, stall depth </w:t>
      </w:r>
      <w:r>
        <w:rPr>
          <w:b w:val="0"/>
          <w:i/>
        </w:rPr>
        <w:t>d</w:t>
      </w:r>
      <w:r>
        <w:rPr>
          <w:b w:val="0"/>
          <w:i/>
          <w:vertAlign w:val="subscript"/>
        </w:rPr>
        <w:t>m</w:t>
      </w:r>
      <w:r>
        <w:rPr>
          <w:b w:val="0"/>
          <w:i w:val="0"/>
        </w:rPr>
        <w:t xml:space="preserve">, aisle share </w:t>
      </w:r>
      <w:r>
        <w:rPr>
          <w:b w:val="0"/>
          <w:i/>
        </w:rPr>
        <w:t>a</w:t>
      </w:r>
      <w:r>
        <w:rPr>
          <w:b w:val="0"/>
          <w:i/>
          <w:vertAlign w:val="subscript"/>
        </w:rPr>
        <w:t>m</w:t>
      </w:r>
      <w:r>
        <w:rPr>
          <w:b w:val="0"/>
          <w:i w:val="0"/>
        </w:rPr>
        <w:t xml:space="preserve">, holding share </w:t>
      </w:r>
      <w:r>
        <w:rPr>
          <w:b w:val="0"/>
          <w:i/>
        </w:rPr>
        <w:t>h</w:t>
      </w:r>
      <w:r>
        <w:rPr>
          <w:b w:val="0"/>
          <w:i/>
          <w:vertAlign w:val="subscript"/>
        </w:rPr>
        <w:t>m</w:t>
      </w:r>
      <w:r>
        <w:rPr>
          <w:b w:val="0"/>
          <w:i w:val="0"/>
        </w:rPr>
        <w:t xml:space="preserve"> and canopy depth </w:t>
      </w:r>
      <w:r>
        <w:rPr>
          <w:b w:val="0"/>
          <w:i/>
        </w:rPr>
        <w:t>c</w:t>
      </w:r>
      <w:r>
        <w:rPr>
          <w:b w:val="0"/>
          <w:i/>
          <w:vertAlign w:val="subscript"/>
        </w:rPr>
        <w:t>m</w:t>
      </w:r>
      <w:r>
        <w:rPr>
          <w:b w:val="0"/>
          <w:i w:val="0"/>
        </w:rPr>
        <w:t>. Runways, taxiways and aprons follow ICAO Annex 14 widths (International Civil Aviation Organization [ICAO], 2022) with rigid sections from FAA AC 150/5320-6G (Federal Aviation Administration [FAA], 2021):</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937755" cy="222098"/>
            <wp:docPr id="41" name="Picture 41"/>
            <wp:cNvGraphicFramePr>
              <a:graphicFrameLocks noChangeAspect="1"/>
            </wp:cNvGraphicFramePr>
            <a:graphic>
              <a:graphicData uri="http://schemas.openxmlformats.org/drawingml/2006/picture">
                <pic:pic>
                  <pic:nvPicPr>
                    <pic:cNvPr id="0" name="airfield.png"/>
                    <pic:cNvPicPr/>
                  </pic:nvPicPr>
                  <pic:blipFill>
                    <a:blip r:embed="rId21"/>
                    <a:stretch>
                      <a:fillRect/>
                    </a:stretch>
                  </pic:blipFill>
                  <pic:spPr>
                    <a:xfrm>
                      <a:off x="0" y="0"/>
                      <a:ext cx="4937755" cy="222098"/>
                    </a:xfrm>
                    <a:prstGeom prst="rect"/>
                  </pic:spPr>
                </pic:pic>
              </a:graphicData>
            </a:graphic>
          </wp:inline>
        </w:drawing>
      </w:r>
      <w:r>
        <w:tab/>
        <w:t>Eq. 12</w:t>
      </w:r>
    </w:p>
    <w:p>
      <w:pPr>
        <w:spacing w:line="480" w:lineRule="auto" w:after="0"/>
        <w:ind w:firstLine="720"/>
        <w:jc w:val="both"/>
      </w:pPr>
      <w:r>
        <w:rPr>
          <w:b w:val="0"/>
          <w:i w:val="0"/>
        </w:rPr>
        <w:t xml:space="preserve">Open-type piers and wharves stand on bents of piles every </w:t>
      </w:r>
      <w:r>
        <w:rPr>
          <w:b w:val="0"/>
          <w:i/>
        </w:rPr>
        <w:t>b</w:t>
      </w:r>
      <w:r>
        <w:rPr>
          <w:b w:val="0"/>
          <w:i w:val="0"/>
        </w:rPr>
        <w:t xml:space="preserve"> m, with pile length from water depth </w:t>
      </w:r>
      <w:r>
        <w:rPr>
          <w:b w:val="0"/>
          <w:i/>
        </w:rPr>
        <w:t>D</w:t>
      </w:r>
      <w:r>
        <w:rPr>
          <w:b w:val="0"/>
          <w:i w:val="0"/>
        </w:rPr>
        <w:t xml:space="preserve">, deck level </w:t>
      </w:r>
      <w:r>
        <w:rPr>
          <w:b w:val="0"/>
          <w:i/>
        </w:rPr>
        <w:t>z</w:t>
      </w:r>
      <w:r>
        <w:rPr>
          <w:b w:val="0"/>
          <w:i/>
          <w:vertAlign w:val="subscript"/>
        </w:rPr>
        <w:t>d</w:t>
      </w:r>
      <w:r>
        <w:rPr>
          <w:b w:val="0"/>
          <w:i w:val="0"/>
        </w:rPr>
        <w:t xml:space="preserve"> and embedment </w:t>
      </w:r>
      <w:r>
        <w:rPr>
          <w:b w:val="0"/>
          <w:i/>
        </w:rPr>
        <w:t>e</w:t>
      </w:r>
      <w:r>
        <w:rPr>
          <w:b w:val="0"/>
          <w:i w:val="0"/>
        </w:rPr>
        <w:t xml:space="preserve">, and fenders every 12 m of berth face </w:t>
      </w:r>
      <w:r>
        <w:rPr>
          <w:b w:val="0"/>
          <w:i/>
        </w:rPr>
        <w:t>f</w:t>
      </w:r>
      <w:r>
        <w:rPr>
          <w:b w:val="0"/>
          <w:i w:val="0"/>
        </w:rPr>
        <w:t xml:space="preserve"> (Overseas Coastal Area Development Institute of Japan [OCDI], 2009; PIANC, 2002):</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810959" cy="251155"/>
            <wp:docPr id="42" name="Picture 42"/>
            <wp:cNvGraphicFramePr>
              <a:graphicFrameLocks noChangeAspect="1"/>
            </wp:cNvGraphicFramePr>
            <a:graphic>
              <a:graphicData uri="http://schemas.openxmlformats.org/drawingml/2006/picture">
                <pic:pic>
                  <pic:nvPicPr>
                    <pic:cNvPr id="0" name="piles.png"/>
                    <pic:cNvPicPr/>
                  </pic:nvPicPr>
                  <pic:blipFill>
                    <a:blip r:embed="rId22"/>
                    <a:stretch>
                      <a:fillRect/>
                    </a:stretch>
                  </pic:blipFill>
                  <pic:spPr>
                    <a:xfrm>
                      <a:off x="0" y="0"/>
                      <a:ext cx="4810959" cy="251155"/>
                    </a:xfrm>
                    <a:prstGeom prst="rect"/>
                  </pic:spPr>
                </pic:pic>
              </a:graphicData>
            </a:graphic>
          </wp:inline>
        </w:drawing>
      </w:r>
      <w:r>
        <w:tab/>
        <w:t>Eq. 13</w:t>
      </w:r>
    </w:p>
    <w:p>
      <w:pPr>
        <w:spacing w:line="480" w:lineRule="auto" w:after="0"/>
        <w:ind w:firstLine="720"/>
        <w:jc w:val="both"/>
      </w:pPr>
      <w:r>
        <w:rPr>
          <w:b w:val="0"/>
          <w:i w:val="0"/>
        </w:rPr>
        <w:t>Because the models were trained only on SBD-300, the extension types are screened by the standards-based signal:</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2343298" cy="431596"/>
            <wp:docPr id="43" name="Picture 43"/>
            <wp:cNvGraphicFramePr>
              <a:graphicFrameLocks noChangeAspect="1"/>
            </wp:cNvGraphicFramePr>
            <a:graphic>
              <a:graphicData uri="http://schemas.openxmlformats.org/drawingml/2006/picture">
                <pic:pic>
                  <pic:nvPicPr>
                    <pic:cNvPr id="0" name="bri_ext.png"/>
                    <pic:cNvPicPr/>
                  </pic:nvPicPr>
                  <pic:blipFill>
                    <a:blip r:embed="rId23"/>
                    <a:stretch>
                      <a:fillRect/>
                    </a:stretch>
                  </pic:blipFill>
                  <pic:spPr>
                    <a:xfrm>
                      <a:off x="0" y="0"/>
                      <a:ext cx="2343298" cy="431596"/>
                    </a:xfrm>
                    <a:prstGeom prst="rect"/>
                  </pic:spPr>
                </pic:pic>
              </a:graphicData>
            </a:graphic>
          </wp:inline>
        </w:drawing>
      </w:r>
      <w:r>
        <w:tab/>
        <w:t>Eq. 14</w:t>
      </w:r>
    </w:p>
    <w:p>
      <w:pPr>
        <w:spacing w:line="480" w:lineRule="auto" w:after="0"/>
        <w:ind w:firstLine="720"/>
        <w:jc w:val="both"/>
      </w:pPr>
      <w:r>
        <w:rPr>
          <w:b w:val="0"/>
          <w:i w:val="0"/>
        </w:rPr>
        <w:t>SBD-EXT, a 180-project benchmark built with the same hidden variation, bid noise and 12% injected overpricing as SBD-300 (22 injected cases), measures accuracy and detection for the six classes.</w:t>
      </w:r>
    </w:p>
    <w:p>
      <w:pPr>
        <w:keepNext/>
        <w:spacing w:line="480" w:lineRule="auto" w:after="0"/>
        <w:ind w:left="720"/>
        <w:jc w:val="left"/>
      </w:pPr>
      <w:r>
        <w:rPr>
          <w:b/>
          <w:i w:val="0"/>
        </w:rPr>
        <w:t>Simulated Benchmark Dataset (SBD-300)</w:t>
      </w:r>
    </w:p>
    <w:p>
      <w:pPr>
        <w:spacing w:line="480" w:lineRule="auto" w:after="0"/>
        <w:ind w:firstLine="720"/>
        <w:jc w:val="both"/>
      </w:pPr>
      <w:r>
        <w:rPr>
          <w:b w:val="0"/>
          <w:i w:val="0"/>
        </w:rPr>
        <w:t>To measure accuracy and detection against a known truth, a benchmark of 160 buildings and 140 bridges was generated with a fixed random seed. Plans were sampled from realistic ranges for each facility and bridge type (Table 7), provinces were weighted toward the larger provinces, award years were drawn from 2022 to 2025, and each project received a hidden reality the plan does not show: unit prices per cost category varied log-normally with a 7% standard deviation, reinforcement intensity by ±10%, concrete by ±6%, formwork by ±8%, earthworks by +5% ± 15%, MEPF by ±10%, and pile lengths by a factor of 0.95 to 1.35 reflecting geotechnical surprises. The true cost was priced by the same engine with these hidden adjustments, and the awarded amount was: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104075" cy="241401"/>
            <wp:docPr id="44" name="Picture 44"/>
            <wp:cNvGraphicFramePr>
              <a:graphicFrameLocks noChangeAspect="1"/>
            </wp:cNvGraphicFramePr>
            <a:graphic>
              <a:graphicData uri="http://schemas.openxmlformats.org/drawingml/2006/picture">
                <pic:pic>
                  <pic:nvPicPr>
                    <pic:cNvPr id="0" name="sim.png"/>
                    <pic:cNvPicPr/>
                  </pic:nvPicPr>
                  <pic:blipFill>
                    <a:blip r:embed="rId24"/>
                    <a:stretch>
                      <a:fillRect/>
                    </a:stretch>
                  </pic:blipFill>
                  <pic:spPr>
                    <a:xfrm>
                      <a:off x="0" y="0"/>
                      <a:ext cx="3104075" cy="241401"/>
                    </a:xfrm>
                    <a:prstGeom prst="rect"/>
                  </pic:spPr>
                </pic:pic>
              </a:graphicData>
            </a:graphic>
          </wp:inline>
        </w:drawing>
      </w:r>
      <w:r>
        <w:tab/>
        <w:t>Eq. 15</w:t>
      </w:r>
    </w:p>
    <w:p>
      <w:pPr>
        <w:spacing w:line="480" w:lineRule="auto" w:after="0"/>
        <w:ind w:firstLine="720"/>
        <w:jc w:val="both"/>
      </w:pPr>
      <w:r>
        <w:rPr>
          <w:b w:val="0"/>
          <w:i w:val="0"/>
        </w:rPr>
        <w:t xml:space="preserve">where </w:t>
      </w:r>
      <w:r>
        <w:rPr>
          <w:b w:val="0"/>
          <w:i/>
        </w:rPr>
        <w:t>η</w:t>
      </w:r>
      <w:r>
        <w:rPr>
          <w:b w:val="0"/>
          <w:i w:val="0"/>
        </w:rPr>
        <w:t xml:space="preserve"> represents bid competition and </w:t>
      </w:r>
      <w:r>
        <w:rPr>
          <w:b w:val="0"/>
          <w:i/>
        </w:rPr>
        <w:t>μ</w:t>
      </w:r>
      <w:r>
        <w:rPr>
          <w:b w:val="0"/>
          <w:i w:val="0"/>
        </w:rPr>
        <w:t xml:space="preserve"> is the markup. For 88% of projects </w:t>
      </w:r>
      <w:r>
        <w:rPr>
          <w:b w:val="0"/>
          <w:i/>
        </w:rPr>
        <w:t>μ</w:t>
      </w:r>
      <w:r>
        <w:rPr>
          <w:b w:val="0"/>
          <w:i w:val="0"/>
        </w:rPr>
        <w:t xml:space="preserve"> = 1 except for 4% aggressive low bids (</w:t>
      </w:r>
      <w:r>
        <w:rPr>
          <w:b w:val="0"/>
          <w:i/>
        </w:rPr>
        <w:t>μ</w:t>
      </w:r>
      <w:r>
        <w:rPr>
          <w:b w:val="0"/>
          <w:i w:val="0"/>
        </w:rPr>
        <w:t xml:space="preserve"> = 0.78 to 0.88). For the remaining 12%, 36 projects in all, overpricing was injected: half moderate (</w:t>
      </w:r>
      <w:r>
        <w:rPr>
          <w:b w:val="0"/>
          <w:i/>
        </w:rPr>
        <w:t>μ</w:t>
      </w:r>
      <w:r>
        <w:rPr>
          <w:b w:val="0"/>
          <w:i w:val="0"/>
        </w:rPr>
        <w:t xml:space="preserve"> = 1.20 to 1.40) and half severe (</w:t>
      </w:r>
      <w:r>
        <w:rPr>
          <w:b w:val="0"/>
          <w:i/>
        </w:rPr>
        <w:t>μ</w:t>
      </w:r>
      <w:r>
        <w:rPr>
          <w:b w:val="0"/>
          <w:i w:val="0"/>
        </w:rPr>
        <w:t xml:space="preserve"> = 1.40 to 2.10). The plan seen by the estimator is the declared plan, so the benchmark tests whether the yardstick and the models can see through realistic noise.</w:t>
      </w:r>
    </w:p>
    <w:p>
      <w:pPr>
        <w:keepNext/>
        <w:spacing w:line="240" w:lineRule="auto" w:after="0" w:before="120"/>
        <w:jc w:val="left"/>
      </w:pPr>
      <w:r>
        <w:rPr>
          <w:b/>
          <w:i w:val="0"/>
        </w:rPr>
        <w:t>Table 7.</w:t>
      </w:r>
    </w:p>
    <w:p>
      <w:pPr>
        <w:keepNext/>
        <w:spacing w:line="240" w:lineRule="auto" w:after="0"/>
        <w:jc w:val="left"/>
      </w:pPr>
      <w:r>
        <w:rPr>
          <w:b w:val="0"/>
          <w:i/>
        </w:rPr>
        <w:t>Simulation Parameters of the SBD-300 Benchmark</w:t>
      </w:r>
    </w:p>
    <w:tbl>
      <w:tblPr>
        <w:tblW w:type="auto" w:w="0"/>
        <w:jc w:val="center"/>
        <w:tblLayout w:type="fixed"/>
        <w:tblLook w:firstColumn="1" w:firstRow="1" w:lastColumn="0" w:lastRow="0" w:noHBand="0" w:noVBand="1" w:val="04A0"/>
        <w:tblLayout w:type="fixed"/>
      </w:tblPr>
      <w:tblGrid>
        <w:gridCol w:w="2304"/>
        <w:gridCol w:w="3600"/>
        <w:gridCol w:w="3456"/>
      </w:tblGrid>
      <w:tr>
        <w:tc>
          <w:tcPr>
            <w:tcW w:type="dxa" w:w="2304"/>
            <w:tcBorders>
              <w:top w:val="single" w:sz="12" w:color="000000"/>
              <w:bottom w:val="single" w:sz="8" w:color="000000"/>
            </w:tcBorders>
          </w:tcPr>
          <w:p>
            <w:pPr>
              <w:spacing w:line="240" w:lineRule="auto" w:before="40" w:after="40"/>
              <w:jc w:val="center"/>
            </w:pPr>
            <w:r/>
            <w:r>
              <w:rPr>
                <w:b/>
                <w:i w:val="0"/>
                <w:sz w:val="19"/>
              </w:rPr>
              <w:t>ELEMENT</w:t>
            </w:r>
          </w:p>
        </w:tc>
        <w:tc>
          <w:tcPr>
            <w:tcW w:type="dxa" w:w="3600"/>
            <w:tcBorders>
              <w:top w:val="single" w:sz="12" w:color="000000"/>
              <w:bottom w:val="single" w:sz="8" w:color="000000"/>
            </w:tcBorders>
          </w:tcPr>
          <w:p>
            <w:pPr>
              <w:spacing w:line="240" w:lineRule="auto" w:before="40" w:after="40"/>
              <w:jc w:val="center"/>
            </w:pPr>
            <w:r/>
            <w:r>
              <w:rPr>
                <w:b/>
                <w:i w:val="0"/>
                <w:sz w:val="19"/>
              </w:rPr>
              <w:t>BUILDINGS (n = 160)</w:t>
            </w:r>
          </w:p>
        </w:tc>
        <w:tc>
          <w:tcPr>
            <w:tcW w:type="dxa" w:w="3456"/>
            <w:tcBorders>
              <w:top w:val="single" w:sz="12" w:color="000000"/>
              <w:bottom w:val="single" w:sz="8" w:color="000000"/>
            </w:tcBorders>
          </w:tcPr>
          <w:p>
            <w:pPr>
              <w:spacing w:line="240" w:lineRule="auto" w:before="40" w:after="40"/>
              <w:jc w:val="center"/>
            </w:pPr>
            <w:r/>
            <w:r>
              <w:rPr>
                <w:b/>
                <w:i w:val="0"/>
                <w:sz w:val="19"/>
              </w:rPr>
              <w:t>BRIDGES (n = 140)</w:t>
            </w:r>
          </w:p>
        </w:tc>
      </w:tr>
      <w:tr>
        <w:tc>
          <w:tcPr>
            <w:tcW w:type="dxa" w:w="2304"/>
            <w:shd w:val="clear" w:color="auto" w:fill="EFEFEF"/>
          </w:tcPr>
          <w:p>
            <w:pPr>
              <w:spacing w:line="240" w:lineRule="auto" w:before="40" w:after="40"/>
              <w:jc w:val="left"/>
            </w:pPr>
            <w:r/>
            <w:r>
              <w:rPr>
                <w:b w:val="0"/>
                <w:i/>
                <w:sz w:val="19"/>
              </w:rPr>
              <w:t>Types</w:t>
            </w:r>
          </w:p>
        </w:tc>
        <w:tc>
          <w:tcPr>
            <w:tcW w:type="dxa" w:w="3600"/>
            <w:shd w:val="clear" w:color="auto" w:fill="EFEFEF"/>
          </w:tcPr>
          <w:p>
            <w:pPr>
              <w:spacing w:line="240" w:lineRule="auto" w:before="40" w:after="40"/>
              <w:jc w:val="center"/>
            </w:pPr>
            <w:r/>
            <w:r>
              <w:rPr>
                <w:b w:val="0"/>
                <w:i w:val="0"/>
                <w:sz w:val="19"/>
              </w:rPr>
              <w:t>School 40%, office 14%, health 12%, evacuation 16%, dormitory 6%, market 12%</w:t>
            </w:r>
          </w:p>
        </w:tc>
        <w:tc>
          <w:tcPr>
            <w:tcW w:type="dxa" w:w="3456"/>
            <w:shd w:val="clear" w:color="auto" w:fill="EFEFEF"/>
          </w:tcPr>
          <w:p>
            <w:pPr>
              <w:spacing w:line="240" w:lineRule="auto" w:before="40" w:after="40"/>
              <w:jc w:val="center"/>
            </w:pPr>
            <w:r/>
            <w:r>
              <w:rPr>
                <w:b w:val="0"/>
                <w:i w:val="0"/>
                <w:sz w:val="19"/>
              </w:rPr>
              <w:t>Box culvert 18%, RCDG 42%, PSCG 30%, steel truss 10%</w:t>
            </w:r>
          </w:p>
        </w:tc>
      </w:tr>
      <w:tr>
        <w:tc>
          <w:tcPr>
            <w:tcW w:type="dxa" w:w="2304"/>
          </w:tcPr>
          <w:p>
            <w:pPr>
              <w:spacing w:line="240" w:lineRule="auto" w:before="40" w:after="40"/>
              <w:jc w:val="left"/>
            </w:pPr>
            <w:r/>
            <w:r>
              <w:rPr>
                <w:b w:val="0"/>
                <w:i/>
                <w:sz w:val="19"/>
              </w:rPr>
              <w:t>Size</w:t>
            </w:r>
          </w:p>
        </w:tc>
        <w:tc>
          <w:tcPr>
            <w:tcW w:type="dxa" w:w="3600"/>
          </w:tcPr>
          <w:p>
            <w:pPr>
              <w:spacing w:line="240" w:lineRule="auto" w:before="40" w:after="40"/>
              <w:jc w:val="center"/>
            </w:pPr>
            <w:r/>
            <w:r>
              <w:rPr>
                <w:b w:val="0"/>
                <w:i w:val="0"/>
                <w:sz w:val="19"/>
              </w:rPr>
              <w:t>1–4 storeys; 2–5 classrooms; 10–50 m long</w:t>
            </w:r>
          </w:p>
        </w:tc>
        <w:tc>
          <w:tcPr>
            <w:tcW w:type="dxa" w:w="3456"/>
          </w:tcPr>
          <w:p>
            <w:pPr>
              <w:spacing w:line="240" w:lineRule="auto" w:before="40" w:after="40"/>
              <w:jc w:val="center"/>
            </w:pPr>
            <w:r/>
            <w:r>
              <w:rPr>
                <w:b w:val="0"/>
                <w:i w:val="0"/>
                <w:sz w:val="19"/>
              </w:rPr>
              <w:t>1–5 spans; 2–70 m spans; 4.0–13.4 m carriageway</w:t>
            </w:r>
          </w:p>
        </w:tc>
      </w:tr>
      <w:tr>
        <w:tc>
          <w:tcPr>
            <w:tcW w:type="dxa" w:w="2304"/>
            <w:shd w:val="clear" w:color="auto" w:fill="EFEFEF"/>
          </w:tcPr>
          <w:p>
            <w:pPr>
              <w:spacing w:line="240" w:lineRule="auto" w:before="40" w:after="40"/>
              <w:jc w:val="left"/>
            </w:pPr>
            <w:r/>
            <w:r>
              <w:rPr>
                <w:b w:val="0"/>
                <w:i/>
                <w:sz w:val="19"/>
              </w:rPr>
              <w:t>Hidden price variation</w:t>
            </w:r>
          </w:p>
        </w:tc>
        <w:tc>
          <w:tcPr>
            <w:tcW w:type="dxa" w:w="3600"/>
            <w:shd w:val="clear" w:color="auto" w:fill="EFEFEF"/>
          </w:tcPr>
          <w:p>
            <w:pPr>
              <w:spacing w:line="240" w:lineRule="auto" w:before="40" w:after="40"/>
              <w:jc w:val="center"/>
            </w:pPr>
            <w:r/>
            <w:r>
              <w:rPr>
                <w:b w:val="0"/>
                <w:i w:val="0"/>
                <w:sz w:val="19"/>
              </w:rPr>
              <w:t>log-normal, σ = 0.07 per cost category</w:t>
            </w:r>
          </w:p>
        </w:tc>
        <w:tc>
          <w:tcPr>
            <w:tcW w:type="dxa" w:w="3456"/>
            <w:shd w:val="clear" w:color="auto" w:fill="EFEFEF"/>
          </w:tcPr>
          <w:p>
            <w:pPr>
              <w:spacing w:line="240" w:lineRule="auto" w:before="40" w:after="40"/>
              <w:jc w:val="center"/>
            </w:pPr>
            <w:r/>
            <w:r>
              <w:rPr>
                <w:b w:val="0"/>
                <w:i w:val="0"/>
                <w:sz w:val="19"/>
              </w:rPr>
              <w:t>log-normal, σ = 0.07 per cost category</w:t>
            </w:r>
          </w:p>
        </w:tc>
      </w:tr>
      <w:tr>
        <w:tc>
          <w:tcPr>
            <w:tcW w:type="dxa" w:w="2304"/>
          </w:tcPr>
          <w:p>
            <w:pPr>
              <w:spacing w:line="240" w:lineRule="auto" w:before="40" w:after="40"/>
              <w:jc w:val="left"/>
            </w:pPr>
            <w:r/>
            <w:r>
              <w:rPr>
                <w:b w:val="0"/>
                <w:i/>
                <w:sz w:val="19"/>
              </w:rPr>
              <w:t>Hidden quantity variation</w:t>
            </w:r>
          </w:p>
        </w:tc>
        <w:tc>
          <w:tcPr>
            <w:tcW w:type="dxa" w:w="3600"/>
          </w:tcPr>
          <w:p>
            <w:pPr>
              <w:spacing w:line="240" w:lineRule="auto" w:before="40" w:after="40"/>
              <w:jc w:val="center"/>
            </w:pPr>
            <w:r/>
            <w:r>
              <w:rPr>
                <w:b w:val="0"/>
                <w:i w:val="0"/>
                <w:sz w:val="19"/>
              </w:rPr>
              <w:t>rebar ±10%, concrete ±6%, MEPF ±10%</w:t>
            </w:r>
          </w:p>
        </w:tc>
        <w:tc>
          <w:tcPr>
            <w:tcW w:type="dxa" w:w="3456"/>
          </w:tcPr>
          <w:p>
            <w:pPr>
              <w:spacing w:line="240" w:lineRule="auto" w:before="40" w:after="40"/>
              <w:jc w:val="center"/>
            </w:pPr>
            <w:r/>
            <w:r>
              <w:rPr>
                <w:b w:val="0"/>
                <w:i w:val="0"/>
                <w:sz w:val="19"/>
              </w:rPr>
              <w:t>rebar ±10%, concrete ±6%, piles ×0.95–1.35</w:t>
            </w:r>
          </w:p>
        </w:tc>
      </w:tr>
      <w:tr>
        <w:tc>
          <w:tcPr>
            <w:tcW w:type="dxa" w:w="2304"/>
            <w:shd w:val="clear" w:color="auto" w:fill="EFEFEF"/>
          </w:tcPr>
          <w:p>
            <w:pPr>
              <w:spacing w:line="240" w:lineRule="auto" w:before="40" w:after="40"/>
              <w:jc w:val="left"/>
            </w:pPr>
            <w:r/>
            <w:r>
              <w:rPr>
                <w:b w:val="0"/>
                <w:i/>
                <w:sz w:val="19"/>
              </w:rPr>
              <w:t>Bid competition</w:t>
            </w:r>
          </w:p>
        </w:tc>
        <w:tc>
          <w:tcPr>
            <w:tcW w:type="dxa" w:w="3600"/>
            <w:shd w:val="clear" w:color="auto" w:fill="EFEFEF"/>
          </w:tcPr>
          <w:p>
            <w:pPr>
              <w:spacing w:line="240" w:lineRule="auto" w:before="40" w:after="40"/>
              <w:jc w:val="center"/>
            </w:pPr>
            <w:r/>
            <w:r>
              <w:rPr>
                <w:b w:val="0"/>
                <w:i w:val="0"/>
                <w:sz w:val="19"/>
              </w:rPr>
              <w:t>e</w:t>
            </w:r>
            <w:r>
              <w:rPr>
                <w:b w:val="0"/>
                <w:i w:val="0"/>
                <w:sz w:val="19"/>
                <w:vertAlign w:val="superscript"/>
              </w:rPr>
              <w:t>η</w:t>
            </w:r>
            <w:r>
              <w:rPr>
                <w:b w:val="0"/>
                <w:i w:val="0"/>
                <w:sz w:val="19"/>
              </w:rPr>
              <w:t>, η ~ N(−0.02, 0.045²)</w:t>
            </w:r>
          </w:p>
        </w:tc>
        <w:tc>
          <w:tcPr>
            <w:tcW w:type="dxa" w:w="3456"/>
            <w:shd w:val="clear" w:color="auto" w:fill="EFEFEF"/>
          </w:tcPr>
          <w:p>
            <w:pPr>
              <w:spacing w:line="240" w:lineRule="auto" w:before="40" w:after="40"/>
              <w:jc w:val="center"/>
            </w:pPr>
            <w:r/>
            <w:r>
              <w:rPr>
                <w:b w:val="0"/>
                <w:i w:val="0"/>
                <w:sz w:val="19"/>
              </w:rPr>
              <w:t>e</w:t>
            </w:r>
            <w:r>
              <w:rPr>
                <w:b w:val="0"/>
                <w:i w:val="0"/>
                <w:sz w:val="19"/>
                <w:vertAlign w:val="superscript"/>
              </w:rPr>
              <w:t>η</w:t>
            </w:r>
            <w:r>
              <w:rPr>
                <w:b w:val="0"/>
                <w:i w:val="0"/>
                <w:sz w:val="19"/>
              </w:rPr>
              <w:t>, η ~ N(−0.02, 0.045²)</w:t>
            </w:r>
          </w:p>
        </w:tc>
      </w:tr>
      <w:tr>
        <w:tc>
          <w:tcPr>
            <w:tcW w:type="dxa" w:w="2304"/>
            <w:tcBorders>
              <w:bottom w:val="single" w:sz="12" w:color="000000"/>
            </w:tcBorders>
          </w:tcPr>
          <w:p>
            <w:pPr>
              <w:spacing w:line="240" w:lineRule="auto" w:before="40" w:after="40"/>
              <w:jc w:val="left"/>
            </w:pPr>
            <w:r/>
            <w:r>
              <w:rPr>
                <w:b w:val="0"/>
                <w:i/>
                <w:sz w:val="19"/>
              </w:rPr>
              <w:t>Injected overpricing</w:t>
            </w:r>
          </w:p>
        </w:tc>
        <w:tc>
          <w:tcPr>
            <w:tcW w:type="dxa" w:w="3600"/>
            <w:tcBorders>
              <w:bottom w:val="single" w:sz="12" w:color="000000"/>
            </w:tcBorders>
          </w:tcPr>
          <w:p>
            <w:pPr>
              <w:spacing w:line="240" w:lineRule="auto" w:before="40" w:after="40"/>
              <w:jc w:val="center"/>
            </w:pPr>
            <w:r/>
            <w:r>
              <w:rPr>
                <w:b w:val="0"/>
                <w:i w:val="0"/>
                <w:sz w:val="19"/>
              </w:rPr>
              <w:t>20 projects</w:t>
            </w:r>
          </w:p>
        </w:tc>
        <w:tc>
          <w:tcPr>
            <w:tcW w:type="dxa" w:w="3456"/>
            <w:tcBorders>
              <w:bottom w:val="single" w:sz="12" w:color="000000"/>
            </w:tcBorders>
          </w:tcPr>
          <w:p>
            <w:pPr>
              <w:spacing w:line="240" w:lineRule="auto" w:before="40" w:after="40"/>
              <w:jc w:val="center"/>
            </w:pPr>
            <w:r/>
            <w:r>
              <w:rPr>
                <w:b w:val="0"/>
                <w:i w:val="0"/>
                <w:sz w:val="19"/>
              </w:rPr>
              <w:t>16 projects</w:t>
            </w:r>
          </w:p>
        </w:tc>
      </w:tr>
    </w:tbl>
    <w:p>
      <w:pPr>
        <w:spacing w:line="240" w:lineRule="auto" w:after="80"/>
      </w:pPr>
    </w:p>
    <w:p>
      <w:pPr>
        <w:keepNext/>
        <w:spacing w:line="480" w:lineRule="auto" w:after="0"/>
        <w:ind w:left="720"/>
        <w:jc w:val="left"/>
      </w:pPr>
      <w:r>
        <w:rPr>
          <w:b/>
          <w:i w:val="0"/>
        </w:rPr>
        <w:t>Model Development</w:t>
      </w:r>
    </w:p>
    <w:p>
      <w:pPr>
        <w:spacing w:line="480" w:lineRule="auto" w:after="0"/>
        <w:ind w:firstLine="720"/>
        <w:jc w:val="both"/>
      </w:pPr>
      <w:r>
        <w:rPr>
          <w:b w:val="0"/>
          <w:i w:val="0"/>
        </w:rPr>
        <w:t>The machine-learning layer was built separately for buildings and bridges and chained so that each stage fed the next. Multiple Linear Regression served as the interpretable baseline: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426465" cy="416966"/>
            <wp:docPr id="45" name="Picture 45"/>
            <wp:cNvGraphicFramePr>
              <a:graphicFrameLocks noChangeAspect="1"/>
            </wp:cNvGraphicFramePr>
            <a:graphic>
              <a:graphicData uri="http://schemas.openxmlformats.org/drawingml/2006/picture">
                <pic:pic>
                  <pic:nvPicPr>
                    <pic:cNvPr id="0" name="mlr.png"/>
                    <pic:cNvPicPr/>
                  </pic:nvPicPr>
                  <pic:blipFill>
                    <a:blip r:embed="rId25"/>
                    <a:stretch>
                      <a:fillRect/>
                    </a:stretch>
                  </pic:blipFill>
                  <pic:spPr>
                    <a:xfrm>
                      <a:off x="0" y="0"/>
                      <a:ext cx="1426465" cy="416966"/>
                    </a:xfrm>
                    <a:prstGeom prst="rect"/>
                  </pic:spPr>
                </pic:pic>
              </a:graphicData>
            </a:graphic>
          </wp:inline>
        </w:drawing>
      </w:r>
      <w:r>
        <w:tab/>
        <w:t>Eq. 16</w:t>
      </w:r>
    </w:p>
    <w:p>
      <w:pPr>
        <w:spacing w:line="480" w:lineRule="auto" w:after="0"/>
        <w:ind w:firstLine="720"/>
        <w:jc w:val="both"/>
      </w:pPr>
      <w:r>
        <w:rPr>
          <w:b w:val="0"/>
          <w:i w:val="0"/>
        </w:rPr>
        <w:t xml:space="preserve">where </w:t>
      </w:r>
      <w:r>
        <w:rPr>
          <w:b w:val="0"/>
          <w:i/>
        </w:rPr>
        <w:t>y</w:t>
      </w:r>
      <w:r>
        <w:rPr>
          <w:b w:val="0"/>
          <w:i/>
          <w:vertAlign w:val="subscript"/>
        </w:rPr>
        <w:t>i</w:t>
      </w:r>
      <w:r>
        <w:rPr>
          <w:b w:val="0"/>
          <w:i w:val="0"/>
        </w:rPr>
        <w:t xml:space="preserve"> is the awarded cost of project </w:t>
      </w:r>
      <w:r>
        <w:rPr>
          <w:b w:val="0"/>
          <w:i/>
        </w:rPr>
        <w:t>i</w:t>
      </w:r>
      <w:r>
        <w:rPr>
          <w:b w:val="0"/>
          <w:i w:val="0"/>
        </w:rPr>
        <w:t xml:space="preserve">, </w:t>
      </w:r>
      <w:r>
        <w:rPr>
          <w:b w:val="0"/>
          <w:i/>
        </w:rPr>
        <w:t>x</w:t>
      </w:r>
      <w:r>
        <w:rPr>
          <w:b w:val="0"/>
          <w:i/>
          <w:vertAlign w:val="subscript"/>
        </w:rPr>
        <w:t>ik</w:t>
      </w:r>
      <w:r>
        <w:rPr>
          <w:b w:val="0"/>
          <w:i w:val="0"/>
        </w:rPr>
        <w:t xml:space="preserve"> is its </w:t>
      </w:r>
      <w:r>
        <w:rPr>
          <w:b w:val="0"/>
          <w:i/>
        </w:rPr>
        <w:t>k</w:t>
      </w:r>
      <w:r>
        <w:rPr>
          <w:b w:val="0"/>
          <w:i w:val="0"/>
        </w:rPr>
        <w:t xml:space="preserve">-th predictor, </w:t>
      </w:r>
      <w:r>
        <w:rPr>
          <w:b w:val="0"/>
          <w:i/>
        </w:rPr>
        <w:t>β</w:t>
      </w:r>
      <w:r>
        <w:rPr>
          <w:b w:val="0"/>
          <w:i/>
          <w:vertAlign w:val="subscript"/>
        </w:rPr>
        <w:t>k</w:t>
      </w:r>
      <w:r>
        <w:rPr>
          <w:b w:val="0"/>
          <w:i w:val="0"/>
        </w:rPr>
        <w:t xml:space="preserve"> the coefficients and </w:t>
      </w:r>
      <w:r>
        <w:rPr>
          <w:b w:val="0"/>
          <w:i/>
        </w:rPr>
        <w:t>ε</w:t>
      </w:r>
      <w:r>
        <w:rPr>
          <w:b w:val="0"/>
          <w:i/>
          <w:vertAlign w:val="subscript"/>
        </w:rPr>
        <w:t>i</w:t>
      </w:r>
      <w:r>
        <w:rPr>
          <w:b w:val="0"/>
          <w:i w:val="0"/>
        </w:rPr>
        <w:t xml:space="preserve"> the error. Multicollinearity was checked with the variance inflation factor, and the composite variable (deck area or footprint) and then the predictor with the highest VIF were removed until all VIFs fell at or below the conventional threshold of 10 (Kutner et al., 2004; O'Brien, 2007):</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938784" cy="475488"/>
            <wp:docPr id="46" name="Picture 46"/>
            <wp:cNvGraphicFramePr>
              <a:graphicFrameLocks noChangeAspect="1"/>
            </wp:cNvGraphicFramePr>
            <a:graphic>
              <a:graphicData uri="http://schemas.openxmlformats.org/drawingml/2006/picture">
                <pic:pic>
                  <pic:nvPicPr>
                    <pic:cNvPr id="0" name="vif.png"/>
                    <pic:cNvPicPr/>
                  </pic:nvPicPr>
                  <pic:blipFill>
                    <a:blip r:embed="rId26"/>
                    <a:stretch>
                      <a:fillRect/>
                    </a:stretch>
                  </pic:blipFill>
                  <pic:spPr>
                    <a:xfrm>
                      <a:off x="0" y="0"/>
                      <a:ext cx="938784" cy="475488"/>
                    </a:xfrm>
                    <a:prstGeom prst="rect"/>
                  </pic:spPr>
                </pic:pic>
              </a:graphicData>
            </a:graphic>
          </wp:inline>
        </w:drawing>
      </w:r>
      <w:r>
        <w:tab/>
        <w:t>Eq. 17</w:t>
      </w:r>
    </w:p>
    <w:p>
      <w:pPr>
        <w:spacing w:line="480" w:lineRule="auto" w:after="0"/>
        <w:ind w:firstLine="720"/>
        <w:jc w:val="both"/>
      </w:pPr>
      <w:r>
        <w:rPr>
          <w:b w:val="0"/>
          <w:i w:val="0"/>
        </w:rPr>
        <w:t>Extreme Gradient Boosting served as the primary cost model. It adds regression trees that each correct the previous ones and penalizes tree complexity (Chen &amp; Guestrin, 2016):</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818538" cy="416966"/>
            <wp:docPr id="47" name="Picture 47"/>
            <wp:cNvGraphicFramePr>
              <a:graphicFrameLocks noChangeAspect="1"/>
            </wp:cNvGraphicFramePr>
            <a:graphic>
              <a:graphicData uri="http://schemas.openxmlformats.org/drawingml/2006/picture">
                <pic:pic>
                  <pic:nvPicPr>
                    <pic:cNvPr id="0" name="xgb.png"/>
                    <pic:cNvPicPr/>
                  </pic:nvPicPr>
                  <pic:blipFill>
                    <a:blip r:embed="rId27"/>
                    <a:stretch>
                      <a:fillRect/>
                    </a:stretch>
                  </pic:blipFill>
                  <pic:spPr>
                    <a:xfrm>
                      <a:off x="0" y="0"/>
                      <a:ext cx="3818538" cy="416966"/>
                    </a:xfrm>
                    <a:prstGeom prst="rect"/>
                  </pic:spPr>
                </pic:pic>
              </a:graphicData>
            </a:graphic>
          </wp:inline>
        </w:drawing>
      </w:r>
      <w:r>
        <w:tab/>
        <w:t>Eq. 18</w:t>
      </w:r>
    </w:p>
    <w:p>
      <w:pPr>
        <w:spacing w:line="480" w:lineRule="auto" w:after="0"/>
        <w:ind w:firstLine="720"/>
        <w:jc w:val="both"/>
      </w:pPr>
      <w:r>
        <w:rPr>
          <w:b w:val="0"/>
          <w:i w:val="0"/>
        </w:rPr>
        <w:t>The model was trained on the natural logarithm of cost so that small culverts and large bridges carry comparable weight, and tuned by randomized search over 40 settings of tree depth, number of trees, learning rate, L1 and L2 penalties, minimum child weight, row subsampling and column subsampling, scored by five-fold MAPE (Table 8).</w:t>
      </w:r>
    </w:p>
    <w:p>
      <w:pPr>
        <w:keepNext/>
        <w:spacing w:line="240" w:lineRule="auto" w:after="0" w:before="120"/>
        <w:jc w:val="left"/>
      </w:pPr>
      <w:r>
        <w:rPr>
          <w:b/>
          <w:i w:val="0"/>
        </w:rPr>
        <w:t>Table 8.</w:t>
      </w:r>
    </w:p>
    <w:p>
      <w:pPr>
        <w:keepNext/>
        <w:spacing w:line="240" w:lineRule="auto" w:after="0"/>
        <w:jc w:val="left"/>
      </w:pPr>
      <w:r>
        <w:rPr>
          <w:b w:val="0"/>
          <w:i/>
        </w:rPr>
        <w:t>XGBoost Hyperparameter Search and Selected Values</w:t>
      </w:r>
    </w:p>
    <w:tbl>
      <w:tblPr>
        <w:tblW w:type="auto" w:w="0"/>
        <w:jc w:val="center"/>
        <w:tblLayout w:type="fixed"/>
        <w:tblLook w:firstColumn="1" w:firstRow="1" w:lastColumn="0" w:lastRow="0" w:noHBand="0" w:noVBand="1" w:val="04A0"/>
        <w:tblLayout w:type="fixed"/>
      </w:tblPr>
      <w:tblGrid>
        <w:gridCol w:w="2448"/>
        <w:gridCol w:w="2160"/>
        <w:gridCol w:w="2304"/>
        <w:gridCol w:w="2304"/>
      </w:tblGrid>
      <w:tr>
        <w:tc>
          <w:tcPr>
            <w:tcW w:type="dxa" w:w="2448"/>
            <w:tcBorders>
              <w:top w:val="single" w:sz="12" w:color="000000"/>
              <w:bottom w:val="single" w:sz="8" w:color="000000"/>
            </w:tcBorders>
          </w:tcPr>
          <w:p>
            <w:pPr>
              <w:spacing w:line="240" w:lineRule="auto" w:before="40" w:after="40"/>
              <w:jc w:val="center"/>
            </w:pPr>
            <w:r/>
            <w:r>
              <w:rPr>
                <w:b/>
                <w:i w:val="0"/>
                <w:sz w:val="20"/>
              </w:rPr>
              <w:t>HYPERPARAMETER</w:t>
            </w:r>
          </w:p>
        </w:tc>
        <w:tc>
          <w:tcPr>
            <w:tcW w:type="dxa" w:w="2160"/>
            <w:tcBorders>
              <w:top w:val="single" w:sz="12" w:color="000000"/>
              <w:bottom w:val="single" w:sz="8" w:color="000000"/>
            </w:tcBorders>
          </w:tcPr>
          <w:p>
            <w:pPr>
              <w:spacing w:line="240" w:lineRule="auto" w:before="40" w:after="40"/>
              <w:jc w:val="center"/>
            </w:pPr>
            <w:r/>
            <w:r>
              <w:rPr>
                <w:b/>
                <w:i w:val="0"/>
                <w:sz w:val="20"/>
              </w:rPr>
              <w:t>SEARCH SPACE</w:t>
            </w:r>
          </w:p>
        </w:tc>
        <w:tc>
          <w:tcPr>
            <w:tcW w:type="dxa" w:w="2304"/>
            <w:tcBorders>
              <w:top w:val="single" w:sz="12" w:color="000000"/>
              <w:bottom w:val="single" w:sz="8" w:color="000000"/>
            </w:tcBorders>
          </w:tcPr>
          <w:p>
            <w:pPr>
              <w:spacing w:line="240" w:lineRule="auto" w:before="40" w:after="40"/>
              <w:jc w:val="center"/>
            </w:pPr>
            <w:r/>
            <w:r>
              <w:rPr>
                <w:b/>
                <w:i w:val="0"/>
                <w:sz w:val="20"/>
              </w:rPr>
              <w:t>SELECTED (BUILDINGS)</w:t>
            </w:r>
          </w:p>
        </w:tc>
        <w:tc>
          <w:tcPr>
            <w:tcW w:type="dxa" w:w="2304"/>
            <w:tcBorders>
              <w:top w:val="single" w:sz="12" w:color="000000"/>
              <w:bottom w:val="single" w:sz="8" w:color="000000"/>
            </w:tcBorders>
          </w:tcPr>
          <w:p>
            <w:pPr>
              <w:spacing w:line="240" w:lineRule="auto" w:before="40" w:after="40"/>
              <w:jc w:val="center"/>
            </w:pPr>
            <w:r/>
            <w:r>
              <w:rPr>
                <w:b/>
                <w:i w:val="0"/>
                <w:sz w:val="20"/>
              </w:rPr>
              <w:t>SELECTED (BRIDGES)</w:t>
            </w:r>
          </w:p>
        </w:tc>
      </w:tr>
      <w:tr>
        <w:tc>
          <w:tcPr>
            <w:tcW w:type="dxa" w:w="2448"/>
            <w:shd w:val="clear" w:color="auto" w:fill="EFEFEF"/>
          </w:tcPr>
          <w:p>
            <w:pPr>
              <w:spacing w:line="240" w:lineRule="auto" w:before="40" w:after="40"/>
              <w:jc w:val="left"/>
            </w:pPr>
            <w:r/>
            <w:r>
              <w:rPr>
                <w:b w:val="0"/>
                <w:i w:val="0"/>
                <w:sz w:val="20"/>
              </w:rPr>
              <w:t>max_depth</w:t>
            </w:r>
          </w:p>
        </w:tc>
        <w:tc>
          <w:tcPr>
            <w:tcW w:type="dxa" w:w="2160"/>
            <w:shd w:val="clear" w:color="auto" w:fill="EFEFEF"/>
          </w:tcPr>
          <w:p>
            <w:pPr>
              <w:spacing w:line="240" w:lineRule="auto" w:before="40" w:after="40"/>
              <w:jc w:val="center"/>
            </w:pPr>
            <w:r/>
            <w:r>
              <w:rPr>
                <w:b w:val="0"/>
                <w:i w:val="0"/>
                <w:sz w:val="20"/>
              </w:rPr>
              <w:t>2, 3, 4, 5</w:t>
            </w:r>
          </w:p>
        </w:tc>
        <w:tc>
          <w:tcPr>
            <w:tcW w:type="dxa" w:w="2304"/>
            <w:shd w:val="clear" w:color="auto" w:fill="EFEFEF"/>
          </w:tcPr>
          <w:p>
            <w:pPr>
              <w:spacing w:line="240" w:lineRule="auto" w:before="40" w:after="40"/>
              <w:jc w:val="center"/>
            </w:pPr>
            <w:r/>
            <w:r>
              <w:rPr>
                <w:b w:val="0"/>
                <w:i w:val="0"/>
                <w:sz w:val="20"/>
              </w:rPr>
              <w:t>2</w:t>
            </w:r>
          </w:p>
        </w:tc>
        <w:tc>
          <w:tcPr>
            <w:tcW w:type="dxa" w:w="2304"/>
            <w:shd w:val="clear" w:color="auto" w:fill="EFEFEF"/>
          </w:tcPr>
          <w:p>
            <w:pPr>
              <w:spacing w:line="240" w:lineRule="auto" w:before="40" w:after="40"/>
              <w:jc w:val="center"/>
            </w:pPr>
            <w:r/>
            <w:r>
              <w:rPr>
                <w:b w:val="0"/>
                <w:i w:val="0"/>
                <w:sz w:val="20"/>
              </w:rPr>
              <w:t>2</w:t>
            </w:r>
          </w:p>
        </w:tc>
      </w:tr>
      <w:tr>
        <w:tc>
          <w:tcPr>
            <w:tcW w:type="dxa" w:w="2448"/>
          </w:tcPr>
          <w:p>
            <w:pPr>
              <w:spacing w:line="240" w:lineRule="auto" w:before="40" w:after="40"/>
              <w:jc w:val="left"/>
            </w:pPr>
            <w:r/>
            <w:r>
              <w:rPr>
                <w:b w:val="0"/>
                <w:i w:val="0"/>
                <w:sz w:val="20"/>
              </w:rPr>
              <w:t>n_estimators</w:t>
            </w:r>
          </w:p>
        </w:tc>
        <w:tc>
          <w:tcPr>
            <w:tcW w:type="dxa" w:w="2160"/>
          </w:tcPr>
          <w:p>
            <w:pPr>
              <w:spacing w:line="240" w:lineRule="auto" w:before="40" w:after="40"/>
              <w:jc w:val="center"/>
            </w:pPr>
            <w:r/>
            <w:r>
              <w:rPr>
                <w:b w:val="0"/>
                <w:i w:val="0"/>
                <w:sz w:val="20"/>
              </w:rPr>
              <w:t>100–400</w:t>
            </w:r>
          </w:p>
        </w:tc>
        <w:tc>
          <w:tcPr>
            <w:tcW w:type="dxa" w:w="2304"/>
          </w:tcPr>
          <w:p>
            <w:pPr>
              <w:spacing w:line="240" w:lineRule="auto" w:before="40" w:after="40"/>
              <w:jc w:val="center"/>
            </w:pPr>
            <w:r/>
            <w:r>
              <w:rPr>
                <w:b w:val="0"/>
                <w:i w:val="0"/>
                <w:sz w:val="20"/>
              </w:rPr>
              <w:t>300</w:t>
            </w:r>
          </w:p>
        </w:tc>
        <w:tc>
          <w:tcPr>
            <w:tcW w:type="dxa" w:w="2304"/>
          </w:tcPr>
          <w:p>
            <w:pPr>
              <w:spacing w:line="240" w:lineRule="auto" w:before="40" w:after="40"/>
              <w:jc w:val="center"/>
            </w:pPr>
            <w:r/>
            <w:r>
              <w:rPr>
                <w:b w:val="0"/>
                <w:i w:val="0"/>
                <w:sz w:val="20"/>
              </w:rPr>
              <w:t>300</w:t>
            </w:r>
          </w:p>
        </w:tc>
      </w:tr>
      <w:tr>
        <w:tc>
          <w:tcPr>
            <w:tcW w:type="dxa" w:w="2448"/>
            <w:shd w:val="clear" w:color="auto" w:fill="EFEFEF"/>
          </w:tcPr>
          <w:p>
            <w:pPr>
              <w:spacing w:line="240" w:lineRule="auto" w:before="40" w:after="40"/>
              <w:jc w:val="left"/>
            </w:pPr>
            <w:r/>
            <w:r>
              <w:rPr>
                <w:b w:val="0"/>
                <w:i w:val="0"/>
                <w:sz w:val="20"/>
              </w:rPr>
              <w:t>learning_rate</w:t>
            </w:r>
          </w:p>
        </w:tc>
        <w:tc>
          <w:tcPr>
            <w:tcW w:type="dxa" w:w="2160"/>
            <w:shd w:val="clear" w:color="auto" w:fill="EFEFEF"/>
          </w:tcPr>
          <w:p>
            <w:pPr>
              <w:spacing w:line="240" w:lineRule="auto" w:before="40" w:after="40"/>
              <w:jc w:val="center"/>
            </w:pPr>
            <w:r/>
            <w:r>
              <w:rPr>
                <w:b w:val="0"/>
                <w:i w:val="0"/>
                <w:sz w:val="20"/>
              </w:rPr>
              <w:t>0.02–0.10</w:t>
            </w:r>
          </w:p>
        </w:tc>
        <w:tc>
          <w:tcPr>
            <w:tcW w:type="dxa" w:w="2304"/>
            <w:shd w:val="clear" w:color="auto" w:fill="EFEFEF"/>
          </w:tcPr>
          <w:p>
            <w:pPr>
              <w:spacing w:line="240" w:lineRule="auto" w:before="40" w:after="40"/>
              <w:jc w:val="center"/>
            </w:pPr>
            <w:r/>
            <w:r>
              <w:rPr>
                <w:b w:val="0"/>
                <w:i w:val="0"/>
                <w:sz w:val="20"/>
              </w:rPr>
              <w:t>0.05</w:t>
            </w:r>
          </w:p>
        </w:tc>
        <w:tc>
          <w:tcPr>
            <w:tcW w:type="dxa" w:w="2304"/>
            <w:shd w:val="clear" w:color="auto" w:fill="EFEFEF"/>
          </w:tcPr>
          <w:p>
            <w:pPr>
              <w:spacing w:line="240" w:lineRule="auto" w:before="40" w:after="40"/>
              <w:jc w:val="center"/>
            </w:pPr>
            <w:r/>
            <w:r>
              <w:rPr>
                <w:b w:val="0"/>
                <w:i w:val="0"/>
                <w:sz w:val="20"/>
              </w:rPr>
              <w:t>0.05</w:t>
            </w:r>
          </w:p>
        </w:tc>
      </w:tr>
      <w:tr>
        <w:tc>
          <w:tcPr>
            <w:tcW w:type="dxa" w:w="2448"/>
          </w:tcPr>
          <w:p>
            <w:pPr>
              <w:spacing w:line="240" w:lineRule="auto" w:before="40" w:after="40"/>
              <w:jc w:val="left"/>
            </w:pPr>
            <w:r/>
            <w:r>
              <w:rPr>
                <w:b w:val="0"/>
                <w:i w:val="0"/>
                <w:sz w:val="20"/>
              </w:rPr>
              <w:t>reg_alpha</w:t>
            </w:r>
          </w:p>
        </w:tc>
        <w:tc>
          <w:tcPr>
            <w:tcW w:type="dxa" w:w="2160"/>
          </w:tcPr>
          <w:p>
            <w:pPr>
              <w:spacing w:line="240" w:lineRule="auto" w:before="40" w:after="40"/>
              <w:jc w:val="center"/>
            </w:pPr>
            <w:r/>
            <w:r>
              <w:rPr>
                <w:b w:val="0"/>
                <w:i w:val="0"/>
                <w:sz w:val="20"/>
              </w:rPr>
              <w:t>0–2.0</w:t>
            </w:r>
          </w:p>
        </w:tc>
        <w:tc>
          <w:tcPr>
            <w:tcW w:type="dxa" w:w="2304"/>
          </w:tcPr>
          <w:p>
            <w:pPr>
              <w:spacing w:line="240" w:lineRule="auto" w:before="40" w:after="40"/>
              <w:jc w:val="center"/>
            </w:pPr>
            <w:r/>
            <w:r>
              <w:rPr>
                <w:b w:val="0"/>
                <w:i w:val="0"/>
                <w:sz w:val="20"/>
              </w:rPr>
              <w:t>0.2</w:t>
            </w:r>
          </w:p>
        </w:tc>
        <w:tc>
          <w:tcPr>
            <w:tcW w:type="dxa" w:w="2304"/>
          </w:tcPr>
          <w:p>
            <w:pPr>
              <w:spacing w:line="240" w:lineRule="auto" w:before="40" w:after="40"/>
              <w:jc w:val="center"/>
            </w:pPr>
            <w:r/>
            <w:r>
              <w:rPr>
                <w:b w:val="0"/>
                <w:i w:val="0"/>
                <w:sz w:val="20"/>
              </w:rPr>
              <w:t>0.2</w:t>
            </w:r>
          </w:p>
        </w:tc>
      </w:tr>
      <w:tr>
        <w:tc>
          <w:tcPr>
            <w:tcW w:type="dxa" w:w="2448"/>
            <w:shd w:val="clear" w:color="auto" w:fill="EFEFEF"/>
          </w:tcPr>
          <w:p>
            <w:pPr>
              <w:spacing w:line="240" w:lineRule="auto" w:before="40" w:after="40"/>
              <w:jc w:val="left"/>
            </w:pPr>
            <w:r/>
            <w:r>
              <w:rPr>
                <w:b w:val="0"/>
                <w:i w:val="0"/>
                <w:sz w:val="20"/>
              </w:rPr>
              <w:t>reg_lambda</w:t>
            </w:r>
          </w:p>
        </w:tc>
        <w:tc>
          <w:tcPr>
            <w:tcW w:type="dxa" w:w="2160"/>
            <w:shd w:val="clear" w:color="auto" w:fill="EFEFEF"/>
          </w:tcPr>
          <w:p>
            <w:pPr>
              <w:spacing w:line="240" w:lineRule="auto" w:before="40" w:after="40"/>
              <w:jc w:val="center"/>
            </w:pPr>
            <w:r/>
            <w:r>
              <w:rPr>
                <w:b w:val="0"/>
                <w:i w:val="0"/>
                <w:sz w:val="20"/>
              </w:rPr>
              <w:t>0.5–3.0</w:t>
            </w:r>
          </w:p>
        </w:tc>
        <w:tc>
          <w:tcPr>
            <w:tcW w:type="dxa" w:w="2304"/>
            <w:shd w:val="clear" w:color="auto" w:fill="EFEFEF"/>
          </w:tcPr>
          <w:p>
            <w:pPr>
              <w:spacing w:line="240" w:lineRule="auto" w:before="40" w:after="40"/>
              <w:jc w:val="center"/>
            </w:pPr>
            <w:r/>
            <w:r>
              <w:rPr>
                <w:b w:val="0"/>
                <w:i w:val="0"/>
                <w:sz w:val="20"/>
              </w:rPr>
              <w:t>3.0</w:t>
            </w:r>
          </w:p>
        </w:tc>
        <w:tc>
          <w:tcPr>
            <w:tcW w:type="dxa" w:w="2304"/>
            <w:shd w:val="clear" w:color="auto" w:fill="EFEFEF"/>
          </w:tcPr>
          <w:p>
            <w:pPr>
              <w:spacing w:line="240" w:lineRule="auto" w:before="40" w:after="40"/>
              <w:jc w:val="center"/>
            </w:pPr>
            <w:r/>
            <w:r>
              <w:rPr>
                <w:b w:val="0"/>
                <w:i w:val="0"/>
                <w:sz w:val="20"/>
              </w:rPr>
              <w:t>3.0</w:t>
            </w:r>
          </w:p>
        </w:tc>
      </w:tr>
      <w:tr>
        <w:tc>
          <w:tcPr>
            <w:tcW w:type="dxa" w:w="2448"/>
          </w:tcPr>
          <w:p>
            <w:pPr>
              <w:spacing w:line="240" w:lineRule="auto" w:before="40" w:after="40"/>
              <w:jc w:val="left"/>
            </w:pPr>
            <w:r/>
            <w:r>
              <w:rPr>
                <w:b w:val="0"/>
                <w:i w:val="0"/>
                <w:sz w:val="20"/>
              </w:rPr>
              <w:t>min_child_weight</w:t>
            </w:r>
          </w:p>
        </w:tc>
        <w:tc>
          <w:tcPr>
            <w:tcW w:type="dxa" w:w="2160"/>
          </w:tcPr>
          <w:p>
            <w:pPr>
              <w:spacing w:line="240" w:lineRule="auto" w:before="40" w:after="40"/>
              <w:jc w:val="center"/>
            </w:pPr>
            <w:r/>
            <w:r>
              <w:rPr>
                <w:b w:val="0"/>
                <w:i w:val="0"/>
                <w:sz w:val="20"/>
              </w:rPr>
              <w:t>1, 2, 3, 5</w:t>
            </w:r>
          </w:p>
        </w:tc>
        <w:tc>
          <w:tcPr>
            <w:tcW w:type="dxa" w:w="2304"/>
          </w:tcPr>
          <w:p>
            <w:pPr>
              <w:spacing w:line="240" w:lineRule="auto" w:before="40" w:after="40"/>
              <w:jc w:val="center"/>
            </w:pPr>
            <w:r/>
            <w:r>
              <w:rPr>
                <w:b w:val="0"/>
                <w:i w:val="0"/>
                <w:sz w:val="20"/>
              </w:rPr>
              <w:t>5</w:t>
            </w:r>
          </w:p>
        </w:tc>
        <w:tc>
          <w:tcPr>
            <w:tcW w:type="dxa" w:w="2304"/>
          </w:tcPr>
          <w:p>
            <w:pPr>
              <w:spacing w:line="240" w:lineRule="auto" w:before="40" w:after="40"/>
              <w:jc w:val="center"/>
            </w:pPr>
            <w:r/>
            <w:r>
              <w:rPr>
                <w:b w:val="0"/>
                <w:i w:val="0"/>
                <w:sz w:val="20"/>
              </w:rPr>
              <w:t>5</w:t>
            </w:r>
          </w:p>
        </w:tc>
      </w:tr>
      <w:tr>
        <w:tc>
          <w:tcPr>
            <w:tcW w:type="dxa" w:w="2448"/>
            <w:shd w:val="clear" w:color="auto" w:fill="EFEFEF"/>
          </w:tcPr>
          <w:p>
            <w:pPr>
              <w:spacing w:line="240" w:lineRule="auto" w:before="40" w:after="40"/>
              <w:jc w:val="left"/>
            </w:pPr>
            <w:r/>
            <w:r>
              <w:rPr>
                <w:b w:val="0"/>
                <w:i w:val="0"/>
                <w:sz w:val="20"/>
              </w:rPr>
              <w:t>subsample</w:t>
            </w:r>
          </w:p>
        </w:tc>
        <w:tc>
          <w:tcPr>
            <w:tcW w:type="dxa" w:w="2160"/>
            <w:shd w:val="clear" w:color="auto" w:fill="EFEFEF"/>
          </w:tcPr>
          <w:p>
            <w:pPr>
              <w:spacing w:line="240" w:lineRule="auto" w:before="40" w:after="40"/>
              <w:jc w:val="center"/>
            </w:pPr>
            <w:r/>
            <w:r>
              <w:rPr>
                <w:b w:val="0"/>
                <w:i w:val="0"/>
                <w:sz w:val="20"/>
              </w:rPr>
              <w:t>0.7–1.0</w:t>
            </w:r>
          </w:p>
        </w:tc>
        <w:tc>
          <w:tcPr>
            <w:tcW w:type="dxa" w:w="2304"/>
            <w:shd w:val="clear" w:color="auto" w:fill="EFEFEF"/>
          </w:tcPr>
          <w:p>
            <w:pPr>
              <w:spacing w:line="240" w:lineRule="auto" w:before="40" w:after="40"/>
              <w:jc w:val="center"/>
            </w:pPr>
            <w:r/>
            <w:r>
              <w:rPr>
                <w:b w:val="0"/>
                <w:i w:val="0"/>
                <w:sz w:val="20"/>
              </w:rPr>
              <w:t>0.7</w:t>
            </w:r>
          </w:p>
        </w:tc>
        <w:tc>
          <w:tcPr>
            <w:tcW w:type="dxa" w:w="2304"/>
            <w:shd w:val="clear" w:color="auto" w:fill="EFEFEF"/>
          </w:tcPr>
          <w:p>
            <w:pPr>
              <w:spacing w:line="240" w:lineRule="auto" w:before="40" w:after="40"/>
              <w:jc w:val="center"/>
            </w:pPr>
            <w:r/>
            <w:r>
              <w:rPr>
                <w:b w:val="0"/>
                <w:i w:val="0"/>
                <w:sz w:val="20"/>
              </w:rPr>
              <w:t>0.7</w:t>
            </w:r>
          </w:p>
        </w:tc>
      </w:tr>
      <w:tr>
        <w:tc>
          <w:tcPr>
            <w:tcW w:type="dxa" w:w="2448"/>
            <w:tcBorders>
              <w:bottom w:val="single" w:sz="12" w:color="000000"/>
            </w:tcBorders>
          </w:tcPr>
          <w:p>
            <w:pPr>
              <w:spacing w:line="240" w:lineRule="auto" w:before="40" w:after="40"/>
              <w:jc w:val="left"/>
            </w:pPr>
            <w:r/>
            <w:r>
              <w:rPr>
                <w:b w:val="0"/>
                <w:i w:val="0"/>
                <w:sz w:val="20"/>
              </w:rPr>
              <w:t>colsample_bytree</w:t>
            </w:r>
          </w:p>
        </w:tc>
        <w:tc>
          <w:tcPr>
            <w:tcW w:type="dxa" w:w="2160"/>
            <w:tcBorders>
              <w:bottom w:val="single" w:sz="12" w:color="000000"/>
            </w:tcBorders>
          </w:tcPr>
          <w:p>
            <w:pPr>
              <w:spacing w:line="240" w:lineRule="auto" w:before="40" w:after="40"/>
              <w:jc w:val="center"/>
            </w:pPr>
            <w:r/>
            <w:r>
              <w:rPr>
                <w:b w:val="0"/>
                <w:i w:val="0"/>
                <w:sz w:val="20"/>
              </w:rPr>
              <w:t>0.6–1.0</w:t>
            </w:r>
          </w:p>
        </w:tc>
        <w:tc>
          <w:tcPr>
            <w:tcW w:type="dxa" w:w="2304"/>
            <w:tcBorders>
              <w:bottom w:val="single" w:sz="12" w:color="000000"/>
            </w:tcBorders>
          </w:tcPr>
          <w:p>
            <w:pPr>
              <w:spacing w:line="240" w:lineRule="auto" w:before="40" w:after="40"/>
              <w:jc w:val="center"/>
            </w:pPr>
            <w:r/>
            <w:r>
              <w:rPr>
                <w:b w:val="0"/>
                <w:i w:val="0"/>
                <w:sz w:val="20"/>
              </w:rPr>
              <w:t>0.9</w:t>
            </w:r>
          </w:p>
        </w:tc>
        <w:tc>
          <w:tcPr>
            <w:tcW w:type="dxa" w:w="2304"/>
            <w:tcBorders>
              <w:bottom w:val="single" w:sz="12" w:color="000000"/>
            </w:tcBorders>
          </w:tcPr>
          <w:p>
            <w:pPr>
              <w:spacing w:line="240" w:lineRule="auto" w:before="40" w:after="40"/>
              <w:jc w:val="center"/>
            </w:pPr>
            <w:r/>
            <w:r>
              <w:rPr>
                <w:b w:val="0"/>
                <w:i w:val="0"/>
                <w:sz w:val="20"/>
              </w:rPr>
              <w:t>0.9</w:t>
            </w:r>
          </w:p>
        </w:tc>
      </w:tr>
    </w:tbl>
    <w:p>
      <w:pPr>
        <w:spacing w:line="240" w:lineRule="auto" w:after="80"/>
      </w:pPr>
    </w:p>
    <w:p>
      <w:pPr>
        <w:spacing w:line="480" w:lineRule="auto" w:after="0"/>
        <w:ind w:firstLine="720"/>
        <w:jc w:val="both"/>
      </w:pPr>
      <w:r>
        <w:rPr>
          <w:b w:val="0"/>
          <w:i w:val="0"/>
        </w:rPr>
        <w:t>Isolation Forest then screened for unusual contracts. Its inputs were the standardized plan features, the XGBoost residual ln(actual / predicted) and the log over-budget ratio, with 200 trees and a contamination of 0.10. Each record receives an anomaly score from its average path length (Liu et al., 2008):</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335734" cy="392582"/>
            <wp:docPr id="48" name="Picture 48"/>
            <wp:cNvGraphicFramePr>
              <a:graphicFrameLocks noChangeAspect="1"/>
            </wp:cNvGraphicFramePr>
            <a:graphic>
              <a:graphicData uri="http://schemas.openxmlformats.org/drawingml/2006/picture">
                <pic:pic>
                  <pic:nvPicPr>
                    <pic:cNvPr id="0" name="iforest.png"/>
                    <pic:cNvPicPr/>
                  </pic:nvPicPr>
                  <pic:blipFill>
                    <a:blip r:embed="rId28"/>
                    <a:stretch>
                      <a:fillRect/>
                    </a:stretch>
                  </pic:blipFill>
                  <pic:spPr>
                    <a:xfrm>
                      <a:off x="0" y="0"/>
                      <a:ext cx="3335734" cy="392582"/>
                    </a:xfrm>
                    <a:prstGeom prst="rect"/>
                  </pic:spPr>
                </pic:pic>
              </a:graphicData>
            </a:graphic>
          </wp:inline>
        </w:drawing>
      </w:r>
      <w:r>
        <w:tab/>
        <w:t>Eq. 19</w:t>
      </w:r>
    </w:p>
    <w:p>
      <w:pPr>
        <w:spacing w:line="480" w:lineRule="auto" w:after="0"/>
        <w:ind w:firstLine="720"/>
        <w:jc w:val="both"/>
      </w:pPr>
      <w:r>
        <w:rPr>
          <w:b w:val="0"/>
          <w:i w:val="0"/>
        </w:rPr>
        <w:t xml:space="preserve">where </w:t>
      </w:r>
      <w:r>
        <w:rPr>
          <w:b w:val="0"/>
          <w:i/>
        </w:rPr>
        <w:t>E</w:t>
      </w:r>
      <w:r>
        <w:rPr>
          <w:b w:val="0"/>
          <w:i w:val="0"/>
        </w:rPr>
        <w:t>[</w:t>
      </w:r>
      <w:r>
        <w:rPr>
          <w:b w:val="0"/>
          <w:i/>
        </w:rPr>
        <w:t>h</w:t>
      </w:r>
      <w:r>
        <w:rPr>
          <w:b w:val="0"/>
          <w:i w:val="0"/>
        </w:rPr>
        <w:t>(</w:t>
      </w:r>
      <w:r>
        <w:rPr>
          <w:b w:val="0"/>
          <w:i/>
        </w:rPr>
        <w:t>x</w:t>
      </w:r>
      <w:r>
        <w:rPr>
          <w:b w:val="0"/>
          <w:i w:val="0"/>
        </w:rPr>
        <w:t xml:space="preserve">)] is the average path length of record </w:t>
      </w:r>
      <w:r>
        <w:rPr>
          <w:b w:val="0"/>
          <w:i/>
        </w:rPr>
        <w:t>x</w:t>
      </w:r>
      <w:r>
        <w:rPr>
          <w:b w:val="0"/>
          <w:i w:val="0"/>
        </w:rPr>
        <w:t xml:space="preserve"> across trees, </w:t>
      </w:r>
      <w:r>
        <w:rPr>
          <w:b w:val="0"/>
          <w:i/>
        </w:rPr>
        <w:t>c</w:t>
      </w:r>
      <w:r>
        <w:rPr>
          <w:b w:val="0"/>
          <w:i w:val="0"/>
        </w:rPr>
        <w:t>(</w:t>
      </w:r>
      <w:r>
        <w:rPr>
          <w:b w:val="0"/>
          <w:i/>
        </w:rPr>
        <w:t>n</w:t>
      </w:r>
      <w:r>
        <w:rPr>
          <w:b w:val="0"/>
          <w:i w:val="0"/>
        </w:rPr>
        <w:t xml:space="preserve">) is the average path length of an unsuccessful search in a tree of </w:t>
      </w:r>
      <w:r>
        <w:rPr>
          <w:b w:val="0"/>
          <w:i/>
        </w:rPr>
        <w:t>n</w:t>
      </w:r>
      <w:r>
        <w:rPr>
          <w:b w:val="0"/>
          <w:i w:val="0"/>
        </w:rPr>
        <w:t xml:space="preserve"> records and </w:t>
      </w:r>
      <w:r>
        <w:rPr>
          <w:b w:val="0"/>
          <w:i/>
        </w:rPr>
        <w:t>H</w:t>
      </w:r>
      <w:r>
        <w:rPr>
          <w:b w:val="0"/>
          <w:i w:val="0"/>
        </w:rPr>
        <w:t xml:space="preserve"> is the harmonic number. As in CORA, a statistically unusual contract was reported only if its cost was also above both the model and the standards-based estimates. SHAP values were computed on the final XGBoost model with the exact tree path-dependent algorithm (Lundberg et al., 2018), so that each prediction splits into a base value and feature contributions: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189938" cy="436473"/>
            <wp:docPr id="49" name="Picture 49"/>
            <wp:cNvGraphicFramePr>
              <a:graphicFrameLocks noChangeAspect="1"/>
            </wp:cNvGraphicFramePr>
            <a:graphic>
              <a:graphicData uri="http://schemas.openxmlformats.org/drawingml/2006/picture">
                <pic:pic>
                  <pic:nvPicPr>
                    <pic:cNvPr id="0" name="shap.png"/>
                    <pic:cNvPicPr/>
                  </pic:nvPicPr>
                  <pic:blipFill>
                    <a:blip r:embed="rId29"/>
                    <a:stretch>
                      <a:fillRect/>
                    </a:stretch>
                  </pic:blipFill>
                  <pic:spPr>
                    <a:xfrm>
                      <a:off x="0" y="0"/>
                      <a:ext cx="1189938" cy="436473"/>
                    </a:xfrm>
                    <a:prstGeom prst="rect"/>
                  </pic:spPr>
                </pic:pic>
              </a:graphicData>
            </a:graphic>
          </wp:inline>
        </w:drawing>
      </w:r>
      <w:r>
        <w:tab/>
        <w:t>Eq. 20</w:t>
      </w:r>
    </w:p>
    <w:p>
      <w:pPr>
        <w:spacing w:line="480" w:lineRule="auto" w:after="0"/>
        <w:ind w:firstLine="720"/>
        <w:jc w:val="both"/>
      </w:pPr>
      <w:r>
        <w:rPr>
          <w:b w:val="0"/>
          <w:i w:val="0"/>
        </w:rPr>
        <w:t>Finally, the three signals were combined into the BUHAY-AH Risk Index, which weights the standards-based evidence most heavily because it does not depend on past prices: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2665165" cy="241401"/>
            <wp:docPr id="50" name="Picture 50"/>
            <wp:cNvGraphicFramePr>
              <a:graphicFrameLocks noChangeAspect="1"/>
            </wp:cNvGraphicFramePr>
            <a:graphic>
              <a:graphicData uri="http://schemas.openxmlformats.org/drawingml/2006/picture">
                <pic:pic>
                  <pic:nvPicPr>
                    <pic:cNvPr id="0" name="bri.png"/>
                    <pic:cNvPicPr/>
                  </pic:nvPicPr>
                  <pic:blipFill>
                    <a:blip r:embed="rId30"/>
                    <a:stretch>
                      <a:fillRect/>
                    </a:stretch>
                  </pic:blipFill>
                  <pic:spPr>
                    <a:xfrm>
                      <a:off x="0" y="0"/>
                      <a:ext cx="2665165" cy="241401"/>
                    </a:xfrm>
                    <a:prstGeom prst="rect"/>
                  </pic:spPr>
                </pic:pic>
              </a:graphicData>
            </a:graphic>
          </wp:inline>
        </w:drawing>
      </w:r>
      <w:r>
        <w:tab/>
        <w:t>Eq. 21</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008730" cy="475488"/>
            <wp:docPr id="51" name="Picture 51"/>
            <wp:cNvGraphicFramePr>
              <a:graphicFrameLocks noChangeAspect="1"/>
            </wp:cNvGraphicFramePr>
            <a:graphic>
              <a:graphicData uri="http://schemas.openxmlformats.org/drawingml/2006/picture">
                <pic:pic>
                  <pic:nvPicPr>
                    <pic:cNvPr id="0" name="bri_s.png"/>
                    <pic:cNvPicPr/>
                  </pic:nvPicPr>
                  <pic:blipFill>
                    <a:blip r:embed="rId31"/>
                    <a:stretch>
                      <a:fillRect/>
                    </a:stretch>
                  </pic:blipFill>
                  <pic:spPr>
                    <a:xfrm>
                      <a:off x="0" y="0"/>
                      <a:ext cx="4008730" cy="475488"/>
                    </a:xfrm>
                    <a:prstGeom prst="rect"/>
                  </pic:spPr>
                </pic:pic>
              </a:graphicData>
            </a:graphic>
          </wp:inline>
        </w:drawing>
      </w:r>
      <w:r>
        <w:tab/>
        <w:t>Eq. 22</w:t>
      </w:r>
    </w:p>
    <w:p>
      <w:pPr>
        <w:spacing w:line="480" w:lineRule="auto" w:after="0"/>
        <w:ind w:firstLine="720"/>
        <w:jc w:val="both"/>
      </w:pPr>
      <w:r>
        <w:rPr>
          <w:b w:val="0"/>
          <w:i w:val="0"/>
        </w:rPr>
        <w:t xml:space="preserve">where [·]₀¹ clips a value to the range 0 to 1, </w:t>
      </w:r>
      <w:r>
        <w:rPr>
          <w:b w:val="0"/>
          <w:i/>
        </w:rPr>
        <w:t>C</w:t>
      </w:r>
      <w:r>
        <w:rPr>
          <w:b w:val="0"/>
          <w:i w:val="0"/>
        </w:rPr>
        <w:t xml:space="preserve"> is the contract amount, </w:t>
      </w:r>
      <w:r>
        <w:rPr>
          <w:b w:val="0"/>
          <w:i/>
        </w:rPr>
        <w:t>Ĉ</w:t>
      </w:r>
      <w:r>
        <w:rPr>
          <w:b w:val="0"/>
          <w:i w:val="0"/>
        </w:rPr>
        <w:t xml:space="preserve"> is the XGBoost expected cost and </w:t>
      </w:r>
      <w:r>
        <w:rPr>
          <w:b w:val="0"/>
          <w:i/>
        </w:rPr>
        <w:t>s</w:t>
      </w:r>
      <w:r>
        <w:rPr>
          <w:b w:val="0"/>
          <w:i w:val="0"/>
        </w:rPr>
        <w:t xml:space="preserve"> is the anomaly score. A BRI of 30 or more is a high-risk flag and 20 to 30 marks a contract for review. Figure 4 shows how the components fit together.</w:t>
      </w:r>
    </w:p>
    <w:p>
      <w:pPr>
        <w:keepNext/>
        <w:spacing w:line="240" w:lineRule="auto" w:after="0" w:before="120"/>
        <w:jc w:val="left"/>
      </w:pPr>
      <w:r>
        <w:rPr>
          <w:b/>
          <w:i w:val="0"/>
        </w:rPr>
        <w:t>Figure 4.</w:t>
      </w:r>
    </w:p>
    <w:p>
      <w:pPr>
        <w:keepNext/>
        <w:spacing w:line="240" w:lineRule="auto" w:after="0"/>
        <w:jc w:val="left"/>
      </w:pPr>
      <w:r>
        <w:rPr>
          <w:b w:val="0"/>
          <w:i/>
        </w:rPr>
        <w:t>Model Integration Framework</w:t>
      </w:r>
    </w:p>
    <w:p>
      <w:pPr>
        <w:spacing w:line="240" w:lineRule="auto" w:after="200"/>
        <w:jc w:val="center"/>
      </w:pPr>
      <w:r>
        <w:drawing>
          <wp:inline xmlns:a="http://schemas.openxmlformats.org/drawingml/2006/main" xmlns:pic="http://schemas.openxmlformats.org/drawingml/2006/picture">
            <wp:extent cx="5852160" cy="1885587"/>
            <wp:docPr id="52" name="Picture 52"/>
            <wp:cNvGraphicFramePr>
              <a:graphicFrameLocks noChangeAspect="1"/>
            </wp:cNvGraphicFramePr>
            <a:graphic>
              <a:graphicData uri="http://schemas.openxmlformats.org/drawingml/2006/picture">
                <pic:pic>
                  <pic:nvPicPr>
                    <pic:cNvPr id="0" name="diagram_integration.png"/>
                    <pic:cNvPicPr/>
                  </pic:nvPicPr>
                  <pic:blipFill>
                    <a:blip r:embed="rId40"/>
                    <a:stretch>
                      <a:fillRect/>
                    </a:stretch>
                  </pic:blipFill>
                  <pic:spPr>
                    <a:xfrm>
                      <a:off x="0" y="0"/>
                      <a:ext cx="5852160" cy="1885587"/>
                    </a:xfrm>
                    <a:prstGeom prst="rect"/>
                  </pic:spPr>
                </pic:pic>
              </a:graphicData>
            </a:graphic>
          </wp:inline>
        </w:drawing>
      </w:r>
    </w:p>
    <w:p>
      <w:pPr>
        <w:spacing w:line="480" w:lineRule="auto" w:after="0"/>
        <w:ind w:firstLine="720"/>
        <w:jc w:val="both"/>
      </w:pPr>
      <w:r>
        <w:rPr>
          <w:b w:val="0"/>
          <w:i w:val="0"/>
        </w:rPr>
        <w:t>Algorithm 3 gives the screening of one contract as it runs in the application.</w:t>
      </w:r>
    </w:p>
    <w:p>
      <w:pPr>
        <w:keepNext/>
        <w:spacing w:line="240" w:lineRule="auto" w:after="0" w:before="120"/>
        <w:jc w:val="left"/>
      </w:pPr>
      <w:r>
        <w:rPr>
          <w:b/>
          <w:i w:val="0"/>
        </w:rPr>
        <w:t>Algorithm 3.</w:t>
      </w:r>
    </w:p>
    <w:p>
      <w:pPr>
        <w:keepNext/>
        <w:spacing w:line="240" w:lineRule="auto" w:after="0"/>
        <w:jc w:val="left"/>
      </w:pPr>
      <w:r>
        <w:rPr>
          <w:b w:val="0"/>
          <w:i/>
        </w:rPr>
        <w:t>BUHAY-AH Screening of a Contract Amount</w:t>
      </w:r>
    </w:p>
    <w:tbl>
      <w:tblPr>
        <w:tblW w:type="auto" w:w="0"/>
        <w:jc w:val="center"/>
        <w:tblLook w:firstColumn="1" w:firstRow="1" w:lastColumn="0" w:lastRow="0" w:noHBand="0" w:noVBand="1" w:val="04A0"/>
      </w:tblPr>
      <w:tblGrid>
        <w:gridCol w:w="9026"/>
      </w:tblGrid>
      <w:tr>
        <w:tc>
          <w:tcPr>
            <w:tcW w:type="dxa" w:w="9026"/>
            <w:shd w:val="clear" w:color="auto" w:fill="F4F6F8"/>
            <w:tcBorders>
              <w:top w:val="single" w:sz="8" w:color="000000"/>
              <w:bottom w:val="single" w:sz="8" w:color="000000"/>
            </w:tcBorders>
          </w:tcPr>
          <w:p>
            <w:pPr>
              <w:spacing w:line="240" w:lineRule="auto"/>
            </w:pPr>
            <w:r/>
            <w:r>
              <w:rPr>
                <w:rFonts w:ascii="Courier New" w:hAnsi="Courier New" w:eastAsia="Courier New"/>
                <w:sz w:val="17"/>
              </w:rPr>
              <w:t>input : plan p, contract amount C, trained models (MLR, XGBoost, Isolation Forest)</w:t>
            </w:r>
          </w:p>
          <w:p>
            <w:pPr>
              <w:spacing w:line="240" w:lineRule="auto"/>
            </w:pPr>
            <w:r>
              <w:rPr>
                <w:rFonts w:ascii="Courier New" w:hAnsi="Courier New" w:eastAsia="Courier New"/>
                <w:sz w:val="17"/>
              </w:rPr>
              <w:t>output: risk index BRI, status, explanation</w:t>
            </w:r>
          </w:p>
          <w:p>
            <w:pPr>
              <w:spacing w:line="240" w:lineRule="auto"/>
            </w:pPr>
            <w:r>
              <w:rPr>
                <w:rFonts w:ascii="Courier New" w:hAnsi="Courier New" w:eastAsia="Courier New"/>
                <w:sz w:val="17"/>
              </w:rPr>
              <w:t>q ← QUOTE(p)                                   ▹ Algorithm 2: lean, standard, ceiling</w:t>
            </w:r>
          </w:p>
          <w:p>
            <w:pPr>
              <w:spacing w:line="240" w:lineRule="auto"/>
            </w:pPr>
            <w:r>
              <w:rPr>
                <w:rFonts w:ascii="Courier New" w:hAnsi="Courier New" w:eastAsia="Courier New"/>
                <w:sz w:val="17"/>
              </w:rPr>
              <w:t>OBR ← C / q.standard                            ▹ over-budget ratio</w:t>
            </w:r>
          </w:p>
          <w:p>
            <w:pPr>
              <w:spacing w:line="240" w:lineRule="auto"/>
            </w:pPr>
            <w:r>
              <w:rPr>
                <w:rFonts w:ascii="Courier New" w:hAnsi="Courier New" w:eastAsia="Courier New"/>
                <w:sz w:val="17"/>
              </w:rPr>
              <w:t>Ĉ ← exp(XGBOOST(features(p)));  φ ← TREESHAP(features(p))       ▹ expected cost and SHAP values</w:t>
            </w:r>
          </w:p>
          <w:p>
            <w:pPr>
              <w:spacing w:line="240" w:lineRule="auto"/>
            </w:pPr>
            <w:r>
              <w:rPr>
                <w:rFonts w:ascii="Courier New" w:hAnsi="Courier New" w:eastAsia="Courier New"/>
                <w:sz w:val="17"/>
              </w:rPr>
              <w:t>s ← ISOLATION_SCORE([features(p), ln(C/Ĉ), ln OBR])              ▹ isolation anomaly score</w:t>
            </w:r>
          </w:p>
          <w:p>
            <w:pPr>
              <w:spacing w:line="240" w:lineRule="auto"/>
            </w:pPr>
            <w:r>
              <w:rPr>
                <w:rFonts w:ascii="Courier New" w:hAnsi="Courier New" w:eastAsia="Courier New"/>
                <w:sz w:val="17"/>
              </w:rPr>
              <w:t>BRI ← 100 · (0.5 S_OBR + 0.3 S_ML + 0.2 S_ISO)                    ▹ BUHAY-AH Risk Index</w:t>
            </w:r>
          </w:p>
          <w:p>
            <w:pPr>
              <w:spacing w:line="240" w:lineRule="auto"/>
            </w:pPr>
            <w:r>
              <w:rPr>
                <w:rFonts w:ascii="Courier New" w:hAnsi="Courier New" w:eastAsia="Courier New"/>
                <w:sz w:val="17"/>
              </w:rPr>
              <w:t>status ← red if BRI ≥ 30 or C &gt; q.ceiling; amber if BRI ≥ 20; green otherwise</w:t>
            </w:r>
          </w:p>
          <w:p>
            <w:pPr>
              <w:spacing w:line="240" w:lineRule="auto"/>
            </w:pPr>
            <w:r>
              <w:rPr>
                <w:rFonts w:ascii="Courier New" w:hAnsi="Courier New" w:eastAsia="Courier New"/>
                <w:sz w:val="17"/>
              </w:rPr>
              <w:t>return BRI, status, φ, primary driver = argmax_j |z_j|</w:t>
            </w:r>
          </w:p>
        </w:tc>
      </w:tr>
    </w:tbl>
    <w:p>
      <w:pPr>
        <w:spacing w:line="240" w:lineRule="auto" w:after="80"/>
      </w:pPr>
    </w:p>
    <w:p>
      <w:pPr>
        <w:keepNext/>
        <w:spacing w:line="480" w:lineRule="auto" w:after="0"/>
        <w:ind w:left="720"/>
        <w:jc w:val="left"/>
      </w:pPr>
      <w:r>
        <w:rPr>
          <w:b/>
          <w:i w:val="0"/>
        </w:rPr>
        <w:t>Model Validation</w:t>
      </w:r>
    </w:p>
    <w:p>
      <w:pPr>
        <w:spacing w:line="480" w:lineRule="auto" w:after="0"/>
        <w:ind w:firstLine="720"/>
        <w:jc w:val="both"/>
      </w:pPr>
      <w:r>
        <w:rPr>
          <w:b w:val="0"/>
          <w:i w:val="0"/>
        </w:rPr>
        <w:t>Given the moderate sample sizes, a single train-test split would give an unstable estimate, so leave-one-out cross-validation was used for both regression models (Molinaro et al., 2005): each project was held out once and predicted by a model trained on all the others. Three metrics evaluated cost prediction. RMSE gives the typical error in pesos, R</w:t>
      </w:r>
      <w:r>
        <w:rPr>
          <w:b w:val="0"/>
          <w:i w:val="0"/>
          <w:vertAlign w:val="superscript"/>
        </w:rPr>
        <w:t>2</w:t>
      </w:r>
      <w:r>
        <w:rPr>
          <w:b w:val="0"/>
          <w:i w:val="0"/>
        </w:rPr>
        <w:t xml:space="preserve"> gives the share of variance explained, and MAPE expresses error as a percentage of each project's cost so that culverts and long bridges can be compared:</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653234" cy="475488"/>
            <wp:docPr id="53" name="Picture 53"/>
            <wp:cNvGraphicFramePr>
              <a:graphicFrameLocks noChangeAspect="1"/>
            </wp:cNvGraphicFramePr>
            <a:graphic>
              <a:graphicData uri="http://schemas.openxmlformats.org/drawingml/2006/picture">
                <pic:pic>
                  <pic:nvPicPr>
                    <pic:cNvPr id="0" name="rmse.png"/>
                    <pic:cNvPicPr/>
                  </pic:nvPicPr>
                  <pic:blipFill>
                    <a:blip r:embed="rId32"/>
                    <a:stretch>
                      <a:fillRect/>
                    </a:stretch>
                  </pic:blipFill>
                  <pic:spPr>
                    <a:xfrm>
                      <a:off x="0" y="0"/>
                      <a:ext cx="1653234" cy="475488"/>
                    </a:xfrm>
                    <a:prstGeom prst="rect"/>
                  </pic:spPr>
                </pic:pic>
              </a:graphicData>
            </a:graphic>
          </wp:inline>
        </w:drawing>
      </w:r>
      <w:r>
        <w:tab/>
        <w:t>Eq. 23</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316734" cy="675436"/>
            <wp:docPr id="54" name="Picture 54"/>
            <wp:cNvGraphicFramePr>
              <a:graphicFrameLocks noChangeAspect="1"/>
            </wp:cNvGraphicFramePr>
            <a:graphic>
              <a:graphicData uri="http://schemas.openxmlformats.org/drawingml/2006/picture">
                <pic:pic>
                  <pic:nvPicPr>
                    <pic:cNvPr id="0" name="r2.png"/>
                    <pic:cNvPicPr/>
                  </pic:nvPicPr>
                  <pic:blipFill>
                    <a:blip r:embed="rId33"/>
                    <a:stretch>
                      <a:fillRect/>
                    </a:stretch>
                  </pic:blipFill>
                  <pic:spPr>
                    <a:xfrm>
                      <a:off x="0" y="0"/>
                      <a:ext cx="1316734" cy="675436"/>
                    </a:xfrm>
                    <a:prstGeom prst="rect"/>
                  </pic:spPr>
                </pic:pic>
              </a:graphicData>
            </a:graphic>
          </wp:inline>
        </w:drawing>
      </w:r>
      <w:r>
        <w:tab/>
        <w:t>Eq. 24</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819046" cy="434035"/>
            <wp:docPr id="55" name="Picture 55"/>
            <wp:cNvGraphicFramePr>
              <a:graphicFrameLocks noChangeAspect="1"/>
            </wp:cNvGraphicFramePr>
            <a:graphic>
              <a:graphicData uri="http://schemas.openxmlformats.org/drawingml/2006/picture">
                <pic:pic>
                  <pic:nvPicPr>
                    <pic:cNvPr id="0" name="mape.png"/>
                    <pic:cNvPicPr/>
                  </pic:nvPicPr>
                  <pic:blipFill>
                    <a:blip r:embed="rId34"/>
                    <a:stretch>
                      <a:fillRect/>
                    </a:stretch>
                  </pic:blipFill>
                  <pic:spPr>
                    <a:xfrm>
                      <a:off x="0" y="0"/>
                      <a:ext cx="1819046" cy="434035"/>
                    </a:xfrm>
                    <a:prstGeom prst="rect"/>
                  </pic:spPr>
                </pic:pic>
              </a:graphicData>
            </a:graphic>
          </wp:inline>
        </w:drawing>
      </w:r>
      <w:r>
        <w:tab/>
        <w:t>Eq. 25</w:t>
      </w:r>
    </w:p>
    <w:p>
      <w:pPr>
        <w:spacing w:line="480" w:lineRule="auto" w:after="0"/>
        <w:ind w:firstLine="720"/>
        <w:jc w:val="both"/>
      </w:pPr>
      <w:r>
        <w:rPr>
          <w:b w:val="0"/>
          <w:i w:val="0"/>
        </w:rPr>
        <w:t>Detection was evaluated against the injected labels with precision, recall and the F1-score, and threshold-free performance with the area under the ROC curve: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118712" cy="397459"/>
            <wp:docPr id="56" name="Picture 56"/>
            <wp:cNvGraphicFramePr>
              <a:graphicFrameLocks noChangeAspect="1"/>
            </wp:cNvGraphicFramePr>
            <a:graphic>
              <a:graphicData uri="http://schemas.openxmlformats.org/drawingml/2006/picture">
                <pic:pic>
                  <pic:nvPicPr>
                    <pic:cNvPr id="0" name="prf.png"/>
                    <pic:cNvPicPr/>
                  </pic:nvPicPr>
                  <pic:blipFill>
                    <a:blip r:embed="rId35"/>
                    <a:stretch>
                      <a:fillRect/>
                    </a:stretch>
                  </pic:blipFill>
                  <pic:spPr>
                    <a:xfrm>
                      <a:off x="0" y="0"/>
                      <a:ext cx="3118712" cy="397459"/>
                    </a:xfrm>
                    <a:prstGeom prst="rect"/>
                  </pic:spPr>
                </pic:pic>
              </a:graphicData>
            </a:graphic>
          </wp:inline>
        </w:drawing>
      </w:r>
      <w:r>
        <w:tab/>
        <w:t>Eq. 26</w:t>
      </w:r>
    </w:p>
    <w:p>
      <w:pPr>
        <w:spacing w:line="480" w:lineRule="auto" w:after="0"/>
        <w:ind w:firstLine="720"/>
        <w:jc w:val="both"/>
      </w:pPr>
      <w:r>
        <w:rPr>
          <w:b w:val="0"/>
          <w:i w:val="0"/>
        </w:rPr>
        <w:t>Four screening rules were compared: the standards-based rule (amount above the ceiling), the model residual rule (amount more than 1.25 times the XGBoost LOOCV prediction), the CORA-style Isolation Forest flag, and the BUHAY-AH Risk Index at 30.</w:t>
      </w:r>
    </w:p>
    <w:p>
      <w:pPr>
        <w:keepNext/>
        <w:spacing w:line="480" w:lineRule="auto" w:after="0"/>
        <w:ind w:left="720"/>
        <w:jc w:val="left"/>
      </w:pPr>
      <w:r>
        <w:rPr>
          <w:b/>
          <w:i w:val="0"/>
        </w:rPr>
        <w:t>3D Visualization</w:t>
      </w:r>
    </w:p>
    <w:p>
      <w:pPr>
        <w:spacing w:line="480" w:lineRule="auto" w:after="0"/>
        <w:ind w:firstLine="720"/>
        <w:jc w:val="both"/>
      </w:pPr>
      <w:r>
        <w:rPr>
          <w:b w:val="0"/>
          <w:i w:val="0"/>
        </w:rPr>
        <w:t>Each plan is rendered as a parametric 3D model built directly from the geometry the engine computes rather than from generic shapes, following the logic of parametric BIM dashboards. Buildings show the column grid, slabs, walls with window bands and the gable or flat roof; bridges show the deck, girder lines or truss panels, piers, abutments, railings, approaches and the waterway. The renderer uses an orthographic projection with flat shading on a 2D canvas so that it runs on low-end phones without a graphics library, and the model is tinted green, amber or red by the screening result.</w:t>
      </w:r>
    </w:p>
    <w:p>
      <w:pPr>
        <w:keepNext/>
        <w:spacing w:line="480" w:lineRule="auto" w:after="0"/>
        <w:ind w:left="720"/>
        <w:jc w:val="left"/>
      </w:pPr>
      <w:r>
        <w:rPr>
          <w:b/>
          <w:i w:val="0"/>
        </w:rPr>
        <w:t>App and Website Development</w:t>
      </w:r>
    </w:p>
    <w:p>
      <w:pPr>
        <w:spacing w:line="480" w:lineRule="auto" w:after="0"/>
        <w:ind w:firstLine="720"/>
        <w:jc w:val="both"/>
      </w:pPr>
      <w:r>
        <w:rPr>
          <w:b w:val="0"/>
          <w:i w:val="0"/>
        </w:rPr>
        <w:t>The system was delivered as a progressive web application with five screens (Home, Design, Quote, Check and Library) that can be installed on Android, iOS and desktop and works offline after the first load. The cost engine is a single JavaScript file shared by the application and the Python research pipeline, so the app and the paper produce the same numbers. The trained XGBoost trees and the Isolation Forest were exported to JSON and evaluated in the browser, with exact TreeSHAP ported from the reference implementation; parity tests against Python matched XGBoost predictions within 1×10⁻⁵ in log cost, Isolation Forest scores to machine precision and SHAP values within 2×10⁻⁷. An Android package is built automatically from the same files with Capacitor through GitHub Actions, an offline ZIP package runs from a local folder, and a download website with a live budget-to-design demonstration is published from the same repository. Plans, saved checks and price-book edits stay on the user's device.</w:t>
      </w:r>
    </w:p>
    <w:p>
      <w:pPr>
        <w:keepNext/>
        <w:spacing w:line="240" w:lineRule="auto" w:after="0" w:before="120"/>
        <w:jc w:val="left"/>
      </w:pPr>
      <w:r>
        <w:rPr>
          <w:b/>
          <w:i w:val="0"/>
        </w:rPr>
        <w:t>Figure 5.</w:t>
      </w:r>
    </w:p>
    <w:p>
      <w:pPr>
        <w:keepNext/>
        <w:spacing w:line="240" w:lineRule="auto" w:after="0"/>
        <w:jc w:val="left"/>
      </w:pPr>
      <w:r>
        <w:rPr>
          <w:b w:val="0"/>
          <w:i/>
        </w:rPr>
        <w:t>System Architecture of BUHAY-AH</w:t>
      </w:r>
    </w:p>
    <w:p>
      <w:pPr>
        <w:spacing w:line="240" w:lineRule="auto" w:after="200"/>
        <w:jc w:val="center"/>
      </w:pPr>
      <w:r>
        <w:drawing>
          <wp:inline xmlns:a="http://schemas.openxmlformats.org/drawingml/2006/main" xmlns:pic="http://schemas.openxmlformats.org/drawingml/2006/picture">
            <wp:extent cx="5852160" cy="1401868"/>
            <wp:docPr id="57" name="Picture 57"/>
            <wp:cNvGraphicFramePr>
              <a:graphicFrameLocks noChangeAspect="1"/>
            </wp:cNvGraphicFramePr>
            <a:graphic>
              <a:graphicData uri="http://schemas.openxmlformats.org/drawingml/2006/picture">
                <pic:pic>
                  <pic:nvPicPr>
                    <pic:cNvPr id="0" name="diagram_architecture.png"/>
                    <pic:cNvPicPr/>
                  </pic:nvPicPr>
                  <pic:blipFill>
                    <a:blip r:embed="rId41"/>
                    <a:stretch>
                      <a:fillRect/>
                    </a:stretch>
                  </pic:blipFill>
                  <pic:spPr>
                    <a:xfrm>
                      <a:off x="0" y="0"/>
                      <a:ext cx="5852160" cy="1401868"/>
                    </a:xfrm>
                    <a:prstGeom prst="rect"/>
                  </pic:spPr>
                </pic:pic>
              </a:graphicData>
            </a:graphic>
          </wp:inline>
        </w:drawing>
      </w:r>
    </w:p>
    <w:p>
      <w:pPr>
        <w:keepNext/>
        <w:spacing w:line="480" w:lineRule="auto" w:after="0"/>
        <w:jc w:val="center"/>
      </w:pPr>
      <w:r>
        <w:rPr>
          <w:b/>
          <w:i w:val="0"/>
        </w:rPr>
        <w:t>FINDINGS</w:t>
      </w:r>
    </w:p>
    <w:p>
      <w:pPr>
        <w:spacing w:line="480" w:lineRule="auto" w:after="0"/>
        <w:ind w:firstLine="720"/>
        <w:jc w:val="both"/>
      </w:pPr>
      <w:r>
        <w:rPr>
          <w:b w:val="0"/>
          <w:i w:val="0"/>
        </w:rPr>
        <w:t>This section presents the results of the study in the order of the research questions, from the plan variables and the accuracy of the standards-based engine to the machine-learning models, the detection benchmark and the deployed system.</w:t>
      </w:r>
    </w:p>
    <w:p>
      <w:pPr>
        <w:keepNext/>
        <w:spacing w:line="480" w:lineRule="auto" w:after="0"/>
        <w:jc w:val="left"/>
      </w:pPr>
      <w:r>
        <w:rPr>
          <w:b/>
          <w:i w:val="0"/>
        </w:rPr>
        <w:t>Plan Variables and Derived Indicators Extracted from Building and Bridge Plans</w:t>
      </w:r>
    </w:p>
    <w:p>
      <w:pPr>
        <w:spacing w:line="480" w:lineRule="auto" w:after="0"/>
        <w:ind w:firstLine="720"/>
        <w:jc w:val="both"/>
      </w:pPr>
      <w:r>
        <w:rPr>
          <w:b w:val="0"/>
          <w:i w:val="0"/>
        </w:rPr>
        <w:t>The first research question identified the variables that can be read from plans and standards and used to estimate cost. Nine variables describe each building and eleven describe each bridge (Table 1), grouped into physical properties, structural system and foundation, and location and price year.</w:t>
      </w:r>
    </w:p>
    <w:p>
      <w:pPr>
        <w:keepNext/>
        <w:spacing w:line="480" w:lineRule="auto" w:after="0"/>
        <w:ind w:left="720"/>
        <w:jc w:val="left"/>
      </w:pPr>
      <w:r>
        <w:rPr>
          <w:b/>
          <w:i w:val="0"/>
        </w:rPr>
        <w:t>a.) Physical Properties</w:t>
      </w:r>
    </w:p>
    <w:p>
      <w:pPr>
        <w:keepNext/>
        <w:spacing w:line="240" w:lineRule="auto" w:after="0" w:before="120"/>
        <w:jc w:val="left"/>
      </w:pPr>
      <w:r>
        <w:rPr>
          <w:b/>
          <w:i w:val="0"/>
        </w:rPr>
        <w:t>Table 9.</w:t>
      </w:r>
    </w:p>
    <w:p>
      <w:pPr>
        <w:keepNext/>
        <w:spacing w:line="240" w:lineRule="auto" w:after="0"/>
        <w:jc w:val="left"/>
      </w:pPr>
      <w:r>
        <w:rPr>
          <w:b w:val="0"/>
          <w:i/>
        </w:rPr>
        <w:t>Descriptive Statistics of the Physical Properties of Buildings (n = 160)</w:t>
      </w:r>
    </w:p>
    <w:tbl>
      <w:tblPr>
        <w:tblW w:type="auto" w:w="0"/>
        <w:jc w:val="center"/>
        <w:tblLayout w:type="fixed"/>
        <w:tblLook w:firstColumn="1" w:firstRow="1" w:lastColumn="0" w:lastRow="0" w:noHBand="0" w:noVBand="1" w:val="04A0"/>
        <w:tblLayout w:type="fixed"/>
      </w:tblPr>
      <w:tblGrid>
        <w:gridCol w:w="2448"/>
        <w:gridCol w:w="979"/>
        <w:gridCol w:w="979"/>
        <w:gridCol w:w="979"/>
        <w:gridCol w:w="979"/>
        <w:gridCol w:w="979"/>
        <w:gridCol w:w="979"/>
        <w:gridCol w:w="979"/>
      </w:tblGrid>
      <w:tr>
        <w:tc>
          <w:tcPr>
            <w:tcW w:type="dxa" w:w="2448"/>
            <w:tcBorders>
              <w:top w:val="single" w:sz="12" w:color="000000"/>
              <w:bottom w:val="single" w:sz="8" w:color="000000"/>
            </w:tcBorders>
          </w:tcPr>
          <w:p>
            <w:pPr>
              <w:spacing w:line="240" w:lineRule="auto" w:before="40" w:after="40"/>
              <w:jc w:val="center"/>
            </w:pPr>
            <w:r/>
            <w:r>
              <w:rPr>
                <w:b/>
                <w:i w:val="0"/>
                <w:sz w:val="18"/>
              </w:rPr>
              <w:t>VARIABLE</w:t>
            </w:r>
          </w:p>
        </w:tc>
        <w:tc>
          <w:tcPr>
            <w:tcW w:type="dxa" w:w="979"/>
            <w:tcBorders>
              <w:top w:val="single" w:sz="12" w:color="000000"/>
              <w:bottom w:val="single" w:sz="8" w:color="000000"/>
            </w:tcBorders>
          </w:tcPr>
          <w:p>
            <w:pPr>
              <w:spacing w:line="240" w:lineRule="auto" w:before="40" w:after="40"/>
              <w:jc w:val="center"/>
            </w:pPr>
            <w:r/>
            <w:r>
              <w:rPr>
                <w:b/>
                <w:i w:val="0"/>
                <w:sz w:val="18"/>
              </w:rPr>
              <w:t>x̄</w:t>
            </w:r>
          </w:p>
        </w:tc>
        <w:tc>
          <w:tcPr>
            <w:tcW w:type="dxa" w:w="979"/>
            <w:tcBorders>
              <w:top w:val="single" w:sz="12" w:color="000000"/>
              <w:bottom w:val="single" w:sz="8" w:color="000000"/>
            </w:tcBorders>
          </w:tcPr>
          <w:p>
            <w:pPr>
              <w:spacing w:line="240" w:lineRule="auto" w:before="40" w:after="40"/>
              <w:jc w:val="center"/>
            </w:pPr>
            <w:r/>
            <w:r>
              <w:rPr>
                <w:b/>
                <w:i w:val="0"/>
                <w:sz w:val="18"/>
              </w:rPr>
              <w:t>SD</w:t>
            </w:r>
          </w:p>
        </w:tc>
        <w:tc>
          <w:tcPr>
            <w:tcW w:type="dxa" w:w="979"/>
            <w:tcBorders>
              <w:top w:val="single" w:sz="12" w:color="000000"/>
              <w:bottom w:val="single" w:sz="8" w:color="000000"/>
            </w:tcBorders>
          </w:tcPr>
          <w:p>
            <w:pPr>
              <w:spacing w:line="240" w:lineRule="auto" w:before="40" w:after="40"/>
              <w:jc w:val="center"/>
            </w:pPr>
            <w:r/>
            <w:r>
              <w:rPr>
                <w:b/>
                <w:i w:val="0"/>
                <w:sz w:val="18"/>
              </w:rPr>
              <w:t>MIN</w:t>
            </w:r>
          </w:p>
        </w:tc>
        <w:tc>
          <w:tcPr>
            <w:tcW w:type="dxa" w:w="979"/>
            <w:tcBorders>
              <w:top w:val="single" w:sz="12" w:color="000000"/>
              <w:bottom w:val="single" w:sz="8" w:color="000000"/>
            </w:tcBorders>
          </w:tcPr>
          <w:p>
            <w:pPr>
              <w:spacing w:line="240" w:lineRule="auto" w:before="40" w:after="40"/>
              <w:jc w:val="center"/>
            </w:pPr>
            <w:r/>
            <w:r>
              <w:rPr>
                <w:b/>
                <w:i w:val="0"/>
                <w:sz w:val="18"/>
              </w:rPr>
              <w:t>25%</w:t>
            </w:r>
          </w:p>
        </w:tc>
        <w:tc>
          <w:tcPr>
            <w:tcW w:type="dxa" w:w="979"/>
            <w:tcBorders>
              <w:top w:val="single" w:sz="12" w:color="000000"/>
              <w:bottom w:val="single" w:sz="8" w:color="000000"/>
            </w:tcBorders>
          </w:tcPr>
          <w:p>
            <w:pPr>
              <w:spacing w:line="240" w:lineRule="auto" w:before="40" w:after="40"/>
              <w:jc w:val="center"/>
            </w:pPr>
            <w:r/>
            <w:r>
              <w:rPr>
                <w:b/>
                <w:i w:val="0"/>
                <w:sz w:val="18"/>
              </w:rPr>
              <w:t>50%</w:t>
            </w:r>
          </w:p>
        </w:tc>
        <w:tc>
          <w:tcPr>
            <w:tcW w:type="dxa" w:w="979"/>
            <w:tcBorders>
              <w:top w:val="single" w:sz="12" w:color="000000"/>
              <w:bottom w:val="single" w:sz="8" w:color="000000"/>
            </w:tcBorders>
          </w:tcPr>
          <w:p>
            <w:pPr>
              <w:spacing w:line="240" w:lineRule="auto" w:before="40" w:after="40"/>
              <w:jc w:val="center"/>
            </w:pPr>
            <w:r/>
            <w:r>
              <w:rPr>
                <w:b/>
                <w:i w:val="0"/>
                <w:sz w:val="18"/>
              </w:rPr>
              <w:t>75%</w:t>
            </w:r>
          </w:p>
        </w:tc>
        <w:tc>
          <w:tcPr>
            <w:tcW w:type="dxa" w:w="979"/>
            <w:tcBorders>
              <w:top w:val="single" w:sz="12" w:color="000000"/>
              <w:bottom w:val="single" w:sz="8" w:color="000000"/>
            </w:tcBorders>
          </w:tcPr>
          <w:p>
            <w:pPr>
              <w:spacing w:line="240" w:lineRule="auto" w:before="40" w:after="40"/>
              <w:jc w:val="center"/>
            </w:pPr>
            <w:r/>
            <w:r>
              <w:rPr>
                <w:b/>
                <w:i w:val="0"/>
                <w:sz w:val="18"/>
              </w:rPr>
              <w:t>MAX</w:t>
            </w:r>
          </w:p>
        </w:tc>
      </w:tr>
      <w:tr>
        <w:tc>
          <w:tcPr>
            <w:tcW w:type="dxa" w:w="2448"/>
            <w:shd w:val="clear" w:color="auto" w:fill="EFEFEF"/>
          </w:tcPr>
          <w:p>
            <w:pPr>
              <w:spacing w:line="240" w:lineRule="auto" w:before="40" w:after="40"/>
              <w:jc w:val="left"/>
            </w:pPr>
            <w:r/>
            <w:r>
              <w:rPr>
                <w:b w:val="0"/>
                <w:i/>
                <w:sz w:val="18"/>
              </w:rPr>
              <w:t>Gross Floor Area (m²)</w:t>
            </w:r>
          </w:p>
        </w:tc>
        <w:tc>
          <w:tcPr>
            <w:tcW w:type="dxa" w:w="979"/>
            <w:shd w:val="clear" w:color="auto" w:fill="EFEFEF"/>
          </w:tcPr>
          <w:p>
            <w:pPr>
              <w:spacing w:line="240" w:lineRule="auto" w:before="40" w:after="40"/>
              <w:jc w:val="center"/>
            </w:pPr>
            <w:r/>
            <w:r>
              <w:rPr>
                <w:b w:val="0"/>
                <w:i w:val="0"/>
                <w:sz w:val="18"/>
              </w:rPr>
              <w:t>672.33</w:t>
            </w:r>
          </w:p>
        </w:tc>
        <w:tc>
          <w:tcPr>
            <w:tcW w:type="dxa" w:w="979"/>
            <w:shd w:val="clear" w:color="auto" w:fill="EFEFEF"/>
          </w:tcPr>
          <w:p>
            <w:pPr>
              <w:spacing w:line="240" w:lineRule="auto" w:before="40" w:after="40"/>
              <w:jc w:val="center"/>
            </w:pPr>
            <w:r/>
            <w:r>
              <w:rPr>
                <w:b w:val="0"/>
                <w:i w:val="0"/>
                <w:sz w:val="18"/>
              </w:rPr>
              <w:t>373.44</w:t>
            </w:r>
          </w:p>
        </w:tc>
        <w:tc>
          <w:tcPr>
            <w:tcW w:type="dxa" w:w="979"/>
            <w:shd w:val="clear" w:color="auto" w:fill="EFEFEF"/>
          </w:tcPr>
          <w:p>
            <w:pPr>
              <w:spacing w:line="240" w:lineRule="auto" w:before="40" w:after="40"/>
              <w:jc w:val="center"/>
            </w:pPr>
            <w:r/>
            <w:r>
              <w:rPr>
                <w:b w:val="0"/>
                <w:i w:val="0"/>
                <w:sz w:val="18"/>
              </w:rPr>
              <w:t>116.58</w:t>
            </w:r>
          </w:p>
        </w:tc>
        <w:tc>
          <w:tcPr>
            <w:tcW w:type="dxa" w:w="979"/>
            <w:shd w:val="clear" w:color="auto" w:fill="EFEFEF"/>
          </w:tcPr>
          <w:p>
            <w:pPr>
              <w:spacing w:line="240" w:lineRule="auto" w:before="40" w:after="40"/>
              <w:jc w:val="center"/>
            </w:pPr>
            <w:r/>
            <w:r>
              <w:rPr>
                <w:b w:val="0"/>
                <w:i w:val="0"/>
                <w:sz w:val="18"/>
              </w:rPr>
              <w:t>383.30</w:t>
            </w:r>
          </w:p>
        </w:tc>
        <w:tc>
          <w:tcPr>
            <w:tcW w:type="dxa" w:w="979"/>
            <w:shd w:val="clear" w:color="auto" w:fill="EFEFEF"/>
          </w:tcPr>
          <w:p>
            <w:pPr>
              <w:spacing w:line="240" w:lineRule="auto" w:before="40" w:after="40"/>
              <w:jc w:val="center"/>
            </w:pPr>
            <w:r/>
            <w:r>
              <w:rPr>
                <w:b w:val="0"/>
                <w:i w:val="0"/>
                <w:sz w:val="18"/>
              </w:rPr>
              <w:t>614.88</w:t>
            </w:r>
          </w:p>
        </w:tc>
        <w:tc>
          <w:tcPr>
            <w:tcW w:type="dxa" w:w="979"/>
            <w:shd w:val="clear" w:color="auto" w:fill="EFEFEF"/>
          </w:tcPr>
          <w:p>
            <w:pPr>
              <w:spacing w:line="240" w:lineRule="auto" w:before="40" w:after="40"/>
              <w:jc w:val="center"/>
            </w:pPr>
            <w:r/>
            <w:r>
              <w:rPr>
                <w:b w:val="0"/>
                <w:i w:val="0"/>
                <w:sz w:val="18"/>
              </w:rPr>
              <w:t>873.00</w:t>
            </w:r>
          </w:p>
        </w:tc>
        <w:tc>
          <w:tcPr>
            <w:tcW w:type="dxa" w:w="979"/>
            <w:shd w:val="clear" w:color="auto" w:fill="EFEFEF"/>
          </w:tcPr>
          <w:p>
            <w:pPr>
              <w:spacing w:line="240" w:lineRule="auto" w:before="40" w:after="40"/>
              <w:jc w:val="center"/>
            </w:pPr>
            <w:r/>
            <w:r>
              <w:rPr>
                <w:b w:val="0"/>
                <w:i w:val="0"/>
                <w:sz w:val="18"/>
              </w:rPr>
              <w:t>1,991</w:t>
            </w:r>
          </w:p>
        </w:tc>
      </w:tr>
      <w:tr>
        <w:tc>
          <w:tcPr>
            <w:tcW w:type="dxa" w:w="2448"/>
          </w:tcPr>
          <w:p>
            <w:pPr>
              <w:spacing w:line="240" w:lineRule="auto" w:before="40" w:after="40"/>
              <w:jc w:val="left"/>
            </w:pPr>
            <w:r/>
            <w:r>
              <w:rPr>
                <w:b w:val="0"/>
                <w:i/>
                <w:sz w:val="18"/>
              </w:rPr>
              <w:t>Footprint Area (m²)</w:t>
            </w:r>
          </w:p>
        </w:tc>
        <w:tc>
          <w:tcPr>
            <w:tcW w:type="dxa" w:w="979"/>
          </w:tcPr>
          <w:p>
            <w:pPr>
              <w:spacing w:line="240" w:lineRule="auto" w:before="40" w:after="40"/>
              <w:jc w:val="center"/>
            </w:pPr>
            <w:r/>
            <w:r>
              <w:rPr>
                <w:b w:val="0"/>
                <w:i w:val="0"/>
                <w:sz w:val="18"/>
              </w:rPr>
              <w:t>381.30</w:t>
            </w:r>
          </w:p>
        </w:tc>
        <w:tc>
          <w:tcPr>
            <w:tcW w:type="dxa" w:w="979"/>
          </w:tcPr>
          <w:p>
            <w:pPr>
              <w:spacing w:line="240" w:lineRule="auto" w:before="40" w:after="40"/>
              <w:jc w:val="center"/>
            </w:pPr>
            <w:r/>
            <w:r>
              <w:rPr>
                <w:b w:val="0"/>
                <w:i w:val="0"/>
                <w:sz w:val="18"/>
              </w:rPr>
              <w:t>204.00</w:t>
            </w:r>
          </w:p>
        </w:tc>
        <w:tc>
          <w:tcPr>
            <w:tcW w:type="dxa" w:w="979"/>
          </w:tcPr>
          <w:p>
            <w:pPr>
              <w:spacing w:line="240" w:lineRule="auto" w:before="40" w:after="40"/>
              <w:jc w:val="center"/>
            </w:pPr>
            <w:r/>
            <w:r>
              <w:rPr>
                <w:b w:val="0"/>
                <w:i w:val="0"/>
                <w:sz w:val="18"/>
              </w:rPr>
              <w:t>116.58</w:t>
            </w:r>
          </w:p>
        </w:tc>
        <w:tc>
          <w:tcPr>
            <w:tcW w:type="dxa" w:w="979"/>
          </w:tcPr>
          <w:p>
            <w:pPr>
              <w:spacing w:line="240" w:lineRule="auto" w:before="40" w:after="40"/>
              <w:jc w:val="center"/>
            </w:pPr>
            <w:r/>
            <w:r>
              <w:rPr>
                <w:b w:val="0"/>
                <w:i w:val="0"/>
                <w:sz w:val="18"/>
              </w:rPr>
              <w:t>253.17</w:t>
            </w:r>
          </w:p>
        </w:tc>
        <w:tc>
          <w:tcPr>
            <w:tcW w:type="dxa" w:w="979"/>
          </w:tcPr>
          <w:p>
            <w:pPr>
              <w:spacing w:line="240" w:lineRule="auto" w:before="40" w:after="40"/>
              <w:jc w:val="center"/>
            </w:pPr>
            <w:r/>
            <w:r>
              <w:rPr>
                <w:b w:val="0"/>
                <w:i w:val="0"/>
                <w:sz w:val="18"/>
              </w:rPr>
              <w:t>349.05</w:t>
            </w:r>
          </w:p>
        </w:tc>
        <w:tc>
          <w:tcPr>
            <w:tcW w:type="dxa" w:w="979"/>
          </w:tcPr>
          <w:p>
            <w:pPr>
              <w:spacing w:line="240" w:lineRule="auto" w:before="40" w:after="40"/>
              <w:jc w:val="center"/>
            </w:pPr>
            <w:r/>
            <w:r>
              <w:rPr>
                <w:b w:val="0"/>
                <w:i w:val="0"/>
                <w:sz w:val="18"/>
              </w:rPr>
              <w:t>425.56</w:t>
            </w:r>
          </w:p>
        </w:tc>
        <w:tc>
          <w:tcPr>
            <w:tcW w:type="dxa" w:w="979"/>
          </w:tcPr>
          <w:p>
            <w:pPr>
              <w:spacing w:line="240" w:lineRule="auto" w:before="40" w:after="40"/>
              <w:jc w:val="center"/>
            </w:pPr>
            <w:r/>
            <w:r>
              <w:rPr>
                <w:b w:val="0"/>
                <w:i w:val="0"/>
                <w:sz w:val="18"/>
              </w:rPr>
              <w:t>1,380</w:t>
            </w:r>
          </w:p>
        </w:tc>
      </w:tr>
      <w:tr>
        <w:tc>
          <w:tcPr>
            <w:tcW w:type="dxa" w:w="2448"/>
            <w:shd w:val="clear" w:color="auto" w:fill="EFEFEF"/>
          </w:tcPr>
          <w:p>
            <w:pPr>
              <w:spacing w:line="240" w:lineRule="auto" w:before="40" w:after="40"/>
              <w:jc w:val="left"/>
            </w:pPr>
            <w:r/>
            <w:r>
              <w:rPr>
                <w:b w:val="0"/>
                <w:i/>
                <w:sz w:val="18"/>
              </w:rPr>
              <w:t>Storeys</w:t>
            </w:r>
          </w:p>
        </w:tc>
        <w:tc>
          <w:tcPr>
            <w:tcW w:type="dxa" w:w="979"/>
            <w:shd w:val="clear" w:color="auto" w:fill="EFEFEF"/>
          </w:tcPr>
          <w:p>
            <w:pPr>
              <w:spacing w:line="240" w:lineRule="auto" w:before="40" w:after="40"/>
              <w:jc w:val="center"/>
            </w:pPr>
            <w:r/>
            <w:r>
              <w:rPr>
                <w:b w:val="0"/>
                <w:i w:val="0"/>
                <w:sz w:val="18"/>
              </w:rPr>
              <w:t>1.89</w:t>
            </w:r>
          </w:p>
        </w:tc>
        <w:tc>
          <w:tcPr>
            <w:tcW w:type="dxa" w:w="979"/>
            <w:shd w:val="clear" w:color="auto" w:fill="EFEFEF"/>
          </w:tcPr>
          <w:p>
            <w:pPr>
              <w:spacing w:line="240" w:lineRule="auto" w:before="40" w:after="40"/>
              <w:jc w:val="center"/>
            </w:pPr>
            <w:r/>
            <w:r>
              <w:rPr>
                <w:b w:val="0"/>
                <w:i w:val="0"/>
                <w:sz w:val="18"/>
              </w:rPr>
              <w:t>0.89</w:t>
            </w:r>
          </w:p>
        </w:tc>
        <w:tc>
          <w:tcPr>
            <w:tcW w:type="dxa" w:w="979"/>
            <w:shd w:val="clear" w:color="auto" w:fill="EFEFEF"/>
          </w:tcPr>
          <w:p>
            <w:pPr>
              <w:spacing w:line="240" w:lineRule="auto" w:before="40" w:after="40"/>
              <w:jc w:val="center"/>
            </w:pPr>
            <w:r/>
            <w:r>
              <w:rPr>
                <w:b w:val="0"/>
                <w:i w:val="0"/>
                <w:sz w:val="18"/>
              </w:rPr>
              <w:t>1.00</w:t>
            </w:r>
          </w:p>
        </w:tc>
        <w:tc>
          <w:tcPr>
            <w:tcW w:type="dxa" w:w="979"/>
            <w:shd w:val="clear" w:color="auto" w:fill="EFEFEF"/>
          </w:tcPr>
          <w:p>
            <w:pPr>
              <w:spacing w:line="240" w:lineRule="auto" w:before="40" w:after="40"/>
              <w:jc w:val="center"/>
            </w:pPr>
            <w:r/>
            <w:r>
              <w:rPr>
                <w:b w:val="0"/>
                <w:i w:val="0"/>
                <w:sz w:val="18"/>
              </w:rPr>
              <w:t>1.00</w:t>
            </w:r>
          </w:p>
        </w:tc>
        <w:tc>
          <w:tcPr>
            <w:tcW w:type="dxa" w:w="979"/>
            <w:shd w:val="clear" w:color="auto" w:fill="EFEFEF"/>
          </w:tcPr>
          <w:p>
            <w:pPr>
              <w:spacing w:line="240" w:lineRule="auto" w:before="40" w:after="40"/>
              <w:jc w:val="center"/>
            </w:pPr>
            <w:r/>
            <w:r>
              <w:rPr>
                <w:b w:val="0"/>
                <w:i w:val="0"/>
                <w:sz w:val="18"/>
              </w:rPr>
              <w:t>2.00</w:t>
            </w:r>
          </w:p>
        </w:tc>
        <w:tc>
          <w:tcPr>
            <w:tcW w:type="dxa" w:w="979"/>
            <w:shd w:val="clear" w:color="auto" w:fill="EFEFEF"/>
          </w:tcPr>
          <w:p>
            <w:pPr>
              <w:spacing w:line="240" w:lineRule="auto" w:before="40" w:after="40"/>
              <w:jc w:val="center"/>
            </w:pPr>
            <w:r/>
            <w:r>
              <w:rPr>
                <w:b w:val="0"/>
                <w:i w:val="0"/>
                <w:sz w:val="18"/>
              </w:rPr>
              <w:t>2.00</w:t>
            </w:r>
          </w:p>
        </w:tc>
        <w:tc>
          <w:tcPr>
            <w:tcW w:type="dxa" w:w="979"/>
            <w:shd w:val="clear" w:color="auto" w:fill="EFEFEF"/>
          </w:tcPr>
          <w:p>
            <w:pPr>
              <w:spacing w:line="240" w:lineRule="auto" w:before="40" w:after="40"/>
              <w:jc w:val="center"/>
            </w:pPr>
            <w:r/>
            <w:r>
              <w:rPr>
                <w:b w:val="0"/>
                <w:i w:val="0"/>
                <w:sz w:val="18"/>
              </w:rPr>
              <w:t>4.00</w:t>
            </w:r>
          </w:p>
        </w:tc>
      </w:tr>
      <w:tr>
        <w:tc>
          <w:tcPr>
            <w:tcW w:type="dxa" w:w="2448"/>
          </w:tcPr>
          <w:p>
            <w:pPr>
              <w:spacing w:line="240" w:lineRule="auto" w:before="40" w:after="40"/>
              <w:jc w:val="left"/>
            </w:pPr>
            <w:r/>
            <w:r>
              <w:rPr>
                <w:b w:val="0"/>
                <w:i/>
                <w:sz w:val="18"/>
              </w:rPr>
              <w:t>Structural Span (m)</w:t>
            </w:r>
          </w:p>
        </w:tc>
        <w:tc>
          <w:tcPr>
            <w:tcW w:type="dxa" w:w="979"/>
          </w:tcPr>
          <w:p>
            <w:pPr>
              <w:spacing w:line="240" w:lineRule="auto" w:before="40" w:after="40"/>
              <w:jc w:val="center"/>
            </w:pPr>
            <w:r/>
            <w:r>
              <w:rPr>
                <w:b w:val="0"/>
                <w:i w:val="0"/>
                <w:sz w:val="18"/>
              </w:rPr>
              <w:t>6.26</w:t>
            </w:r>
          </w:p>
        </w:tc>
        <w:tc>
          <w:tcPr>
            <w:tcW w:type="dxa" w:w="979"/>
          </w:tcPr>
          <w:p>
            <w:pPr>
              <w:spacing w:line="240" w:lineRule="auto" w:before="40" w:after="40"/>
              <w:jc w:val="center"/>
            </w:pPr>
            <w:r/>
            <w:r>
              <w:rPr>
                <w:b w:val="0"/>
                <w:i w:val="0"/>
                <w:sz w:val="18"/>
              </w:rPr>
              <w:t>1.64</w:t>
            </w:r>
          </w:p>
        </w:tc>
        <w:tc>
          <w:tcPr>
            <w:tcW w:type="dxa" w:w="979"/>
          </w:tcPr>
          <w:p>
            <w:pPr>
              <w:spacing w:line="240" w:lineRule="auto" w:before="40" w:after="40"/>
              <w:jc w:val="center"/>
            </w:pPr>
            <w:r/>
            <w:r>
              <w:rPr>
                <w:b w:val="0"/>
                <w:i w:val="0"/>
                <w:sz w:val="18"/>
              </w:rPr>
              <w:t>3.67</w:t>
            </w:r>
          </w:p>
        </w:tc>
        <w:tc>
          <w:tcPr>
            <w:tcW w:type="dxa" w:w="979"/>
          </w:tcPr>
          <w:p>
            <w:pPr>
              <w:spacing w:line="240" w:lineRule="auto" w:before="40" w:after="40"/>
              <w:jc w:val="center"/>
            </w:pPr>
            <w:r/>
            <w:r>
              <w:rPr>
                <w:b w:val="0"/>
                <w:i w:val="0"/>
                <w:sz w:val="18"/>
              </w:rPr>
              <w:t>4.84</w:t>
            </w:r>
          </w:p>
        </w:tc>
        <w:tc>
          <w:tcPr>
            <w:tcW w:type="dxa" w:w="979"/>
          </w:tcPr>
          <w:p>
            <w:pPr>
              <w:spacing w:line="240" w:lineRule="auto" w:before="40" w:after="40"/>
              <w:jc w:val="center"/>
            </w:pPr>
            <w:r/>
            <w:r>
              <w:rPr>
                <w:b w:val="0"/>
                <w:i w:val="0"/>
                <w:sz w:val="18"/>
              </w:rPr>
              <w:t>5.82</w:t>
            </w:r>
          </w:p>
        </w:tc>
        <w:tc>
          <w:tcPr>
            <w:tcW w:type="dxa" w:w="979"/>
          </w:tcPr>
          <w:p>
            <w:pPr>
              <w:spacing w:line="240" w:lineRule="auto" w:before="40" w:after="40"/>
              <w:jc w:val="center"/>
            </w:pPr>
            <w:r/>
            <w:r>
              <w:rPr>
                <w:b w:val="0"/>
                <w:i w:val="0"/>
                <w:sz w:val="18"/>
              </w:rPr>
              <w:t>7.09</w:t>
            </w:r>
          </w:p>
        </w:tc>
        <w:tc>
          <w:tcPr>
            <w:tcW w:type="dxa" w:w="979"/>
          </w:tcPr>
          <w:p>
            <w:pPr>
              <w:spacing w:line="240" w:lineRule="auto" w:before="40" w:after="40"/>
              <w:jc w:val="center"/>
            </w:pPr>
            <w:r/>
            <w:r>
              <w:rPr>
                <w:b w:val="0"/>
                <w:i w:val="0"/>
                <w:sz w:val="18"/>
              </w:rPr>
              <w:t>10.20</w:t>
            </w:r>
          </w:p>
        </w:tc>
      </w:tr>
      <w:tr>
        <w:tc>
          <w:tcPr>
            <w:tcW w:type="dxa" w:w="2448"/>
            <w:shd w:val="clear" w:color="auto" w:fill="EFEFEF"/>
            <w:tcBorders>
              <w:bottom w:val="single" w:sz="12" w:color="000000"/>
            </w:tcBorders>
          </w:tcPr>
          <w:p>
            <w:pPr>
              <w:spacing w:line="240" w:lineRule="auto" w:before="40" w:after="40"/>
              <w:jc w:val="left"/>
            </w:pPr>
            <w:r/>
            <w:r>
              <w:rPr>
                <w:b w:val="0"/>
                <w:i/>
                <w:sz w:val="18"/>
              </w:rPr>
              <w:t>Floor Height (m)</w:t>
            </w:r>
          </w:p>
        </w:tc>
        <w:tc>
          <w:tcPr>
            <w:tcW w:type="dxa" w:w="979"/>
            <w:shd w:val="clear" w:color="auto" w:fill="EFEFEF"/>
            <w:tcBorders>
              <w:bottom w:val="single" w:sz="12" w:color="000000"/>
            </w:tcBorders>
          </w:tcPr>
          <w:p>
            <w:pPr>
              <w:spacing w:line="240" w:lineRule="auto" w:before="40" w:after="40"/>
              <w:jc w:val="center"/>
            </w:pPr>
            <w:r/>
            <w:r>
              <w:rPr>
                <w:b w:val="0"/>
                <w:i w:val="0"/>
                <w:sz w:val="18"/>
              </w:rPr>
              <w:t>3.67</w:t>
            </w:r>
          </w:p>
        </w:tc>
        <w:tc>
          <w:tcPr>
            <w:tcW w:type="dxa" w:w="979"/>
            <w:shd w:val="clear" w:color="auto" w:fill="EFEFEF"/>
            <w:tcBorders>
              <w:bottom w:val="single" w:sz="12" w:color="000000"/>
            </w:tcBorders>
          </w:tcPr>
          <w:p>
            <w:pPr>
              <w:spacing w:line="240" w:lineRule="auto" w:before="40" w:after="40"/>
              <w:jc w:val="center"/>
            </w:pPr>
            <w:r/>
            <w:r>
              <w:rPr>
                <w:b w:val="0"/>
                <w:i w:val="0"/>
                <w:sz w:val="18"/>
              </w:rPr>
              <w:t>0.73</w:t>
            </w:r>
          </w:p>
        </w:tc>
        <w:tc>
          <w:tcPr>
            <w:tcW w:type="dxa" w:w="979"/>
            <w:shd w:val="clear" w:color="auto" w:fill="EFEFEF"/>
            <w:tcBorders>
              <w:bottom w:val="single" w:sz="12" w:color="000000"/>
            </w:tcBorders>
          </w:tcPr>
          <w:p>
            <w:pPr>
              <w:spacing w:line="240" w:lineRule="auto" w:before="40" w:after="40"/>
              <w:jc w:val="center"/>
            </w:pPr>
            <w:r/>
            <w:r>
              <w:rPr>
                <w:b w:val="0"/>
                <w:i w:val="0"/>
                <w:sz w:val="18"/>
              </w:rPr>
              <w:t>2.91</w:t>
            </w:r>
          </w:p>
        </w:tc>
        <w:tc>
          <w:tcPr>
            <w:tcW w:type="dxa" w:w="979"/>
            <w:shd w:val="clear" w:color="auto" w:fill="EFEFEF"/>
            <w:tcBorders>
              <w:bottom w:val="single" w:sz="12" w:color="000000"/>
            </w:tcBorders>
          </w:tcPr>
          <w:p>
            <w:pPr>
              <w:spacing w:line="240" w:lineRule="auto" w:before="40" w:after="40"/>
              <w:jc w:val="center"/>
            </w:pPr>
            <w:r/>
            <w:r>
              <w:rPr>
                <w:b w:val="0"/>
                <w:i w:val="0"/>
                <w:sz w:val="18"/>
              </w:rPr>
              <w:t>3.19</w:t>
            </w:r>
          </w:p>
        </w:tc>
        <w:tc>
          <w:tcPr>
            <w:tcW w:type="dxa" w:w="979"/>
            <w:shd w:val="clear" w:color="auto" w:fill="EFEFEF"/>
            <w:tcBorders>
              <w:bottom w:val="single" w:sz="12" w:color="000000"/>
            </w:tcBorders>
          </w:tcPr>
          <w:p>
            <w:pPr>
              <w:spacing w:line="240" w:lineRule="auto" w:before="40" w:after="40"/>
              <w:jc w:val="center"/>
            </w:pPr>
            <w:r/>
            <w:r>
              <w:rPr>
                <w:b w:val="0"/>
                <w:i w:val="0"/>
                <w:sz w:val="18"/>
              </w:rPr>
              <w:t>3.33</w:t>
            </w:r>
          </w:p>
        </w:tc>
        <w:tc>
          <w:tcPr>
            <w:tcW w:type="dxa" w:w="979"/>
            <w:shd w:val="clear" w:color="auto" w:fill="EFEFEF"/>
            <w:tcBorders>
              <w:bottom w:val="single" w:sz="12" w:color="000000"/>
            </w:tcBorders>
          </w:tcPr>
          <w:p>
            <w:pPr>
              <w:spacing w:line="240" w:lineRule="auto" w:before="40" w:after="40"/>
              <w:jc w:val="center"/>
            </w:pPr>
            <w:r/>
            <w:r>
              <w:rPr>
                <w:b w:val="0"/>
                <w:i w:val="0"/>
                <w:sz w:val="18"/>
              </w:rPr>
              <w:t>4.07</w:t>
            </w:r>
          </w:p>
        </w:tc>
        <w:tc>
          <w:tcPr>
            <w:tcW w:type="dxa" w:w="979"/>
            <w:shd w:val="clear" w:color="auto" w:fill="EFEFEF"/>
            <w:tcBorders>
              <w:bottom w:val="single" w:sz="12" w:color="000000"/>
            </w:tcBorders>
          </w:tcPr>
          <w:p>
            <w:pPr>
              <w:spacing w:line="240" w:lineRule="auto" w:before="40" w:after="40"/>
              <w:jc w:val="center"/>
            </w:pPr>
            <w:r/>
            <w:r>
              <w:rPr>
                <w:b w:val="0"/>
                <w:i w:val="0"/>
                <w:sz w:val="18"/>
              </w:rPr>
              <w:t>5.88</w:t>
            </w:r>
          </w:p>
        </w:tc>
      </w:tr>
    </w:tbl>
    <w:p>
      <w:pPr>
        <w:spacing w:line="240" w:lineRule="auto" w:after="80"/>
      </w:pPr>
    </w:p>
    <w:p>
      <w:pPr>
        <w:spacing w:line="480" w:lineRule="auto" w:after="0"/>
        <w:ind w:firstLine="720"/>
        <w:jc w:val="both"/>
      </w:pPr>
      <w:r>
        <w:rPr>
          <w:b w:val="0"/>
          <w:i w:val="0"/>
        </w:rPr>
        <w:t>Table 9 shows that gross floor area averaged 672.3 m² and ranged from 116.6 m² to 1,990.8 m², with a median of 614.9 m². Because the mean is above the median, the distribution is right-skewed: most projects are one- and two-storey facilities, with a few large multi-storey buildings and markets. Storeys ranged from 1 to 4, structural spans from 3.67 m to 10.20 m, and floor heights from 2.91 m to 5.88 m, the tallest belonging to evacuation centers and markets.</w:t>
      </w:r>
    </w:p>
    <w:p>
      <w:pPr>
        <w:keepNext/>
        <w:spacing w:line="240" w:lineRule="auto" w:after="0" w:before="120"/>
        <w:jc w:val="left"/>
      </w:pPr>
      <w:r>
        <w:rPr>
          <w:b/>
          <w:i w:val="0"/>
        </w:rPr>
        <w:t>Table 10.</w:t>
      </w:r>
    </w:p>
    <w:p>
      <w:pPr>
        <w:keepNext/>
        <w:spacing w:line="240" w:lineRule="auto" w:after="0"/>
        <w:jc w:val="left"/>
      </w:pPr>
      <w:r>
        <w:rPr>
          <w:b w:val="0"/>
          <w:i/>
        </w:rPr>
        <w:t>Descriptive Statistics of the Physical Properties of Bridges (n = 140)</w:t>
      </w:r>
    </w:p>
    <w:tbl>
      <w:tblPr>
        <w:tblW w:type="auto" w:w="0"/>
        <w:jc w:val="center"/>
        <w:tblLayout w:type="fixed"/>
        <w:tblLook w:firstColumn="1" w:firstRow="1" w:lastColumn="0" w:lastRow="0" w:noHBand="0" w:noVBand="1" w:val="04A0"/>
        <w:tblLayout w:type="fixed"/>
      </w:tblPr>
      <w:tblGrid>
        <w:gridCol w:w="2448"/>
        <w:gridCol w:w="979"/>
        <w:gridCol w:w="979"/>
        <w:gridCol w:w="979"/>
        <w:gridCol w:w="979"/>
        <w:gridCol w:w="979"/>
        <w:gridCol w:w="979"/>
        <w:gridCol w:w="979"/>
      </w:tblGrid>
      <w:tr>
        <w:tc>
          <w:tcPr>
            <w:tcW w:type="dxa" w:w="2448"/>
            <w:tcBorders>
              <w:top w:val="single" w:sz="12" w:color="000000"/>
              <w:bottom w:val="single" w:sz="8" w:color="000000"/>
            </w:tcBorders>
          </w:tcPr>
          <w:p>
            <w:pPr>
              <w:spacing w:line="240" w:lineRule="auto" w:before="40" w:after="40"/>
              <w:jc w:val="center"/>
            </w:pPr>
            <w:r/>
            <w:r>
              <w:rPr>
                <w:b/>
                <w:i w:val="0"/>
                <w:sz w:val="18"/>
              </w:rPr>
              <w:t>VARIABLE</w:t>
            </w:r>
          </w:p>
        </w:tc>
        <w:tc>
          <w:tcPr>
            <w:tcW w:type="dxa" w:w="979"/>
            <w:tcBorders>
              <w:top w:val="single" w:sz="12" w:color="000000"/>
              <w:bottom w:val="single" w:sz="8" w:color="000000"/>
            </w:tcBorders>
          </w:tcPr>
          <w:p>
            <w:pPr>
              <w:spacing w:line="240" w:lineRule="auto" w:before="40" w:after="40"/>
              <w:jc w:val="center"/>
            </w:pPr>
            <w:r/>
            <w:r>
              <w:rPr>
                <w:b/>
                <w:i w:val="0"/>
                <w:sz w:val="18"/>
              </w:rPr>
              <w:t>x̄</w:t>
            </w:r>
          </w:p>
        </w:tc>
        <w:tc>
          <w:tcPr>
            <w:tcW w:type="dxa" w:w="979"/>
            <w:tcBorders>
              <w:top w:val="single" w:sz="12" w:color="000000"/>
              <w:bottom w:val="single" w:sz="8" w:color="000000"/>
            </w:tcBorders>
          </w:tcPr>
          <w:p>
            <w:pPr>
              <w:spacing w:line="240" w:lineRule="auto" w:before="40" w:after="40"/>
              <w:jc w:val="center"/>
            </w:pPr>
            <w:r/>
            <w:r>
              <w:rPr>
                <w:b/>
                <w:i w:val="0"/>
                <w:sz w:val="18"/>
              </w:rPr>
              <w:t>SD</w:t>
            </w:r>
          </w:p>
        </w:tc>
        <w:tc>
          <w:tcPr>
            <w:tcW w:type="dxa" w:w="979"/>
            <w:tcBorders>
              <w:top w:val="single" w:sz="12" w:color="000000"/>
              <w:bottom w:val="single" w:sz="8" w:color="000000"/>
            </w:tcBorders>
          </w:tcPr>
          <w:p>
            <w:pPr>
              <w:spacing w:line="240" w:lineRule="auto" w:before="40" w:after="40"/>
              <w:jc w:val="center"/>
            </w:pPr>
            <w:r/>
            <w:r>
              <w:rPr>
                <w:b/>
                <w:i w:val="0"/>
                <w:sz w:val="18"/>
              </w:rPr>
              <w:t>MIN</w:t>
            </w:r>
          </w:p>
        </w:tc>
        <w:tc>
          <w:tcPr>
            <w:tcW w:type="dxa" w:w="979"/>
            <w:tcBorders>
              <w:top w:val="single" w:sz="12" w:color="000000"/>
              <w:bottom w:val="single" w:sz="8" w:color="000000"/>
            </w:tcBorders>
          </w:tcPr>
          <w:p>
            <w:pPr>
              <w:spacing w:line="240" w:lineRule="auto" w:before="40" w:after="40"/>
              <w:jc w:val="center"/>
            </w:pPr>
            <w:r/>
            <w:r>
              <w:rPr>
                <w:b/>
                <w:i w:val="0"/>
                <w:sz w:val="18"/>
              </w:rPr>
              <w:t>25%</w:t>
            </w:r>
          </w:p>
        </w:tc>
        <w:tc>
          <w:tcPr>
            <w:tcW w:type="dxa" w:w="979"/>
            <w:tcBorders>
              <w:top w:val="single" w:sz="12" w:color="000000"/>
              <w:bottom w:val="single" w:sz="8" w:color="000000"/>
            </w:tcBorders>
          </w:tcPr>
          <w:p>
            <w:pPr>
              <w:spacing w:line="240" w:lineRule="auto" w:before="40" w:after="40"/>
              <w:jc w:val="center"/>
            </w:pPr>
            <w:r/>
            <w:r>
              <w:rPr>
                <w:b/>
                <w:i w:val="0"/>
                <w:sz w:val="18"/>
              </w:rPr>
              <w:t>50%</w:t>
            </w:r>
          </w:p>
        </w:tc>
        <w:tc>
          <w:tcPr>
            <w:tcW w:type="dxa" w:w="979"/>
            <w:tcBorders>
              <w:top w:val="single" w:sz="12" w:color="000000"/>
              <w:bottom w:val="single" w:sz="8" w:color="000000"/>
            </w:tcBorders>
          </w:tcPr>
          <w:p>
            <w:pPr>
              <w:spacing w:line="240" w:lineRule="auto" w:before="40" w:after="40"/>
              <w:jc w:val="center"/>
            </w:pPr>
            <w:r/>
            <w:r>
              <w:rPr>
                <w:b/>
                <w:i w:val="0"/>
                <w:sz w:val="18"/>
              </w:rPr>
              <w:t>75%</w:t>
            </w:r>
          </w:p>
        </w:tc>
        <w:tc>
          <w:tcPr>
            <w:tcW w:type="dxa" w:w="979"/>
            <w:tcBorders>
              <w:top w:val="single" w:sz="12" w:color="000000"/>
              <w:bottom w:val="single" w:sz="8" w:color="000000"/>
            </w:tcBorders>
          </w:tcPr>
          <w:p>
            <w:pPr>
              <w:spacing w:line="240" w:lineRule="auto" w:before="40" w:after="40"/>
              <w:jc w:val="center"/>
            </w:pPr>
            <w:r/>
            <w:r>
              <w:rPr>
                <w:b/>
                <w:i w:val="0"/>
                <w:sz w:val="18"/>
              </w:rPr>
              <w:t>MAX</w:t>
            </w:r>
          </w:p>
        </w:tc>
      </w:tr>
      <w:tr>
        <w:tc>
          <w:tcPr>
            <w:tcW w:type="dxa" w:w="2448"/>
            <w:shd w:val="clear" w:color="auto" w:fill="EFEFEF"/>
          </w:tcPr>
          <w:p>
            <w:pPr>
              <w:spacing w:line="240" w:lineRule="auto" w:before="40" w:after="40"/>
              <w:jc w:val="left"/>
            </w:pPr>
            <w:r/>
            <w:r>
              <w:rPr>
                <w:b w:val="0"/>
                <w:i/>
                <w:sz w:val="18"/>
              </w:rPr>
              <w:t>Total Length (m)</w:t>
            </w:r>
          </w:p>
        </w:tc>
        <w:tc>
          <w:tcPr>
            <w:tcW w:type="dxa" w:w="979"/>
            <w:shd w:val="clear" w:color="auto" w:fill="EFEFEF"/>
          </w:tcPr>
          <w:p>
            <w:pPr>
              <w:spacing w:line="240" w:lineRule="auto" w:before="40" w:after="40"/>
              <w:jc w:val="center"/>
            </w:pPr>
            <w:r/>
            <w:r>
              <w:rPr>
                <w:b w:val="0"/>
                <w:i w:val="0"/>
                <w:sz w:val="18"/>
              </w:rPr>
              <w:t>40.86</w:t>
            </w:r>
          </w:p>
        </w:tc>
        <w:tc>
          <w:tcPr>
            <w:tcW w:type="dxa" w:w="979"/>
            <w:shd w:val="clear" w:color="auto" w:fill="EFEFEF"/>
          </w:tcPr>
          <w:p>
            <w:pPr>
              <w:spacing w:line="240" w:lineRule="auto" w:before="40" w:after="40"/>
              <w:jc w:val="center"/>
            </w:pPr>
            <w:r/>
            <w:r>
              <w:rPr>
                <w:b w:val="0"/>
                <w:i w:val="0"/>
                <w:sz w:val="18"/>
              </w:rPr>
              <w:t>38.88</w:t>
            </w:r>
          </w:p>
        </w:tc>
        <w:tc>
          <w:tcPr>
            <w:tcW w:type="dxa" w:w="979"/>
            <w:shd w:val="clear" w:color="auto" w:fill="EFEFEF"/>
          </w:tcPr>
          <w:p>
            <w:pPr>
              <w:spacing w:line="240" w:lineRule="auto" w:before="40" w:after="40"/>
              <w:jc w:val="center"/>
            </w:pPr>
            <w:r/>
            <w:r>
              <w:rPr>
                <w:b w:val="0"/>
                <w:i w:val="0"/>
                <w:sz w:val="18"/>
              </w:rPr>
              <w:t>2.00</w:t>
            </w:r>
          </w:p>
        </w:tc>
        <w:tc>
          <w:tcPr>
            <w:tcW w:type="dxa" w:w="979"/>
            <w:shd w:val="clear" w:color="auto" w:fill="EFEFEF"/>
          </w:tcPr>
          <w:p>
            <w:pPr>
              <w:spacing w:line="240" w:lineRule="auto" w:before="40" w:after="40"/>
              <w:jc w:val="center"/>
            </w:pPr>
            <w:r/>
            <w:r>
              <w:rPr>
                <w:b w:val="0"/>
                <w:i w:val="0"/>
                <w:sz w:val="18"/>
              </w:rPr>
              <w:t>12.25</w:t>
            </w:r>
          </w:p>
        </w:tc>
        <w:tc>
          <w:tcPr>
            <w:tcW w:type="dxa" w:w="979"/>
            <w:shd w:val="clear" w:color="auto" w:fill="EFEFEF"/>
          </w:tcPr>
          <w:p>
            <w:pPr>
              <w:spacing w:line="240" w:lineRule="auto" w:before="40" w:after="40"/>
              <w:jc w:val="center"/>
            </w:pPr>
            <w:r/>
            <w:r>
              <w:rPr>
                <w:b w:val="0"/>
                <w:i w:val="0"/>
                <w:sz w:val="18"/>
              </w:rPr>
              <w:t>31.20</w:t>
            </w:r>
          </w:p>
        </w:tc>
        <w:tc>
          <w:tcPr>
            <w:tcW w:type="dxa" w:w="979"/>
            <w:shd w:val="clear" w:color="auto" w:fill="EFEFEF"/>
          </w:tcPr>
          <w:p>
            <w:pPr>
              <w:spacing w:line="240" w:lineRule="auto" w:before="40" w:after="40"/>
              <w:jc w:val="center"/>
            </w:pPr>
            <w:r/>
            <w:r>
              <w:rPr>
                <w:b w:val="0"/>
                <w:i w:val="0"/>
                <w:sz w:val="18"/>
              </w:rPr>
              <w:t>53.90</w:t>
            </w:r>
          </w:p>
        </w:tc>
        <w:tc>
          <w:tcPr>
            <w:tcW w:type="dxa" w:w="979"/>
            <w:shd w:val="clear" w:color="auto" w:fill="EFEFEF"/>
          </w:tcPr>
          <w:p>
            <w:pPr>
              <w:spacing w:line="240" w:lineRule="auto" w:before="40" w:after="40"/>
              <w:jc w:val="center"/>
            </w:pPr>
            <w:r/>
            <w:r>
              <w:rPr>
                <w:b w:val="0"/>
                <w:i w:val="0"/>
                <w:sz w:val="18"/>
              </w:rPr>
              <w:t>189.50</w:t>
            </w:r>
          </w:p>
        </w:tc>
      </w:tr>
      <w:tr>
        <w:tc>
          <w:tcPr>
            <w:tcW w:type="dxa" w:w="2448"/>
          </w:tcPr>
          <w:p>
            <w:pPr>
              <w:spacing w:line="240" w:lineRule="auto" w:before="40" w:after="40"/>
              <w:jc w:val="left"/>
            </w:pPr>
            <w:r/>
            <w:r>
              <w:rPr>
                <w:b w:val="0"/>
                <w:i/>
                <w:sz w:val="18"/>
              </w:rPr>
              <w:t>Deck Width (m)</w:t>
            </w:r>
          </w:p>
        </w:tc>
        <w:tc>
          <w:tcPr>
            <w:tcW w:type="dxa" w:w="979"/>
          </w:tcPr>
          <w:p>
            <w:pPr>
              <w:spacing w:line="240" w:lineRule="auto" w:before="40" w:after="40"/>
              <w:jc w:val="center"/>
            </w:pPr>
            <w:r/>
            <w:r>
              <w:rPr>
                <w:b w:val="0"/>
                <w:i w:val="0"/>
                <w:sz w:val="18"/>
              </w:rPr>
              <w:t>8.79</w:t>
            </w:r>
          </w:p>
        </w:tc>
        <w:tc>
          <w:tcPr>
            <w:tcW w:type="dxa" w:w="979"/>
          </w:tcPr>
          <w:p>
            <w:pPr>
              <w:spacing w:line="240" w:lineRule="auto" w:before="40" w:after="40"/>
              <w:jc w:val="center"/>
            </w:pPr>
            <w:r/>
            <w:r>
              <w:rPr>
                <w:b w:val="0"/>
                <w:i w:val="0"/>
                <w:sz w:val="18"/>
              </w:rPr>
              <w:t>1.94</w:t>
            </w:r>
          </w:p>
        </w:tc>
        <w:tc>
          <w:tcPr>
            <w:tcW w:type="dxa" w:w="979"/>
          </w:tcPr>
          <w:p>
            <w:pPr>
              <w:spacing w:line="240" w:lineRule="auto" w:before="40" w:after="40"/>
              <w:jc w:val="center"/>
            </w:pPr>
            <w:r/>
            <w:r>
              <w:rPr>
                <w:b w:val="0"/>
                <w:i w:val="0"/>
                <w:sz w:val="18"/>
              </w:rPr>
              <w:t>4.60</w:t>
            </w:r>
          </w:p>
        </w:tc>
        <w:tc>
          <w:tcPr>
            <w:tcW w:type="dxa" w:w="979"/>
          </w:tcPr>
          <w:p>
            <w:pPr>
              <w:spacing w:line="240" w:lineRule="auto" w:before="40" w:after="40"/>
              <w:jc w:val="center"/>
            </w:pPr>
            <w:r/>
            <w:r>
              <w:rPr>
                <w:b w:val="0"/>
                <w:i w:val="0"/>
                <w:sz w:val="18"/>
              </w:rPr>
              <w:t>7.92</w:t>
            </w:r>
          </w:p>
        </w:tc>
        <w:tc>
          <w:tcPr>
            <w:tcW w:type="dxa" w:w="979"/>
          </w:tcPr>
          <w:p>
            <w:pPr>
              <w:spacing w:line="240" w:lineRule="auto" w:before="40" w:after="40"/>
              <w:jc w:val="center"/>
            </w:pPr>
            <w:r/>
            <w:r>
              <w:rPr>
                <w:b w:val="0"/>
                <w:i w:val="0"/>
                <w:sz w:val="18"/>
              </w:rPr>
              <w:t>8.80</w:t>
            </w:r>
          </w:p>
        </w:tc>
        <w:tc>
          <w:tcPr>
            <w:tcW w:type="dxa" w:w="979"/>
          </w:tcPr>
          <w:p>
            <w:pPr>
              <w:spacing w:line="240" w:lineRule="auto" w:before="40" w:after="40"/>
              <w:jc w:val="center"/>
            </w:pPr>
            <w:r/>
            <w:r>
              <w:rPr>
                <w:b w:val="0"/>
                <w:i w:val="0"/>
                <w:sz w:val="18"/>
              </w:rPr>
              <w:t>9.70</w:t>
            </w:r>
          </w:p>
        </w:tc>
        <w:tc>
          <w:tcPr>
            <w:tcW w:type="dxa" w:w="979"/>
          </w:tcPr>
          <w:p>
            <w:pPr>
              <w:spacing w:line="240" w:lineRule="auto" w:before="40" w:after="40"/>
              <w:jc w:val="center"/>
            </w:pPr>
            <w:r/>
            <w:r>
              <w:rPr>
                <w:b w:val="0"/>
                <w:i w:val="0"/>
                <w:sz w:val="18"/>
              </w:rPr>
              <w:t>16.40</w:t>
            </w:r>
          </w:p>
        </w:tc>
      </w:tr>
      <w:tr>
        <w:tc>
          <w:tcPr>
            <w:tcW w:type="dxa" w:w="2448"/>
            <w:shd w:val="clear" w:color="auto" w:fill="EFEFEF"/>
          </w:tcPr>
          <w:p>
            <w:pPr>
              <w:spacing w:line="240" w:lineRule="auto" w:before="40" w:after="40"/>
              <w:jc w:val="left"/>
            </w:pPr>
            <w:r/>
            <w:r>
              <w:rPr>
                <w:b w:val="0"/>
                <w:i/>
                <w:sz w:val="18"/>
              </w:rPr>
              <w:t>Deck Area (m²)</w:t>
            </w:r>
          </w:p>
        </w:tc>
        <w:tc>
          <w:tcPr>
            <w:tcW w:type="dxa" w:w="979"/>
            <w:shd w:val="clear" w:color="auto" w:fill="EFEFEF"/>
          </w:tcPr>
          <w:p>
            <w:pPr>
              <w:spacing w:line="240" w:lineRule="auto" w:before="40" w:after="40"/>
              <w:jc w:val="center"/>
            </w:pPr>
            <w:r/>
            <w:r>
              <w:rPr>
                <w:b w:val="0"/>
                <w:i w:val="0"/>
                <w:sz w:val="18"/>
              </w:rPr>
              <w:t>369.79</w:t>
            </w:r>
          </w:p>
        </w:tc>
        <w:tc>
          <w:tcPr>
            <w:tcW w:type="dxa" w:w="979"/>
            <w:shd w:val="clear" w:color="auto" w:fill="EFEFEF"/>
          </w:tcPr>
          <w:p>
            <w:pPr>
              <w:spacing w:line="240" w:lineRule="auto" w:before="40" w:after="40"/>
              <w:jc w:val="center"/>
            </w:pPr>
            <w:r/>
            <w:r>
              <w:rPr>
                <w:b w:val="0"/>
                <w:i w:val="0"/>
                <w:sz w:val="18"/>
              </w:rPr>
              <w:t>357.08</w:t>
            </w:r>
          </w:p>
        </w:tc>
        <w:tc>
          <w:tcPr>
            <w:tcW w:type="dxa" w:w="979"/>
            <w:shd w:val="clear" w:color="auto" w:fill="EFEFEF"/>
          </w:tcPr>
          <w:p>
            <w:pPr>
              <w:spacing w:line="240" w:lineRule="auto" w:before="40" w:after="40"/>
              <w:jc w:val="center"/>
            </w:pPr>
            <w:r/>
            <w:r>
              <w:rPr>
                <w:b w:val="0"/>
                <w:i w:val="0"/>
                <w:sz w:val="18"/>
              </w:rPr>
              <w:t>9.20</w:t>
            </w:r>
          </w:p>
        </w:tc>
        <w:tc>
          <w:tcPr>
            <w:tcW w:type="dxa" w:w="979"/>
            <w:shd w:val="clear" w:color="auto" w:fill="EFEFEF"/>
          </w:tcPr>
          <w:p>
            <w:pPr>
              <w:spacing w:line="240" w:lineRule="auto" w:before="40" w:after="40"/>
              <w:jc w:val="center"/>
            </w:pPr>
            <w:r/>
            <w:r>
              <w:rPr>
                <w:b w:val="0"/>
                <w:i w:val="0"/>
                <w:sz w:val="18"/>
              </w:rPr>
              <w:t>110.62</w:t>
            </w:r>
          </w:p>
        </w:tc>
        <w:tc>
          <w:tcPr>
            <w:tcW w:type="dxa" w:w="979"/>
            <w:shd w:val="clear" w:color="auto" w:fill="EFEFEF"/>
          </w:tcPr>
          <w:p>
            <w:pPr>
              <w:spacing w:line="240" w:lineRule="auto" w:before="40" w:after="40"/>
              <w:jc w:val="center"/>
            </w:pPr>
            <w:r/>
            <w:r>
              <w:rPr>
                <w:b w:val="0"/>
                <w:i w:val="0"/>
                <w:sz w:val="18"/>
              </w:rPr>
              <w:t>261.90</w:t>
            </w:r>
          </w:p>
        </w:tc>
        <w:tc>
          <w:tcPr>
            <w:tcW w:type="dxa" w:w="979"/>
            <w:shd w:val="clear" w:color="auto" w:fill="EFEFEF"/>
          </w:tcPr>
          <w:p>
            <w:pPr>
              <w:spacing w:line="240" w:lineRule="auto" w:before="40" w:after="40"/>
              <w:jc w:val="center"/>
            </w:pPr>
            <w:r/>
            <w:r>
              <w:rPr>
                <w:b w:val="0"/>
                <w:i w:val="0"/>
                <w:sz w:val="18"/>
              </w:rPr>
              <w:t>551.20</w:t>
            </w:r>
          </w:p>
        </w:tc>
        <w:tc>
          <w:tcPr>
            <w:tcW w:type="dxa" w:w="979"/>
            <w:shd w:val="clear" w:color="auto" w:fill="EFEFEF"/>
          </w:tcPr>
          <w:p>
            <w:pPr>
              <w:spacing w:line="240" w:lineRule="auto" w:before="40" w:after="40"/>
              <w:jc w:val="center"/>
            </w:pPr>
            <w:r/>
            <w:r>
              <w:rPr>
                <w:b w:val="0"/>
                <w:i w:val="0"/>
                <w:sz w:val="18"/>
              </w:rPr>
              <w:t>1,684</w:t>
            </w:r>
          </w:p>
        </w:tc>
      </w:tr>
      <w:tr>
        <w:tc>
          <w:tcPr>
            <w:tcW w:type="dxa" w:w="2448"/>
          </w:tcPr>
          <w:p>
            <w:pPr>
              <w:spacing w:line="240" w:lineRule="auto" w:before="40" w:after="40"/>
              <w:jc w:val="left"/>
            </w:pPr>
            <w:r/>
            <w:r>
              <w:rPr>
                <w:b w:val="0"/>
                <w:i/>
                <w:sz w:val="18"/>
              </w:rPr>
              <w:t>Span Length (m)</w:t>
            </w:r>
          </w:p>
        </w:tc>
        <w:tc>
          <w:tcPr>
            <w:tcW w:type="dxa" w:w="979"/>
          </w:tcPr>
          <w:p>
            <w:pPr>
              <w:spacing w:line="240" w:lineRule="auto" w:before="40" w:after="40"/>
              <w:jc w:val="center"/>
            </w:pPr>
            <w:r/>
            <w:r>
              <w:rPr>
                <w:b w:val="0"/>
                <w:i w:val="0"/>
                <w:sz w:val="18"/>
              </w:rPr>
              <w:t>20.57</w:t>
            </w:r>
          </w:p>
        </w:tc>
        <w:tc>
          <w:tcPr>
            <w:tcW w:type="dxa" w:w="979"/>
          </w:tcPr>
          <w:p>
            <w:pPr>
              <w:spacing w:line="240" w:lineRule="auto" w:before="40" w:after="40"/>
              <w:jc w:val="center"/>
            </w:pPr>
            <w:r/>
            <w:r>
              <w:rPr>
                <w:b w:val="0"/>
                <w:i w:val="0"/>
                <w:sz w:val="18"/>
              </w:rPr>
              <w:t>15.60</w:t>
            </w:r>
          </w:p>
        </w:tc>
        <w:tc>
          <w:tcPr>
            <w:tcW w:type="dxa" w:w="979"/>
          </w:tcPr>
          <w:p>
            <w:pPr>
              <w:spacing w:line="240" w:lineRule="auto" w:before="40" w:after="40"/>
              <w:jc w:val="center"/>
            </w:pPr>
            <w:r/>
            <w:r>
              <w:rPr>
                <w:b w:val="0"/>
                <w:i w:val="0"/>
                <w:sz w:val="18"/>
              </w:rPr>
              <w:t>2.00</w:t>
            </w:r>
          </w:p>
        </w:tc>
        <w:tc>
          <w:tcPr>
            <w:tcW w:type="dxa" w:w="979"/>
          </w:tcPr>
          <w:p>
            <w:pPr>
              <w:spacing w:line="240" w:lineRule="auto" w:before="40" w:after="40"/>
              <w:jc w:val="center"/>
            </w:pPr>
            <w:r/>
            <w:r>
              <w:rPr>
                <w:b w:val="0"/>
                <w:i w:val="0"/>
                <w:sz w:val="18"/>
              </w:rPr>
              <w:t>9.62</w:t>
            </w:r>
          </w:p>
        </w:tc>
        <w:tc>
          <w:tcPr>
            <w:tcW w:type="dxa" w:w="979"/>
          </w:tcPr>
          <w:p>
            <w:pPr>
              <w:spacing w:line="240" w:lineRule="auto" w:before="40" w:after="40"/>
              <w:jc w:val="center"/>
            </w:pPr>
            <w:r/>
            <w:r>
              <w:rPr>
                <w:b w:val="0"/>
                <w:i w:val="0"/>
                <w:sz w:val="18"/>
              </w:rPr>
              <w:t>16.05</w:t>
            </w:r>
          </w:p>
        </w:tc>
        <w:tc>
          <w:tcPr>
            <w:tcW w:type="dxa" w:w="979"/>
          </w:tcPr>
          <w:p>
            <w:pPr>
              <w:spacing w:line="240" w:lineRule="auto" w:before="40" w:after="40"/>
              <w:jc w:val="center"/>
            </w:pPr>
            <w:r/>
            <w:r>
              <w:rPr>
                <w:b w:val="0"/>
                <w:i w:val="0"/>
                <w:sz w:val="18"/>
              </w:rPr>
              <w:t>31.48</w:t>
            </w:r>
          </w:p>
        </w:tc>
        <w:tc>
          <w:tcPr>
            <w:tcW w:type="dxa" w:w="979"/>
          </w:tcPr>
          <w:p>
            <w:pPr>
              <w:spacing w:line="240" w:lineRule="auto" w:before="40" w:after="40"/>
              <w:jc w:val="center"/>
            </w:pPr>
            <w:r/>
            <w:r>
              <w:rPr>
                <w:b w:val="0"/>
                <w:i w:val="0"/>
                <w:sz w:val="18"/>
              </w:rPr>
              <w:t>68.90</w:t>
            </w:r>
          </w:p>
        </w:tc>
      </w:tr>
      <w:tr>
        <w:tc>
          <w:tcPr>
            <w:tcW w:type="dxa" w:w="2448"/>
            <w:shd w:val="clear" w:color="auto" w:fill="EFEFEF"/>
          </w:tcPr>
          <w:p>
            <w:pPr>
              <w:spacing w:line="240" w:lineRule="auto" w:before="40" w:after="40"/>
              <w:jc w:val="left"/>
            </w:pPr>
            <w:r/>
            <w:r>
              <w:rPr>
                <w:b w:val="0"/>
                <w:i/>
                <w:sz w:val="18"/>
              </w:rPr>
              <w:t>Pier Height (m)</w:t>
            </w:r>
          </w:p>
        </w:tc>
        <w:tc>
          <w:tcPr>
            <w:tcW w:type="dxa" w:w="979"/>
            <w:shd w:val="clear" w:color="auto" w:fill="EFEFEF"/>
          </w:tcPr>
          <w:p>
            <w:pPr>
              <w:spacing w:line="240" w:lineRule="auto" w:before="40" w:after="40"/>
              <w:jc w:val="center"/>
            </w:pPr>
            <w:r/>
            <w:r>
              <w:rPr>
                <w:b w:val="0"/>
                <w:i w:val="0"/>
                <w:sz w:val="18"/>
              </w:rPr>
              <w:t>3.94</w:t>
            </w:r>
          </w:p>
        </w:tc>
        <w:tc>
          <w:tcPr>
            <w:tcW w:type="dxa" w:w="979"/>
            <w:shd w:val="clear" w:color="auto" w:fill="EFEFEF"/>
          </w:tcPr>
          <w:p>
            <w:pPr>
              <w:spacing w:line="240" w:lineRule="auto" w:before="40" w:after="40"/>
              <w:jc w:val="center"/>
            </w:pPr>
            <w:r/>
            <w:r>
              <w:rPr>
                <w:b w:val="0"/>
                <w:i w:val="0"/>
                <w:sz w:val="18"/>
              </w:rPr>
              <w:t>3.89</w:t>
            </w:r>
          </w:p>
        </w:tc>
        <w:tc>
          <w:tcPr>
            <w:tcW w:type="dxa" w:w="979"/>
            <w:shd w:val="clear" w:color="auto" w:fill="EFEFEF"/>
          </w:tcPr>
          <w:p>
            <w:pPr>
              <w:spacing w:line="240" w:lineRule="auto" w:before="40" w:after="40"/>
              <w:jc w:val="center"/>
            </w:pPr>
            <w:r/>
            <w:r>
              <w:rPr>
                <w:b w:val="0"/>
                <w:i w:val="0"/>
                <w:sz w:val="18"/>
              </w:rPr>
              <w:t>0.00</w:t>
            </w:r>
          </w:p>
        </w:tc>
        <w:tc>
          <w:tcPr>
            <w:tcW w:type="dxa" w:w="979"/>
            <w:shd w:val="clear" w:color="auto" w:fill="EFEFEF"/>
          </w:tcPr>
          <w:p>
            <w:pPr>
              <w:spacing w:line="240" w:lineRule="auto" w:before="40" w:after="40"/>
              <w:jc w:val="center"/>
            </w:pPr>
            <w:r/>
            <w:r>
              <w:rPr>
                <w:b w:val="0"/>
                <w:i w:val="0"/>
                <w:sz w:val="18"/>
              </w:rPr>
              <w:t>0.00</w:t>
            </w:r>
          </w:p>
        </w:tc>
        <w:tc>
          <w:tcPr>
            <w:tcW w:type="dxa" w:w="979"/>
            <w:shd w:val="clear" w:color="auto" w:fill="EFEFEF"/>
          </w:tcPr>
          <w:p>
            <w:pPr>
              <w:spacing w:line="240" w:lineRule="auto" w:before="40" w:after="40"/>
              <w:jc w:val="center"/>
            </w:pPr>
            <w:r/>
            <w:r>
              <w:rPr>
                <w:b w:val="0"/>
                <w:i w:val="0"/>
                <w:sz w:val="18"/>
              </w:rPr>
              <w:t>4.71</w:t>
            </w:r>
          </w:p>
        </w:tc>
        <w:tc>
          <w:tcPr>
            <w:tcW w:type="dxa" w:w="979"/>
            <w:shd w:val="clear" w:color="auto" w:fill="EFEFEF"/>
          </w:tcPr>
          <w:p>
            <w:pPr>
              <w:spacing w:line="240" w:lineRule="auto" w:before="40" w:after="40"/>
              <w:jc w:val="center"/>
            </w:pPr>
            <w:r/>
            <w:r>
              <w:rPr>
                <w:b w:val="0"/>
                <w:i w:val="0"/>
                <w:sz w:val="18"/>
              </w:rPr>
              <w:t>6.53</w:t>
            </w:r>
          </w:p>
        </w:tc>
        <w:tc>
          <w:tcPr>
            <w:tcW w:type="dxa" w:w="979"/>
            <w:shd w:val="clear" w:color="auto" w:fill="EFEFEF"/>
          </w:tcPr>
          <w:p>
            <w:pPr>
              <w:spacing w:line="240" w:lineRule="auto" w:before="40" w:after="40"/>
              <w:jc w:val="center"/>
            </w:pPr>
            <w:r/>
            <w:r>
              <w:rPr>
                <w:b w:val="0"/>
                <w:i w:val="0"/>
                <w:sz w:val="18"/>
              </w:rPr>
              <w:t>11.53</w:t>
            </w:r>
          </w:p>
        </w:tc>
      </w:tr>
      <w:tr>
        <w:tc>
          <w:tcPr>
            <w:tcW w:type="dxa" w:w="2448"/>
            <w:tcBorders>
              <w:bottom w:val="single" w:sz="12" w:color="000000"/>
            </w:tcBorders>
          </w:tcPr>
          <w:p>
            <w:pPr>
              <w:spacing w:line="240" w:lineRule="auto" w:before="40" w:after="40"/>
              <w:jc w:val="left"/>
            </w:pPr>
            <w:r/>
            <w:r>
              <w:rPr>
                <w:b w:val="0"/>
                <w:i/>
                <w:sz w:val="18"/>
              </w:rPr>
              <w:t>Abutment Height (m)</w:t>
            </w:r>
          </w:p>
        </w:tc>
        <w:tc>
          <w:tcPr>
            <w:tcW w:type="dxa" w:w="979"/>
            <w:tcBorders>
              <w:bottom w:val="single" w:sz="12" w:color="000000"/>
            </w:tcBorders>
          </w:tcPr>
          <w:p>
            <w:pPr>
              <w:spacing w:line="240" w:lineRule="auto" w:before="40" w:after="40"/>
              <w:jc w:val="center"/>
            </w:pPr>
            <w:r/>
            <w:r>
              <w:rPr>
                <w:b w:val="0"/>
                <w:i w:val="0"/>
                <w:sz w:val="18"/>
              </w:rPr>
              <w:t>5.31</w:t>
            </w:r>
          </w:p>
        </w:tc>
        <w:tc>
          <w:tcPr>
            <w:tcW w:type="dxa" w:w="979"/>
            <w:tcBorders>
              <w:bottom w:val="single" w:sz="12" w:color="000000"/>
            </w:tcBorders>
          </w:tcPr>
          <w:p>
            <w:pPr>
              <w:spacing w:line="240" w:lineRule="auto" w:before="40" w:after="40"/>
              <w:jc w:val="center"/>
            </w:pPr>
            <w:r/>
            <w:r>
              <w:rPr>
                <w:b w:val="0"/>
                <w:i w:val="0"/>
                <w:sz w:val="18"/>
              </w:rPr>
              <w:t>1.56</w:t>
            </w:r>
          </w:p>
        </w:tc>
        <w:tc>
          <w:tcPr>
            <w:tcW w:type="dxa" w:w="979"/>
            <w:tcBorders>
              <w:bottom w:val="single" w:sz="12" w:color="000000"/>
            </w:tcBorders>
          </w:tcPr>
          <w:p>
            <w:pPr>
              <w:spacing w:line="240" w:lineRule="auto" w:before="40" w:after="40"/>
              <w:jc w:val="center"/>
            </w:pPr>
            <w:r/>
            <w:r>
              <w:rPr>
                <w:b w:val="0"/>
                <w:i w:val="0"/>
                <w:sz w:val="18"/>
              </w:rPr>
              <w:t>2.03</w:t>
            </w:r>
          </w:p>
        </w:tc>
        <w:tc>
          <w:tcPr>
            <w:tcW w:type="dxa" w:w="979"/>
            <w:tcBorders>
              <w:bottom w:val="single" w:sz="12" w:color="000000"/>
            </w:tcBorders>
          </w:tcPr>
          <w:p>
            <w:pPr>
              <w:spacing w:line="240" w:lineRule="auto" w:before="40" w:after="40"/>
              <w:jc w:val="center"/>
            </w:pPr>
            <w:r/>
            <w:r>
              <w:rPr>
                <w:b w:val="0"/>
                <w:i w:val="0"/>
                <w:sz w:val="18"/>
              </w:rPr>
              <w:t>4.05</w:t>
            </w:r>
          </w:p>
        </w:tc>
        <w:tc>
          <w:tcPr>
            <w:tcW w:type="dxa" w:w="979"/>
            <w:tcBorders>
              <w:bottom w:val="single" w:sz="12" w:color="000000"/>
            </w:tcBorders>
          </w:tcPr>
          <w:p>
            <w:pPr>
              <w:spacing w:line="240" w:lineRule="auto" w:before="40" w:after="40"/>
              <w:jc w:val="center"/>
            </w:pPr>
            <w:r/>
            <w:r>
              <w:rPr>
                <w:b w:val="0"/>
                <w:i w:val="0"/>
                <w:sz w:val="18"/>
              </w:rPr>
              <w:t>5.42</w:t>
            </w:r>
          </w:p>
        </w:tc>
        <w:tc>
          <w:tcPr>
            <w:tcW w:type="dxa" w:w="979"/>
            <w:tcBorders>
              <w:bottom w:val="single" w:sz="12" w:color="000000"/>
            </w:tcBorders>
          </w:tcPr>
          <w:p>
            <w:pPr>
              <w:spacing w:line="240" w:lineRule="auto" w:before="40" w:after="40"/>
              <w:jc w:val="center"/>
            </w:pPr>
            <w:r/>
            <w:r>
              <w:rPr>
                <w:b w:val="0"/>
                <w:i w:val="0"/>
                <w:sz w:val="18"/>
              </w:rPr>
              <w:t>6.72</w:t>
            </w:r>
          </w:p>
        </w:tc>
        <w:tc>
          <w:tcPr>
            <w:tcW w:type="dxa" w:w="979"/>
            <w:tcBorders>
              <w:bottom w:val="single" w:sz="12" w:color="000000"/>
            </w:tcBorders>
          </w:tcPr>
          <w:p>
            <w:pPr>
              <w:spacing w:line="240" w:lineRule="auto" w:before="40" w:after="40"/>
              <w:jc w:val="center"/>
            </w:pPr>
            <w:r/>
            <w:r>
              <w:rPr>
                <w:b w:val="0"/>
                <w:i w:val="0"/>
                <w:sz w:val="18"/>
              </w:rPr>
              <w:t>7.99</w:t>
            </w:r>
          </w:p>
        </w:tc>
      </w:tr>
    </w:tbl>
    <w:p>
      <w:pPr>
        <w:spacing w:line="240" w:lineRule="auto" w:after="80"/>
      </w:pPr>
    </w:p>
    <w:p>
      <w:pPr>
        <w:spacing w:line="480" w:lineRule="auto" w:after="0"/>
        <w:ind w:firstLine="720"/>
        <w:jc w:val="both"/>
      </w:pPr>
      <w:r>
        <w:rPr>
          <w:b w:val="0"/>
          <w:i w:val="0"/>
        </w:rPr>
        <w:t>For bridges (Table 10), total length averaged 40.9 m but ranged from 2.0 m for single-cell culverts to 189.5 m, and deck area from 9.2 m² to 1,684.2 m². The standard deviation of length is close to its mean, so bridge size varies far more than building size, which later explains why bridges were harder to model. Deck width was more uniform, with half of the bridges between 7.92 m and 9.70 m, reflecting the standard two-lane carriageway.</w:t>
      </w:r>
    </w:p>
    <w:p>
      <w:pPr>
        <w:keepNext/>
        <w:spacing w:line="480" w:lineRule="auto" w:after="0"/>
        <w:ind w:left="720"/>
        <w:jc w:val="left"/>
      </w:pPr>
      <w:r>
        <w:rPr>
          <w:b/>
          <w:i w:val="0"/>
        </w:rPr>
        <w:t>b.) Structural System and Foundation</w:t>
      </w:r>
    </w:p>
    <w:p>
      <w:pPr>
        <w:keepNext/>
        <w:spacing w:line="240" w:lineRule="auto" w:after="0" w:before="120"/>
        <w:jc w:val="left"/>
      </w:pPr>
      <w:r>
        <w:rPr>
          <w:b/>
          <w:i w:val="0"/>
        </w:rPr>
        <w:t>Table 11.</w:t>
      </w:r>
    </w:p>
    <w:p>
      <w:pPr>
        <w:keepNext/>
        <w:spacing w:line="240" w:lineRule="auto" w:after="0"/>
        <w:jc w:val="left"/>
      </w:pPr>
      <w:r>
        <w:rPr>
          <w:b w:val="0"/>
          <w:i/>
        </w:rPr>
        <w:t>Structural System and Foundation Composition of the Benchmark</w:t>
      </w:r>
    </w:p>
    <w:tbl>
      <w:tblPr>
        <w:tblW w:type="auto" w:w="0"/>
        <w:jc w:val="center"/>
        <w:tblLayout w:type="fixed"/>
        <w:tblLook w:firstColumn="1" w:firstRow="1" w:lastColumn="0" w:lastRow="0" w:noHBand="0" w:noVBand="1" w:val="04A0"/>
        <w:tblLayout w:type="fixed"/>
      </w:tblPr>
      <w:tblGrid>
        <w:gridCol w:w="5184"/>
        <w:gridCol w:w="1728"/>
        <w:gridCol w:w="1440"/>
      </w:tblGrid>
      <w:tr>
        <w:tc>
          <w:tcPr>
            <w:tcW w:type="dxa" w:w="5184"/>
            <w:tcBorders>
              <w:top w:val="single" w:sz="12" w:color="000000"/>
              <w:bottom w:val="single" w:sz="8" w:color="000000"/>
            </w:tcBorders>
          </w:tcPr>
          <w:p>
            <w:pPr>
              <w:spacing w:line="240" w:lineRule="auto" w:before="40" w:after="40"/>
              <w:jc w:val="center"/>
            </w:pPr>
            <w:r/>
            <w:r>
              <w:rPr>
                <w:b/>
                <w:i w:val="0"/>
                <w:sz w:val="20"/>
              </w:rPr>
              <w:t>CATEGORY</w:t>
            </w:r>
          </w:p>
        </w:tc>
        <w:tc>
          <w:tcPr>
            <w:tcW w:type="dxa" w:w="1728"/>
            <w:tcBorders>
              <w:top w:val="single" w:sz="12" w:color="000000"/>
              <w:bottom w:val="single" w:sz="8" w:color="000000"/>
            </w:tcBorders>
          </w:tcPr>
          <w:p>
            <w:pPr>
              <w:spacing w:line="240" w:lineRule="auto" w:before="40" w:after="40"/>
              <w:jc w:val="center"/>
            </w:pPr>
            <w:r/>
            <w:r>
              <w:rPr>
                <w:b/>
                <w:i w:val="0"/>
                <w:sz w:val="20"/>
              </w:rPr>
              <w:t>COUNT</w:t>
            </w:r>
          </w:p>
        </w:tc>
        <w:tc>
          <w:tcPr>
            <w:tcW w:type="dxa" w:w="1440"/>
            <w:tcBorders>
              <w:top w:val="single" w:sz="12" w:color="000000"/>
              <w:bottom w:val="single" w:sz="8" w:color="000000"/>
            </w:tcBorders>
          </w:tcPr>
          <w:p>
            <w:pPr>
              <w:spacing w:line="240" w:lineRule="auto" w:before="40" w:after="40"/>
              <w:jc w:val="center"/>
            </w:pPr>
            <w:r/>
            <w:r>
              <w:rPr>
                <w:b/>
                <w:i w:val="0"/>
                <w:sz w:val="20"/>
              </w:rPr>
              <w:t>SHARE</w:t>
            </w:r>
          </w:p>
        </w:tc>
      </w:tr>
      <w:tr>
        <w:tc>
          <w:tcPr>
            <w:tcW w:type="dxa" w:w="5184"/>
            <w:shd w:val="clear" w:color="auto" w:fill="EFEFEF"/>
          </w:tcPr>
          <w:p>
            <w:pPr>
              <w:spacing w:line="240" w:lineRule="auto" w:before="40" w:after="40"/>
              <w:jc w:val="left"/>
            </w:pPr>
            <w:r/>
            <w:r>
              <w:rPr>
                <w:b w:val="0"/>
                <w:i/>
                <w:sz w:val="20"/>
              </w:rPr>
              <w:t>School buildings</w:t>
            </w:r>
          </w:p>
        </w:tc>
        <w:tc>
          <w:tcPr>
            <w:tcW w:type="dxa" w:w="1728"/>
            <w:shd w:val="clear" w:color="auto" w:fill="EFEFEF"/>
          </w:tcPr>
          <w:p>
            <w:pPr>
              <w:spacing w:line="240" w:lineRule="auto" w:before="40" w:after="40"/>
              <w:jc w:val="center"/>
            </w:pPr>
            <w:r/>
            <w:r>
              <w:rPr>
                <w:b w:val="0"/>
                <w:i w:val="0"/>
                <w:sz w:val="20"/>
              </w:rPr>
              <w:t>67</w:t>
            </w:r>
          </w:p>
        </w:tc>
        <w:tc>
          <w:tcPr>
            <w:tcW w:type="dxa" w:w="1440"/>
            <w:shd w:val="clear" w:color="auto" w:fill="EFEFEF"/>
          </w:tcPr>
          <w:p>
            <w:pPr>
              <w:spacing w:line="240" w:lineRule="auto" w:before="40" w:after="40"/>
              <w:jc w:val="center"/>
            </w:pPr>
            <w:r/>
            <w:r>
              <w:rPr>
                <w:b w:val="0"/>
                <w:i w:val="0"/>
                <w:sz w:val="20"/>
              </w:rPr>
              <w:t>41.9%</w:t>
            </w:r>
          </w:p>
        </w:tc>
      </w:tr>
      <w:tr>
        <w:tc>
          <w:tcPr>
            <w:tcW w:type="dxa" w:w="5184"/>
          </w:tcPr>
          <w:p>
            <w:pPr>
              <w:spacing w:line="240" w:lineRule="auto" w:before="40" w:after="40"/>
              <w:jc w:val="left"/>
            </w:pPr>
            <w:r/>
            <w:r>
              <w:rPr>
                <w:b w:val="0"/>
                <w:i/>
                <w:sz w:val="20"/>
              </w:rPr>
              <w:t>Multi-purpose / evacuation centers</w:t>
            </w:r>
          </w:p>
        </w:tc>
        <w:tc>
          <w:tcPr>
            <w:tcW w:type="dxa" w:w="1728"/>
          </w:tcPr>
          <w:p>
            <w:pPr>
              <w:spacing w:line="240" w:lineRule="auto" w:before="40" w:after="40"/>
              <w:jc w:val="center"/>
            </w:pPr>
            <w:r/>
            <w:r>
              <w:rPr>
                <w:b w:val="0"/>
                <w:i w:val="0"/>
                <w:sz w:val="20"/>
              </w:rPr>
              <w:t>22</w:t>
            </w:r>
          </w:p>
        </w:tc>
        <w:tc>
          <w:tcPr>
            <w:tcW w:type="dxa" w:w="1440"/>
          </w:tcPr>
          <w:p>
            <w:pPr>
              <w:spacing w:line="240" w:lineRule="auto" w:before="40" w:after="40"/>
              <w:jc w:val="center"/>
            </w:pPr>
            <w:r/>
            <w:r>
              <w:rPr>
                <w:b w:val="0"/>
                <w:i w:val="0"/>
                <w:sz w:val="20"/>
              </w:rPr>
              <w:t>13.8%</w:t>
            </w:r>
          </w:p>
        </w:tc>
      </w:tr>
      <w:tr>
        <w:tc>
          <w:tcPr>
            <w:tcW w:type="dxa" w:w="5184"/>
            <w:shd w:val="clear" w:color="auto" w:fill="EFEFEF"/>
          </w:tcPr>
          <w:p>
            <w:pPr>
              <w:spacing w:line="240" w:lineRule="auto" w:before="40" w:after="40"/>
              <w:jc w:val="left"/>
            </w:pPr>
            <w:r/>
            <w:r>
              <w:rPr>
                <w:b w:val="0"/>
                <w:i/>
                <w:sz w:val="20"/>
              </w:rPr>
              <w:t>Government offices</w:t>
            </w:r>
          </w:p>
        </w:tc>
        <w:tc>
          <w:tcPr>
            <w:tcW w:type="dxa" w:w="1728"/>
            <w:shd w:val="clear" w:color="auto" w:fill="EFEFEF"/>
          </w:tcPr>
          <w:p>
            <w:pPr>
              <w:spacing w:line="240" w:lineRule="auto" w:before="40" w:after="40"/>
              <w:jc w:val="center"/>
            </w:pPr>
            <w:r/>
            <w:r>
              <w:rPr>
                <w:b w:val="0"/>
                <w:i w:val="0"/>
                <w:sz w:val="20"/>
              </w:rPr>
              <w:t>19</w:t>
            </w:r>
          </w:p>
        </w:tc>
        <w:tc>
          <w:tcPr>
            <w:tcW w:type="dxa" w:w="1440"/>
            <w:shd w:val="clear" w:color="auto" w:fill="EFEFEF"/>
          </w:tcPr>
          <w:p>
            <w:pPr>
              <w:spacing w:line="240" w:lineRule="auto" w:before="40" w:after="40"/>
              <w:jc w:val="center"/>
            </w:pPr>
            <w:r/>
            <w:r>
              <w:rPr>
                <w:b w:val="0"/>
                <w:i w:val="0"/>
                <w:sz w:val="20"/>
              </w:rPr>
              <w:t>11.9%</w:t>
            </w:r>
          </w:p>
        </w:tc>
      </w:tr>
      <w:tr>
        <w:tc>
          <w:tcPr>
            <w:tcW w:type="dxa" w:w="5184"/>
          </w:tcPr>
          <w:p>
            <w:pPr>
              <w:spacing w:line="240" w:lineRule="auto" w:before="40" w:after="40"/>
              <w:jc w:val="left"/>
            </w:pPr>
            <w:r/>
            <w:r>
              <w:rPr>
                <w:b w:val="0"/>
                <w:i/>
                <w:sz w:val="20"/>
              </w:rPr>
              <w:t>Health facilities</w:t>
            </w:r>
          </w:p>
        </w:tc>
        <w:tc>
          <w:tcPr>
            <w:tcW w:type="dxa" w:w="1728"/>
          </w:tcPr>
          <w:p>
            <w:pPr>
              <w:spacing w:line="240" w:lineRule="auto" w:before="40" w:after="40"/>
              <w:jc w:val="center"/>
            </w:pPr>
            <w:r/>
            <w:r>
              <w:rPr>
                <w:b w:val="0"/>
                <w:i w:val="0"/>
                <w:sz w:val="20"/>
              </w:rPr>
              <w:t>22</w:t>
            </w:r>
          </w:p>
        </w:tc>
        <w:tc>
          <w:tcPr>
            <w:tcW w:type="dxa" w:w="1440"/>
          </w:tcPr>
          <w:p>
            <w:pPr>
              <w:spacing w:line="240" w:lineRule="auto" w:before="40" w:after="40"/>
              <w:jc w:val="center"/>
            </w:pPr>
            <w:r/>
            <w:r>
              <w:rPr>
                <w:b w:val="0"/>
                <w:i w:val="0"/>
                <w:sz w:val="20"/>
              </w:rPr>
              <w:t>13.8%</w:t>
            </w:r>
          </w:p>
        </w:tc>
      </w:tr>
      <w:tr>
        <w:tc>
          <w:tcPr>
            <w:tcW w:type="dxa" w:w="5184"/>
            <w:shd w:val="clear" w:color="auto" w:fill="EFEFEF"/>
          </w:tcPr>
          <w:p>
            <w:pPr>
              <w:spacing w:line="240" w:lineRule="auto" w:before="40" w:after="40"/>
              <w:jc w:val="left"/>
            </w:pPr>
            <w:r/>
            <w:r>
              <w:rPr>
                <w:b w:val="0"/>
                <w:i/>
                <w:sz w:val="20"/>
              </w:rPr>
              <w:t>Public markets</w:t>
            </w:r>
          </w:p>
        </w:tc>
        <w:tc>
          <w:tcPr>
            <w:tcW w:type="dxa" w:w="1728"/>
            <w:shd w:val="clear" w:color="auto" w:fill="EFEFEF"/>
          </w:tcPr>
          <w:p>
            <w:pPr>
              <w:spacing w:line="240" w:lineRule="auto" w:before="40" w:after="40"/>
              <w:jc w:val="center"/>
            </w:pPr>
            <w:r/>
            <w:r>
              <w:rPr>
                <w:b w:val="0"/>
                <w:i w:val="0"/>
                <w:sz w:val="20"/>
              </w:rPr>
              <w:t>20</w:t>
            </w:r>
          </w:p>
        </w:tc>
        <w:tc>
          <w:tcPr>
            <w:tcW w:type="dxa" w:w="1440"/>
            <w:shd w:val="clear" w:color="auto" w:fill="EFEFEF"/>
          </w:tcPr>
          <w:p>
            <w:pPr>
              <w:spacing w:line="240" w:lineRule="auto" w:before="40" w:after="40"/>
              <w:jc w:val="center"/>
            </w:pPr>
            <w:r/>
            <w:r>
              <w:rPr>
                <w:b w:val="0"/>
                <w:i w:val="0"/>
                <w:sz w:val="20"/>
              </w:rPr>
              <w:t>12.5%</w:t>
            </w:r>
          </w:p>
        </w:tc>
      </w:tr>
      <w:tr>
        <w:tc>
          <w:tcPr>
            <w:tcW w:type="dxa" w:w="5184"/>
          </w:tcPr>
          <w:p>
            <w:pPr>
              <w:spacing w:line="240" w:lineRule="auto" w:before="40" w:after="40"/>
              <w:jc w:val="left"/>
            </w:pPr>
            <w:r/>
            <w:r>
              <w:rPr>
                <w:b w:val="0"/>
                <w:i/>
                <w:sz w:val="20"/>
              </w:rPr>
              <w:t>Dormitories</w:t>
            </w:r>
          </w:p>
        </w:tc>
        <w:tc>
          <w:tcPr>
            <w:tcW w:type="dxa" w:w="1728"/>
          </w:tcPr>
          <w:p>
            <w:pPr>
              <w:spacing w:line="240" w:lineRule="auto" w:before="40" w:after="40"/>
              <w:jc w:val="center"/>
            </w:pPr>
            <w:r/>
            <w:r>
              <w:rPr>
                <w:b w:val="0"/>
                <w:i w:val="0"/>
                <w:sz w:val="20"/>
              </w:rPr>
              <w:t>10</w:t>
            </w:r>
          </w:p>
        </w:tc>
        <w:tc>
          <w:tcPr>
            <w:tcW w:type="dxa" w:w="1440"/>
          </w:tcPr>
          <w:p>
            <w:pPr>
              <w:spacing w:line="240" w:lineRule="auto" w:before="40" w:after="40"/>
              <w:jc w:val="center"/>
            </w:pPr>
            <w:r/>
            <w:r>
              <w:rPr>
                <w:b w:val="0"/>
                <w:i w:val="0"/>
                <w:sz w:val="20"/>
              </w:rPr>
              <w:t>6.2%</w:t>
            </w:r>
          </w:p>
        </w:tc>
      </w:tr>
      <w:tr>
        <w:tc>
          <w:tcPr>
            <w:tcW w:type="dxa" w:w="5184"/>
            <w:shd w:val="clear" w:color="auto" w:fill="EFEFEF"/>
          </w:tcPr>
          <w:p>
            <w:pPr>
              <w:spacing w:line="240" w:lineRule="auto" w:before="40" w:after="40"/>
              <w:jc w:val="left"/>
            </w:pPr>
            <w:r/>
            <w:r>
              <w:rPr>
                <w:b w:val="0"/>
                <w:i/>
                <w:sz w:val="20"/>
              </w:rPr>
              <w:t>RCDG bridges</w:t>
            </w:r>
          </w:p>
        </w:tc>
        <w:tc>
          <w:tcPr>
            <w:tcW w:type="dxa" w:w="1728"/>
            <w:shd w:val="clear" w:color="auto" w:fill="EFEFEF"/>
          </w:tcPr>
          <w:p>
            <w:pPr>
              <w:spacing w:line="240" w:lineRule="auto" w:before="40" w:after="40"/>
              <w:jc w:val="center"/>
            </w:pPr>
            <w:r/>
            <w:r>
              <w:rPr>
                <w:b w:val="0"/>
                <w:i w:val="0"/>
                <w:sz w:val="20"/>
              </w:rPr>
              <w:t>70</w:t>
            </w:r>
          </w:p>
        </w:tc>
        <w:tc>
          <w:tcPr>
            <w:tcW w:type="dxa" w:w="1440"/>
            <w:shd w:val="clear" w:color="auto" w:fill="EFEFEF"/>
          </w:tcPr>
          <w:p>
            <w:pPr>
              <w:spacing w:line="240" w:lineRule="auto" w:before="40" w:after="40"/>
              <w:jc w:val="center"/>
            </w:pPr>
            <w:r/>
            <w:r>
              <w:rPr>
                <w:b w:val="0"/>
                <w:i w:val="0"/>
                <w:sz w:val="20"/>
              </w:rPr>
              <w:t>50.0%</w:t>
            </w:r>
          </w:p>
        </w:tc>
      </w:tr>
      <w:tr>
        <w:tc>
          <w:tcPr>
            <w:tcW w:type="dxa" w:w="5184"/>
          </w:tcPr>
          <w:p>
            <w:pPr>
              <w:spacing w:line="240" w:lineRule="auto" w:before="40" w:after="40"/>
              <w:jc w:val="left"/>
            </w:pPr>
            <w:r/>
            <w:r>
              <w:rPr>
                <w:b w:val="0"/>
                <w:i/>
                <w:sz w:val="20"/>
              </w:rPr>
              <w:t>PSCG bridges</w:t>
            </w:r>
          </w:p>
        </w:tc>
        <w:tc>
          <w:tcPr>
            <w:tcW w:type="dxa" w:w="1728"/>
          </w:tcPr>
          <w:p>
            <w:pPr>
              <w:spacing w:line="240" w:lineRule="auto" w:before="40" w:after="40"/>
              <w:jc w:val="center"/>
            </w:pPr>
            <w:r/>
            <w:r>
              <w:rPr>
                <w:b w:val="0"/>
                <w:i w:val="0"/>
                <w:sz w:val="20"/>
              </w:rPr>
              <w:t>31</w:t>
            </w:r>
          </w:p>
        </w:tc>
        <w:tc>
          <w:tcPr>
            <w:tcW w:type="dxa" w:w="1440"/>
          </w:tcPr>
          <w:p>
            <w:pPr>
              <w:spacing w:line="240" w:lineRule="auto" w:before="40" w:after="40"/>
              <w:jc w:val="center"/>
            </w:pPr>
            <w:r/>
            <w:r>
              <w:rPr>
                <w:b w:val="0"/>
                <w:i w:val="0"/>
                <w:sz w:val="20"/>
              </w:rPr>
              <w:t>22.1%</w:t>
            </w:r>
          </w:p>
        </w:tc>
      </w:tr>
      <w:tr>
        <w:tc>
          <w:tcPr>
            <w:tcW w:type="dxa" w:w="5184"/>
            <w:shd w:val="clear" w:color="auto" w:fill="EFEFEF"/>
          </w:tcPr>
          <w:p>
            <w:pPr>
              <w:spacing w:line="240" w:lineRule="auto" w:before="40" w:after="40"/>
              <w:jc w:val="left"/>
            </w:pPr>
            <w:r/>
            <w:r>
              <w:rPr>
                <w:b w:val="0"/>
                <w:i/>
                <w:sz w:val="20"/>
              </w:rPr>
              <w:t>RC box culverts</w:t>
            </w:r>
          </w:p>
        </w:tc>
        <w:tc>
          <w:tcPr>
            <w:tcW w:type="dxa" w:w="1728"/>
            <w:shd w:val="clear" w:color="auto" w:fill="EFEFEF"/>
          </w:tcPr>
          <w:p>
            <w:pPr>
              <w:spacing w:line="240" w:lineRule="auto" w:before="40" w:after="40"/>
              <w:jc w:val="center"/>
            </w:pPr>
            <w:r/>
            <w:r>
              <w:rPr>
                <w:b w:val="0"/>
                <w:i w:val="0"/>
                <w:sz w:val="20"/>
              </w:rPr>
              <w:t>24</w:t>
            </w:r>
          </w:p>
        </w:tc>
        <w:tc>
          <w:tcPr>
            <w:tcW w:type="dxa" w:w="1440"/>
            <w:shd w:val="clear" w:color="auto" w:fill="EFEFEF"/>
          </w:tcPr>
          <w:p>
            <w:pPr>
              <w:spacing w:line="240" w:lineRule="auto" w:before="40" w:after="40"/>
              <w:jc w:val="center"/>
            </w:pPr>
            <w:r/>
            <w:r>
              <w:rPr>
                <w:b w:val="0"/>
                <w:i w:val="0"/>
                <w:sz w:val="20"/>
              </w:rPr>
              <w:t>17.1%</w:t>
            </w:r>
          </w:p>
        </w:tc>
      </w:tr>
      <w:tr>
        <w:tc>
          <w:tcPr>
            <w:tcW w:type="dxa" w:w="5184"/>
          </w:tcPr>
          <w:p>
            <w:pPr>
              <w:spacing w:line="240" w:lineRule="auto" w:before="40" w:after="40"/>
              <w:jc w:val="left"/>
            </w:pPr>
            <w:r/>
            <w:r>
              <w:rPr>
                <w:b w:val="0"/>
                <w:i/>
                <w:sz w:val="20"/>
              </w:rPr>
              <w:t>Steel truss bridges</w:t>
            </w:r>
          </w:p>
        </w:tc>
        <w:tc>
          <w:tcPr>
            <w:tcW w:type="dxa" w:w="1728"/>
          </w:tcPr>
          <w:p>
            <w:pPr>
              <w:spacing w:line="240" w:lineRule="auto" w:before="40" w:after="40"/>
              <w:jc w:val="center"/>
            </w:pPr>
            <w:r/>
            <w:r>
              <w:rPr>
                <w:b w:val="0"/>
                <w:i w:val="0"/>
                <w:sz w:val="20"/>
              </w:rPr>
              <w:t>15</w:t>
            </w:r>
          </w:p>
        </w:tc>
        <w:tc>
          <w:tcPr>
            <w:tcW w:type="dxa" w:w="1440"/>
          </w:tcPr>
          <w:p>
            <w:pPr>
              <w:spacing w:line="240" w:lineRule="auto" w:before="40" w:after="40"/>
              <w:jc w:val="center"/>
            </w:pPr>
            <w:r/>
            <w:r>
              <w:rPr>
                <w:b w:val="0"/>
                <w:i w:val="0"/>
                <w:sz w:val="20"/>
              </w:rPr>
              <w:t>10.7%</w:t>
            </w:r>
          </w:p>
        </w:tc>
      </w:tr>
      <w:tr>
        <w:tc>
          <w:tcPr>
            <w:tcW w:type="dxa" w:w="5184"/>
            <w:shd w:val="clear" w:color="auto" w:fill="EFEFEF"/>
            <w:tcBorders>
              <w:bottom w:val="single" w:sz="12" w:color="000000"/>
            </w:tcBorders>
          </w:tcPr>
          <w:p>
            <w:pPr>
              <w:spacing w:line="240" w:lineRule="auto" w:before="40" w:after="40"/>
              <w:jc w:val="left"/>
            </w:pPr>
            <w:r/>
            <w:r>
              <w:rPr>
                <w:b w:val="0"/>
                <w:i/>
                <w:sz w:val="20"/>
              </w:rPr>
              <w:t>Bridges on spread footings / driven piles / bored piles</w:t>
            </w:r>
          </w:p>
        </w:tc>
        <w:tc>
          <w:tcPr>
            <w:tcW w:type="dxa" w:w="1728"/>
            <w:shd w:val="clear" w:color="auto" w:fill="EFEFEF"/>
            <w:tcBorders>
              <w:bottom w:val="single" w:sz="12" w:color="000000"/>
            </w:tcBorders>
          </w:tcPr>
          <w:p>
            <w:pPr>
              <w:spacing w:line="240" w:lineRule="auto" w:before="40" w:after="40"/>
              <w:jc w:val="center"/>
            </w:pPr>
            <w:r/>
            <w:r>
              <w:rPr>
                <w:b w:val="0"/>
                <w:i w:val="0"/>
                <w:sz w:val="20"/>
              </w:rPr>
              <w:t>42 / 55 / 43</w:t>
            </w:r>
          </w:p>
        </w:tc>
        <w:tc>
          <w:tcPr>
            <w:tcW w:type="dxa" w:w="1440"/>
            <w:shd w:val="clear" w:color="auto" w:fill="EFEFEF"/>
            <w:tcBorders>
              <w:bottom w:val="single" w:sz="12" w:color="000000"/>
            </w:tcBorders>
          </w:tcPr>
          <w:p>
            <w:pPr>
              <w:spacing w:line="240" w:lineRule="auto" w:before="40" w:after="40"/>
              <w:jc w:val="center"/>
            </w:pPr>
            <w:r/>
            <w:r>
              <w:rPr>
                <w:b w:val="0"/>
                <w:i w:val="0"/>
                <w:sz w:val="20"/>
              </w:rPr>
              <w:t>–</w:t>
            </w:r>
          </w:p>
        </w:tc>
      </w:tr>
    </w:tbl>
    <w:p>
      <w:pPr>
        <w:spacing w:line="240" w:lineRule="auto" w:after="80"/>
      </w:pPr>
    </w:p>
    <w:p>
      <w:pPr>
        <w:spacing w:line="480" w:lineRule="auto" w:after="0"/>
        <w:ind w:firstLine="720"/>
        <w:jc w:val="both"/>
      </w:pPr>
      <w:r>
        <w:rPr>
          <w:b w:val="0"/>
          <w:i w:val="0"/>
        </w:rPr>
        <w:t>Table 11 summarizes the structural systems. School buildings made up the largest building group, consistent with the classroom program, and 9 buildings used reinforced-concrete roof decks instead of steel trusses. Among bridges, RCDG and PSCG girders dominated; most piled bridges used bored piles, which carry the largest geotechnical uncertainty in the benchmark.</w:t>
      </w:r>
    </w:p>
    <w:p>
      <w:pPr>
        <w:keepNext/>
        <w:spacing w:line="480" w:lineRule="auto" w:after="0"/>
        <w:ind w:left="720"/>
        <w:jc w:val="left"/>
      </w:pPr>
      <w:r>
        <w:rPr>
          <w:b/>
          <w:i w:val="0"/>
        </w:rPr>
        <w:t>c.) Location, Price Year and Project Budget</w:t>
      </w:r>
    </w:p>
    <w:p>
      <w:pPr>
        <w:keepNext/>
        <w:spacing w:line="240" w:lineRule="auto" w:after="0" w:before="120"/>
        <w:jc w:val="left"/>
      </w:pPr>
      <w:r>
        <w:rPr>
          <w:b/>
          <w:i w:val="0"/>
        </w:rPr>
        <w:t>Table 12.</w:t>
      </w:r>
    </w:p>
    <w:p>
      <w:pPr>
        <w:keepNext/>
        <w:spacing w:line="240" w:lineRule="auto" w:after="0"/>
        <w:jc w:val="left"/>
      </w:pPr>
      <w:r>
        <w:rPr>
          <w:b w:val="0"/>
          <w:i/>
        </w:rPr>
        <w:t>Project Budget Characteristics of the Benchmark</w:t>
      </w:r>
    </w:p>
    <w:tbl>
      <w:tblPr>
        <w:tblW w:type="auto" w:w="0"/>
        <w:jc w:val="center"/>
        <w:tblLayout w:type="fixed"/>
        <w:tblLook w:firstColumn="1" w:firstRow="1" w:lastColumn="0" w:lastRow="0" w:noHBand="0" w:noVBand="1" w:val="04A0"/>
        <w:tblLayout w:type="fixed"/>
      </w:tblPr>
      <w:tblGrid>
        <w:gridCol w:w="2592"/>
        <w:gridCol w:w="3311"/>
        <w:gridCol w:w="3311"/>
      </w:tblGrid>
      <w:tr>
        <w:tc>
          <w:tcPr>
            <w:tcW w:type="dxa" w:w="2592"/>
            <w:tcBorders>
              <w:top w:val="single" w:sz="12" w:color="000000"/>
              <w:bottom w:val="single" w:sz="8" w:color="000000"/>
            </w:tcBorders>
          </w:tcPr>
          <w:p>
            <w:pPr>
              <w:spacing w:line="240" w:lineRule="auto" w:before="40" w:after="40"/>
              <w:jc w:val="center"/>
            </w:pPr>
            <w:r/>
            <w:r>
              <w:rPr>
                <w:b/>
                <w:i w:val="0"/>
                <w:sz w:val="20"/>
              </w:rPr>
              <w:t>ITEM</w:t>
            </w:r>
          </w:p>
        </w:tc>
        <w:tc>
          <w:tcPr>
            <w:tcW w:type="dxa" w:w="3312"/>
            <w:tcBorders>
              <w:top w:val="single" w:sz="12" w:color="000000"/>
              <w:bottom w:val="single" w:sz="8" w:color="000000"/>
            </w:tcBorders>
          </w:tcPr>
          <w:p>
            <w:pPr>
              <w:spacing w:line="240" w:lineRule="auto" w:before="40" w:after="40"/>
              <w:jc w:val="center"/>
            </w:pPr>
            <w:r/>
            <w:r>
              <w:rPr>
                <w:b/>
                <w:i w:val="0"/>
                <w:sz w:val="20"/>
              </w:rPr>
              <w:t>BUILDINGS</w:t>
            </w:r>
          </w:p>
        </w:tc>
        <w:tc>
          <w:tcPr>
            <w:tcW w:type="dxa" w:w="3312"/>
            <w:tcBorders>
              <w:top w:val="single" w:sz="12" w:color="000000"/>
              <w:bottom w:val="single" w:sz="8" w:color="000000"/>
            </w:tcBorders>
          </w:tcPr>
          <w:p>
            <w:pPr>
              <w:spacing w:line="240" w:lineRule="auto" w:before="40" w:after="40"/>
              <w:jc w:val="center"/>
            </w:pPr>
            <w:r/>
            <w:r>
              <w:rPr>
                <w:b/>
                <w:i w:val="0"/>
                <w:sz w:val="20"/>
              </w:rPr>
              <w:t>BRIDGES</w:t>
            </w:r>
          </w:p>
        </w:tc>
      </w:tr>
      <w:tr>
        <w:tc>
          <w:tcPr>
            <w:tcW w:type="dxa" w:w="2592"/>
            <w:shd w:val="clear" w:color="auto" w:fill="EFEFEF"/>
          </w:tcPr>
          <w:p>
            <w:pPr>
              <w:spacing w:line="240" w:lineRule="auto" w:before="40" w:after="40"/>
              <w:jc w:val="left"/>
            </w:pPr>
            <w:r/>
            <w:r>
              <w:rPr>
                <w:b w:val="0"/>
                <w:i/>
                <w:sz w:val="20"/>
              </w:rPr>
              <w:t>Dependent variable</w:t>
            </w:r>
          </w:p>
        </w:tc>
        <w:tc>
          <w:tcPr>
            <w:tcW w:type="dxa" w:w="3312"/>
            <w:shd w:val="clear" w:color="auto" w:fill="EFEFEF"/>
          </w:tcPr>
          <w:p>
            <w:pPr>
              <w:spacing w:line="240" w:lineRule="auto" w:before="40" w:after="40"/>
              <w:jc w:val="center"/>
            </w:pPr>
            <w:r/>
            <w:r>
              <w:rPr>
                <w:b w:val="0"/>
                <w:i w:val="0"/>
                <w:sz w:val="20"/>
              </w:rPr>
              <w:t>Awarded contract cost (₱)</w:t>
            </w:r>
          </w:p>
        </w:tc>
        <w:tc>
          <w:tcPr>
            <w:tcW w:type="dxa" w:w="3312"/>
            <w:shd w:val="clear" w:color="auto" w:fill="EFEFEF"/>
          </w:tcPr>
          <w:p>
            <w:pPr>
              <w:spacing w:line="240" w:lineRule="auto" w:before="40" w:after="40"/>
              <w:jc w:val="center"/>
            </w:pPr>
            <w:r/>
            <w:r>
              <w:rPr>
                <w:b w:val="0"/>
                <w:i w:val="0"/>
                <w:sz w:val="20"/>
              </w:rPr>
              <w:t>Awarded contract cost (₱)</w:t>
            </w:r>
          </w:p>
        </w:tc>
      </w:tr>
      <w:tr>
        <w:tc>
          <w:tcPr>
            <w:tcW w:type="dxa" w:w="2592"/>
          </w:tcPr>
          <w:p>
            <w:pPr>
              <w:spacing w:line="240" w:lineRule="auto" w:before="40" w:after="40"/>
              <w:jc w:val="left"/>
            </w:pPr>
            <w:r/>
            <w:r>
              <w:rPr>
                <w:b w:val="0"/>
                <w:i/>
                <w:sz w:val="20"/>
              </w:rPr>
              <w:t>Range</w:t>
            </w:r>
          </w:p>
        </w:tc>
        <w:tc>
          <w:tcPr>
            <w:tcW w:type="dxa" w:w="3312"/>
          </w:tcPr>
          <w:p>
            <w:pPr>
              <w:spacing w:line="240" w:lineRule="auto" w:before="40" w:after="40"/>
              <w:jc w:val="center"/>
            </w:pPr>
            <w:r/>
            <w:r>
              <w:rPr>
                <w:b w:val="0"/>
                <w:i w:val="0"/>
                <w:sz w:val="20"/>
              </w:rPr>
              <w:t>₱5.37 million – ₱56.77 million</w:t>
            </w:r>
          </w:p>
        </w:tc>
        <w:tc>
          <w:tcPr>
            <w:tcW w:type="dxa" w:w="3312"/>
          </w:tcPr>
          <w:p>
            <w:pPr>
              <w:spacing w:line="240" w:lineRule="auto" w:before="40" w:after="40"/>
              <w:jc w:val="center"/>
            </w:pPr>
            <w:r/>
            <w:r>
              <w:rPr>
                <w:b w:val="0"/>
                <w:i w:val="0"/>
                <w:sz w:val="20"/>
              </w:rPr>
              <w:t>₱1.00 million – ₱179.23 million</w:t>
            </w:r>
          </w:p>
        </w:tc>
      </w:tr>
      <w:tr>
        <w:tc>
          <w:tcPr>
            <w:tcW w:type="dxa" w:w="2592"/>
            <w:shd w:val="clear" w:color="auto" w:fill="EFEFEF"/>
          </w:tcPr>
          <w:p>
            <w:pPr>
              <w:spacing w:line="240" w:lineRule="auto" w:before="40" w:after="40"/>
              <w:jc w:val="left"/>
            </w:pPr>
            <w:r/>
            <w:r>
              <w:rPr>
                <w:b w:val="0"/>
                <w:i/>
                <w:sz w:val="20"/>
              </w:rPr>
              <w:t>Median</w:t>
            </w:r>
          </w:p>
        </w:tc>
        <w:tc>
          <w:tcPr>
            <w:tcW w:type="dxa" w:w="3312"/>
            <w:shd w:val="clear" w:color="auto" w:fill="EFEFEF"/>
          </w:tcPr>
          <w:p>
            <w:pPr>
              <w:spacing w:line="240" w:lineRule="auto" w:before="40" w:after="40"/>
              <w:jc w:val="center"/>
            </w:pPr>
            <w:r/>
            <w:r>
              <w:rPr>
                <w:b w:val="0"/>
                <w:i w:val="0"/>
                <w:sz w:val="20"/>
              </w:rPr>
              <w:t>₱16.54 million</w:t>
            </w:r>
          </w:p>
        </w:tc>
        <w:tc>
          <w:tcPr>
            <w:tcW w:type="dxa" w:w="3312"/>
            <w:shd w:val="clear" w:color="auto" w:fill="EFEFEF"/>
          </w:tcPr>
          <w:p>
            <w:pPr>
              <w:spacing w:line="240" w:lineRule="auto" w:before="40" w:after="40"/>
              <w:jc w:val="center"/>
            </w:pPr>
            <w:r/>
            <w:r>
              <w:rPr>
                <w:b w:val="0"/>
                <w:i w:val="0"/>
                <w:sz w:val="20"/>
              </w:rPr>
              <w:t>₱36.66 million</w:t>
            </w:r>
          </w:p>
        </w:tc>
      </w:tr>
      <w:tr>
        <w:tc>
          <w:tcPr>
            <w:tcW w:type="dxa" w:w="2592"/>
          </w:tcPr>
          <w:p>
            <w:pPr>
              <w:spacing w:line="240" w:lineRule="auto" w:before="40" w:after="40"/>
              <w:jc w:val="left"/>
            </w:pPr>
            <w:r/>
            <w:r>
              <w:rPr>
                <w:b w:val="0"/>
                <w:i/>
                <w:sz w:val="20"/>
              </w:rPr>
              <w:t>Total value</w:t>
            </w:r>
          </w:p>
        </w:tc>
        <w:tc>
          <w:tcPr>
            <w:tcW w:type="dxa" w:w="3312"/>
          </w:tcPr>
          <w:p>
            <w:pPr>
              <w:spacing w:line="240" w:lineRule="auto" w:before="40" w:after="40"/>
              <w:jc w:val="center"/>
            </w:pPr>
            <w:r/>
            <w:r>
              <w:rPr>
                <w:b w:val="0"/>
                <w:i w:val="0"/>
                <w:sz w:val="20"/>
              </w:rPr>
              <w:t>₱3,002.53 million</w:t>
            </w:r>
          </w:p>
        </w:tc>
        <w:tc>
          <w:tcPr>
            <w:tcW w:type="dxa" w:w="3312"/>
          </w:tcPr>
          <w:p>
            <w:pPr>
              <w:spacing w:line="240" w:lineRule="auto" w:before="40" w:after="40"/>
              <w:jc w:val="center"/>
            </w:pPr>
            <w:r/>
            <w:r>
              <w:rPr>
                <w:b w:val="0"/>
                <w:i w:val="0"/>
                <w:sz w:val="20"/>
              </w:rPr>
              <w:t>₱6,290.43 million</w:t>
            </w:r>
          </w:p>
        </w:tc>
      </w:tr>
      <w:tr>
        <w:tc>
          <w:tcPr>
            <w:tcW w:type="dxa" w:w="2592"/>
            <w:shd w:val="clear" w:color="auto" w:fill="EFEFEF"/>
          </w:tcPr>
          <w:p>
            <w:pPr>
              <w:spacing w:line="240" w:lineRule="auto" w:before="40" w:after="40"/>
              <w:jc w:val="left"/>
            </w:pPr>
            <w:r/>
            <w:r>
              <w:rPr>
                <w:b w:val="0"/>
                <w:i/>
                <w:sz w:val="20"/>
              </w:rPr>
              <w:t>Provinces / years</w:t>
            </w:r>
          </w:p>
        </w:tc>
        <w:tc>
          <w:tcPr>
            <w:tcW w:type="dxa" w:w="3312"/>
            <w:shd w:val="clear" w:color="auto" w:fill="EFEFEF"/>
          </w:tcPr>
          <w:p>
            <w:pPr>
              <w:spacing w:line="240" w:lineRule="auto" w:before="40" w:after="40"/>
              <w:jc w:val="center"/>
            </w:pPr>
            <w:r/>
            <w:r>
              <w:rPr>
                <w:b w:val="0"/>
                <w:i w:val="0"/>
                <w:sz w:val="20"/>
              </w:rPr>
              <w:t>6 provinces / 2022–2025</w:t>
            </w:r>
          </w:p>
        </w:tc>
        <w:tc>
          <w:tcPr>
            <w:tcW w:type="dxa" w:w="3312"/>
            <w:shd w:val="clear" w:color="auto" w:fill="EFEFEF"/>
          </w:tcPr>
          <w:p>
            <w:pPr>
              <w:spacing w:line="240" w:lineRule="auto" w:before="40" w:after="40"/>
              <w:jc w:val="center"/>
            </w:pPr>
            <w:r/>
            <w:r>
              <w:rPr>
                <w:b w:val="0"/>
                <w:i w:val="0"/>
                <w:sz w:val="20"/>
              </w:rPr>
              <w:t>6 provinces / 2022–2025</w:t>
            </w:r>
          </w:p>
        </w:tc>
      </w:tr>
      <w:tr>
        <w:tc>
          <w:tcPr>
            <w:tcW w:type="dxa" w:w="2592"/>
            <w:tcBorders>
              <w:bottom w:val="single" w:sz="12" w:color="000000"/>
            </w:tcBorders>
          </w:tcPr>
          <w:p>
            <w:pPr>
              <w:spacing w:line="240" w:lineRule="auto" w:before="40" w:after="40"/>
              <w:jc w:val="left"/>
            </w:pPr>
            <w:r/>
            <w:r>
              <w:rPr>
                <w:b w:val="0"/>
                <w:i/>
                <w:sz w:val="20"/>
              </w:rPr>
              <w:t>Sample</w:t>
            </w:r>
          </w:p>
        </w:tc>
        <w:tc>
          <w:tcPr>
            <w:tcW w:type="dxa" w:w="3312"/>
            <w:tcBorders>
              <w:bottom w:val="single" w:sz="12" w:color="000000"/>
            </w:tcBorders>
          </w:tcPr>
          <w:p>
            <w:pPr>
              <w:spacing w:line="240" w:lineRule="auto" w:before="40" w:after="40"/>
              <w:jc w:val="center"/>
            </w:pPr>
            <w:r/>
            <w:r>
              <w:rPr>
                <w:b w:val="0"/>
                <w:i w:val="0"/>
                <w:sz w:val="20"/>
              </w:rPr>
              <w:t>160 projects</w:t>
            </w:r>
          </w:p>
        </w:tc>
        <w:tc>
          <w:tcPr>
            <w:tcW w:type="dxa" w:w="3312"/>
            <w:tcBorders>
              <w:bottom w:val="single" w:sz="12" w:color="000000"/>
            </w:tcBorders>
          </w:tcPr>
          <w:p>
            <w:pPr>
              <w:spacing w:line="240" w:lineRule="auto" w:before="40" w:after="40"/>
              <w:jc w:val="center"/>
            </w:pPr>
            <w:r/>
            <w:r>
              <w:rPr>
                <w:b w:val="0"/>
                <w:i w:val="0"/>
                <w:sz w:val="20"/>
              </w:rPr>
              <w:t>140 projects</w:t>
            </w:r>
          </w:p>
        </w:tc>
      </w:tr>
    </w:tbl>
    <w:p>
      <w:pPr>
        <w:spacing w:line="240" w:lineRule="auto" w:after="80"/>
      </w:pPr>
    </w:p>
    <w:p>
      <w:pPr>
        <w:spacing w:line="480" w:lineRule="auto" w:after="0"/>
        <w:ind w:firstLine="720"/>
        <w:jc w:val="both"/>
      </w:pPr>
      <w:r>
        <w:rPr>
          <w:b w:val="0"/>
          <w:i w:val="0"/>
        </w:rPr>
        <w:t>Table 12 shows the budgets. Building contracts ranged from ₱5.37 million to ₱56.77 million, about 11 times, while bridge contracts ranged from ₱1.00 million to ₱179.23 million, about 180 times. This wide range is why the study reports MAPE, which expresses error relative to each project's cost, alongside RMSE in pesos.</w:t>
      </w:r>
    </w:p>
    <w:p>
      <w:pPr>
        <w:keepNext/>
        <w:spacing w:line="480" w:lineRule="auto" w:after="0"/>
        <w:jc w:val="left"/>
      </w:pPr>
      <w:r>
        <w:rPr>
          <w:b/>
          <w:i w:val="0"/>
        </w:rPr>
        <w:t>Generation of Designs from Requirements and Budgets</w:t>
      </w:r>
    </w:p>
    <w:p>
      <w:pPr>
        <w:spacing w:line="480" w:lineRule="auto" w:after="0"/>
        <w:ind w:firstLine="720"/>
        <w:jc w:val="both"/>
      </w:pPr>
      <w:r>
        <w:rPr>
          <w:b w:val="0"/>
          <w:i w:val="0"/>
        </w:rPr>
        <w:t>The second research question examined whether BUHAY-AH can produce usable schematic designs when no blueprint exists, from a design library, from a budget, and within space and design standards.</w:t>
      </w:r>
    </w:p>
    <w:p>
      <w:pPr>
        <w:keepNext/>
        <w:spacing w:line="480" w:lineRule="auto" w:after="0"/>
        <w:ind w:left="720"/>
        <w:jc w:val="left"/>
      </w:pPr>
      <w:r>
        <w:rPr>
          <w:b/>
          <w:i w:val="0"/>
        </w:rPr>
        <w:t>a.) Modular Design Library</w:t>
      </w:r>
    </w:p>
    <w:p>
      <w:pPr>
        <w:keepNext/>
        <w:spacing w:line="240" w:lineRule="auto" w:after="0" w:before="120"/>
        <w:jc w:val="left"/>
      </w:pPr>
      <w:r>
        <w:rPr>
          <w:b/>
          <w:i w:val="0"/>
        </w:rPr>
        <w:t>Table 13.</w:t>
      </w:r>
    </w:p>
    <w:p>
      <w:pPr>
        <w:keepNext/>
        <w:spacing w:line="240" w:lineRule="auto" w:after="0"/>
        <w:jc w:val="left"/>
      </w:pPr>
      <w:r>
        <w:rPr>
          <w:b w:val="0"/>
          <w:i/>
        </w:rPr>
        <w:t>Design Template Library of BUHAY-AH</w:t>
      </w:r>
    </w:p>
    <w:tbl>
      <w:tblPr>
        <w:tblW w:type="auto" w:w="0"/>
        <w:jc w:val="center"/>
        <w:tblLayout w:type="fixed"/>
        <w:tblLook w:firstColumn="1" w:firstRow="1" w:lastColumn="0" w:lastRow="0" w:noHBand="0" w:noVBand="1" w:val="04A0"/>
        <w:tblLayout w:type="fixed"/>
      </w:tblPr>
      <w:tblGrid>
        <w:gridCol w:w="2736"/>
        <w:gridCol w:w="1152"/>
        <w:gridCol w:w="1007"/>
        <w:gridCol w:w="1440"/>
        <w:gridCol w:w="1728"/>
        <w:gridCol w:w="1440"/>
      </w:tblGrid>
      <w:tr>
        <w:tc>
          <w:tcPr>
            <w:tcW w:type="dxa" w:w="2736"/>
            <w:tcBorders>
              <w:top w:val="single" w:sz="12" w:color="000000"/>
              <w:bottom w:val="single" w:sz="8" w:color="000000"/>
            </w:tcBorders>
          </w:tcPr>
          <w:p>
            <w:pPr>
              <w:spacing w:line="240" w:lineRule="auto" w:before="40" w:after="40"/>
              <w:jc w:val="center"/>
            </w:pPr>
            <w:r/>
            <w:r>
              <w:rPr>
                <w:b/>
                <w:i w:val="0"/>
                <w:sz w:val="17"/>
              </w:rPr>
              <w:t>GROUP</w:t>
            </w:r>
          </w:p>
        </w:tc>
        <w:tc>
          <w:tcPr>
            <w:tcW w:type="dxa" w:w="1152"/>
            <w:tcBorders>
              <w:top w:val="single" w:sz="12" w:color="000000"/>
              <w:bottom w:val="single" w:sz="8" w:color="000000"/>
            </w:tcBorders>
          </w:tcPr>
          <w:p>
            <w:pPr>
              <w:spacing w:line="240" w:lineRule="auto" w:before="40" w:after="40"/>
              <w:jc w:val="center"/>
            </w:pPr>
            <w:r/>
            <w:r>
              <w:rPr>
                <w:b/>
                <w:i w:val="0"/>
                <w:sz w:val="17"/>
              </w:rPr>
              <w:t>TEMPLATES</w:t>
            </w:r>
          </w:p>
        </w:tc>
        <w:tc>
          <w:tcPr>
            <w:tcW w:type="dxa" w:w="1008"/>
            <w:tcBorders>
              <w:top w:val="single" w:sz="12" w:color="000000"/>
              <w:bottom w:val="single" w:sz="8" w:color="000000"/>
            </w:tcBorders>
          </w:tcPr>
          <w:p>
            <w:pPr>
              <w:spacing w:line="240" w:lineRule="auto" w:before="40" w:after="40"/>
              <w:jc w:val="center"/>
            </w:pPr>
            <w:r/>
            <w:r>
              <w:rPr>
                <w:b/>
                <w:i w:val="0"/>
                <w:sz w:val="17"/>
              </w:rPr>
              <w:t>STOREYS</w:t>
            </w:r>
          </w:p>
        </w:tc>
        <w:tc>
          <w:tcPr>
            <w:tcW w:type="dxa" w:w="1440"/>
            <w:tcBorders>
              <w:top w:val="single" w:sz="12" w:color="000000"/>
              <w:bottom w:val="single" w:sz="8" w:color="000000"/>
            </w:tcBorders>
          </w:tcPr>
          <w:p>
            <w:pPr>
              <w:spacing w:line="240" w:lineRule="auto" w:before="40" w:after="40"/>
              <w:jc w:val="center"/>
            </w:pPr>
            <w:r/>
            <w:r>
              <w:rPr>
                <w:b/>
                <w:i w:val="0"/>
                <w:sz w:val="17"/>
              </w:rPr>
              <w:t>GFA (m²)</w:t>
            </w:r>
          </w:p>
        </w:tc>
        <w:tc>
          <w:tcPr>
            <w:tcW w:type="dxa" w:w="1728"/>
            <w:tcBorders>
              <w:top w:val="single" w:sz="12" w:color="000000"/>
              <w:bottom w:val="single" w:sz="8" w:color="000000"/>
            </w:tcBorders>
          </w:tcPr>
          <w:p>
            <w:pPr>
              <w:spacing w:line="240" w:lineRule="auto" w:before="40" w:after="40"/>
              <w:jc w:val="center"/>
            </w:pPr>
            <w:r/>
            <w:r>
              <w:rPr>
                <w:b/>
                <w:i w:val="0"/>
                <w:sz w:val="17"/>
              </w:rPr>
              <w:t>START QUOTATION (₱M)</w:t>
            </w:r>
          </w:p>
        </w:tc>
        <w:tc>
          <w:tcPr>
            <w:tcW w:type="dxa" w:w="1440"/>
            <w:tcBorders>
              <w:top w:val="single" w:sz="12" w:color="000000"/>
              <w:bottom w:val="single" w:sz="8" w:color="000000"/>
            </w:tcBorders>
          </w:tcPr>
          <w:p>
            <w:pPr>
              <w:spacing w:line="240" w:lineRule="auto" w:before="40" w:after="40"/>
              <w:jc w:val="center"/>
            </w:pPr>
            <w:r/>
            <w:r>
              <w:rPr>
                <w:b/>
                <w:i w:val="0"/>
                <w:sz w:val="17"/>
              </w:rPr>
              <w:t>STANDARD ₱/m²</w:t>
            </w:r>
          </w:p>
        </w:tc>
      </w:tr>
      <w:tr>
        <w:tc>
          <w:tcPr>
            <w:tcW w:type="dxa" w:w="2736"/>
            <w:shd w:val="clear" w:color="auto" w:fill="EFEFEF"/>
          </w:tcPr>
          <w:p>
            <w:pPr>
              <w:spacing w:line="240" w:lineRule="auto" w:before="40" w:after="40"/>
              <w:jc w:val="left"/>
            </w:pPr>
            <w:r/>
            <w:r>
              <w:rPr>
                <w:b w:val="0"/>
                <w:i/>
                <w:sz w:val="17"/>
              </w:rPr>
              <w:t>Schools, libraries, child development</w:t>
            </w:r>
          </w:p>
        </w:tc>
        <w:tc>
          <w:tcPr>
            <w:tcW w:type="dxa" w:w="1152"/>
            <w:shd w:val="clear" w:color="auto" w:fill="EFEFEF"/>
          </w:tcPr>
          <w:p>
            <w:pPr>
              <w:spacing w:line="240" w:lineRule="auto" w:before="40" w:after="40"/>
              <w:jc w:val="center"/>
            </w:pPr>
            <w:r/>
            <w:r>
              <w:rPr>
                <w:b w:val="0"/>
                <w:i w:val="0"/>
                <w:sz w:val="17"/>
              </w:rPr>
              <w:t>16</w:t>
            </w:r>
          </w:p>
        </w:tc>
        <w:tc>
          <w:tcPr>
            <w:tcW w:type="dxa" w:w="1008"/>
            <w:shd w:val="clear" w:color="auto" w:fill="EFEFEF"/>
          </w:tcPr>
          <w:p>
            <w:pPr>
              <w:spacing w:line="240" w:lineRule="auto" w:before="40" w:after="40"/>
              <w:jc w:val="center"/>
            </w:pPr>
            <w:r/>
            <w:r>
              <w:rPr>
                <w:b w:val="0"/>
                <w:i w:val="0"/>
                <w:sz w:val="17"/>
              </w:rPr>
              <w:t>1–4</w:t>
            </w:r>
          </w:p>
        </w:tc>
        <w:tc>
          <w:tcPr>
            <w:tcW w:type="dxa" w:w="1440"/>
            <w:shd w:val="clear" w:color="auto" w:fill="EFEFEF"/>
          </w:tcPr>
          <w:p>
            <w:pPr>
              <w:spacing w:line="240" w:lineRule="auto" w:before="40" w:after="40"/>
              <w:jc w:val="center"/>
            </w:pPr>
            <w:r/>
            <w:r>
              <w:rPr>
                <w:b w:val="0"/>
                <w:i w:val="0"/>
                <w:sz w:val="17"/>
              </w:rPr>
              <w:t>214–2,489</w:t>
            </w:r>
          </w:p>
        </w:tc>
        <w:tc>
          <w:tcPr>
            <w:tcW w:type="dxa" w:w="1728"/>
            <w:shd w:val="clear" w:color="auto" w:fill="EFEFEF"/>
          </w:tcPr>
          <w:p>
            <w:pPr>
              <w:spacing w:line="240" w:lineRule="auto" w:before="40" w:after="40"/>
              <w:jc w:val="center"/>
            </w:pPr>
            <w:r/>
            <w:r>
              <w:rPr>
                <w:b w:val="0"/>
                <w:i w:val="0"/>
                <w:sz w:val="17"/>
              </w:rPr>
              <w:t>5.97–52.38</w:t>
            </w:r>
          </w:p>
        </w:tc>
        <w:tc>
          <w:tcPr>
            <w:tcW w:type="dxa" w:w="1440"/>
            <w:shd w:val="clear" w:color="auto" w:fill="EFEFEF"/>
          </w:tcPr>
          <w:p>
            <w:pPr>
              <w:spacing w:line="240" w:lineRule="auto" w:before="40" w:after="40"/>
              <w:jc w:val="center"/>
            </w:pPr>
            <w:r/>
            <w:r>
              <w:rPr>
                <w:b w:val="0"/>
                <w:i w:val="0"/>
                <w:sz w:val="17"/>
              </w:rPr>
              <w:t>24,451–30,796</w:t>
            </w:r>
          </w:p>
        </w:tc>
      </w:tr>
      <w:tr>
        <w:tc>
          <w:tcPr>
            <w:tcW w:type="dxa" w:w="2736"/>
          </w:tcPr>
          <w:p>
            <w:pPr>
              <w:spacing w:line="240" w:lineRule="auto" w:before="40" w:after="40"/>
              <w:jc w:val="left"/>
            </w:pPr>
            <w:r/>
            <w:r>
              <w:rPr>
                <w:b w:val="0"/>
                <w:i/>
                <w:sz w:val="17"/>
              </w:rPr>
              <w:t>Health facilities</w:t>
            </w:r>
          </w:p>
        </w:tc>
        <w:tc>
          <w:tcPr>
            <w:tcW w:type="dxa" w:w="1152"/>
          </w:tcPr>
          <w:p>
            <w:pPr>
              <w:spacing w:line="240" w:lineRule="auto" w:before="40" w:after="40"/>
              <w:jc w:val="center"/>
            </w:pPr>
            <w:r/>
            <w:r>
              <w:rPr>
                <w:b w:val="0"/>
                <w:i w:val="0"/>
                <w:sz w:val="17"/>
              </w:rPr>
              <w:t>6</w:t>
            </w:r>
          </w:p>
        </w:tc>
        <w:tc>
          <w:tcPr>
            <w:tcW w:type="dxa" w:w="1008"/>
          </w:tcPr>
          <w:p>
            <w:pPr>
              <w:spacing w:line="240" w:lineRule="auto" w:before="40" w:after="40"/>
              <w:jc w:val="center"/>
            </w:pPr>
            <w:r/>
            <w:r>
              <w:rPr>
                <w:b w:val="0"/>
                <w:i w:val="0"/>
                <w:sz w:val="17"/>
              </w:rPr>
              <w:t>1–2</w:t>
            </w:r>
          </w:p>
        </w:tc>
        <w:tc>
          <w:tcPr>
            <w:tcW w:type="dxa" w:w="1440"/>
          </w:tcPr>
          <w:p>
            <w:pPr>
              <w:spacing w:line="240" w:lineRule="auto" w:before="40" w:after="40"/>
              <w:jc w:val="center"/>
            </w:pPr>
            <w:r/>
            <w:r>
              <w:rPr>
                <w:b w:val="0"/>
                <w:i w:val="0"/>
                <w:sz w:val="17"/>
              </w:rPr>
              <w:t>149–744</w:t>
            </w:r>
          </w:p>
        </w:tc>
        <w:tc>
          <w:tcPr>
            <w:tcW w:type="dxa" w:w="1728"/>
          </w:tcPr>
          <w:p>
            <w:pPr>
              <w:spacing w:line="240" w:lineRule="auto" w:before="40" w:after="40"/>
              <w:jc w:val="center"/>
            </w:pPr>
            <w:r/>
            <w:r>
              <w:rPr>
                <w:b w:val="0"/>
                <w:i w:val="0"/>
                <w:sz w:val="17"/>
              </w:rPr>
              <w:t>5.17–19.52</w:t>
            </w:r>
          </w:p>
        </w:tc>
        <w:tc>
          <w:tcPr>
            <w:tcW w:type="dxa" w:w="1440"/>
          </w:tcPr>
          <w:p>
            <w:pPr>
              <w:spacing w:line="240" w:lineRule="auto" w:before="40" w:after="40"/>
              <w:jc w:val="center"/>
            </w:pPr>
            <w:r/>
            <w:r>
              <w:rPr>
                <w:b w:val="0"/>
                <w:i w:val="0"/>
                <w:sz w:val="17"/>
              </w:rPr>
              <w:t>32,069–41,634</w:t>
            </w:r>
          </w:p>
        </w:tc>
      </w:tr>
      <w:tr>
        <w:tc>
          <w:tcPr>
            <w:tcW w:type="dxa" w:w="2736"/>
            <w:shd w:val="clear" w:color="auto" w:fill="EFEFEF"/>
          </w:tcPr>
          <w:p>
            <w:pPr>
              <w:spacing w:line="240" w:lineRule="auto" w:before="40" w:after="40"/>
              <w:jc w:val="left"/>
            </w:pPr>
            <w:r/>
            <w:r>
              <w:rPr>
                <w:b w:val="0"/>
                <w:i/>
                <w:sz w:val="17"/>
              </w:rPr>
              <w:t>Civic and office buildings</w:t>
            </w:r>
          </w:p>
        </w:tc>
        <w:tc>
          <w:tcPr>
            <w:tcW w:type="dxa" w:w="1152"/>
            <w:shd w:val="clear" w:color="auto" w:fill="EFEFEF"/>
          </w:tcPr>
          <w:p>
            <w:pPr>
              <w:spacing w:line="240" w:lineRule="auto" w:before="40" w:after="40"/>
              <w:jc w:val="center"/>
            </w:pPr>
            <w:r/>
            <w:r>
              <w:rPr>
                <w:b w:val="0"/>
                <w:i w:val="0"/>
                <w:sz w:val="17"/>
              </w:rPr>
              <w:t>5</w:t>
            </w:r>
          </w:p>
        </w:tc>
        <w:tc>
          <w:tcPr>
            <w:tcW w:type="dxa" w:w="1008"/>
            <w:shd w:val="clear" w:color="auto" w:fill="EFEFEF"/>
          </w:tcPr>
          <w:p>
            <w:pPr>
              <w:spacing w:line="240" w:lineRule="auto" w:before="40" w:after="40"/>
              <w:jc w:val="center"/>
            </w:pPr>
            <w:r/>
            <w:r>
              <w:rPr>
                <w:b w:val="0"/>
                <w:i w:val="0"/>
                <w:sz w:val="17"/>
              </w:rPr>
              <w:t>1–3</w:t>
            </w:r>
          </w:p>
        </w:tc>
        <w:tc>
          <w:tcPr>
            <w:tcW w:type="dxa" w:w="1440"/>
            <w:shd w:val="clear" w:color="auto" w:fill="EFEFEF"/>
          </w:tcPr>
          <w:p>
            <w:pPr>
              <w:spacing w:line="240" w:lineRule="auto" w:before="40" w:after="40"/>
              <w:jc w:val="center"/>
            </w:pPr>
            <w:r/>
            <w:r>
              <w:rPr>
                <w:b w:val="0"/>
                <w:i w:val="0"/>
                <w:sz w:val="17"/>
              </w:rPr>
              <w:t>288–1,793</w:t>
            </w:r>
          </w:p>
        </w:tc>
        <w:tc>
          <w:tcPr>
            <w:tcW w:type="dxa" w:w="1728"/>
            <w:shd w:val="clear" w:color="auto" w:fill="EFEFEF"/>
          </w:tcPr>
          <w:p>
            <w:pPr>
              <w:spacing w:line="240" w:lineRule="auto" w:before="40" w:after="40"/>
              <w:jc w:val="center"/>
            </w:pPr>
            <w:r/>
            <w:r>
              <w:rPr>
                <w:b w:val="0"/>
                <w:i w:val="0"/>
                <w:sz w:val="17"/>
              </w:rPr>
              <w:t>7.83–37.74</w:t>
            </w:r>
          </w:p>
        </w:tc>
        <w:tc>
          <w:tcPr>
            <w:tcW w:type="dxa" w:w="1440"/>
            <w:shd w:val="clear" w:color="auto" w:fill="EFEFEF"/>
          </w:tcPr>
          <w:p>
            <w:pPr>
              <w:spacing w:line="240" w:lineRule="auto" w:before="40" w:after="40"/>
              <w:jc w:val="center"/>
            </w:pPr>
            <w:r/>
            <w:r>
              <w:rPr>
                <w:b w:val="0"/>
                <w:i w:val="0"/>
                <w:sz w:val="17"/>
              </w:rPr>
              <w:t>25,628–32,413</w:t>
            </w:r>
          </w:p>
        </w:tc>
      </w:tr>
      <w:tr>
        <w:tc>
          <w:tcPr>
            <w:tcW w:type="dxa" w:w="2736"/>
          </w:tcPr>
          <w:p>
            <w:pPr>
              <w:spacing w:line="240" w:lineRule="auto" w:before="40" w:after="40"/>
              <w:jc w:val="left"/>
            </w:pPr>
            <w:r/>
            <w:r>
              <w:rPr>
                <w:b w:val="0"/>
                <w:i/>
                <w:sz w:val="17"/>
              </w:rPr>
              <w:t>Evacuation centers and halls</w:t>
            </w:r>
          </w:p>
        </w:tc>
        <w:tc>
          <w:tcPr>
            <w:tcW w:type="dxa" w:w="1152"/>
          </w:tcPr>
          <w:p>
            <w:pPr>
              <w:spacing w:line="240" w:lineRule="auto" w:before="40" w:after="40"/>
              <w:jc w:val="center"/>
            </w:pPr>
            <w:r/>
            <w:r>
              <w:rPr>
                <w:b w:val="0"/>
                <w:i w:val="0"/>
                <w:sz w:val="17"/>
              </w:rPr>
              <w:t>6</w:t>
            </w:r>
          </w:p>
        </w:tc>
        <w:tc>
          <w:tcPr>
            <w:tcW w:type="dxa" w:w="1008"/>
          </w:tcPr>
          <w:p>
            <w:pPr>
              <w:spacing w:line="240" w:lineRule="auto" w:before="40" w:after="40"/>
              <w:jc w:val="center"/>
            </w:pPr>
            <w:r/>
            <w:r>
              <w:rPr>
                <w:b w:val="0"/>
                <w:i w:val="0"/>
                <w:sz w:val="17"/>
              </w:rPr>
              <w:t>1–2</w:t>
            </w:r>
          </w:p>
        </w:tc>
        <w:tc>
          <w:tcPr>
            <w:tcW w:type="dxa" w:w="1440"/>
          </w:tcPr>
          <w:p>
            <w:pPr>
              <w:spacing w:line="240" w:lineRule="auto" w:before="40" w:after="40"/>
              <w:jc w:val="center"/>
            </w:pPr>
            <w:r/>
            <w:r>
              <w:rPr>
                <w:b w:val="0"/>
                <w:i w:val="0"/>
                <w:sz w:val="17"/>
              </w:rPr>
              <w:t>300–3,024</w:t>
            </w:r>
          </w:p>
        </w:tc>
        <w:tc>
          <w:tcPr>
            <w:tcW w:type="dxa" w:w="1728"/>
          </w:tcPr>
          <w:p>
            <w:pPr>
              <w:spacing w:line="240" w:lineRule="auto" w:before="40" w:after="40"/>
              <w:jc w:val="center"/>
            </w:pPr>
            <w:r/>
            <w:r>
              <w:rPr>
                <w:b w:val="0"/>
                <w:i w:val="0"/>
                <w:sz w:val="17"/>
              </w:rPr>
              <w:t>7.92–59.04</w:t>
            </w:r>
          </w:p>
        </w:tc>
        <w:tc>
          <w:tcPr>
            <w:tcW w:type="dxa" w:w="1440"/>
          </w:tcPr>
          <w:p>
            <w:pPr>
              <w:spacing w:line="240" w:lineRule="auto" w:before="40" w:after="40"/>
              <w:jc w:val="center"/>
            </w:pPr>
            <w:r/>
            <w:r>
              <w:rPr>
                <w:b w:val="0"/>
                <w:i w:val="0"/>
                <w:sz w:val="17"/>
              </w:rPr>
              <w:t>22,265–30,176</w:t>
            </w:r>
          </w:p>
        </w:tc>
      </w:tr>
      <w:tr>
        <w:tc>
          <w:tcPr>
            <w:tcW w:type="dxa" w:w="2736"/>
            <w:shd w:val="clear" w:color="auto" w:fill="EFEFEF"/>
          </w:tcPr>
          <w:p>
            <w:pPr>
              <w:spacing w:line="240" w:lineRule="auto" w:before="40" w:after="40"/>
              <w:jc w:val="left"/>
            </w:pPr>
            <w:r/>
            <w:r>
              <w:rPr>
                <w:b w:val="0"/>
                <w:i/>
                <w:sz w:val="17"/>
              </w:rPr>
              <w:t>Public markets</w:t>
            </w:r>
          </w:p>
        </w:tc>
        <w:tc>
          <w:tcPr>
            <w:tcW w:type="dxa" w:w="1152"/>
            <w:shd w:val="clear" w:color="auto" w:fill="EFEFEF"/>
          </w:tcPr>
          <w:p>
            <w:pPr>
              <w:spacing w:line="240" w:lineRule="auto" w:before="40" w:after="40"/>
              <w:jc w:val="center"/>
            </w:pPr>
            <w:r/>
            <w:r>
              <w:rPr>
                <w:b w:val="0"/>
                <w:i w:val="0"/>
                <w:sz w:val="17"/>
              </w:rPr>
              <w:t>3</w:t>
            </w:r>
          </w:p>
        </w:tc>
        <w:tc>
          <w:tcPr>
            <w:tcW w:type="dxa" w:w="1008"/>
            <w:shd w:val="clear" w:color="auto" w:fill="EFEFEF"/>
          </w:tcPr>
          <w:p>
            <w:pPr>
              <w:spacing w:line="240" w:lineRule="auto" w:before="40" w:after="40"/>
              <w:jc w:val="center"/>
            </w:pPr>
            <w:r/>
            <w:r>
              <w:rPr>
                <w:b w:val="0"/>
                <w:i w:val="0"/>
                <w:sz w:val="17"/>
              </w:rPr>
              <w:t>1–2</w:t>
            </w:r>
          </w:p>
        </w:tc>
        <w:tc>
          <w:tcPr>
            <w:tcW w:type="dxa" w:w="1440"/>
            <w:shd w:val="clear" w:color="auto" w:fill="EFEFEF"/>
          </w:tcPr>
          <w:p>
            <w:pPr>
              <w:spacing w:line="240" w:lineRule="auto" w:before="40" w:after="40"/>
              <w:jc w:val="center"/>
            </w:pPr>
            <w:r/>
            <w:r>
              <w:rPr>
                <w:b w:val="0"/>
                <w:i w:val="0"/>
                <w:sz w:val="17"/>
              </w:rPr>
              <w:t>528–2,184</w:t>
            </w:r>
          </w:p>
        </w:tc>
        <w:tc>
          <w:tcPr>
            <w:tcW w:type="dxa" w:w="1728"/>
            <w:shd w:val="clear" w:color="auto" w:fill="EFEFEF"/>
          </w:tcPr>
          <w:p>
            <w:pPr>
              <w:spacing w:line="240" w:lineRule="auto" w:before="40" w:after="40"/>
              <w:jc w:val="center"/>
            </w:pPr>
            <w:r/>
            <w:r>
              <w:rPr>
                <w:b w:val="0"/>
                <w:i w:val="0"/>
                <w:sz w:val="17"/>
              </w:rPr>
              <w:t>13.78–45.65</w:t>
            </w:r>
          </w:p>
        </w:tc>
        <w:tc>
          <w:tcPr>
            <w:tcW w:type="dxa" w:w="1440"/>
            <w:shd w:val="clear" w:color="auto" w:fill="EFEFEF"/>
          </w:tcPr>
          <w:p>
            <w:pPr>
              <w:spacing w:line="240" w:lineRule="auto" w:before="40" w:after="40"/>
              <w:jc w:val="center"/>
            </w:pPr>
            <w:r/>
            <w:r>
              <w:rPr>
                <w:b w:val="0"/>
                <w:i w:val="0"/>
                <w:sz w:val="17"/>
              </w:rPr>
              <w:t>24,302–29,979</w:t>
            </w:r>
          </w:p>
        </w:tc>
      </w:tr>
      <w:tr>
        <w:tc>
          <w:tcPr>
            <w:tcW w:type="dxa" w:w="2736"/>
          </w:tcPr>
          <w:p>
            <w:pPr>
              <w:spacing w:line="240" w:lineRule="auto" w:before="40" w:after="40"/>
              <w:jc w:val="left"/>
            </w:pPr>
            <w:r/>
            <w:r>
              <w:rPr>
                <w:b w:val="0"/>
                <w:i/>
                <w:sz w:val="17"/>
              </w:rPr>
              <w:t>Dormitories and quarters</w:t>
            </w:r>
          </w:p>
        </w:tc>
        <w:tc>
          <w:tcPr>
            <w:tcW w:type="dxa" w:w="1152"/>
          </w:tcPr>
          <w:p>
            <w:pPr>
              <w:spacing w:line="240" w:lineRule="auto" w:before="40" w:after="40"/>
              <w:jc w:val="center"/>
            </w:pPr>
            <w:r/>
            <w:r>
              <w:rPr>
                <w:b w:val="0"/>
                <w:i w:val="0"/>
                <w:sz w:val="17"/>
              </w:rPr>
              <w:t>3</w:t>
            </w:r>
          </w:p>
        </w:tc>
        <w:tc>
          <w:tcPr>
            <w:tcW w:type="dxa" w:w="1008"/>
          </w:tcPr>
          <w:p>
            <w:pPr>
              <w:spacing w:line="240" w:lineRule="auto" w:before="40" w:after="40"/>
              <w:jc w:val="center"/>
            </w:pPr>
            <w:r/>
            <w:r>
              <w:rPr>
                <w:b w:val="0"/>
                <w:i w:val="0"/>
                <w:sz w:val="17"/>
              </w:rPr>
              <w:t>1–3</w:t>
            </w:r>
          </w:p>
        </w:tc>
        <w:tc>
          <w:tcPr>
            <w:tcW w:type="dxa" w:w="1440"/>
          </w:tcPr>
          <w:p>
            <w:pPr>
              <w:spacing w:line="240" w:lineRule="auto" w:before="40" w:after="40"/>
              <w:jc w:val="center"/>
            </w:pPr>
            <w:r/>
            <w:r>
              <w:rPr>
                <w:b w:val="0"/>
                <w:i w:val="0"/>
                <w:sz w:val="17"/>
              </w:rPr>
              <w:t>282–612</w:t>
            </w:r>
          </w:p>
        </w:tc>
        <w:tc>
          <w:tcPr>
            <w:tcW w:type="dxa" w:w="1728"/>
          </w:tcPr>
          <w:p>
            <w:pPr>
              <w:spacing w:line="240" w:lineRule="auto" w:before="40" w:after="40"/>
              <w:jc w:val="center"/>
            </w:pPr>
            <w:r/>
            <w:r>
              <w:rPr>
                <w:b w:val="0"/>
                <w:i w:val="0"/>
                <w:sz w:val="17"/>
              </w:rPr>
              <w:t>7.81–14.82</w:t>
            </w:r>
          </w:p>
        </w:tc>
        <w:tc>
          <w:tcPr>
            <w:tcW w:type="dxa" w:w="1440"/>
          </w:tcPr>
          <w:p>
            <w:pPr>
              <w:spacing w:line="240" w:lineRule="auto" w:before="40" w:after="40"/>
              <w:jc w:val="center"/>
            </w:pPr>
            <w:r/>
            <w:r>
              <w:rPr>
                <w:b w:val="0"/>
                <w:i w:val="0"/>
                <w:sz w:val="17"/>
              </w:rPr>
              <w:t>28,029–31,825</w:t>
            </w:r>
          </w:p>
        </w:tc>
      </w:tr>
      <w:tr>
        <w:tc>
          <w:tcPr>
            <w:tcW w:type="dxa" w:w="2736"/>
            <w:shd w:val="clear" w:color="auto" w:fill="EFEFEF"/>
          </w:tcPr>
          <w:p>
            <w:pPr>
              <w:spacing w:line="240" w:lineRule="auto" w:before="40" w:after="40"/>
              <w:jc w:val="left"/>
            </w:pPr>
            <w:r/>
            <w:r>
              <w:rPr>
                <w:b w:val="0"/>
                <w:i/>
                <w:sz w:val="17"/>
              </w:rPr>
              <w:t>Covered courts</w:t>
            </w:r>
          </w:p>
        </w:tc>
        <w:tc>
          <w:tcPr>
            <w:tcW w:type="dxa" w:w="1152"/>
            <w:shd w:val="clear" w:color="auto" w:fill="EFEFEF"/>
          </w:tcPr>
          <w:p>
            <w:pPr>
              <w:spacing w:line="240" w:lineRule="auto" w:before="40" w:after="40"/>
              <w:jc w:val="center"/>
            </w:pPr>
            <w:r/>
            <w:r>
              <w:rPr>
                <w:b w:val="0"/>
                <w:i w:val="0"/>
                <w:sz w:val="17"/>
              </w:rPr>
              <w:t>2</w:t>
            </w:r>
          </w:p>
        </w:tc>
        <w:tc>
          <w:tcPr>
            <w:tcW w:type="dxa" w:w="1008"/>
            <w:shd w:val="clear" w:color="auto" w:fill="EFEFEF"/>
          </w:tcPr>
          <w:p>
            <w:pPr>
              <w:spacing w:line="240" w:lineRule="auto" w:before="40" w:after="40"/>
              <w:jc w:val="center"/>
            </w:pPr>
            <w:r/>
            <w:r>
              <w:rPr>
                <w:b w:val="0"/>
                <w:i w:val="0"/>
                <w:sz w:val="17"/>
              </w:rPr>
              <w:t>1–1</w:t>
            </w:r>
          </w:p>
        </w:tc>
        <w:tc>
          <w:tcPr>
            <w:tcW w:type="dxa" w:w="1440"/>
            <w:shd w:val="clear" w:color="auto" w:fill="EFEFEF"/>
          </w:tcPr>
          <w:p>
            <w:pPr>
              <w:spacing w:line="240" w:lineRule="auto" w:before="40" w:after="40"/>
              <w:jc w:val="center"/>
            </w:pPr>
            <w:r/>
            <w:r>
              <w:rPr>
                <w:b w:val="0"/>
                <w:i w:val="0"/>
                <w:sz w:val="17"/>
              </w:rPr>
              <w:t>900–1,060</w:t>
            </w:r>
          </w:p>
        </w:tc>
        <w:tc>
          <w:tcPr>
            <w:tcW w:type="dxa" w:w="1728"/>
            <w:shd w:val="clear" w:color="auto" w:fill="EFEFEF"/>
          </w:tcPr>
          <w:p>
            <w:pPr>
              <w:spacing w:line="240" w:lineRule="auto" w:before="40" w:after="40"/>
              <w:jc w:val="center"/>
            </w:pPr>
            <w:r/>
            <w:r>
              <w:rPr>
                <w:b w:val="0"/>
                <w:i w:val="0"/>
                <w:sz w:val="17"/>
              </w:rPr>
              <w:t>13.70–15.83</w:t>
            </w:r>
          </w:p>
        </w:tc>
        <w:tc>
          <w:tcPr>
            <w:tcW w:type="dxa" w:w="1440"/>
            <w:shd w:val="clear" w:color="auto" w:fill="EFEFEF"/>
          </w:tcPr>
          <w:p>
            <w:pPr>
              <w:spacing w:line="240" w:lineRule="auto" w:before="40" w:after="40"/>
              <w:jc w:val="center"/>
            </w:pPr>
            <w:r/>
            <w:r>
              <w:rPr>
                <w:b w:val="0"/>
                <w:i w:val="0"/>
                <w:sz w:val="17"/>
              </w:rPr>
              <w:t>16,413–16,730</w:t>
            </w:r>
          </w:p>
        </w:tc>
      </w:tr>
      <w:tr>
        <w:tc>
          <w:tcPr>
            <w:tcW w:type="dxa" w:w="2736"/>
            <w:tcBorders>
              <w:bottom w:val="single" w:sz="12" w:color="000000"/>
            </w:tcBorders>
          </w:tcPr>
          <w:p>
            <w:pPr>
              <w:spacing w:line="240" w:lineRule="auto" w:before="40" w:after="40"/>
              <w:jc w:val="left"/>
            </w:pPr>
            <w:r/>
            <w:r>
              <w:rPr>
                <w:b w:val="0"/>
                <w:i/>
                <w:sz w:val="17"/>
              </w:rPr>
              <w:t>Bridges and culverts</w:t>
            </w:r>
          </w:p>
        </w:tc>
        <w:tc>
          <w:tcPr>
            <w:tcW w:type="dxa" w:w="1152"/>
            <w:tcBorders>
              <w:bottom w:val="single" w:sz="12" w:color="000000"/>
            </w:tcBorders>
          </w:tcPr>
          <w:p>
            <w:pPr>
              <w:spacing w:line="240" w:lineRule="auto" w:before="40" w:after="40"/>
              <w:jc w:val="center"/>
            </w:pPr>
            <w:r/>
            <w:r>
              <w:rPr>
                <w:b w:val="0"/>
                <w:i w:val="0"/>
                <w:sz w:val="17"/>
              </w:rPr>
              <w:t>13</w:t>
            </w:r>
          </w:p>
        </w:tc>
        <w:tc>
          <w:tcPr>
            <w:tcW w:type="dxa" w:w="1008"/>
            <w:tcBorders>
              <w:bottom w:val="single" w:sz="12" w:color="000000"/>
            </w:tcBorders>
          </w:tcPr>
          <w:p>
            <w:pPr>
              <w:spacing w:line="240" w:lineRule="auto" w:before="40" w:after="40"/>
              <w:jc w:val="center"/>
            </w:pPr>
            <w:r/>
            <w:r>
              <w:rPr>
                <w:b w:val="0"/>
                <w:i w:val="0"/>
                <w:sz w:val="17"/>
              </w:rPr>
              <w:t>–</w:t>
            </w:r>
          </w:p>
        </w:tc>
        <w:tc>
          <w:tcPr>
            <w:tcW w:type="dxa" w:w="1440"/>
            <w:tcBorders>
              <w:bottom w:val="single" w:sz="12" w:color="000000"/>
            </w:tcBorders>
          </w:tcPr>
          <w:p>
            <w:pPr>
              <w:spacing w:line="240" w:lineRule="auto" w:before="40" w:after="40"/>
              <w:jc w:val="center"/>
            </w:pPr>
            <w:r/>
            <w:r>
              <w:rPr>
                <w:b w:val="0"/>
                <w:i w:val="0"/>
                <w:sz w:val="17"/>
              </w:rPr>
              <w:t>–</w:t>
            </w:r>
          </w:p>
        </w:tc>
        <w:tc>
          <w:tcPr>
            <w:tcW w:type="dxa" w:w="1728"/>
            <w:tcBorders>
              <w:bottom w:val="single" w:sz="12" w:color="000000"/>
            </w:tcBorders>
          </w:tcPr>
          <w:p>
            <w:pPr>
              <w:spacing w:line="240" w:lineRule="auto" w:before="40" w:after="40"/>
              <w:jc w:val="center"/>
            </w:pPr>
            <w:r/>
            <w:r>
              <w:rPr>
                <w:b w:val="0"/>
                <w:i w:val="0"/>
                <w:sz w:val="17"/>
              </w:rPr>
              <w:t>1.73–132.71</w:t>
            </w:r>
          </w:p>
        </w:tc>
        <w:tc>
          <w:tcPr>
            <w:tcW w:type="dxa" w:w="1440"/>
            <w:tcBorders>
              <w:bottom w:val="single" w:sz="12" w:color="000000"/>
            </w:tcBorders>
          </w:tcPr>
          <w:p>
            <w:pPr>
              <w:spacing w:line="240" w:lineRule="auto" w:before="40" w:after="40"/>
              <w:jc w:val="center"/>
            </w:pPr>
            <w:r/>
            <w:r>
              <w:rPr>
                <w:b w:val="0"/>
                <w:i w:val="0"/>
                <w:sz w:val="17"/>
              </w:rPr>
              <w:t>232,584–1,437,490 /m</w:t>
            </w:r>
          </w:p>
        </w:tc>
      </w:tr>
    </w:tbl>
    <w:p>
      <w:pPr>
        <w:spacing w:line="240" w:lineRule="auto" w:after="80"/>
      </w:pPr>
    </w:p>
    <w:p>
      <w:pPr>
        <w:spacing w:line="480" w:lineRule="auto" w:after="0"/>
        <w:ind w:firstLine="720"/>
        <w:jc w:val="both"/>
      </w:pPr>
      <w:r>
        <w:rPr>
          <w:b w:val="0"/>
          <w:i w:val="0"/>
        </w:rPr>
        <w:t>Table 13 summarizes the 41 building and 13 bridge templates generated from the 55 space modules; Appendix K lists each one. They range from a 149 m² barangay health station to a 3,024 m² multi-storey facility. The 2-storey 6-classroom school building, for example, comes out 38.5 m long and 9.5 m wide with 732 m² of floor area, a lean start quotation of ₱16.25 million and a standard estimate of ₱18.77 million, about ₱3.13 million per classroom. Standard costs per m² fall as buildings grow and stack, because roofs, foundations, toilets and stairs are shared by more floor area, a pattern the take-off reproduces without any fitted coefficient.</w:t>
      </w:r>
    </w:p>
    <w:p>
      <w:pPr>
        <w:keepNext/>
        <w:spacing w:line="240" w:lineRule="auto" w:after="0" w:before="120"/>
        <w:jc w:val="left"/>
      </w:pPr>
      <w:r>
        <w:rPr>
          <w:b/>
          <w:i w:val="0"/>
        </w:rPr>
        <w:t>Figure 6.</w:t>
      </w:r>
    </w:p>
    <w:p>
      <w:pPr>
        <w:keepNext/>
        <w:spacing w:line="240" w:lineRule="auto" w:after="0"/>
        <w:jc w:val="left"/>
      </w:pPr>
      <w:r>
        <w:rPr>
          <w:b w:val="0"/>
          <w:i/>
        </w:rPr>
        <w:t>Generated Ground Floor Plan of a 2-Storey 6-Classroom School Building</w:t>
      </w:r>
    </w:p>
    <w:p>
      <w:pPr>
        <w:spacing w:line="240" w:lineRule="auto" w:after="200"/>
        <w:jc w:val="center"/>
      </w:pPr>
      <w:r>
        <w:drawing>
          <wp:inline xmlns:a="http://schemas.openxmlformats.org/drawingml/2006/main" xmlns:pic="http://schemas.openxmlformats.org/drawingml/2006/picture">
            <wp:extent cx="5669280" cy="2245907"/>
            <wp:docPr id="58" name="Picture 58"/>
            <wp:cNvGraphicFramePr>
              <a:graphicFrameLocks noChangeAspect="1"/>
            </wp:cNvGraphicFramePr>
            <a:graphic>
              <a:graphicData uri="http://schemas.openxmlformats.org/drawingml/2006/picture">
                <pic:pic>
                  <pic:nvPicPr>
                    <pic:cNvPr id="0" name="plan_school_gf.png"/>
                    <pic:cNvPicPr/>
                  </pic:nvPicPr>
                  <pic:blipFill>
                    <a:blip r:embed="rId42"/>
                    <a:stretch>
                      <a:fillRect/>
                    </a:stretch>
                  </pic:blipFill>
                  <pic:spPr>
                    <a:xfrm>
                      <a:off x="0" y="0"/>
                      <a:ext cx="5669280" cy="2245907"/>
                    </a:xfrm>
                    <a:prstGeom prst="rect"/>
                  </pic:spPr>
                </pic:pic>
              </a:graphicData>
            </a:graphic>
          </wp:inline>
        </w:drawing>
      </w:r>
    </w:p>
    <w:p>
      <w:pPr>
        <w:keepNext/>
        <w:spacing w:line="240" w:lineRule="auto" w:after="0" w:before="120"/>
        <w:jc w:val="left"/>
      </w:pPr>
      <w:r>
        <w:rPr>
          <w:b/>
          <w:i w:val="0"/>
        </w:rPr>
        <w:t>Figure 7.</w:t>
      </w:r>
    </w:p>
    <w:p>
      <w:pPr>
        <w:keepNext/>
        <w:spacing w:line="240" w:lineRule="auto" w:after="0"/>
        <w:jc w:val="left"/>
      </w:pPr>
      <w:r>
        <w:rPr>
          <w:b w:val="0"/>
          <w:i/>
        </w:rPr>
        <w:t>Generated Ground Floor Plan of a 25-Bed Community Hospital</w:t>
      </w:r>
    </w:p>
    <w:p>
      <w:pPr>
        <w:spacing w:line="240" w:lineRule="auto" w:after="200"/>
        <w:jc w:val="center"/>
      </w:pPr>
      <w:r>
        <w:drawing>
          <wp:inline xmlns:a="http://schemas.openxmlformats.org/drawingml/2006/main" xmlns:pic="http://schemas.openxmlformats.org/drawingml/2006/picture">
            <wp:extent cx="5669280" cy="3205324"/>
            <wp:docPr id="59" name="Picture 59"/>
            <wp:cNvGraphicFramePr>
              <a:graphicFrameLocks noChangeAspect="1"/>
            </wp:cNvGraphicFramePr>
            <a:graphic>
              <a:graphicData uri="http://schemas.openxmlformats.org/drawingml/2006/picture">
                <pic:pic>
                  <pic:nvPicPr>
                    <pic:cNvPr id="0" name="plan_hospital_gf.png"/>
                    <pic:cNvPicPr/>
                  </pic:nvPicPr>
                  <pic:blipFill>
                    <a:blip r:embed="rId43"/>
                    <a:stretch>
                      <a:fillRect/>
                    </a:stretch>
                  </pic:blipFill>
                  <pic:spPr>
                    <a:xfrm>
                      <a:off x="0" y="0"/>
                      <a:ext cx="5669280" cy="3205324"/>
                    </a:xfrm>
                    <a:prstGeom prst="rect"/>
                  </pic:spPr>
                </pic:pic>
              </a:graphicData>
            </a:graphic>
          </wp:inline>
        </w:drawing>
      </w:r>
    </w:p>
    <w:p>
      <w:pPr>
        <w:spacing w:line="480" w:lineRule="auto" w:after="0"/>
        <w:ind w:firstLine="720"/>
        <w:jc w:val="both"/>
      </w:pPr>
      <w:r>
        <w:rPr>
          <w:b w:val="0"/>
          <w:i w:val="0"/>
        </w:rPr>
        <w:t>Figures 6 and 7 show two generated plans with their structural grid, room labels and areas, and overall dimensions. The school places 7 × 9 m classrooms in one row along an open 2.5 m corridor with a stair and a toilet block; the hospital places consultation, treatment, laboratory and waiting areas on a double-loaded 2.4 m corridor on the ground floor and its wards upstairs, giving 25 beds. Figures 8 and 9 show an open-plan evacuation center and a public market, folded into parallel rows so that neither exceeds 48 m per row.</w:t>
      </w:r>
    </w:p>
    <w:p>
      <w:pPr>
        <w:keepNext/>
        <w:spacing w:line="240" w:lineRule="auto" w:after="0" w:before="120"/>
        <w:jc w:val="left"/>
      </w:pPr>
      <w:r>
        <w:rPr>
          <w:b/>
          <w:i w:val="0"/>
        </w:rPr>
        <w:t>Figure 8.</w:t>
      </w:r>
    </w:p>
    <w:p>
      <w:pPr>
        <w:keepNext/>
        <w:spacing w:line="240" w:lineRule="auto" w:after="0"/>
        <w:jc w:val="left"/>
      </w:pPr>
      <w:r>
        <w:rPr>
          <w:b w:val="0"/>
          <w:i/>
        </w:rPr>
        <w:t>Generated Plan of an Evacuation Center for 200 Persons</w:t>
      </w:r>
    </w:p>
    <w:p>
      <w:pPr>
        <w:spacing w:line="240" w:lineRule="auto" w:after="200"/>
        <w:jc w:val="center"/>
      </w:pPr>
      <w:r>
        <w:drawing>
          <wp:inline xmlns:a="http://schemas.openxmlformats.org/drawingml/2006/main" xmlns:pic="http://schemas.openxmlformats.org/drawingml/2006/picture">
            <wp:extent cx="5669280" cy="3685032"/>
            <wp:docPr id="60" name="Picture 60"/>
            <wp:cNvGraphicFramePr>
              <a:graphicFrameLocks noChangeAspect="1"/>
            </wp:cNvGraphicFramePr>
            <a:graphic>
              <a:graphicData uri="http://schemas.openxmlformats.org/drawingml/2006/picture">
                <pic:pic>
                  <pic:nvPicPr>
                    <pic:cNvPr id="0" name="plan_evac.png"/>
                    <pic:cNvPicPr/>
                  </pic:nvPicPr>
                  <pic:blipFill>
                    <a:blip r:embed="rId44"/>
                    <a:stretch>
                      <a:fillRect/>
                    </a:stretch>
                  </pic:blipFill>
                  <pic:spPr>
                    <a:xfrm>
                      <a:off x="0" y="0"/>
                      <a:ext cx="5669280" cy="3685032"/>
                    </a:xfrm>
                    <a:prstGeom prst="rect"/>
                  </pic:spPr>
                </pic:pic>
              </a:graphicData>
            </a:graphic>
          </wp:inline>
        </w:drawing>
      </w:r>
    </w:p>
    <w:p>
      <w:pPr>
        <w:keepNext/>
        <w:spacing w:line="240" w:lineRule="auto" w:after="0" w:before="120"/>
        <w:jc w:val="left"/>
      </w:pPr>
      <w:r>
        <w:rPr>
          <w:b/>
          <w:i w:val="0"/>
        </w:rPr>
        <w:t>Figure 9.</w:t>
      </w:r>
    </w:p>
    <w:p>
      <w:pPr>
        <w:keepNext/>
        <w:spacing w:line="240" w:lineRule="auto" w:after="0"/>
        <w:jc w:val="left"/>
      </w:pPr>
      <w:r>
        <w:rPr>
          <w:b w:val="0"/>
          <w:i/>
        </w:rPr>
        <w:t>Generated Plan of a 100-Stall Public Market</w:t>
      </w:r>
    </w:p>
    <w:p>
      <w:pPr>
        <w:spacing w:line="240" w:lineRule="auto" w:after="200"/>
        <w:jc w:val="center"/>
      </w:pPr>
      <w:r>
        <w:drawing>
          <wp:inline xmlns:a="http://schemas.openxmlformats.org/drawingml/2006/main" xmlns:pic="http://schemas.openxmlformats.org/drawingml/2006/picture">
            <wp:extent cx="5669280" cy="3763530"/>
            <wp:docPr id="61" name="Picture 61"/>
            <wp:cNvGraphicFramePr>
              <a:graphicFrameLocks noChangeAspect="1"/>
            </wp:cNvGraphicFramePr>
            <a:graphic>
              <a:graphicData uri="http://schemas.openxmlformats.org/drawingml/2006/picture">
                <pic:pic>
                  <pic:nvPicPr>
                    <pic:cNvPr id="0" name="plan_market.png"/>
                    <pic:cNvPicPr/>
                  </pic:nvPicPr>
                  <pic:blipFill>
                    <a:blip r:embed="rId45"/>
                    <a:stretch>
                      <a:fillRect/>
                    </a:stretch>
                  </pic:blipFill>
                  <pic:spPr>
                    <a:xfrm>
                      <a:off x="0" y="0"/>
                      <a:ext cx="5669280" cy="3763530"/>
                    </a:xfrm>
                    <a:prstGeom prst="rect"/>
                  </pic:spPr>
                </pic:pic>
              </a:graphicData>
            </a:graphic>
          </wp:inline>
        </w:drawing>
      </w:r>
    </w:p>
    <w:p>
      <w:pPr>
        <w:keepNext/>
        <w:spacing w:line="480" w:lineRule="auto" w:after="0"/>
        <w:ind w:left="720"/>
        <w:jc w:val="left"/>
      </w:pPr>
      <w:r>
        <w:rPr>
          <w:b/>
          <w:i w:val="0"/>
        </w:rPr>
        <w:t>b.) Budget-to-Design Optimization</w:t>
      </w:r>
    </w:p>
    <w:p>
      <w:pPr>
        <w:keepNext/>
        <w:spacing w:line="240" w:lineRule="auto" w:after="0" w:before="120"/>
        <w:jc w:val="left"/>
      </w:pPr>
      <w:r>
        <w:rPr>
          <w:b/>
          <w:i w:val="0"/>
        </w:rPr>
        <w:t>Table 14.</w:t>
      </w:r>
    </w:p>
    <w:p>
      <w:pPr>
        <w:keepNext/>
        <w:spacing w:line="240" w:lineRule="auto" w:after="0"/>
        <w:jc w:val="left"/>
      </w:pPr>
      <w:r>
        <w:rPr>
          <w:b w:val="0"/>
          <w:i/>
        </w:rPr>
        <w:t>Budget-to-Design Results (Lean Start Quotation, Albay 2025, Lot ≤ 60 m)</w:t>
      </w:r>
    </w:p>
    <w:tbl>
      <w:tblPr>
        <w:tblW w:type="auto" w:w="0"/>
        <w:jc w:val="center"/>
        <w:tblLayout w:type="fixed"/>
        <w:tblLook w:firstColumn="1" w:firstRow="1" w:lastColumn="0" w:lastRow="0" w:noHBand="0" w:noVBand="1" w:val="04A0"/>
        <w:tblLayout w:type="fixed"/>
      </w:tblPr>
      <w:tblGrid>
        <w:gridCol w:w="2160"/>
        <w:gridCol w:w="1080"/>
        <w:gridCol w:w="1944"/>
        <w:gridCol w:w="1080"/>
        <w:gridCol w:w="792"/>
        <w:gridCol w:w="936"/>
        <w:gridCol w:w="1080"/>
        <w:gridCol w:w="648"/>
      </w:tblGrid>
      <w:tr>
        <w:tc>
          <w:tcPr>
            <w:tcW w:type="dxa" w:w="2160"/>
            <w:tcBorders>
              <w:top w:val="single" w:sz="12" w:color="000000"/>
              <w:bottom w:val="single" w:sz="8" w:color="000000"/>
            </w:tcBorders>
          </w:tcPr>
          <w:p>
            <w:pPr>
              <w:spacing w:line="240" w:lineRule="auto" w:before="40" w:after="40"/>
              <w:jc w:val="center"/>
            </w:pPr>
            <w:r/>
            <w:r>
              <w:rPr>
                <w:b/>
                <w:i w:val="0"/>
                <w:sz w:val="16"/>
              </w:rPr>
              <w:t>FACILITY</w:t>
            </w:r>
          </w:p>
        </w:tc>
        <w:tc>
          <w:tcPr>
            <w:tcW w:type="dxa" w:w="1080"/>
            <w:tcBorders>
              <w:top w:val="single" w:sz="12" w:color="000000"/>
              <w:bottom w:val="single" w:sz="8" w:color="000000"/>
            </w:tcBorders>
          </w:tcPr>
          <w:p>
            <w:pPr>
              <w:spacing w:line="240" w:lineRule="auto" w:before="40" w:after="40"/>
              <w:jc w:val="center"/>
            </w:pPr>
            <w:r/>
            <w:r>
              <w:rPr>
                <w:b/>
                <w:i w:val="0"/>
                <w:sz w:val="16"/>
              </w:rPr>
              <w:t>BUDGET (₱M)</w:t>
            </w:r>
          </w:p>
        </w:tc>
        <w:tc>
          <w:tcPr>
            <w:tcW w:type="dxa" w:w="1944"/>
            <w:tcBorders>
              <w:top w:val="single" w:sz="12" w:color="000000"/>
              <w:bottom w:val="single" w:sz="8" w:color="000000"/>
            </w:tcBorders>
          </w:tcPr>
          <w:p>
            <w:pPr>
              <w:spacing w:line="240" w:lineRule="auto" w:before="40" w:after="40"/>
              <w:jc w:val="center"/>
            </w:pPr>
            <w:r/>
            <w:r>
              <w:rPr>
                <w:b/>
                <w:i w:val="0"/>
                <w:sz w:val="16"/>
              </w:rPr>
              <w:t>LARGEST DESIGN</w:t>
            </w:r>
          </w:p>
        </w:tc>
        <w:tc>
          <w:tcPr>
            <w:tcW w:type="dxa" w:w="1080"/>
            <w:tcBorders>
              <w:top w:val="single" w:sz="12" w:color="000000"/>
              <w:bottom w:val="single" w:sz="8" w:color="000000"/>
            </w:tcBorders>
          </w:tcPr>
          <w:p>
            <w:pPr>
              <w:spacing w:line="240" w:lineRule="auto" w:before="40" w:after="40"/>
              <w:jc w:val="center"/>
            </w:pPr>
            <w:r/>
            <w:r>
              <w:rPr>
                <w:b/>
                <w:i w:val="0"/>
                <w:sz w:val="16"/>
              </w:rPr>
              <w:t>START (₱M)</w:t>
            </w:r>
          </w:p>
        </w:tc>
        <w:tc>
          <w:tcPr>
            <w:tcW w:type="dxa" w:w="792"/>
            <w:tcBorders>
              <w:top w:val="single" w:sz="12" w:color="000000"/>
              <w:bottom w:val="single" w:sz="8" w:color="000000"/>
            </w:tcBorders>
          </w:tcPr>
          <w:p>
            <w:pPr>
              <w:spacing w:line="240" w:lineRule="auto" w:before="40" w:after="40"/>
              <w:jc w:val="center"/>
            </w:pPr>
            <w:r/>
            <w:r>
              <w:rPr>
                <w:b/>
                <w:i w:val="0"/>
                <w:sz w:val="16"/>
              </w:rPr>
              <w:t>USED</w:t>
            </w:r>
          </w:p>
        </w:tc>
        <w:tc>
          <w:tcPr>
            <w:tcW w:type="dxa" w:w="936"/>
            <w:tcBorders>
              <w:top w:val="single" w:sz="12" w:color="000000"/>
              <w:bottom w:val="single" w:sz="8" w:color="000000"/>
            </w:tcBorders>
          </w:tcPr>
          <w:p>
            <w:pPr>
              <w:spacing w:line="240" w:lineRule="auto" w:before="40" w:after="40"/>
              <w:jc w:val="center"/>
            </w:pPr>
            <w:r/>
            <w:r>
              <w:rPr>
                <w:b/>
                <w:i w:val="0"/>
                <w:sz w:val="16"/>
              </w:rPr>
              <w:t>OPTIONS</w:t>
            </w:r>
          </w:p>
        </w:tc>
        <w:tc>
          <w:tcPr>
            <w:tcW w:type="dxa" w:w="1080"/>
            <w:tcBorders>
              <w:top w:val="single" w:sz="12" w:color="000000"/>
              <w:bottom w:val="single" w:sz="8" w:color="000000"/>
            </w:tcBorders>
          </w:tcPr>
          <w:p>
            <w:pPr>
              <w:spacing w:line="240" w:lineRule="auto" w:before="40" w:after="40"/>
              <w:jc w:val="center"/>
            </w:pPr>
            <w:r/>
            <w:r>
              <w:rPr>
                <w:b/>
                <w:i w:val="0"/>
                <w:sz w:val="16"/>
              </w:rPr>
              <w:t>EVALUATED</w:t>
            </w:r>
          </w:p>
        </w:tc>
        <w:tc>
          <w:tcPr>
            <w:tcW w:type="dxa" w:w="648"/>
            <w:tcBorders>
              <w:top w:val="single" w:sz="12" w:color="000000"/>
              <w:bottom w:val="single" w:sz="8" w:color="000000"/>
            </w:tcBorders>
          </w:tcPr>
          <w:p>
            <w:pPr>
              <w:spacing w:line="240" w:lineRule="auto" w:before="40" w:after="40"/>
              <w:jc w:val="center"/>
            </w:pPr>
            <w:r/>
            <w:r>
              <w:rPr>
                <w:b/>
                <w:i w:val="0"/>
                <w:sz w:val="16"/>
              </w:rPr>
              <w:t>ms</w:t>
            </w:r>
          </w:p>
        </w:tc>
      </w:tr>
      <w:tr>
        <w:tc>
          <w:tcPr>
            <w:tcW w:type="dxa" w:w="2160"/>
            <w:shd w:val="clear" w:color="auto" w:fill="EFEFEF"/>
          </w:tcPr>
          <w:p>
            <w:pPr>
              <w:spacing w:line="240" w:lineRule="auto" w:before="40" w:after="40"/>
              <w:jc w:val="left"/>
            </w:pPr>
            <w:r/>
            <w:r>
              <w:rPr>
                <w:b w:val="0"/>
                <w:i w:val="0"/>
                <w:sz w:val="16"/>
              </w:rPr>
              <w:t>School building</w:t>
            </w:r>
          </w:p>
        </w:tc>
        <w:tc>
          <w:tcPr>
            <w:tcW w:type="dxa" w:w="1080"/>
            <w:shd w:val="clear" w:color="auto" w:fill="EFEFEF"/>
          </w:tcPr>
          <w:p>
            <w:pPr>
              <w:spacing w:line="240" w:lineRule="auto" w:before="40" w:after="40"/>
              <w:jc w:val="center"/>
            </w:pPr>
            <w:r/>
            <w:r>
              <w:rPr>
                <w:b w:val="0"/>
                <w:i w:val="0"/>
                <w:sz w:val="16"/>
              </w:rPr>
              <w:t>10</w:t>
            </w:r>
          </w:p>
        </w:tc>
        <w:tc>
          <w:tcPr>
            <w:tcW w:type="dxa" w:w="1944"/>
            <w:shd w:val="clear" w:color="auto" w:fill="EFEFEF"/>
          </w:tcPr>
          <w:p>
            <w:pPr>
              <w:spacing w:line="240" w:lineRule="auto" w:before="40" w:after="40"/>
              <w:jc w:val="center"/>
            </w:pPr>
            <w:r/>
            <w:r>
              <w:rPr>
                <w:b w:val="0"/>
                <w:i w:val="0"/>
                <w:sz w:val="16"/>
              </w:rPr>
              <w:t>4 classrooms, 1 st.</w:t>
            </w:r>
          </w:p>
        </w:tc>
        <w:tc>
          <w:tcPr>
            <w:tcW w:type="dxa" w:w="1080"/>
            <w:shd w:val="clear" w:color="auto" w:fill="EFEFEF"/>
          </w:tcPr>
          <w:p>
            <w:pPr>
              <w:spacing w:line="240" w:lineRule="auto" w:before="40" w:after="40"/>
              <w:jc w:val="center"/>
            </w:pPr>
            <w:r/>
            <w:r>
              <w:rPr>
                <w:b w:val="0"/>
                <w:i w:val="0"/>
                <w:sz w:val="16"/>
              </w:rPr>
              <w:t>9.82</w:t>
            </w:r>
          </w:p>
        </w:tc>
        <w:tc>
          <w:tcPr>
            <w:tcW w:type="dxa" w:w="792"/>
            <w:shd w:val="clear" w:color="auto" w:fill="EFEFEF"/>
          </w:tcPr>
          <w:p>
            <w:pPr>
              <w:spacing w:line="240" w:lineRule="auto" w:before="40" w:after="40"/>
              <w:jc w:val="center"/>
            </w:pPr>
            <w:r/>
            <w:r>
              <w:rPr>
                <w:b w:val="0"/>
                <w:i w:val="0"/>
                <w:sz w:val="16"/>
              </w:rPr>
              <w:t>98%</w:t>
            </w:r>
          </w:p>
        </w:tc>
        <w:tc>
          <w:tcPr>
            <w:tcW w:type="dxa" w:w="936"/>
            <w:shd w:val="clear" w:color="auto" w:fill="EFEFEF"/>
          </w:tcPr>
          <w:p>
            <w:pPr>
              <w:spacing w:line="240" w:lineRule="auto" w:before="40" w:after="40"/>
              <w:jc w:val="center"/>
            </w:pPr>
            <w:r/>
            <w:r>
              <w:rPr>
                <w:b w:val="0"/>
                <w:i w:val="0"/>
                <w:sz w:val="16"/>
              </w:rPr>
              <w:t>2</w:t>
            </w:r>
          </w:p>
        </w:tc>
        <w:tc>
          <w:tcPr>
            <w:tcW w:type="dxa" w:w="1080"/>
            <w:shd w:val="clear" w:color="auto" w:fill="EFEFEF"/>
          </w:tcPr>
          <w:p>
            <w:pPr>
              <w:spacing w:line="240" w:lineRule="auto" w:before="40" w:after="40"/>
              <w:jc w:val="center"/>
            </w:pPr>
            <w:r/>
            <w:r>
              <w:rPr>
                <w:b w:val="0"/>
                <w:i w:val="0"/>
                <w:sz w:val="16"/>
              </w:rPr>
              <w:t>21</w:t>
            </w:r>
          </w:p>
        </w:tc>
        <w:tc>
          <w:tcPr>
            <w:tcW w:type="dxa" w:w="648"/>
            <w:shd w:val="clear" w:color="auto" w:fill="EFEFEF"/>
          </w:tcPr>
          <w:p>
            <w:pPr>
              <w:spacing w:line="240" w:lineRule="auto" w:before="40" w:after="40"/>
              <w:jc w:val="center"/>
            </w:pPr>
            <w:r/>
            <w:r>
              <w:rPr>
                <w:b w:val="0"/>
                <w:i w:val="0"/>
                <w:sz w:val="16"/>
              </w:rPr>
              <w:t>2.2</w:t>
            </w:r>
          </w:p>
        </w:tc>
      </w:tr>
      <w:tr>
        <w:tc>
          <w:tcPr>
            <w:tcW w:type="dxa" w:w="2160"/>
          </w:tcPr>
          <w:p>
            <w:pPr>
              <w:spacing w:line="240" w:lineRule="auto" w:before="40" w:after="40"/>
              <w:jc w:val="left"/>
            </w:pPr>
            <w:r/>
            <w:r>
              <w:rPr>
                <w:b w:val="0"/>
                <w:i w:val="0"/>
                <w:sz w:val="16"/>
              </w:rPr>
              <w:t>School building</w:t>
            </w:r>
          </w:p>
        </w:tc>
        <w:tc>
          <w:tcPr>
            <w:tcW w:type="dxa" w:w="1080"/>
          </w:tcPr>
          <w:p>
            <w:pPr>
              <w:spacing w:line="240" w:lineRule="auto" w:before="40" w:after="40"/>
              <w:jc w:val="center"/>
            </w:pPr>
            <w:r/>
            <w:r>
              <w:rPr>
                <w:b w:val="0"/>
                <w:i w:val="0"/>
                <w:sz w:val="16"/>
              </w:rPr>
              <w:t>25</w:t>
            </w:r>
          </w:p>
        </w:tc>
        <w:tc>
          <w:tcPr>
            <w:tcW w:type="dxa" w:w="1944"/>
          </w:tcPr>
          <w:p>
            <w:pPr>
              <w:spacing w:line="240" w:lineRule="auto" w:before="40" w:after="40"/>
              <w:jc w:val="center"/>
            </w:pPr>
            <w:r/>
            <w:r>
              <w:rPr>
                <w:b w:val="0"/>
                <w:i w:val="0"/>
                <w:sz w:val="16"/>
              </w:rPr>
              <w:t>9 classrooms, 2 st.</w:t>
            </w:r>
          </w:p>
        </w:tc>
        <w:tc>
          <w:tcPr>
            <w:tcW w:type="dxa" w:w="1080"/>
          </w:tcPr>
          <w:p>
            <w:pPr>
              <w:spacing w:line="240" w:lineRule="auto" w:before="40" w:after="40"/>
              <w:jc w:val="center"/>
            </w:pPr>
            <w:r/>
            <w:r>
              <w:rPr>
                <w:b w:val="0"/>
                <w:i w:val="0"/>
                <w:sz w:val="16"/>
              </w:rPr>
              <w:t>23.45</w:t>
            </w:r>
          </w:p>
        </w:tc>
        <w:tc>
          <w:tcPr>
            <w:tcW w:type="dxa" w:w="792"/>
          </w:tcPr>
          <w:p>
            <w:pPr>
              <w:spacing w:line="240" w:lineRule="auto" w:before="40" w:after="40"/>
              <w:jc w:val="center"/>
            </w:pPr>
            <w:r/>
            <w:r>
              <w:rPr>
                <w:b w:val="0"/>
                <w:i w:val="0"/>
                <w:sz w:val="16"/>
              </w:rPr>
              <w:t>94%</w:t>
            </w:r>
          </w:p>
        </w:tc>
        <w:tc>
          <w:tcPr>
            <w:tcW w:type="dxa" w:w="936"/>
          </w:tcPr>
          <w:p>
            <w:pPr>
              <w:spacing w:line="240" w:lineRule="auto" w:before="40" w:after="40"/>
              <w:jc w:val="center"/>
            </w:pPr>
            <w:r/>
            <w:r>
              <w:rPr>
                <w:b w:val="0"/>
                <w:i w:val="0"/>
                <w:sz w:val="16"/>
              </w:rPr>
              <w:t>3</w:t>
            </w:r>
          </w:p>
        </w:tc>
        <w:tc>
          <w:tcPr>
            <w:tcW w:type="dxa" w:w="1080"/>
          </w:tcPr>
          <w:p>
            <w:pPr>
              <w:spacing w:line="240" w:lineRule="auto" w:before="40" w:after="40"/>
              <w:jc w:val="center"/>
            </w:pPr>
            <w:r/>
            <w:r>
              <w:rPr>
                <w:b w:val="0"/>
                <w:i w:val="0"/>
                <w:sz w:val="16"/>
              </w:rPr>
              <w:t>54</w:t>
            </w:r>
          </w:p>
        </w:tc>
        <w:tc>
          <w:tcPr>
            <w:tcW w:type="dxa" w:w="648"/>
          </w:tcPr>
          <w:p>
            <w:pPr>
              <w:spacing w:line="240" w:lineRule="auto" w:before="40" w:after="40"/>
              <w:jc w:val="center"/>
            </w:pPr>
            <w:r/>
            <w:r>
              <w:rPr>
                <w:b w:val="0"/>
                <w:i w:val="0"/>
                <w:sz w:val="16"/>
              </w:rPr>
              <w:t>4.8</w:t>
            </w:r>
          </w:p>
        </w:tc>
      </w:tr>
      <w:tr>
        <w:tc>
          <w:tcPr>
            <w:tcW w:type="dxa" w:w="2160"/>
            <w:shd w:val="clear" w:color="auto" w:fill="EFEFEF"/>
          </w:tcPr>
          <w:p>
            <w:pPr>
              <w:spacing w:line="240" w:lineRule="auto" w:before="40" w:after="40"/>
              <w:jc w:val="left"/>
            </w:pPr>
            <w:r/>
            <w:r>
              <w:rPr>
                <w:b w:val="0"/>
                <w:i w:val="0"/>
                <w:sz w:val="16"/>
              </w:rPr>
              <w:t>School building</w:t>
            </w:r>
          </w:p>
        </w:tc>
        <w:tc>
          <w:tcPr>
            <w:tcW w:type="dxa" w:w="1080"/>
            <w:shd w:val="clear" w:color="auto" w:fill="EFEFEF"/>
          </w:tcPr>
          <w:p>
            <w:pPr>
              <w:spacing w:line="240" w:lineRule="auto" w:before="40" w:after="40"/>
              <w:jc w:val="center"/>
            </w:pPr>
            <w:r/>
            <w:r>
              <w:rPr>
                <w:b w:val="0"/>
                <w:i w:val="0"/>
                <w:sz w:val="16"/>
              </w:rPr>
              <w:t>50</w:t>
            </w:r>
          </w:p>
        </w:tc>
        <w:tc>
          <w:tcPr>
            <w:tcW w:type="dxa" w:w="1944"/>
            <w:shd w:val="clear" w:color="auto" w:fill="EFEFEF"/>
          </w:tcPr>
          <w:p>
            <w:pPr>
              <w:spacing w:line="240" w:lineRule="auto" w:before="40" w:after="40"/>
              <w:jc w:val="center"/>
            </w:pPr>
            <w:r/>
            <w:r>
              <w:rPr>
                <w:b w:val="0"/>
                <w:i w:val="0"/>
                <w:sz w:val="16"/>
              </w:rPr>
              <w:t>15 classrooms, 4 st.</w:t>
            </w:r>
          </w:p>
        </w:tc>
        <w:tc>
          <w:tcPr>
            <w:tcW w:type="dxa" w:w="1080"/>
            <w:shd w:val="clear" w:color="auto" w:fill="EFEFEF"/>
          </w:tcPr>
          <w:p>
            <w:pPr>
              <w:spacing w:line="240" w:lineRule="auto" w:before="40" w:after="40"/>
              <w:jc w:val="center"/>
            </w:pPr>
            <w:r/>
            <w:r>
              <w:rPr>
                <w:b w:val="0"/>
                <w:i w:val="0"/>
                <w:sz w:val="16"/>
              </w:rPr>
              <w:t>45.58</w:t>
            </w:r>
          </w:p>
        </w:tc>
        <w:tc>
          <w:tcPr>
            <w:tcW w:type="dxa" w:w="792"/>
            <w:shd w:val="clear" w:color="auto" w:fill="EFEFEF"/>
          </w:tcPr>
          <w:p>
            <w:pPr>
              <w:spacing w:line="240" w:lineRule="auto" w:before="40" w:after="40"/>
              <w:jc w:val="center"/>
            </w:pPr>
            <w:r/>
            <w:r>
              <w:rPr>
                <w:b w:val="0"/>
                <w:i w:val="0"/>
                <w:sz w:val="16"/>
              </w:rPr>
              <w:t>91%</w:t>
            </w:r>
          </w:p>
        </w:tc>
        <w:tc>
          <w:tcPr>
            <w:tcW w:type="dxa" w:w="936"/>
            <w:shd w:val="clear" w:color="auto" w:fill="EFEFEF"/>
          </w:tcPr>
          <w:p>
            <w:pPr>
              <w:spacing w:line="240" w:lineRule="auto" w:before="40" w:after="40"/>
              <w:jc w:val="center"/>
            </w:pPr>
            <w:r/>
            <w:r>
              <w:rPr>
                <w:b w:val="0"/>
                <w:i w:val="0"/>
                <w:sz w:val="16"/>
              </w:rPr>
              <w:t>4</w:t>
            </w:r>
          </w:p>
        </w:tc>
        <w:tc>
          <w:tcPr>
            <w:tcW w:type="dxa" w:w="1080"/>
            <w:shd w:val="clear" w:color="auto" w:fill="EFEFEF"/>
          </w:tcPr>
          <w:p>
            <w:pPr>
              <w:spacing w:line="240" w:lineRule="auto" w:before="40" w:after="40"/>
              <w:jc w:val="center"/>
            </w:pPr>
            <w:r/>
            <w:r>
              <w:rPr>
                <w:b w:val="0"/>
                <w:i w:val="0"/>
                <w:sz w:val="16"/>
              </w:rPr>
              <w:t>130</w:t>
            </w:r>
          </w:p>
        </w:tc>
        <w:tc>
          <w:tcPr>
            <w:tcW w:type="dxa" w:w="648"/>
            <w:shd w:val="clear" w:color="auto" w:fill="EFEFEF"/>
          </w:tcPr>
          <w:p>
            <w:pPr>
              <w:spacing w:line="240" w:lineRule="auto" w:before="40" w:after="40"/>
              <w:jc w:val="center"/>
            </w:pPr>
            <w:r/>
            <w:r>
              <w:rPr>
                <w:b w:val="0"/>
                <w:i w:val="0"/>
                <w:sz w:val="16"/>
              </w:rPr>
              <w:t>13.3</w:t>
            </w:r>
          </w:p>
        </w:tc>
      </w:tr>
      <w:tr>
        <w:tc>
          <w:tcPr>
            <w:tcW w:type="dxa" w:w="2160"/>
          </w:tcPr>
          <w:p>
            <w:pPr>
              <w:spacing w:line="240" w:lineRule="auto" w:before="40" w:after="40"/>
              <w:jc w:val="left"/>
            </w:pPr>
            <w:r/>
            <w:r>
              <w:rPr>
                <w:b w:val="0"/>
                <w:i w:val="0"/>
                <w:sz w:val="16"/>
              </w:rPr>
              <w:t>School building</w:t>
            </w:r>
          </w:p>
        </w:tc>
        <w:tc>
          <w:tcPr>
            <w:tcW w:type="dxa" w:w="1080"/>
          </w:tcPr>
          <w:p>
            <w:pPr>
              <w:spacing w:line="240" w:lineRule="auto" w:before="40" w:after="40"/>
              <w:jc w:val="center"/>
            </w:pPr>
            <w:r/>
            <w:r>
              <w:rPr>
                <w:b w:val="0"/>
                <w:i w:val="0"/>
                <w:sz w:val="16"/>
              </w:rPr>
              <w:t>80</w:t>
            </w:r>
          </w:p>
        </w:tc>
        <w:tc>
          <w:tcPr>
            <w:tcW w:type="dxa" w:w="1944"/>
          </w:tcPr>
          <w:p>
            <w:pPr>
              <w:spacing w:line="240" w:lineRule="auto" w:before="40" w:after="40"/>
              <w:jc w:val="center"/>
            </w:pPr>
            <w:r/>
            <w:r>
              <w:rPr>
                <w:b w:val="0"/>
                <w:i w:val="0"/>
                <w:sz w:val="16"/>
              </w:rPr>
              <w:t>15 classrooms, 4 st.</w:t>
            </w:r>
          </w:p>
        </w:tc>
        <w:tc>
          <w:tcPr>
            <w:tcW w:type="dxa" w:w="1080"/>
          </w:tcPr>
          <w:p>
            <w:pPr>
              <w:spacing w:line="240" w:lineRule="auto" w:before="40" w:after="40"/>
              <w:jc w:val="center"/>
            </w:pPr>
            <w:r/>
            <w:r>
              <w:rPr>
                <w:b w:val="0"/>
                <w:i w:val="0"/>
                <w:sz w:val="16"/>
              </w:rPr>
              <w:t>45.58</w:t>
            </w:r>
          </w:p>
        </w:tc>
        <w:tc>
          <w:tcPr>
            <w:tcW w:type="dxa" w:w="792"/>
          </w:tcPr>
          <w:p>
            <w:pPr>
              <w:spacing w:line="240" w:lineRule="auto" w:before="40" w:after="40"/>
              <w:jc w:val="center"/>
            </w:pPr>
            <w:r/>
            <w:r>
              <w:rPr>
                <w:b w:val="0"/>
                <w:i w:val="0"/>
                <w:sz w:val="16"/>
              </w:rPr>
              <w:t>57%</w:t>
            </w:r>
          </w:p>
        </w:tc>
        <w:tc>
          <w:tcPr>
            <w:tcW w:type="dxa" w:w="936"/>
          </w:tcPr>
          <w:p>
            <w:pPr>
              <w:spacing w:line="240" w:lineRule="auto" w:before="40" w:after="40"/>
              <w:jc w:val="center"/>
            </w:pPr>
            <w:r/>
            <w:r>
              <w:rPr>
                <w:b w:val="0"/>
                <w:i w:val="0"/>
                <w:sz w:val="16"/>
              </w:rPr>
              <w:t>4</w:t>
            </w:r>
          </w:p>
        </w:tc>
        <w:tc>
          <w:tcPr>
            <w:tcW w:type="dxa" w:w="1080"/>
          </w:tcPr>
          <w:p>
            <w:pPr>
              <w:spacing w:line="240" w:lineRule="auto" w:before="40" w:after="40"/>
              <w:jc w:val="center"/>
            </w:pPr>
            <w:r/>
            <w:r>
              <w:rPr>
                <w:b w:val="0"/>
                <w:i w:val="0"/>
                <w:sz w:val="16"/>
              </w:rPr>
              <w:t>154</w:t>
            </w:r>
          </w:p>
        </w:tc>
        <w:tc>
          <w:tcPr>
            <w:tcW w:type="dxa" w:w="648"/>
          </w:tcPr>
          <w:p>
            <w:pPr>
              <w:spacing w:line="240" w:lineRule="auto" w:before="40" w:after="40"/>
              <w:jc w:val="center"/>
            </w:pPr>
            <w:r/>
            <w:r>
              <w:rPr>
                <w:b w:val="0"/>
                <w:i w:val="0"/>
                <w:sz w:val="16"/>
              </w:rPr>
              <w:t>9.4</w:t>
            </w:r>
          </w:p>
        </w:tc>
      </w:tr>
      <w:tr>
        <w:tc>
          <w:tcPr>
            <w:tcW w:type="dxa" w:w="2160"/>
            <w:shd w:val="clear" w:color="auto" w:fill="EFEFEF"/>
          </w:tcPr>
          <w:p>
            <w:pPr>
              <w:spacing w:line="240" w:lineRule="auto" w:before="40" w:after="40"/>
              <w:jc w:val="left"/>
            </w:pPr>
            <w:r/>
            <w:r>
              <w:rPr>
                <w:b w:val="0"/>
                <w:i w:val="0"/>
                <w:sz w:val="16"/>
              </w:rPr>
              <w:t>Health facility</w:t>
            </w:r>
          </w:p>
        </w:tc>
        <w:tc>
          <w:tcPr>
            <w:tcW w:type="dxa" w:w="1080"/>
            <w:shd w:val="clear" w:color="auto" w:fill="EFEFEF"/>
          </w:tcPr>
          <w:p>
            <w:pPr>
              <w:spacing w:line="240" w:lineRule="auto" w:before="40" w:after="40"/>
              <w:jc w:val="center"/>
            </w:pPr>
            <w:r/>
            <w:r>
              <w:rPr>
                <w:b w:val="0"/>
                <w:i w:val="0"/>
                <w:sz w:val="16"/>
              </w:rPr>
              <w:t>10</w:t>
            </w:r>
          </w:p>
        </w:tc>
        <w:tc>
          <w:tcPr>
            <w:tcW w:type="dxa" w:w="1944"/>
            <w:shd w:val="clear" w:color="auto" w:fill="EFEFEF"/>
          </w:tcPr>
          <w:p>
            <w:pPr>
              <w:spacing w:line="240" w:lineRule="auto" w:before="40" w:after="40"/>
              <w:jc w:val="center"/>
            </w:pPr>
            <w:r/>
            <w:r>
              <w:rPr>
                <w:b w:val="0"/>
                <w:i w:val="0"/>
                <w:sz w:val="16"/>
              </w:rPr>
              <w:t>6 beds, 1 st.</w:t>
            </w:r>
          </w:p>
        </w:tc>
        <w:tc>
          <w:tcPr>
            <w:tcW w:type="dxa" w:w="1080"/>
            <w:shd w:val="clear" w:color="auto" w:fill="EFEFEF"/>
          </w:tcPr>
          <w:p>
            <w:pPr>
              <w:spacing w:line="240" w:lineRule="auto" w:before="40" w:after="40"/>
              <w:jc w:val="center"/>
            </w:pPr>
            <w:r/>
            <w:r>
              <w:rPr>
                <w:b w:val="0"/>
                <w:i w:val="0"/>
                <w:sz w:val="16"/>
              </w:rPr>
              <w:t>9.49</w:t>
            </w:r>
          </w:p>
        </w:tc>
        <w:tc>
          <w:tcPr>
            <w:tcW w:type="dxa" w:w="792"/>
            <w:shd w:val="clear" w:color="auto" w:fill="EFEFEF"/>
          </w:tcPr>
          <w:p>
            <w:pPr>
              <w:spacing w:line="240" w:lineRule="auto" w:before="40" w:after="40"/>
              <w:jc w:val="center"/>
            </w:pPr>
            <w:r/>
            <w:r>
              <w:rPr>
                <w:b w:val="0"/>
                <w:i w:val="0"/>
                <w:sz w:val="16"/>
              </w:rPr>
              <w:t>95%</w:t>
            </w:r>
          </w:p>
        </w:tc>
        <w:tc>
          <w:tcPr>
            <w:tcW w:type="dxa" w:w="936"/>
            <w:shd w:val="clear" w:color="auto" w:fill="EFEFEF"/>
          </w:tcPr>
          <w:p>
            <w:pPr>
              <w:spacing w:line="240" w:lineRule="auto" w:before="40" w:after="40"/>
              <w:jc w:val="center"/>
            </w:pPr>
            <w:r/>
            <w:r>
              <w:rPr>
                <w:b w:val="0"/>
                <w:i w:val="0"/>
                <w:sz w:val="16"/>
              </w:rPr>
              <w:t>1</w:t>
            </w:r>
          </w:p>
        </w:tc>
        <w:tc>
          <w:tcPr>
            <w:tcW w:type="dxa" w:w="1080"/>
            <w:shd w:val="clear" w:color="auto" w:fill="EFEFEF"/>
          </w:tcPr>
          <w:p>
            <w:pPr>
              <w:spacing w:line="240" w:lineRule="auto" w:before="40" w:after="40"/>
              <w:jc w:val="center"/>
            </w:pPr>
            <w:r/>
            <w:r>
              <w:rPr>
                <w:b w:val="0"/>
                <w:i w:val="0"/>
                <w:sz w:val="16"/>
              </w:rPr>
              <w:t>65</w:t>
            </w:r>
          </w:p>
        </w:tc>
        <w:tc>
          <w:tcPr>
            <w:tcW w:type="dxa" w:w="648"/>
            <w:shd w:val="clear" w:color="auto" w:fill="EFEFEF"/>
          </w:tcPr>
          <w:p>
            <w:pPr>
              <w:spacing w:line="240" w:lineRule="auto" w:before="40" w:after="40"/>
              <w:jc w:val="center"/>
            </w:pPr>
            <w:r/>
            <w:r>
              <w:rPr>
                <w:b w:val="0"/>
                <w:i w:val="0"/>
                <w:sz w:val="16"/>
              </w:rPr>
              <w:t>3.4</w:t>
            </w:r>
          </w:p>
        </w:tc>
      </w:tr>
      <w:tr>
        <w:tc>
          <w:tcPr>
            <w:tcW w:type="dxa" w:w="2160"/>
          </w:tcPr>
          <w:p>
            <w:pPr>
              <w:spacing w:line="240" w:lineRule="auto" w:before="40" w:after="40"/>
              <w:jc w:val="left"/>
            </w:pPr>
            <w:r/>
            <w:r>
              <w:rPr>
                <w:b w:val="0"/>
                <w:i w:val="0"/>
                <w:sz w:val="16"/>
              </w:rPr>
              <w:t>Health facility</w:t>
            </w:r>
          </w:p>
        </w:tc>
        <w:tc>
          <w:tcPr>
            <w:tcW w:type="dxa" w:w="1080"/>
          </w:tcPr>
          <w:p>
            <w:pPr>
              <w:spacing w:line="240" w:lineRule="auto" w:before="40" w:after="40"/>
              <w:jc w:val="center"/>
            </w:pPr>
            <w:r/>
            <w:r>
              <w:rPr>
                <w:b w:val="0"/>
                <w:i w:val="0"/>
                <w:sz w:val="16"/>
              </w:rPr>
              <w:t>25</w:t>
            </w:r>
          </w:p>
        </w:tc>
        <w:tc>
          <w:tcPr>
            <w:tcW w:type="dxa" w:w="1944"/>
          </w:tcPr>
          <w:p>
            <w:pPr>
              <w:spacing w:line="240" w:lineRule="auto" w:before="40" w:after="40"/>
              <w:jc w:val="center"/>
            </w:pPr>
            <w:r/>
            <w:r>
              <w:rPr>
                <w:b w:val="0"/>
                <w:i w:val="0"/>
                <w:sz w:val="16"/>
              </w:rPr>
              <w:t>48 beds, 2 st.</w:t>
            </w:r>
          </w:p>
        </w:tc>
        <w:tc>
          <w:tcPr>
            <w:tcW w:type="dxa" w:w="1080"/>
          </w:tcPr>
          <w:p>
            <w:pPr>
              <w:spacing w:line="240" w:lineRule="auto" w:before="40" w:after="40"/>
              <w:jc w:val="center"/>
            </w:pPr>
            <w:r/>
            <w:r>
              <w:rPr>
                <w:b w:val="0"/>
                <w:i w:val="0"/>
                <w:sz w:val="16"/>
              </w:rPr>
              <w:t>24.98</w:t>
            </w:r>
          </w:p>
        </w:tc>
        <w:tc>
          <w:tcPr>
            <w:tcW w:type="dxa" w:w="792"/>
          </w:tcPr>
          <w:p>
            <w:pPr>
              <w:spacing w:line="240" w:lineRule="auto" w:before="40" w:after="40"/>
              <w:jc w:val="center"/>
            </w:pPr>
            <w:r/>
            <w:r>
              <w:rPr>
                <w:b w:val="0"/>
                <w:i w:val="0"/>
                <w:sz w:val="16"/>
              </w:rPr>
              <w:t>100%</w:t>
            </w:r>
          </w:p>
        </w:tc>
        <w:tc>
          <w:tcPr>
            <w:tcW w:type="dxa" w:w="936"/>
          </w:tcPr>
          <w:p>
            <w:pPr>
              <w:spacing w:line="240" w:lineRule="auto" w:before="40" w:after="40"/>
              <w:jc w:val="center"/>
            </w:pPr>
            <w:r/>
            <w:r>
              <w:rPr>
                <w:b w:val="0"/>
                <w:i w:val="0"/>
                <w:sz w:val="16"/>
              </w:rPr>
              <w:t>3</w:t>
            </w:r>
          </w:p>
        </w:tc>
        <w:tc>
          <w:tcPr>
            <w:tcW w:type="dxa" w:w="1080"/>
          </w:tcPr>
          <w:p>
            <w:pPr>
              <w:spacing w:line="240" w:lineRule="auto" w:before="40" w:after="40"/>
              <w:jc w:val="center"/>
            </w:pPr>
            <w:r/>
            <w:r>
              <w:rPr>
                <w:b w:val="0"/>
                <w:i w:val="0"/>
                <w:sz w:val="16"/>
              </w:rPr>
              <w:t>398</w:t>
            </w:r>
          </w:p>
        </w:tc>
        <w:tc>
          <w:tcPr>
            <w:tcW w:type="dxa" w:w="648"/>
          </w:tcPr>
          <w:p>
            <w:pPr>
              <w:spacing w:line="240" w:lineRule="auto" w:before="40" w:after="40"/>
              <w:jc w:val="center"/>
            </w:pPr>
            <w:r/>
            <w:r>
              <w:rPr>
                <w:b w:val="0"/>
                <w:i w:val="0"/>
                <w:sz w:val="16"/>
              </w:rPr>
              <w:t>23.5</w:t>
            </w:r>
          </w:p>
        </w:tc>
      </w:tr>
      <w:tr>
        <w:tc>
          <w:tcPr>
            <w:tcW w:type="dxa" w:w="2160"/>
            <w:shd w:val="clear" w:color="auto" w:fill="EFEFEF"/>
          </w:tcPr>
          <w:p>
            <w:pPr>
              <w:spacing w:line="240" w:lineRule="auto" w:before="40" w:after="40"/>
              <w:jc w:val="left"/>
            </w:pPr>
            <w:r/>
            <w:r>
              <w:rPr>
                <w:b w:val="0"/>
                <w:i w:val="0"/>
                <w:sz w:val="16"/>
              </w:rPr>
              <w:t>Health facility</w:t>
            </w:r>
          </w:p>
        </w:tc>
        <w:tc>
          <w:tcPr>
            <w:tcW w:type="dxa" w:w="1080"/>
            <w:shd w:val="clear" w:color="auto" w:fill="EFEFEF"/>
          </w:tcPr>
          <w:p>
            <w:pPr>
              <w:spacing w:line="240" w:lineRule="auto" w:before="40" w:after="40"/>
              <w:jc w:val="center"/>
            </w:pPr>
            <w:r/>
            <w:r>
              <w:rPr>
                <w:b w:val="0"/>
                <w:i w:val="0"/>
                <w:sz w:val="16"/>
              </w:rPr>
              <w:t>50</w:t>
            </w:r>
          </w:p>
        </w:tc>
        <w:tc>
          <w:tcPr>
            <w:tcW w:type="dxa" w:w="1944"/>
            <w:shd w:val="clear" w:color="auto" w:fill="EFEFEF"/>
          </w:tcPr>
          <w:p>
            <w:pPr>
              <w:spacing w:line="240" w:lineRule="auto" w:before="40" w:after="40"/>
              <w:jc w:val="center"/>
            </w:pPr>
            <w:r/>
            <w:r>
              <w:rPr>
                <w:b w:val="0"/>
                <w:i w:val="0"/>
                <w:sz w:val="16"/>
              </w:rPr>
              <w:t>150 beds, 3 st.</w:t>
            </w:r>
          </w:p>
        </w:tc>
        <w:tc>
          <w:tcPr>
            <w:tcW w:type="dxa" w:w="1080"/>
            <w:shd w:val="clear" w:color="auto" w:fill="EFEFEF"/>
          </w:tcPr>
          <w:p>
            <w:pPr>
              <w:spacing w:line="240" w:lineRule="auto" w:before="40" w:after="40"/>
              <w:jc w:val="center"/>
            </w:pPr>
            <w:r/>
            <w:r>
              <w:rPr>
                <w:b w:val="0"/>
                <w:i w:val="0"/>
                <w:sz w:val="16"/>
              </w:rPr>
              <w:t>47.80</w:t>
            </w:r>
          </w:p>
        </w:tc>
        <w:tc>
          <w:tcPr>
            <w:tcW w:type="dxa" w:w="792"/>
            <w:shd w:val="clear" w:color="auto" w:fill="EFEFEF"/>
          </w:tcPr>
          <w:p>
            <w:pPr>
              <w:spacing w:line="240" w:lineRule="auto" w:before="40" w:after="40"/>
              <w:jc w:val="center"/>
            </w:pPr>
            <w:r/>
            <w:r>
              <w:rPr>
                <w:b w:val="0"/>
                <w:i w:val="0"/>
                <w:sz w:val="16"/>
              </w:rPr>
              <w:t>96%</w:t>
            </w:r>
          </w:p>
        </w:tc>
        <w:tc>
          <w:tcPr>
            <w:tcW w:type="dxa" w:w="936"/>
            <w:shd w:val="clear" w:color="auto" w:fill="EFEFEF"/>
          </w:tcPr>
          <w:p>
            <w:pPr>
              <w:spacing w:line="240" w:lineRule="auto" w:before="40" w:after="40"/>
              <w:jc w:val="center"/>
            </w:pPr>
            <w:r/>
            <w:r>
              <w:rPr>
                <w:b w:val="0"/>
                <w:i w:val="0"/>
                <w:sz w:val="16"/>
              </w:rPr>
              <w:t>4</w:t>
            </w:r>
          </w:p>
        </w:tc>
        <w:tc>
          <w:tcPr>
            <w:tcW w:type="dxa" w:w="1080"/>
            <w:shd w:val="clear" w:color="auto" w:fill="EFEFEF"/>
          </w:tcPr>
          <w:p>
            <w:pPr>
              <w:spacing w:line="240" w:lineRule="auto" w:before="40" w:after="40"/>
              <w:jc w:val="center"/>
            </w:pPr>
            <w:r/>
            <w:r>
              <w:rPr>
                <w:b w:val="0"/>
                <w:i w:val="0"/>
                <w:sz w:val="16"/>
              </w:rPr>
              <w:t>604</w:t>
            </w:r>
          </w:p>
        </w:tc>
        <w:tc>
          <w:tcPr>
            <w:tcW w:type="dxa" w:w="648"/>
            <w:shd w:val="clear" w:color="auto" w:fill="EFEFEF"/>
          </w:tcPr>
          <w:p>
            <w:pPr>
              <w:spacing w:line="240" w:lineRule="auto" w:before="40" w:after="40"/>
              <w:jc w:val="center"/>
            </w:pPr>
            <w:r/>
            <w:r>
              <w:rPr>
                <w:b w:val="0"/>
                <w:i w:val="0"/>
                <w:sz w:val="16"/>
              </w:rPr>
              <w:t>37.1</w:t>
            </w:r>
          </w:p>
        </w:tc>
      </w:tr>
      <w:tr>
        <w:tc>
          <w:tcPr>
            <w:tcW w:type="dxa" w:w="2160"/>
          </w:tcPr>
          <w:p>
            <w:pPr>
              <w:spacing w:line="240" w:lineRule="auto" w:before="40" w:after="40"/>
              <w:jc w:val="left"/>
            </w:pPr>
            <w:r/>
            <w:r>
              <w:rPr>
                <w:b w:val="0"/>
                <w:i w:val="0"/>
                <w:sz w:val="16"/>
              </w:rPr>
              <w:t>Health facility</w:t>
            </w:r>
          </w:p>
        </w:tc>
        <w:tc>
          <w:tcPr>
            <w:tcW w:type="dxa" w:w="1080"/>
          </w:tcPr>
          <w:p>
            <w:pPr>
              <w:spacing w:line="240" w:lineRule="auto" w:before="40" w:after="40"/>
              <w:jc w:val="center"/>
            </w:pPr>
            <w:r/>
            <w:r>
              <w:rPr>
                <w:b w:val="0"/>
                <w:i w:val="0"/>
                <w:sz w:val="16"/>
              </w:rPr>
              <w:t>80</w:t>
            </w:r>
          </w:p>
        </w:tc>
        <w:tc>
          <w:tcPr>
            <w:tcW w:type="dxa" w:w="1944"/>
          </w:tcPr>
          <w:p>
            <w:pPr>
              <w:spacing w:line="240" w:lineRule="auto" w:before="40" w:after="40"/>
              <w:jc w:val="center"/>
            </w:pPr>
            <w:r/>
            <w:r>
              <w:rPr>
                <w:b w:val="0"/>
                <w:i w:val="0"/>
                <w:sz w:val="16"/>
              </w:rPr>
              <w:t>150 beds, 3 st.</w:t>
            </w:r>
          </w:p>
        </w:tc>
        <w:tc>
          <w:tcPr>
            <w:tcW w:type="dxa" w:w="1080"/>
          </w:tcPr>
          <w:p>
            <w:pPr>
              <w:spacing w:line="240" w:lineRule="auto" w:before="40" w:after="40"/>
              <w:jc w:val="center"/>
            </w:pPr>
            <w:r/>
            <w:r>
              <w:rPr>
                <w:b w:val="0"/>
                <w:i w:val="0"/>
                <w:sz w:val="16"/>
              </w:rPr>
              <w:t>47.80</w:t>
            </w:r>
          </w:p>
        </w:tc>
        <w:tc>
          <w:tcPr>
            <w:tcW w:type="dxa" w:w="792"/>
          </w:tcPr>
          <w:p>
            <w:pPr>
              <w:spacing w:line="240" w:lineRule="auto" w:before="40" w:after="40"/>
              <w:jc w:val="center"/>
            </w:pPr>
            <w:r/>
            <w:r>
              <w:rPr>
                <w:b w:val="0"/>
                <w:i w:val="0"/>
                <w:sz w:val="16"/>
              </w:rPr>
              <w:t>60%</w:t>
            </w:r>
          </w:p>
        </w:tc>
        <w:tc>
          <w:tcPr>
            <w:tcW w:type="dxa" w:w="936"/>
          </w:tcPr>
          <w:p>
            <w:pPr>
              <w:spacing w:line="240" w:lineRule="auto" w:before="40" w:after="40"/>
              <w:jc w:val="center"/>
            </w:pPr>
            <w:r/>
            <w:r>
              <w:rPr>
                <w:b w:val="0"/>
                <w:i w:val="0"/>
                <w:sz w:val="16"/>
              </w:rPr>
              <w:t>3</w:t>
            </w:r>
          </w:p>
        </w:tc>
        <w:tc>
          <w:tcPr>
            <w:tcW w:type="dxa" w:w="1080"/>
          </w:tcPr>
          <w:p>
            <w:pPr>
              <w:spacing w:line="240" w:lineRule="auto" w:before="40" w:after="40"/>
              <w:jc w:val="center"/>
            </w:pPr>
            <w:r/>
            <w:r>
              <w:rPr>
                <w:b w:val="0"/>
                <w:i w:val="0"/>
                <w:sz w:val="16"/>
              </w:rPr>
              <w:t>604</w:t>
            </w:r>
          </w:p>
        </w:tc>
        <w:tc>
          <w:tcPr>
            <w:tcW w:type="dxa" w:w="648"/>
          </w:tcPr>
          <w:p>
            <w:pPr>
              <w:spacing w:line="240" w:lineRule="auto" w:before="40" w:after="40"/>
              <w:jc w:val="center"/>
            </w:pPr>
            <w:r/>
            <w:r>
              <w:rPr>
                <w:b w:val="0"/>
                <w:i w:val="0"/>
                <w:sz w:val="16"/>
              </w:rPr>
              <w:t>24.0</w:t>
            </w:r>
          </w:p>
        </w:tc>
      </w:tr>
      <w:tr>
        <w:tc>
          <w:tcPr>
            <w:tcW w:type="dxa" w:w="2160"/>
            <w:shd w:val="clear" w:color="auto" w:fill="EFEFEF"/>
          </w:tcPr>
          <w:p>
            <w:pPr>
              <w:spacing w:line="240" w:lineRule="auto" w:before="40" w:after="40"/>
              <w:jc w:val="left"/>
            </w:pPr>
            <w:r/>
            <w:r>
              <w:rPr>
                <w:b w:val="0"/>
                <w:i w:val="0"/>
                <w:sz w:val="16"/>
              </w:rPr>
              <w:t>Government office</w:t>
            </w:r>
          </w:p>
        </w:tc>
        <w:tc>
          <w:tcPr>
            <w:tcW w:type="dxa" w:w="1080"/>
            <w:shd w:val="clear" w:color="auto" w:fill="EFEFEF"/>
          </w:tcPr>
          <w:p>
            <w:pPr>
              <w:spacing w:line="240" w:lineRule="auto" w:before="40" w:after="40"/>
              <w:jc w:val="center"/>
            </w:pPr>
            <w:r/>
            <w:r>
              <w:rPr>
                <w:b w:val="0"/>
                <w:i w:val="0"/>
                <w:sz w:val="16"/>
              </w:rPr>
              <w:t>10</w:t>
            </w:r>
          </w:p>
        </w:tc>
        <w:tc>
          <w:tcPr>
            <w:tcW w:type="dxa" w:w="1944"/>
            <w:shd w:val="clear" w:color="auto" w:fill="EFEFEF"/>
          </w:tcPr>
          <w:p>
            <w:pPr>
              <w:spacing w:line="240" w:lineRule="auto" w:before="40" w:after="40"/>
              <w:jc w:val="center"/>
            </w:pPr>
            <w:r/>
            <w:r>
              <w:rPr>
                <w:b w:val="0"/>
                <w:i w:val="0"/>
                <w:sz w:val="16"/>
              </w:rPr>
              <w:t>18 staff, 1 st.</w:t>
            </w:r>
          </w:p>
        </w:tc>
        <w:tc>
          <w:tcPr>
            <w:tcW w:type="dxa" w:w="1080"/>
            <w:shd w:val="clear" w:color="auto" w:fill="EFEFEF"/>
          </w:tcPr>
          <w:p>
            <w:pPr>
              <w:spacing w:line="240" w:lineRule="auto" w:before="40" w:after="40"/>
              <w:jc w:val="center"/>
            </w:pPr>
            <w:r/>
            <w:r>
              <w:rPr>
                <w:b w:val="0"/>
                <w:i w:val="0"/>
                <w:sz w:val="16"/>
              </w:rPr>
              <w:t>8.85</w:t>
            </w:r>
          </w:p>
        </w:tc>
        <w:tc>
          <w:tcPr>
            <w:tcW w:type="dxa" w:w="792"/>
            <w:shd w:val="clear" w:color="auto" w:fill="EFEFEF"/>
          </w:tcPr>
          <w:p>
            <w:pPr>
              <w:spacing w:line="240" w:lineRule="auto" w:before="40" w:after="40"/>
              <w:jc w:val="center"/>
            </w:pPr>
            <w:r/>
            <w:r>
              <w:rPr>
                <w:b w:val="0"/>
                <w:i w:val="0"/>
                <w:sz w:val="16"/>
              </w:rPr>
              <w:t>89%</w:t>
            </w:r>
          </w:p>
        </w:tc>
        <w:tc>
          <w:tcPr>
            <w:tcW w:type="dxa" w:w="936"/>
            <w:shd w:val="clear" w:color="auto" w:fill="EFEFEF"/>
          </w:tcPr>
          <w:p>
            <w:pPr>
              <w:spacing w:line="240" w:lineRule="auto" w:before="40" w:after="40"/>
              <w:jc w:val="center"/>
            </w:pPr>
            <w:r/>
            <w:r>
              <w:rPr>
                <w:b w:val="0"/>
                <w:i w:val="0"/>
                <w:sz w:val="16"/>
              </w:rPr>
              <w:t>1</w:t>
            </w:r>
          </w:p>
        </w:tc>
        <w:tc>
          <w:tcPr>
            <w:tcW w:type="dxa" w:w="1080"/>
            <w:shd w:val="clear" w:color="auto" w:fill="EFEFEF"/>
          </w:tcPr>
          <w:p>
            <w:pPr>
              <w:spacing w:line="240" w:lineRule="auto" w:before="40" w:after="40"/>
              <w:jc w:val="center"/>
            </w:pPr>
            <w:r/>
            <w:r>
              <w:rPr>
                <w:b w:val="0"/>
                <w:i w:val="0"/>
                <w:sz w:val="16"/>
              </w:rPr>
              <w:t>27</w:t>
            </w:r>
          </w:p>
        </w:tc>
        <w:tc>
          <w:tcPr>
            <w:tcW w:type="dxa" w:w="648"/>
            <w:shd w:val="clear" w:color="auto" w:fill="EFEFEF"/>
          </w:tcPr>
          <w:p>
            <w:pPr>
              <w:spacing w:line="240" w:lineRule="auto" w:before="40" w:after="40"/>
              <w:jc w:val="center"/>
            </w:pPr>
            <w:r/>
            <w:r>
              <w:rPr>
                <w:b w:val="0"/>
                <w:i w:val="0"/>
                <w:sz w:val="16"/>
              </w:rPr>
              <w:t>1.0</w:t>
            </w:r>
          </w:p>
        </w:tc>
      </w:tr>
      <w:tr>
        <w:tc>
          <w:tcPr>
            <w:tcW w:type="dxa" w:w="2160"/>
          </w:tcPr>
          <w:p>
            <w:pPr>
              <w:spacing w:line="240" w:lineRule="auto" w:before="40" w:after="40"/>
              <w:jc w:val="left"/>
            </w:pPr>
            <w:r/>
            <w:r>
              <w:rPr>
                <w:b w:val="0"/>
                <w:i w:val="0"/>
                <w:sz w:val="16"/>
              </w:rPr>
              <w:t>Government office</w:t>
            </w:r>
          </w:p>
        </w:tc>
        <w:tc>
          <w:tcPr>
            <w:tcW w:type="dxa" w:w="1080"/>
          </w:tcPr>
          <w:p>
            <w:pPr>
              <w:spacing w:line="240" w:lineRule="auto" w:before="40" w:after="40"/>
              <w:jc w:val="center"/>
            </w:pPr>
            <w:r/>
            <w:r>
              <w:rPr>
                <w:b w:val="0"/>
                <w:i w:val="0"/>
                <w:sz w:val="16"/>
              </w:rPr>
              <w:t>25</w:t>
            </w:r>
          </w:p>
        </w:tc>
        <w:tc>
          <w:tcPr>
            <w:tcW w:type="dxa" w:w="1944"/>
          </w:tcPr>
          <w:p>
            <w:pPr>
              <w:spacing w:line="240" w:lineRule="auto" w:before="40" w:after="40"/>
              <w:jc w:val="center"/>
            </w:pPr>
            <w:r/>
            <w:r>
              <w:rPr>
                <w:b w:val="0"/>
                <w:i w:val="0"/>
                <w:sz w:val="16"/>
              </w:rPr>
              <w:t>60 staff, 1 st.</w:t>
            </w:r>
          </w:p>
        </w:tc>
        <w:tc>
          <w:tcPr>
            <w:tcW w:type="dxa" w:w="1080"/>
          </w:tcPr>
          <w:p>
            <w:pPr>
              <w:spacing w:line="240" w:lineRule="auto" w:before="40" w:after="40"/>
              <w:jc w:val="center"/>
            </w:pPr>
            <w:r/>
            <w:r>
              <w:rPr>
                <w:b w:val="0"/>
                <w:i w:val="0"/>
                <w:sz w:val="16"/>
              </w:rPr>
              <w:t>21.29</w:t>
            </w:r>
          </w:p>
        </w:tc>
        <w:tc>
          <w:tcPr>
            <w:tcW w:type="dxa" w:w="792"/>
          </w:tcPr>
          <w:p>
            <w:pPr>
              <w:spacing w:line="240" w:lineRule="auto" w:before="40" w:after="40"/>
              <w:jc w:val="center"/>
            </w:pPr>
            <w:r/>
            <w:r>
              <w:rPr>
                <w:b w:val="0"/>
                <w:i w:val="0"/>
                <w:sz w:val="16"/>
              </w:rPr>
              <w:t>85%</w:t>
            </w:r>
          </w:p>
        </w:tc>
        <w:tc>
          <w:tcPr>
            <w:tcW w:type="dxa" w:w="936"/>
          </w:tcPr>
          <w:p>
            <w:pPr>
              <w:spacing w:line="240" w:lineRule="auto" w:before="40" w:after="40"/>
              <w:jc w:val="center"/>
            </w:pPr>
            <w:r/>
            <w:r>
              <w:rPr>
                <w:b w:val="0"/>
                <w:i w:val="0"/>
                <w:sz w:val="16"/>
              </w:rPr>
              <w:t>1</w:t>
            </w:r>
          </w:p>
        </w:tc>
        <w:tc>
          <w:tcPr>
            <w:tcW w:type="dxa" w:w="1080"/>
          </w:tcPr>
          <w:p>
            <w:pPr>
              <w:spacing w:line="240" w:lineRule="auto" w:before="40" w:after="40"/>
              <w:jc w:val="center"/>
            </w:pPr>
            <w:r/>
            <w:r>
              <w:rPr>
                <w:b w:val="0"/>
                <w:i w:val="0"/>
                <w:sz w:val="16"/>
              </w:rPr>
              <w:t>90</w:t>
            </w:r>
          </w:p>
        </w:tc>
        <w:tc>
          <w:tcPr>
            <w:tcW w:type="dxa" w:w="648"/>
          </w:tcPr>
          <w:p>
            <w:pPr>
              <w:spacing w:line="240" w:lineRule="auto" w:before="40" w:after="40"/>
              <w:jc w:val="center"/>
            </w:pPr>
            <w:r/>
            <w:r>
              <w:rPr>
                <w:b w:val="0"/>
                <w:i w:val="0"/>
                <w:sz w:val="16"/>
              </w:rPr>
              <w:t>3.2</w:t>
            </w:r>
          </w:p>
        </w:tc>
      </w:tr>
      <w:tr>
        <w:tc>
          <w:tcPr>
            <w:tcW w:type="dxa" w:w="2160"/>
            <w:shd w:val="clear" w:color="auto" w:fill="EFEFEF"/>
          </w:tcPr>
          <w:p>
            <w:pPr>
              <w:spacing w:line="240" w:lineRule="auto" w:before="40" w:after="40"/>
              <w:jc w:val="left"/>
            </w:pPr>
            <w:r/>
            <w:r>
              <w:rPr>
                <w:b w:val="0"/>
                <w:i w:val="0"/>
                <w:sz w:val="16"/>
              </w:rPr>
              <w:t>Government office</w:t>
            </w:r>
          </w:p>
        </w:tc>
        <w:tc>
          <w:tcPr>
            <w:tcW w:type="dxa" w:w="1080"/>
            <w:shd w:val="clear" w:color="auto" w:fill="EFEFEF"/>
          </w:tcPr>
          <w:p>
            <w:pPr>
              <w:spacing w:line="240" w:lineRule="auto" w:before="40" w:after="40"/>
              <w:jc w:val="center"/>
            </w:pPr>
            <w:r/>
            <w:r>
              <w:rPr>
                <w:b w:val="0"/>
                <w:i w:val="0"/>
                <w:sz w:val="16"/>
              </w:rPr>
              <w:t>50</w:t>
            </w:r>
          </w:p>
        </w:tc>
        <w:tc>
          <w:tcPr>
            <w:tcW w:type="dxa" w:w="1944"/>
            <w:shd w:val="clear" w:color="auto" w:fill="EFEFEF"/>
          </w:tcPr>
          <w:p>
            <w:pPr>
              <w:spacing w:line="240" w:lineRule="auto" w:before="40" w:after="40"/>
              <w:jc w:val="center"/>
            </w:pPr>
            <w:r/>
            <w:r>
              <w:rPr>
                <w:b w:val="0"/>
                <w:i w:val="0"/>
                <w:sz w:val="16"/>
              </w:rPr>
              <w:t>168 staff, 3 st.</w:t>
            </w:r>
          </w:p>
        </w:tc>
        <w:tc>
          <w:tcPr>
            <w:tcW w:type="dxa" w:w="1080"/>
            <w:shd w:val="clear" w:color="auto" w:fill="EFEFEF"/>
          </w:tcPr>
          <w:p>
            <w:pPr>
              <w:spacing w:line="240" w:lineRule="auto" w:before="40" w:after="40"/>
              <w:jc w:val="center"/>
            </w:pPr>
            <w:r/>
            <w:r>
              <w:rPr>
                <w:b w:val="0"/>
                <w:i w:val="0"/>
                <w:sz w:val="16"/>
              </w:rPr>
              <w:t>49.55</w:t>
            </w:r>
          </w:p>
        </w:tc>
        <w:tc>
          <w:tcPr>
            <w:tcW w:type="dxa" w:w="792"/>
            <w:shd w:val="clear" w:color="auto" w:fill="EFEFEF"/>
          </w:tcPr>
          <w:p>
            <w:pPr>
              <w:spacing w:line="240" w:lineRule="auto" w:before="40" w:after="40"/>
              <w:jc w:val="center"/>
            </w:pPr>
            <w:r/>
            <w:r>
              <w:rPr>
                <w:b w:val="0"/>
                <w:i w:val="0"/>
                <w:sz w:val="16"/>
              </w:rPr>
              <w:t>99%</w:t>
            </w:r>
          </w:p>
        </w:tc>
        <w:tc>
          <w:tcPr>
            <w:tcW w:type="dxa" w:w="936"/>
            <w:shd w:val="clear" w:color="auto" w:fill="EFEFEF"/>
          </w:tcPr>
          <w:p>
            <w:pPr>
              <w:spacing w:line="240" w:lineRule="auto" w:before="40" w:after="40"/>
              <w:jc w:val="center"/>
            </w:pPr>
            <w:r/>
            <w:r>
              <w:rPr>
                <w:b w:val="0"/>
                <w:i w:val="0"/>
                <w:sz w:val="16"/>
              </w:rPr>
              <w:t>3</w:t>
            </w:r>
          </w:p>
        </w:tc>
        <w:tc>
          <w:tcPr>
            <w:tcW w:type="dxa" w:w="1080"/>
            <w:shd w:val="clear" w:color="auto" w:fill="EFEFEF"/>
          </w:tcPr>
          <w:p>
            <w:pPr>
              <w:spacing w:line="240" w:lineRule="auto" w:before="40" w:after="40"/>
              <w:jc w:val="center"/>
            </w:pPr>
            <w:r/>
            <w:r>
              <w:rPr>
                <w:b w:val="0"/>
                <w:i w:val="0"/>
                <w:sz w:val="16"/>
              </w:rPr>
              <w:t>199</w:t>
            </w:r>
          </w:p>
        </w:tc>
        <w:tc>
          <w:tcPr>
            <w:tcW w:type="dxa" w:w="648"/>
            <w:shd w:val="clear" w:color="auto" w:fill="EFEFEF"/>
          </w:tcPr>
          <w:p>
            <w:pPr>
              <w:spacing w:line="240" w:lineRule="auto" w:before="40" w:after="40"/>
              <w:jc w:val="center"/>
            </w:pPr>
            <w:r/>
            <w:r>
              <w:rPr>
                <w:b w:val="0"/>
                <w:i w:val="0"/>
                <w:sz w:val="16"/>
              </w:rPr>
              <w:t>8.7</w:t>
            </w:r>
          </w:p>
        </w:tc>
      </w:tr>
      <w:tr>
        <w:tc>
          <w:tcPr>
            <w:tcW w:type="dxa" w:w="2160"/>
          </w:tcPr>
          <w:p>
            <w:pPr>
              <w:spacing w:line="240" w:lineRule="auto" w:before="40" w:after="40"/>
              <w:jc w:val="left"/>
            </w:pPr>
            <w:r/>
            <w:r>
              <w:rPr>
                <w:b w:val="0"/>
                <w:i w:val="0"/>
                <w:sz w:val="16"/>
              </w:rPr>
              <w:t>Government office</w:t>
            </w:r>
          </w:p>
        </w:tc>
        <w:tc>
          <w:tcPr>
            <w:tcW w:type="dxa" w:w="1080"/>
          </w:tcPr>
          <w:p>
            <w:pPr>
              <w:spacing w:line="240" w:lineRule="auto" w:before="40" w:after="40"/>
              <w:jc w:val="center"/>
            </w:pPr>
            <w:r/>
            <w:r>
              <w:rPr>
                <w:b w:val="0"/>
                <w:i w:val="0"/>
                <w:sz w:val="16"/>
              </w:rPr>
              <w:t>80</w:t>
            </w:r>
          </w:p>
        </w:tc>
        <w:tc>
          <w:tcPr>
            <w:tcW w:type="dxa" w:w="1944"/>
          </w:tcPr>
          <w:p>
            <w:pPr>
              <w:spacing w:line="240" w:lineRule="auto" w:before="40" w:after="40"/>
              <w:jc w:val="center"/>
            </w:pPr>
            <w:r/>
            <w:r>
              <w:rPr>
                <w:b w:val="0"/>
                <w:i w:val="0"/>
                <w:sz w:val="16"/>
              </w:rPr>
              <w:t>258 staff, 4 st.</w:t>
            </w:r>
          </w:p>
        </w:tc>
        <w:tc>
          <w:tcPr>
            <w:tcW w:type="dxa" w:w="1080"/>
          </w:tcPr>
          <w:p>
            <w:pPr>
              <w:spacing w:line="240" w:lineRule="auto" w:before="40" w:after="40"/>
              <w:jc w:val="center"/>
            </w:pPr>
            <w:r/>
            <w:r>
              <w:rPr>
                <w:b w:val="0"/>
                <w:i w:val="0"/>
                <w:sz w:val="16"/>
              </w:rPr>
              <w:t>66.60</w:t>
            </w:r>
          </w:p>
        </w:tc>
        <w:tc>
          <w:tcPr>
            <w:tcW w:type="dxa" w:w="792"/>
          </w:tcPr>
          <w:p>
            <w:pPr>
              <w:spacing w:line="240" w:lineRule="auto" w:before="40" w:after="40"/>
              <w:jc w:val="center"/>
            </w:pPr>
            <w:r/>
            <w:r>
              <w:rPr>
                <w:b w:val="0"/>
                <w:i w:val="0"/>
                <w:sz w:val="16"/>
              </w:rPr>
              <w:t>83%</w:t>
            </w:r>
          </w:p>
        </w:tc>
        <w:tc>
          <w:tcPr>
            <w:tcW w:type="dxa" w:w="936"/>
          </w:tcPr>
          <w:p>
            <w:pPr>
              <w:spacing w:line="240" w:lineRule="auto" w:before="40" w:after="40"/>
              <w:jc w:val="center"/>
            </w:pPr>
            <w:r/>
            <w:r>
              <w:rPr>
                <w:b w:val="0"/>
                <w:i w:val="0"/>
                <w:sz w:val="16"/>
              </w:rPr>
              <w:t>4</w:t>
            </w:r>
          </w:p>
        </w:tc>
        <w:tc>
          <w:tcPr>
            <w:tcW w:type="dxa" w:w="1080"/>
          </w:tcPr>
          <w:p>
            <w:pPr>
              <w:spacing w:line="240" w:lineRule="auto" w:before="40" w:after="40"/>
              <w:jc w:val="center"/>
            </w:pPr>
            <w:r/>
            <w:r>
              <w:rPr>
                <w:b w:val="0"/>
                <w:i w:val="0"/>
                <w:sz w:val="16"/>
              </w:rPr>
              <w:t>200</w:t>
            </w:r>
          </w:p>
        </w:tc>
        <w:tc>
          <w:tcPr>
            <w:tcW w:type="dxa" w:w="648"/>
          </w:tcPr>
          <w:p>
            <w:pPr>
              <w:spacing w:line="240" w:lineRule="auto" w:before="40" w:after="40"/>
              <w:jc w:val="center"/>
            </w:pPr>
            <w:r/>
            <w:r>
              <w:rPr>
                <w:b w:val="0"/>
                <w:i w:val="0"/>
                <w:sz w:val="16"/>
              </w:rPr>
              <w:t>10.4</w:t>
            </w:r>
          </w:p>
        </w:tc>
      </w:tr>
      <w:tr>
        <w:tc>
          <w:tcPr>
            <w:tcW w:type="dxa" w:w="2160"/>
            <w:shd w:val="clear" w:color="auto" w:fill="EFEFEF"/>
          </w:tcPr>
          <w:p>
            <w:pPr>
              <w:spacing w:line="240" w:lineRule="auto" w:before="40" w:after="40"/>
              <w:jc w:val="left"/>
            </w:pPr>
            <w:r/>
            <w:r>
              <w:rPr>
                <w:b w:val="0"/>
                <w:i w:val="0"/>
                <w:sz w:val="16"/>
              </w:rPr>
              <w:t>Evacuation center</w:t>
            </w:r>
          </w:p>
        </w:tc>
        <w:tc>
          <w:tcPr>
            <w:tcW w:type="dxa" w:w="1080"/>
            <w:shd w:val="clear" w:color="auto" w:fill="EFEFEF"/>
          </w:tcPr>
          <w:p>
            <w:pPr>
              <w:spacing w:line="240" w:lineRule="auto" w:before="40" w:after="40"/>
              <w:jc w:val="center"/>
            </w:pPr>
            <w:r/>
            <w:r>
              <w:rPr>
                <w:b w:val="0"/>
                <w:i w:val="0"/>
                <w:sz w:val="16"/>
              </w:rPr>
              <w:t>10</w:t>
            </w:r>
          </w:p>
        </w:tc>
        <w:tc>
          <w:tcPr>
            <w:tcW w:type="dxa" w:w="1944"/>
            <w:shd w:val="clear" w:color="auto" w:fill="EFEFEF"/>
          </w:tcPr>
          <w:p>
            <w:pPr>
              <w:spacing w:line="240" w:lineRule="auto" w:before="40" w:after="40"/>
              <w:jc w:val="center"/>
            </w:pPr>
            <w:r/>
            <w:r>
              <w:rPr>
                <w:b w:val="0"/>
                <w:i w:val="0"/>
                <w:sz w:val="16"/>
              </w:rPr>
              <w:t>none fits</w:t>
            </w:r>
          </w:p>
        </w:tc>
        <w:tc>
          <w:tcPr>
            <w:tcW w:type="dxa" w:w="1080"/>
            <w:shd w:val="clear" w:color="auto" w:fill="EFEFEF"/>
          </w:tcPr>
          <w:p>
            <w:pPr>
              <w:spacing w:line="240" w:lineRule="auto" w:before="40" w:after="40"/>
              <w:jc w:val="center"/>
            </w:pPr>
            <w:r/>
            <w:r>
              <w:rPr>
                <w:b w:val="0"/>
                <w:i w:val="0"/>
                <w:sz w:val="16"/>
              </w:rPr>
              <w:t>–</w:t>
            </w:r>
          </w:p>
        </w:tc>
        <w:tc>
          <w:tcPr>
            <w:tcW w:type="dxa" w:w="792"/>
            <w:shd w:val="clear" w:color="auto" w:fill="EFEFEF"/>
          </w:tcPr>
          <w:p>
            <w:pPr>
              <w:spacing w:line="240" w:lineRule="auto" w:before="40" w:after="40"/>
              <w:jc w:val="center"/>
            </w:pPr>
            <w:r/>
            <w:r>
              <w:rPr>
                <w:b w:val="0"/>
                <w:i w:val="0"/>
                <w:sz w:val="16"/>
              </w:rPr>
              <w:t>–</w:t>
            </w:r>
          </w:p>
        </w:tc>
        <w:tc>
          <w:tcPr>
            <w:tcW w:type="dxa" w:w="936"/>
            <w:shd w:val="clear" w:color="auto" w:fill="EFEFEF"/>
          </w:tcPr>
          <w:p>
            <w:pPr>
              <w:spacing w:line="240" w:lineRule="auto" w:before="40" w:after="40"/>
              <w:jc w:val="center"/>
            </w:pPr>
            <w:r/>
            <w:r>
              <w:rPr>
                <w:b w:val="0"/>
                <w:i w:val="0"/>
                <w:sz w:val="16"/>
              </w:rPr>
              <w:t>0</w:t>
            </w:r>
          </w:p>
        </w:tc>
        <w:tc>
          <w:tcPr>
            <w:tcW w:type="dxa" w:w="1080"/>
            <w:shd w:val="clear" w:color="auto" w:fill="EFEFEF"/>
          </w:tcPr>
          <w:p>
            <w:pPr>
              <w:spacing w:line="240" w:lineRule="auto" w:before="40" w:after="40"/>
              <w:jc w:val="center"/>
            </w:pPr>
            <w:r/>
            <w:r>
              <w:rPr>
                <w:b w:val="0"/>
                <w:i w:val="0"/>
                <w:sz w:val="16"/>
              </w:rPr>
              <w:t>12</w:t>
            </w:r>
          </w:p>
        </w:tc>
        <w:tc>
          <w:tcPr>
            <w:tcW w:type="dxa" w:w="648"/>
            <w:shd w:val="clear" w:color="auto" w:fill="EFEFEF"/>
          </w:tcPr>
          <w:p>
            <w:pPr>
              <w:spacing w:line="240" w:lineRule="auto" w:before="40" w:after="40"/>
              <w:jc w:val="center"/>
            </w:pPr>
            <w:r/>
            <w:r>
              <w:rPr>
                <w:b w:val="0"/>
                <w:i w:val="0"/>
                <w:sz w:val="16"/>
              </w:rPr>
              <w:t>0.5</w:t>
            </w:r>
          </w:p>
        </w:tc>
      </w:tr>
      <w:tr>
        <w:tc>
          <w:tcPr>
            <w:tcW w:type="dxa" w:w="2160"/>
          </w:tcPr>
          <w:p>
            <w:pPr>
              <w:spacing w:line="240" w:lineRule="auto" w:before="40" w:after="40"/>
              <w:jc w:val="left"/>
            </w:pPr>
            <w:r/>
            <w:r>
              <w:rPr>
                <w:b w:val="0"/>
                <w:i w:val="0"/>
                <w:sz w:val="16"/>
              </w:rPr>
              <w:t>Evacuation center</w:t>
            </w:r>
          </w:p>
        </w:tc>
        <w:tc>
          <w:tcPr>
            <w:tcW w:type="dxa" w:w="1080"/>
          </w:tcPr>
          <w:p>
            <w:pPr>
              <w:spacing w:line="240" w:lineRule="auto" w:before="40" w:after="40"/>
              <w:jc w:val="center"/>
            </w:pPr>
            <w:r/>
            <w:r>
              <w:rPr>
                <w:b w:val="0"/>
                <w:i w:val="0"/>
                <w:sz w:val="16"/>
              </w:rPr>
              <w:t>25</w:t>
            </w:r>
          </w:p>
        </w:tc>
        <w:tc>
          <w:tcPr>
            <w:tcW w:type="dxa" w:w="1944"/>
          </w:tcPr>
          <w:p>
            <w:pPr>
              <w:spacing w:line="240" w:lineRule="auto" w:before="40" w:after="40"/>
              <w:jc w:val="center"/>
            </w:pPr>
            <w:r/>
            <w:r>
              <w:rPr>
                <w:b w:val="0"/>
                <w:i w:val="0"/>
                <w:sz w:val="16"/>
              </w:rPr>
              <w:t>200 persons, 1 st.</w:t>
            </w:r>
          </w:p>
        </w:tc>
        <w:tc>
          <w:tcPr>
            <w:tcW w:type="dxa" w:w="1080"/>
          </w:tcPr>
          <w:p>
            <w:pPr>
              <w:spacing w:line="240" w:lineRule="auto" w:before="40" w:after="40"/>
              <w:jc w:val="center"/>
            </w:pPr>
            <w:r/>
            <w:r>
              <w:rPr>
                <w:b w:val="0"/>
                <w:i w:val="0"/>
                <w:sz w:val="16"/>
              </w:rPr>
              <w:t>24.57</w:t>
            </w:r>
          </w:p>
        </w:tc>
        <w:tc>
          <w:tcPr>
            <w:tcW w:type="dxa" w:w="792"/>
          </w:tcPr>
          <w:p>
            <w:pPr>
              <w:spacing w:line="240" w:lineRule="auto" w:before="40" w:after="40"/>
              <w:jc w:val="center"/>
            </w:pPr>
            <w:r/>
            <w:r>
              <w:rPr>
                <w:b w:val="0"/>
                <w:i w:val="0"/>
                <w:sz w:val="16"/>
              </w:rPr>
              <w:t>98%</w:t>
            </w:r>
          </w:p>
        </w:tc>
        <w:tc>
          <w:tcPr>
            <w:tcW w:type="dxa" w:w="936"/>
          </w:tcPr>
          <w:p>
            <w:pPr>
              <w:spacing w:line="240" w:lineRule="auto" w:before="40" w:after="40"/>
              <w:jc w:val="center"/>
            </w:pPr>
            <w:r/>
            <w:r>
              <w:rPr>
                <w:b w:val="0"/>
                <w:i w:val="0"/>
                <w:sz w:val="16"/>
              </w:rPr>
              <w:t>2</w:t>
            </w:r>
          </w:p>
        </w:tc>
        <w:tc>
          <w:tcPr>
            <w:tcW w:type="dxa" w:w="1080"/>
          </w:tcPr>
          <w:p>
            <w:pPr>
              <w:spacing w:line="240" w:lineRule="auto" w:before="40" w:after="40"/>
              <w:jc w:val="center"/>
            </w:pPr>
            <w:r/>
            <w:r>
              <w:rPr>
                <w:b w:val="0"/>
                <w:i w:val="0"/>
                <w:sz w:val="16"/>
              </w:rPr>
              <w:t>34</w:t>
            </w:r>
          </w:p>
        </w:tc>
        <w:tc>
          <w:tcPr>
            <w:tcW w:type="dxa" w:w="648"/>
          </w:tcPr>
          <w:p>
            <w:pPr>
              <w:spacing w:line="240" w:lineRule="auto" w:before="40" w:after="40"/>
              <w:jc w:val="center"/>
            </w:pPr>
            <w:r/>
            <w:r>
              <w:rPr>
                <w:b w:val="0"/>
                <w:i w:val="0"/>
                <w:sz w:val="16"/>
              </w:rPr>
              <w:t>2.7</w:t>
            </w:r>
          </w:p>
        </w:tc>
      </w:tr>
      <w:tr>
        <w:tc>
          <w:tcPr>
            <w:tcW w:type="dxa" w:w="2160"/>
            <w:shd w:val="clear" w:color="auto" w:fill="EFEFEF"/>
          </w:tcPr>
          <w:p>
            <w:pPr>
              <w:spacing w:line="240" w:lineRule="auto" w:before="40" w:after="40"/>
              <w:jc w:val="left"/>
            </w:pPr>
            <w:r/>
            <w:r>
              <w:rPr>
                <w:b w:val="0"/>
                <w:i w:val="0"/>
                <w:sz w:val="16"/>
              </w:rPr>
              <w:t>Evacuation center</w:t>
            </w:r>
          </w:p>
        </w:tc>
        <w:tc>
          <w:tcPr>
            <w:tcW w:type="dxa" w:w="1080"/>
            <w:shd w:val="clear" w:color="auto" w:fill="EFEFEF"/>
          </w:tcPr>
          <w:p>
            <w:pPr>
              <w:spacing w:line="240" w:lineRule="auto" w:before="40" w:after="40"/>
              <w:jc w:val="center"/>
            </w:pPr>
            <w:r/>
            <w:r>
              <w:rPr>
                <w:b w:val="0"/>
                <w:i w:val="0"/>
                <w:sz w:val="16"/>
              </w:rPr>
              <w:t>50</w:t>
            </w:r>
          </w:p>
        </w:tc>
        <w:tc>
          <w:tcPr>
            <w:tcW w:type="dxa" w:w="1944"/>
            <w:shd w:val="clear" w:color="auto" w:fill="EFEFEF"/>
          </w:tcPr>
          <w:p>
            <w:pPr>
              <w:spacing w:line="240" w:lineRule="auto" w:before="40" w:after="40"/>
              <w:jc w:val="center"/>
            </w:pPr>
            <w:r/>
            <w:r>
              <w:rPr>
                <w:b w:val="0"/>
                <w:i w:val="0"/>
                <w:sz w:val="16"/>
              </w:rPr>
              <w:t>480 persons, 2 st.</w:t>
            </w:r>
          </w:p>
        </w:tc>
        <w:tc>
          <w:tcPr>
            <w:tcW w:type="dxa" w:w="1080"/>
            <w:shd w:val="clear" w:color="auto" w:fill="EFEFEF"/>
          </w:tcPr>
          <w:p>
            <w:pPr>
              <w:spacing w:line="240" w:lineRule="auto" w:before="40" w:after="40"/>
              <w:jc w:val="center"/>
            </w:pPr>
            <w:r/>
            <w:r>
              <w:rPr>
                <w:b w:val="0"/>
                <w:i w:val="0"/>
                <w:sz w:val="16"/>
              </w:rPr>
              <w:t>48.34</w:t>
            </w:r>
          </w:p>
        </w:tc>
        <w:tc>
          <w:tcPr>
            <w:tcW w:type="dxa" w:w="792"/>
            <w:shd w:val="clear" w:color="auto" w:fill="EFEFEF"/>
          </w:tcPr>
          <w:p>
            <w:pPr>
              <w:spacing w:line="240" w:lineRule="auto" w:before="40" w:after="40"/>
              <w:jc w:val="center"/>
            </w:pPr>
            <w:r/>
            <w:r>
              <w:rPr>
                <w:b w:val="0"/>
                <w:i w:val="0"/>
                <w:sz w:val="16"/>
              </w:rPr>
              <w:t>97%</w:t>
            </w:r>
          </w:p>
        </w:tc>
        <w:tc>
          <w:tcPr>
            <w:tcW w:type="dxa" w:w="936"/>
            <w:shd w:val="clear" w:color="auto" w:fill="EFEFEF"/>
          </w:tcPr>
          <w:p>
            <w:pPr>
              <w:spacing w:line="240" w:lineRule="auto" w:before="40" w:after="40"/>
              <w:jc w:val="center"/>
            </w:pPr>
            <w:r/>
            <w:r>
              <w:rPr>
                <w:b w:val="0"/>
                <w:i w:val="0"/>
                <w:sz w:val="16"/>
              </w:rPr>
              <w:t>1</w:t>
            </w:r>
          </w:p>
        </w:tc>
        <w:tc>
          <w:tcPr>
            <w:tcW w:type="dxa" w:w="1080"/>
            <w:shd w:val="clear" w:color="auto" w:fill="EFEFEF"/>
          </w:tcPr>
          <w:p>
            <w:pPr>
              <w:spacing w:line="240" w:lineRule="auto" w:before="40" w:after="40"/>
              <w:jc w:val="center"/>
            </w:pPr>
            <w:r/>
            <w:r>
              <w:rPr>
                <w:b w:val="0"/>
                <w:i w:val="0"/>
                <w:sz w:val="16"/>
              </w:rPr>
              <w:t>79</w:t>
            </w:r>
          </w:p>
        </w:tc>
        <w:tc>
          <w:tcPr>
            <w:tcW w:type="dxa" w:w="648"/>
            <w:shd w:val="clear" w:color="auto" w:fill="EFEFEF"/>
          </w:tcPr>
          <w:p>
            <w:pPr>
              <w:spacing w:line="240" w:lineRule="auto" w:before="40" w:after="40"/>
              <w:jc w:val="center"/>
            </w:pPr>
            <w:r/>
            <w:r>
              <w:rPr>
                <w:b w:val="0"/>
                <w:i w:val="0"/>
                <w:sz w:val="16"/>
              </w:rPr>
              <w:t>2.7</w:t>
            </w:r>
          </w:p>
        </w:tc>
      </w:tr>
      <w:tr>
        <w:tc>
          <w:tcPr>
            <w:tcW w:type="dxa" w:w="2160"/>
          </w:tcPr>
          <w:p>
            <w:pPr>
              <w:spacing w:line="240" w:lineRule="auto" w:before="40" w:after="40"/>
              <w:jc w:val="left"/>
            </w:pPr>
            <w:r/>
            <w:r>
              <w:rPr>
                <w:b w:val="0"/>
                <w:i w:val="0"/>
                <w:sz w:val="16"/>
              </w:rPr>
              <w:t>Evacuation center</w:t>
            </w:r>
          </w:p>
        </w:tc>
        <w:tc>
          <w:tcPr>
            <w:tcW w:type="dxa" w:w="1080"/>
          </w:tcPr>
          <w:p>
            <w:pPr>
              <w:spacing w:line="240" w:lineRule="auto" w:before="40" w:after="40"/>
              <w:jc w:val="center"/>
            </w:pPr>
            <w:r/>
            <w:r>
              <w:rPr>
                <w:b w:val="0"/>
                <w:i w:val="0"/>
                <w:sz w:val="16"/>
              </w:rPr>
              <w:t>80</w:t>
            </w:r>
          </w:p>
        </w:tc>
        <w:tc>
          <w:tcPr>
            <w:tcW w:type="dxa" w:w="1944"/>
          </w:tcPr>
          <w:p>
            <w:pPr>
              <w:spacing w:line="240" w:lineRule="auto" w:before="40" w:after="40"/>
              <w:jc w:val="center"/>
            </w:pPr>
            <w:r/>
            <w:r>
              <w:rPr>
                <w:b w:val="0"/>
                <w:i w:val="0"/>
                <w:sz w:val="16"/>
              </w:rPr>
              <w:t>860 persons, 2 st.</w:t>
            </w:r>
          </w:p>
        </w:tc>
        <w:tc>
          <w:tcPr>
            <w:tcW w:type="dxa" w:w="1080"/>
          </w:tcPr>
          <w:p>
            <w:pPr>
              <w:spacing w:line="240" w:lineRule="auto" w:before="40" w:after="40"/>
              <w:jc w:val="center"/>
            </w:pPr>
            <w:r/>
            <w:r>
              <w:rPr>
                <w:b w:val="0"/>
                <w:i w:val="0"/>
                <w:sz w:val="16"/>
              </w:rPr>
              <w:t>79.37</w:t>
            </w:r>
          </w:p>
        </w:tc>
        <w:tc>
          <w:tcPr>
            <w:tcW w:type="dxa" w:w="792"/>
          </w:tcPr>
          <w:p>
            <w:pPr>
              <w:spacing w:line="240" w:lineRule="auto" w:before="40" w:after="40"/>
              <w:jc w:val="center"/>
            </w:pPr>
            <w:r/>
            <w:r>
              <w:rPr>
                <w:b w:val="0"/>
                <w:i w:val="0"/>
                <w:sz w:val="16"/>
              </w:rPr>
              <w:t>99%</w:t>
            </w:r>
          </w:p>
        </w:tc>
        <w:tc>
          <w:tcPr>
            <w:tcW w:type="dxa" w:w="936"/>
          </w:tcPr>
          <w:p>
            <w:pPr>
              <w:spacing w:line="240" w:lineRule="auto" w:before="40" w:after="40"/>
              <w:jc w:val="center"/>
            </w:pPr>
            <w:r/>
            <w:r>
              <w:rPr>
                <w:b w:val="0"/>
                <w:i w:val="0"/>
                <w:sz w:val="16"/>
              </w:rPr>
              <w:t>2</w:t>
            </w:r>
          </w:p>
        </w:tc>
        <w:tc>
          <w:tcPr>
            <w:tcW w:type="dxa" w:w="1080"/>
          </w:tcPr>
          <w:p>
            <w:pPr>
              <w:spacing w:line="240" w:lineRule="auto" w:before="40" w:after="40"/>
              <w:jc w:val="center"/>
            </w:pPr>
            <w:r/>
            <w:r>
              <w:rPr>
                <w:b w:val="0"/>
                <w:i w:val="0"/>
                <w:sz w:val="16"/>
              </w:rPr>
              <w:t>131</w:t>
            </w:r>
          </w:p>
        </w:tc>
        <w:tc>
          <w:tcPr>
            <w:tcW w:type="dxa" w:w="648"/>
          </w:tcPr>
          <w:p>
            <w:pPr>
              <w:spacing w:line="240" w:lineRule="auto" w:before="40" w:after="40"/>
              <w:jc w:val="center"/>
            </w:pPr>
            <w:r/>
            <w:r>
              <w:rPr>
                <w:b w:val="0"/>
                <w:i w:val="0"/>
                <w:sz w:val="16"/>
              </w:rPr>
              <w:t>5.1</w:t>
            </w:r>
          </w:p>
        </w:tc>
      </w:tr>
      <w:tr>
        <w:tc>
          <w:tcPr>
            <w:tcW w:type="dxa" w:w="2160"/>
            <w:shd w:val="clear" w:color="auto" w:fill="EFEFEF"/>
          </w:tcPr>
          <w:p>
            <w:pPr>
              <w:spacing w:line="240" w:lineRule="auto" w:before="40" w:after="40"/>
              <w:jc w:val="left"/>
            </w:pPr>
            <w:r/>
            <w:r>
              <w:rPr>
                <w:b w:val="0"/>
                <w:i w:val="0"/>
                <w:sz w:val="16"/>
              </w:rPr>
              <w:t>Public market</w:t>
            </w:r>
          </w:p>
        </w:tc>
        <w:tc>
          <w:tcPr>
            <w:tcW w:type="dxa" w:w="1080"/>
            <w:shd w:val="clear" w:color="auto" w:fill="EFEFEF"/>
          </w:tcPr>
          <w:p>
            <w:pPr>
              <w:spacing w:line="240" w:lineRule="auto" w:before="40" w:after="40"/>
              <w:jc w:val="center"/>
            </w:pPr>
            <w:r/>
            <w:r>
              <w:rPr>
                <w:b w:val="0"/>
                <w:i w:val="0"/>
                <w:sz w:val="16"/>
              </w:rPr>
              <w:t>10</w:t>
            </w:r>
          </w:p>
        </w:tc>
        <w:tc>
          <w:tcPr>
            <w:tcW w:type="dxa" w:w="1944"/>
            <w:shd w:val="clear" w:color="auto" w:fill="EFEFEF"/>
          </w:tcPr>
          <w:p>
            <w:pPr>
              <w:spacing w:line="240" w:lineRule="auto" w:before="40" w:after="40"/>
              <w:jc w:val="center"/>
            </w:pPr>
            <w:r/>
            <w:r>
              <w:rPr>
                <w:b w:val="0"/>
                <w:i w:val="0"/>
                <w:sz w:val="16"/>
              </w:rPr>
              <w:t>none fits</w:t>
            </w:r>
          </w:p>
        </w:tc>
        <w:tc>
          <w:tcPr>
            <w:tcW w:type="dxa" w:w="1080"/>
            <w:shd w:val="clear" w:color="auto" w:fill="EFEFEF"/>
          </w:tcPr>
          <w:p>
            <w:pPr>
              <w:spacing w:line="240" w:lineRule="auto" w:before="40" w:after="40"/>
              <w:jc w:val="center"/>
            </w:pPr>
            <w:r/>
            <w:r>
              <w:rPr>
                <w:b w:val="0"/>
                <w:i w:val="0"/>
                <w:sz w:val="16"/>
              </w:rPr>
              <w:t>–</w:t>
            </w:r>
          </w:p>
        </w:tc>
        <w:tc>
          <w:tcPr>
            <w:tcW w:type="dxa" w:w="792"/>
            <w:shd w:val="clear" w:color="auto" w:fill="EFEFEF"/>
          </w:tcPr>
          <w:p>
            <w:pPr>
              <w:spacing w:line="240" w:lineRule="auto" w:before="40" w:after="40"/>
              <w:jc w:val="center"/>
            </w:pPr>
            <w:r/>
            <w:r>
              <w:rPr>
                <w:b w:val="0"/>
                <w:i w:val="0"/>
                <w:sz w:val="16"/>
              </w:rPr>
              <w:t>–</w:t>
            </w:r>
          </w:p>
        </w:tc>
        <w:tc>
          <w:tcPr>
            <w:tcW w:type="dxa" w:w="936"/>
            <w:shd w:val="clear" w:color="auto" w:fill="EFEFEF"/>
          </w:tcPr>
          <w:p>
            <w:pPr>
              <w:spacing w:line="240" w:lineRule="auto" w:before="40" w:after="40"/>
              <w:jc w:val="center"/>
            </w:pPr>
            <w:r/>
            <w:r>
              <w:rPr>
                <w:b w:val="0"/>
                <w:i w:val="0"/>
                <w:sz w:val="16"/>
              </w:rPr>
              <w:t>0</w:t>
            </w:r>
          </w:p>
        </w:tc>
        <w:tc>
          <w:tcPr>
            <w:tcW w:type="dxa" w:w="1080"/>
            <w:shd w:val="clear" w:color="auto" w:fill="EFEFEF"/>
          </w:tcPr>
          <w:p>
            <w:pPr>
              <w:spacing w:line="240" w:lineRule="auto" w:before="40" w:after="40"/>
              <w:jc w:val="center"/>
            </w:pPr>
            <w:r/>
            <w:r>
              <w:rPr>
                <w:b w:val="0"/>
                <w:i w:val="0"/>
                <w:sz w:val="16"/>
              </w:rPr>
              <w:t>10</w:t>
            </w:r>
          </w:p>
        </w:tc>
        <w:tc>
          <w:tcPr>
            <w:tcW w:type="dxa" w:w="648"/>
            <w:shd w:val="clear" w:color="auto" w:fill="EFEFEF"/>
          </w:tcPr>
          <w:p>
            <w:pPr>
              <w:spacing w:line="240" w:lineRule="auto" w:before="40" w:after="40"/>
              <w:jc w:val="center"/>
            </w:pPr>
            <w:r/>
            <w:r>
              <w:rPr>
                <w:b w:val="0"/>
                <w:i w:val="0"/>
                <w:sz w:val="16"/>
              </w:rPr>
              <w:t>0.2</w:t>
            </w:r>
          </w:p>
        </w:tc>
      </w:tr>
      <w:tr>
        <w:tc>
          <w:tcPr>
            <w:tcW w:type="dxa" w:w="2160"/>
          </w:tcPr>
          <w:p>
            <w:pPr>
              <w:spacing w:line="240" w:lineRule="auto" w:before="40" w:after="40"/>
              <w:jc w:val="left"/>
            </w:pPr>
            <w:r/>
            <w:r>
              <w:rPr>
                <w:b w:val="0"/>
                <w:i w:val="0"/>
                <w:sz w:val="16"/>
              </w:rPr>
              <w:t>Public market</w:t>
            </w:r>
          </w:p>
        </w:tc>
        <w:tc>
          <w:tcPr>
            <w:tcW w:type="dxa" w:w="1080"/>
          </w:tcPr>
          <w:p>
            <w:pPr>
              <w:spacing w:line="240" w:lineRule="auto" w:before="40" w:after="40"/>
              <w:jc w:val="center"/>
            </w:pPr>
            <w:r/>
            <w:r>
              <w:rPr>
                <w:b w:val="0"/>
                <w:i w:val="0"/>
                <w:sz w:val="16"/>
              </w:rPr>
              <w:t>25</w:t>
            </w:r>
          </w:p>
        </w:tc>
        <w:tc>
          <w:tcPr>
            <w:tcW w:type="dxa" w:w="1944"/>
          </w:tcPr>
          <w:p>
            <w:pPr>
              <w:spacing w:line="240" w:lineRule="auto" w:before="40" w:after="40"/>
              <w:jc w:val="center"/>
            </w:pPr>
            <w:r/>
            <w:r>
              <w:rPr>
                <w:b w:val="0"/>
                <w:i w:val="0"/>
                <w:sz w:val="16"/>
              </w:rPr>
              <w:t>100 stalls, 1 st.</w:t>
            </w:r>
          </w:p>
        </w:tc>
        <w:tc>
          <w:tcPr>
            <w:tcW w:type="dxa" w:w="1080"/>
          </w:tcPr>
          <w:p>
            <w:pPr>
              <w:spacing w:line="240" w:lineRule="auto" w:before="40" w:after="40"/>
              <w:jc w:val="center"/>
            </w:pPr>
            <w:r/>
            <w:r>
              <w:rPr>
                <w:b w:val="0"/>
                <w:i w:val="0"/>
                <w:sz w:val="16"/>
              </w:rPr>
              <w:t>24.73</w:t>
            </w:r>
          </w:p>
        </w:tc>
        <w:tc>
          <w:tcPr>
            <w:tcW w:type="dxa" w:w="792"/>
          </w:tcPr>
          <w:p>
            <w:pPr>
              <w:spacing w:line="240" w:lineRule="auto" w:before="40" w:after="40"/>
              <w:jc w:val="center"/>
            </w:pPr>
            <w:r/>
            <w:r>
              <w:rPr>
                <w:b w:val="0"/>
                <w:i w:val="0"/>
                <w:sz w:val="16"/>
              </w:rPr>
              <w:t>99%</w:t>
            </w:r>
          </w:p>
        </w:tc>
        <w:tc>
          <w:tcPr>
            <w:tcW w:type="dxa" w:w="936"/>
          </w:tcPr>
          <w:p>
            <w:pPr>
              <w:spacing w:line="240" w:lineRule="auto" w:before="40" w:after="40"/>
              <w:jc w:val="center"/>
            </w:pPr>
            <w:r/>
            <w:r>
              <w:rPr>
                <w:b w:val="0"/>
                <w:i w:val="0"/>
                <w:sz w:val="16"/>
              </w:rPr>
              <w:t>2</w:t>
            </w:r>
          </w:p>
        </w:tc>
        <w:tc>
          <w:tcPr>
            <w:tcW w:type="dxa" w:w="1080"/>
          </w:tcPr>
          <w:p>
            <w:pPr>
              <w:spacing w:line="240" w:lineRule="auto" w:before="40" w:after="40"/>
              <w:jc w:val="center"/>
            </w:pPr>
            <w:r/>
            <w:r>
              <w:rPr>
                <w:b w:val="0"/>
                <w:i w:val="0"/>
                <w:sz w:val="16"/>
              </w:rPr>
              <w:t>32</w:t>
            </w:r>
          </w:p>
        </w:tc>
        <w:tc>
          <w:tcPr>
            <w:tcW w:type="dxa" w:w="648"/>
          </w:tcPr>
          <w:p>
            <w:pPr>
              <w:spacing w:line="240" w:lineRule="auto" w:before="40" w:after="40"/>
              <w:jc w:val="center"/>
            </w:pPr>
            <w:r/>
            <w:r>
              <w:rPr>
                <w:b w:val="0"/>
                <w:i w:val="0"/>
                <w:sz w:val="16"/>
              </w:rPr>
              <w:t>0.9</w:t>
            </w:r>
          </w:p>
        </w:tc>
      </w:tr>
      <w:tr>
        <w:tc>
          <w:tcPr>
            <w:tcW w:type="dxa" w:w="2160"/>
            <w:shd w:val="clear" w:color="auto" w:fill="EFEFEF"/>
          </w:tcPr>
          <w:p>
            <w:pPr>
              <w:spacing w:line="240" w:lineRule="auto" w:before="40" w:after="40"/>
              <w:jc w:val="left"/>
            </w:pPr>
            <w:r/>
            <w:r>
              <w:rPr>
                <w:b w:val="0"/>
                <w:i w:val="0"/>
                <w:sz w:val="16"/>
              </w:rPr>
              <w:t>Public market</w:t>
            </w:r>
          </w:p>
        </w:tc>
        <w:tc>
          <w:tcPr>
            <w:tcW w:type="dxa" w:w="1080"/>
            <w:shd w:val="clear" w:color="auto" w:fill="EFEFEF"/>
          </w:tcPr>
          <w:p>
            <w:pPr>
              <w:spacing w:line="240" w:lineRule="auto" w:before="40" w:after="40"/>
              <w:jc w:val="center"/>
            </w:pPr>
            <w:r/>
            <w:r>
              <w:rPr>
                <w:b w:val="0"/>
                <w:i w:val="0"/>
                <w:sz w:val="16"/>
              </w:rPr>
              <w:t>50</w:t>
            </w:r>
          </w:p>
        </w:tc>
        <w:tc>
          <w:tcPr>
            <w:tcW w:type="dxa" w:w="1944"/>
            <w:shd w:val="clear" w:color="auto" w:fill="EFEFEF"/>
          </w:tcPr>
          <w:p>
            <w:pPr>
              <w:spacing w:line="240" w:lineRule="auto" w:before="40" w:after="40"/>
              <w:jc w:val="center"/>
            </w:pPr>
            <w:r/>
            <w:r>
              <w:rPr>
                <w:b w:val="0"/>
                <w:i w:val="0"/>
                <w:sz w:val="16"/>
              </w:rPr>
              <w:t>220 stalls, 2 st.</w:t>
            </w:r>
          </w:p>
        </w:tc>
        <w:tc>
          <w:tcPr>
            <w:tcW w:type="dxa" w:w="1080"/>
            <w:shd w:val="clear" w:color="auto" w:fill="EFEFEF"/>
          </w:tcPr>
          <w:p>
            <w:pPr>
              <w:spacing w:line="240" w:lineRule="auto" w:before="40" w:after="40"/>
              <w:jc w:val="center"/>
            </w:pPr>
            <w:r/>
            <w:r>
              <w:rPr>
                <w:b w:val="0"/>
                <w:i w:val="0"/>
                <w:sz w:val="16"/>
              </w:rPr>
              <w:t>49.91</w:t>
            </w:r>
          </w:p>
        </w:tc>
        <w:tc>
          <w:tcPr>
            <w:tcW w:type="dxa" w:w="792"/>
            <w:shd w:val="clear" w:color="auto" w:fill="EFEFEF"/>
          </w:tcPr>
          <w:p>
            <w:pPr>
              <w:spacing w:line="240" w:lineRule="auto" w:before="40" w:after="40"/>
              <w:jc w:val="center"/>
            </w:pPr>
            <w:r/>
            <w:r>
              <w:rPr>
                <w:b w:val="0"/>
                <w:i w:val="0"/>
                <w:sz w:val="16"/>
              </w:rPr>
              <w:t>100%</w:t>
            </w:r>
          </w:p>
        </w:tc>
        <w:tc>
          <w:tcPr>
            <w:tcW w:type="dxa" w:w="936"/>
            <w:shd w:val="clear" w:color="auto" w:fill="EFEFEF"/>
          </w:tcPr>
          <w:p>
            <w:pPr>
              <w:spacing w:line="240" w:lineRule="auto" w:before="40" w:after="40"/>
              <w:jc w:val="center"/>
            </w:pPr>
            <w:r/>
            <w:r>
              <w:rPr>
                <w:b w:val="0"/>
                <w:i w:val="0"/>
                <w:sz w:val="16"/>
              </w:rPr>
              <w:t>2</w:t>
            </w:r>
          </w:p>
        </w:tc>
        <w:tc>
          <w:tcPr>
            <w:tcW w:type="dxa" w:w="1080"/>
            <w:shd w:val="clear" w:color="auto" w:fill="EFEFEF"/>
          </w:tcPr>
          <w:p>
            <w:pPr>
              <w:spacing w:line="240" w:lineRule="auto" w:before="40" w:after="40"/>
              <w:jc w:val="center"/>
            </w:pPr>
            <w:r/>
            <w:r>
              <w:rPr>
                <w:b w:val="0"/>
                <w:i w:val="0"/>
                <w:sz w:val="16"/>
              </w:rPr>
              <w:t>77</w:t>
            </w:r>
          </w:p>
        </w:tc>
        <w:tc>
          <w:tcPr>
            <w:tcW w:type="dxa" w:w="648"/>
            <w:shd w:val="clear" w:color="auto" w:fill="EFEFEF"/>
          </w:tcPr>
          <w:p>
            <w:pPr>
              <w:spacing w:line="240" w:lineRule="auto" w:before="40" w:after="40"/>
              <w:jc w:val="center"/>
            </w:pPr>
            <w:r/>
            <w:r>
              <w:rPr>
                <w:b w:val="0"/>
                <w:i w:val="0"/>
                <w:sz w:val="16"/>
              </w:rPr>
              <w:t>2.0</w:t>
            </w:r>
          </w:p>
        </w:tc>
      </w:tr>
      <w:tr>
        <w:tc>
          <w:tcPr>
            <w:tcW w:type="dxa" w:w="2160"/>
          </w:tcPr>
          <w:p>
            <w:pPr>
              <w:spacing w:line="240" w:lineRule="auto" w:before="40" w:after="40"/>
              <w:jc w:val="left"/>
            </w:pPr>
            <w:r/>
            <w:r>
              <w:rPr>
                <w:b w:val="0"/>
                <w:i w:val="0"/>
                <w:sz w:val="16"/>
              </w:rPr>
              <w:t>Public market</w:t>
            </w:r>
          </w:p>
        </w:tc>
        <w:tc>
          <w:tcPr>
            <w:tcW w:type="dxa" w:w="1080"/>
          </w:tcPr>
          <w:p>
            <w:pPr>
              <w:spacing w:line="240" w:lineRule="auto" w:before="40" w:after="40"/>
              <w:jc w:val="center"/>
            </w:pPr>
            <w:r/>
            <w:r>
              <w:rPr>
                <w:b w:val="0"/>
                <w:i w:val="0"/>
                <w:sz w:val="16"/>
              </w:rPr>
              <w:t>80</w:t>
            </w:r>
          </w:p>
        </w:tc>
        <w:tc>
          <w:tcPr>
            <w:tcW w:type="dxa" w:w="1944"/>
          </w:tcPr>
          <w:p>
            <w:pPr>
              <w:spacing w:line="240" w:lineRule="auto" w:before="40" w:after="40"/>
              <w:jc w:val="center"/>
            </w:pPr>
            <w:r/>
            <w:r>
              <w:rPr>
                <w:b w:val="0"/>
                <w:i w:val="0"/>
                <w:sz w:val="16"/>
              </w:rPr>
              <w:t>420 stalls, 2 st.</w:t>
            </w:r>
          </w:p>
        </w:tc>
        <w:tc>
          <w:tcPr>
            <w:tcW w:type="dxa" w:w="1080"/>
          </w:tcPr>
          <w:p>
            <w:pPr>
              <w:spacing w:line="240" w:lineRule="auto" w:before="40" w:after="40"/>
              <w:jc w:val="center"/>
            </w:pPr>
            <w:r/>
            <w:r>
              <w:rPr>
                <w:b w:val="0"/>
                <w:i w:val="0"/>
                <w:sz w:val="16"/>
              </w:rPr>
              <w:t>77.84</w:t>
            </w:r>
          </w:p>
        </w:tc>
        <w:tc>
          <w:tcPr>
            <w:tcW w:type="dxa" w:w="792"/>
          </w:tcPr>
          <w:p>
            <w:pPr>
              <w:spacing w:line="240" w:lineRule="auto" w:before="40" w:after="40"/>
              <w:jc w:val="center"/>
            </w:pPr>
            <w:r/>
            <w:r>
              <w:rPr>
                <w:b w:val="0"/>
                <w:i w:val="0"/>
                <w:sz w:val="16"/>
              </w:rPr>
              <w:t>97%</w:t>
            </w:r>
          </w:p>
        </w:tc>
        <w:tc>
          <w:tcPr>
            <w:tcW w:type="dxa" w:w="936"/>
          </w:tcPr>
          <w:p>
            <w:pPr>
              <w:spacing w:line="240" w:lineRule="auto" w:before="40" w:after="40"/>
              <w:jc w:val="center"/>
            </w:pPr>
            <w:r/>
            <w:r>
              <w:rPr>
                <w:b w:val="0"/>
                <w:i w:val="0"/>
                <w:sz w:val="16"/>
              </w:rPr>
              <w:t>2</w:t>
            </w:r>
          </w:p>
        </w:tc>
        <w:tc>
          <w:tcPr>
            <w:tcW w:type="dxa" w:w="1080"/>
          </w:tcPr>
          <w:p>
            <w:pPr>
              <w:spacing w:line="240" w:lineRule="auto" w:before="40" w:after="40"/>
              <w:jc w:val="center"/>
            </w:pPr>
            <w:r/>
            <w:r>
              <w:rPr>
                <w:b w:val="0"/>
                <w:i w:val="0"/>
                <w:sz w:val="16"/>
              </w:rPr>
              <w:t>98</w:t>
            </w:r>
          </w:p>
        </w:tc>
        <w:tc>
          <w:tcPr>
            <w:tcW w:type="dxa" w:w="648"/>
          </w:tcPr>
          <w:p>
            <w:pPr>
              <w:spacing w:line="240" w:lineRule="auto" w:before="40" w:after="40"/>
              <w:jc w:val="center"/>
            </w:pPr>
            <w:r/>
            <w:r>
              <w:rPr>
                <w:b w:val="0"/>
                <w:i w:val="0"/>
                <w:sz w:val="16"/>
              </w:rPr>
              <w:t>3.1</w:t>
            </w:r>
          </w:p>
        </w:tc>
      </w:tr>
      <w:tr>
        <w:tc>
          <w:tcPr>
            <w:tcW w:type="dxa" w:w="2160"/>
            <w:shd w:val="clear" w:color="auto" w:fill="EFEFEF"/>
          </w:tcPr>
          <w:p>
            <w:pPr>
              <w:spacing w:line="240" w:lineRule="auto" w:before="40" w:after="40"/>
              <w:jc w:val="left"/>
            </w:pPr>
            <w:r/>
            <w:r>
              <w:rPr>
                <w:b w:val="0"/>
                <w:i w:val="0"/>
                <w:sz w:val="16"/>
              </w:rPr>
              <w:t>Dormitory</w:t>
            </w:r>
          </w:p>
        </w:tc>
        <w:tc>
          <w:tcPr>
            <w:tcW w:type="dxa" w:w="1080"/>
            <w:shd w:val="clear" w:color="auto" w:fill="EFEFEF"/>
          </w:tcPr>
          <w:p>
            <w:pPr>
              <w:spacing w:line="240" w:lineRule="auto" w:before="40" w:after="40"/>
              <w:jc w:val="center"/>
            </w:pPr>
            <w:r/>
            <w:r>
              <w:rPr>
                <w:b w:val="0"/>
                <w:i w:val="0"/>
                <w:sz w:val="16"/>
              </w:rPr>
              <w:t>10</w:t>
            </w:r>
          </w:p>
        </w:tc>
        <w:tc>
          <w:tcPr>
            <w:tcW w:type="dxa" w:w="1944"/>
            <w:shd w:val="clear" w:color="auto" w:fill="EFEFEF"/>
          </w:tcPr>
          <w:p>
            <w:pPr>
              <w:spacing w:line="240" w:lineRule="auto" w:before="40" w:after="40"/>
              <w:jc w:val="center"/>
            </w:pPr>
            <w:r/>
            <w:r>
              <w:rPr>
                <w:b w:val="0"/>
                <w:i w:val="0"/>
                <w:sz w:val="16"/>
              </w:rPr>
              <w:t>56 beds, 1 st.</w:t>
            </w:r>
          </w:p>
        </w:tc>
        <w:tc>
          <w:tcPr>
            <w:tcW w:type="dxa" w:w="1080"/>
            <w:shd w:val="clear" w:color="auto" w:fill="EFEFEF"/>
          </w:tcPr>
          <w:p>
            <w:pPr>
              <w:spacing w:line="240" w:lineRule="auto" w:before="40" w:after="40"/>
              <w:jc w:val="center"/>
            </w:pPr>
            <w:r/>
            <w:r>
              <w:rPr>
                <w:b w:val="0"/>
                <w:i w:val="0"/>
                <w:sz w:val="16"/>
              </w:rPr>
              <w:t>9.06</w:t>
            </w:r>
          </w:p>
        </w:tc>
        <w:tc>
          <w:tcPr>
            <w:tcW w:type="dxa" w:w="792"/>
            <w:shd w:val="clear" w:color="auto" w:fill="EFEFEF"/>
          </w:tcPr>
          <w:p>
            <w:pPr>
              <w:spacing w:line="240" w:lineRule="auto" w:before="40" w:after="40"/>
              <w:jc w:val="center"/>
            </w:pPr>
            <w:r/>
            <w:r>
              <w:rPr>
                <w:b w:val="0"/>
                <w:i w:val="0"/>
                <w:sz w:val="16"/>
              </w:rPr>
              <w:t>91%</w:t>
            </w:r>
          </w:p>
        </w:tc>
        <w:tc>
          <w:tcPr>
            <w:tcW w:type="dxa" w:w="936"/>
            <w:shd w:val="clear" w:color="auto" w:fill="EFEFEF"/>
          </w:tcPr>
          <w:p>
            <w:pPr>
              <w:spacing w:line="240" w:lineRule="auto" w:before="40" w:after="40"/>
              <w:jc w:val="center"/>
            </w:pPr>
            <w:r/>
            <w:r>
              <w:rPr>
                <w:b w:val="0"/>
                <w:i w:val="0"/>
                <w:sz w:val="16"/>
              </w:rPr>
              <w:t>2</w:t>
            </w:r>
          </w:p>
        </w:tc>
        <w:tc>
          <w:tcPr>
            <w:tcW w:type="dxa" w:w="1080"/>
            <w:shd w:val="clear" w:color="auto" w:fill="EFEFEF"/>
          </w:tcPr>
          <w:p>
            <w:pPr>
              <w:spacing w:line="240" w:lineRule="auto" w:before="40" w:after="40"/>
              <w:jc w:val="center"/>
            </w:pPr>
            <w:r/>
            <w:r>
              <w:rPr>
                <w:b w:val="0"/>
                <w:i w:val="0"/>
                <w:sz w:val="16"/>
              </w:rPr>
              <w:t>62</w:t>
            </w:r>
          </w:p>
        </w:tc>
        <w:tc>
          <w:tcPr>
            <w:tcW w:type="dxa" w:w="648"/>
            <w:shd w:val="clear" w:color="auto" w:fill="EFEFEF"/>
          </w:tcPr>
          <w:p>
            <w:pPr>
              <w:spacing w:line="240" w:lineRule="auto" w:before="40" w:after="40"/>
              <w:jc w:val="center"/>
            </w:pPr>
            <w:r/>
            <w:r>
              <w:rPr>
                <w:b w:val="0"/>
                <w:i w:val="0"/>
                <w:sz w:val="16"/>
              </w:rPr>
              <w:t>1.7</w:t>
            </w:r>
          </w:p>
        </w:tc>
      </w:tr>
      <w:tr>
        <w:tc>
          <w:tcPr>
            <w:tcW w:type="dxa" w:w="2160"/>
          </w:tcPr>
          <w:p>
            <w:pPr>
              <w:spacing w:line="240" w:lineRule="auto" w:before="40" w:after="40"/>
              <w:jc w:val="left"/>
            </w:pPr>
            <w:r/>
            <w:r>
              <w:rPr>
                <w:b w:val="0"/>
                <w:i w:val="0"/>
                <w:sz w:val="16"/>
              </w:rPr>
              <w:t>Dormitory</w:t>
            </w:r>
          </w:p>
        </w:tc>
        <w:tc>
          <w:tcPr>
            <w:tcW w:type="dxa" w:w="1080"/>
          </w:tcPr>
          <w:p>
            <w:pPr>
              <w:spacing w:line="240" w:lineRule="auto" w:before="40" w:after="40"/>
              <w:jc w:val="center"/>
            </w:pPr>
            <w:r/>
            <w:r>
              <w:rPr>
                <w:b w:val="0"/>
                <w:i w:val="0"/>
                <w:sz w:val="16"/>
              </w:rPr>
              <w:t>25</w:t>
            </w:r>
          </w:p>
        </w:tc>
        <w:tc>
          <w:tcPr>
            <w:tcW w:type="dxa" w:w="1944"/>
          </w:tcPr>
          <w:p>
            <w:pPr>
              <w:spacing w:line="240" w:lineRule="auto" w:before="40" w:after="40"/>
              <w:jc w:val="center"/>
            </w:pPr>
            <w:r/>
            <w:r>
              <w:rPr>
                <w:b w:val="0"/>
                <w:i w:val="0"/>
                <w:sz w:val="16"/>
              </w:rPr>
              <w:t>216 beds, 3 st.</w:t>
            </w:r>
          </w:p>
        </w:tc>
        <w:tc>
          <w:tcPr>
            <w:tcW w:type="dxa" w:w="1080"/>
          </w:tcPr>
          <w:p>
            <w:pPr>
              <w:spacing w:line="240" w:lineRule="auto" w:before="40" w:after="40"/>
              <w:jc w:val="center"/>
            </w:pPr>
            <w:r/>
            <w:r>
              <w:rPr>
                <w:b w:val="0"/>
                <w:i w:val="0"/>
                <w:sz w:val="16"/>
              </w:rPr>
              <w:t>24.85</w:t>
            </w:r>
          </w:p>
        </w:tc>
        <w:tc>
          <w:tcPr>
            <w:tcW w:type="dxa" w:w="792"/>
          </w:tcPr>
          <w:p>
            <w:pPr>
              <w:spacing w:line="240" w:lineRule="auto" w:before="40" w:after="40"/>
              <w:jc w:val="center"/>
            </w:pPr>
            <w:r/>
            <w:r>
              <w:rPr>
                <w:b w:val="0"/>
                <w:i w:val="0"/>
                <w:sz w:val="16"/>
              </w:rPr>
              <w:t>99%</w:t>
            </w:r>
          </w:p>
        </w:tc>
        <w:tc>
          <w:tcPr>
            <w:tcW w:type="dxa" w:w="936"/>
          </w:tcPr>
          <w:p>
            <w:pPr>
              <w:spacing w:line="240" w:lineRule="auto" w:before="40" w:after="40"/>
              <w:jc w:val="center"/>
            </w:pPr>
            <w:r/>
            <w:r>
              <w:rPr>
                <w:b w:val="0"/>
                <w:i w:val="0"/>
                <w:sz w:val="16"/>
              </w:rPr>
              <w:t>3</w:t>
            </w:r>
          </w:p>
        </w:tc>
        <w:tc>
          <w:tcPr>
            <w:tcW w:type="dxa" w:w="1080"/>
          </w:tcPr>
          <w:p>
            <w:pPr>
              <w:spacing w:line="240" w:lineRule="auto" w:before="40" w:after="40"/>
              <w:jc w:val="center"/>
            </w:pPr>
            <w:r/>
            <w:r>
              <w:rPr>
                <w:b w:val="0"/>
                <w:i w:val="0"/>
                <w:sz w:val="16"/>
              </w:rPr>
              <w:t>169</w:t>
            </w:r>
          </w:p>
        </w:tc>
        <w:tc>
          <w:tcPr>
            <w:tcW w:type="dxa" w:w="648"/>
          </w:tcPr>
          <w:p>
            <w:pPr>
              <w:spacing w:line="240" w:lineRule="auto" w:before="40" w:after="40"/>
              <w:jc w:val="center"/>
            </w:pPr>
            <w:r/>
            <w:r>
              <w:rPr>
                <w:b w:val="0"/>
                <w:i w:val="0"/>
                <w:sz w:val="16"/>
              </w:rPr>
              <w:t>5.9</w:t>
            </w:r>
          </w:p>
        </w:tc>
      </w:tr>
      <w:tr>
        <w:tc>
          <w:tcPr>
            <w:tcW w:type="dxa" w:w="2160"/>
            <w:shd w:val="clear" w:color="auto" w:fill="EFEFEF"/>
          </w:tcPr>
          <w:p>
            <w:pPr>
              <w:spacing w:line="240" w:lineRule="auto" w:before="40" w:after="40"/>
              <w:jc w:val="left"/>
            </w:pPr>
            <w:r/>
            <w:r>
              <w:rPr>
                <w:b w:val="0"/>
                <w:i w:val="0"/>
                <w:sz w:val="16"/>
              </w:rPr>
              <w:t>Dormitory</w:t>
            </w:r>
          </w:p>
        </w:tc>
        <w:tc>
          <w:tcPr>
            <w:tcW w:type="dxa" w:w="1080"/>
            <w:shd w:val="clear" w:color="auto" w:fill="EFEFEF"/>
          </w:tcPr>
          <w:p>
            <w:pPr>
              <w:spacing w:line="240" w:lineRule="auto" w:before="40" w:after="40"/>
              <w:jc w:val="center"/>
            </w:pPr>
            <w:r/>
            <w:r>
              <w:rPr>
                <w:b w:val="0"/>
                <w:i w:val="0"/>
                <w:sz w:val="16"/>
              </w:rPr>
              <w:t>50</w:t>
            </w:r>
          </w:p>
        </w:tc>
        <w:tc>
          <w:tcPr>
            <w:tcW w:type="dxa" w:w="1944"/>
            <w:shd w:val="clear" w:color="auto" w:fill="EFEFEF"/>
          </w:tcPr>
          <w:p>
            <w:pPr>
              <w:spacing w:line="240" w:lineRule="auto" w:before="40" w:after="40"/>
              <w:jc w:val="center"/>
            </w:pPr>
            <w:r/>
            <w:r>
              <w:rPr>
                <w:b w:val="0"/>
                <w:i w:val="0"/>
                <w:sz w:val="16"/>
              </w:rPr>
              <w:t>456 beds, 4 st.</w:t>
            </w:r>
          </w:p>
        </w:tc>
        <w:tc>
          <w:tcPr>
            <w:tcW w:type="dxa" w:w="1080"/>
            <w:shd w:val="clear" w:color="auto" w:fill="EFEFEF"/>
          </w:tcPr>
          <w:p>
            <w:pPr>
              <w:spacing w:line="240" w:lineRule="auto" w:before="40" w:after="40"/>
              <w:jc w:val="center"/>
            </w:pPr>
            <w:r/>
            <w:r>
              <w:rPr>
                <w:b w:val="0"/>
                <w:i w:val="0"/>
                <w:sz w:val="16"/>
              </w:rPr>
              <w:t>48.48</w:t>
            </w:r>
          </w:p>
        </w:tc>
        <w:tc>
          <w:tcPr>
            <w:tcW w:type="dxa" w:w="792"/>
            <w:shd w:val="clear" w:color="auto" w:fill="EFEFEF"/>
          </w:tcPr>
          <w:p>
            <w:pPr>
              <w:spacing w:line="240" w:lineRule="auto" w:before="40" w:after="40"/>
              <w:jc w:val="center"/>
            </w:pPr>
            <w:r/>
            <w:r>
              <w:rPr>
                <w:b w:val="0"/>
                <w:i w:val="0"/>
                <w:sz w:val="16"/>
              </w:rPr>
              <w:t>97%</w:t>
            </w:r>
          </w:p>
        </w:tc>
        <w:tc>
          <w:tcPr>
            <w:tcW w:type="dxa" w:w="936"/>
            <w:shd w:val="clear" w:color="auto" w:fill="EFEFEF"/>
          </w:tcPr>
          <w:p>
            <w:pPr>
              <w:spacing w:line="240" w:lineRule="auto" w:before="40" w:after="40"/>
              <w:jc w:val="center"/>
            </w:pPr>
            <w:r/>
            <w:r>
              <w:rPr>
                <w:b w:val="0"/>
                <w:i w:val="0"/>
                <w:sz w:val="16"/>
              </w:rPr>
              <w:t>4</w:t>
            </w:r>
          </w:p>
        </w:tc>
        <w:tc>
          <w:tcPr>
            <w:tcW w:type="dxa" w:w="1080"/>
            <w:shd w:val="clear" w:color="auto" w:fill="EFEFEF"/>
          </w:tcPr>
          <w:p>
            <w:pPr>
              <w:spacing w:line="240" w:lineRule="auto" w:before="40" w:after="40"/>
              <w:jc w:val="center"/>
            </w:pPr>
            <w:r/>
            <w:r>
              <w:rPr>
                <w:b w:val="0"/>
                <w:i w:val="0"/>
                <w:sz w:val="16"/>
              </w:rPr>
              <w:t>240</w:t>
            </w:r>
          </w:p>
        </w:tc>
        <w:tc>
          <w:tcPr>
            <w:tcW w:type="dxa" w:w="648"/>
            <w:shd w:val="clear" w:color="auto" w:fill="EFEFEF"/>
          </w:tcPr>
          <w:p>
            <w:pPr>
              <w:spacing w:line="240" w:lineRule="auto" w:before="40" w:after="40"/>
              <w:jc w:val="center"/>
            </w:pPr>
            <w:r/>
            <w:r>
              <w:rPr>
                <w:b w:val="0"/>
                <w:i w:val="0"/>
                <w:sz w:val="16"/>
              </w:rPr>
              <w:t>9.7</w:t>
            </w:r>
          </w:p>
        </w:tc>
      </w:tr>
      <w:tr>
        <w:tc>
          <w:tcPr>
            <w:tcW w:type="dxa" w:w="2160"/>
            <w:tcBorders>
              <w:bottom w:val="single" w:sz="12" w:color="000000"/>
            </w:tcBorders>
          </w:tcPr>
          <w:p>
            <w:pPr>
              <w:spacing w:line="240" w:lineRule="auto" w:before="40" w:after="40"/>
              <w:jc w:val="left"/>
            </w:pPr>
            <w:r/>
            <w:r>
              <w:rPr>
                <w:b w:val="0"/>
                <w:i w:val="0"/>
                <w:sz w:val="16"/>
              </w:rPr>
              <w:t>Dormitory</w:t>
            </w:r>
          </w:p>
        </w:tc>
        <w:tc>
          <w:tcPr>
            <w:tcW w:type="dxa" w:w="1080"/>
            <w:tcBorders>
              <w:bottom w:val="single" w:sz="12" w:color="000000"/>
            </w:tcBorders>
          </w:tcPr>
          <w:p>
            <w:pPr>
              <w:spacing w:line="240" w:lineRule="auto" w:before="40" w:after="40"/>
              <w:jc w:val="center"/>
            </w:pPr>
            <w:r/>
            <w:r>
              <w:rPr>
                <w:b w:val="0"/>
                <w:i w:val="0"/>
                <w:sz w:val="16"/>
              </w:rPr>
              <w:t>80</w:t>
            </w:r>
          </w:p>
        </w:tc>
        <w:tc>
          <w:tcPr>
            <w:tcW w:type="dxa" w:w="1944"/>
            <w:tcBorders>
              <w:bottom w:val="single" w:sz="12" w:color="000000"/>
            </w:tcBorders>
          </w:tcPr>
          <w:p>
            <w:pPr>
              <w:spacing w:line="240" w:lineRule="auto" w:before="40" w:after="40"/>
              <w:jc w:val="center"/>
            </w:pPr>
            <w:r/>
            <w:r>
              <w:rPr>
                <w:b w:val="0"/>
                <w:i w:val="0"/>
                <w:sz w:val="16"/>
              </w:rPr>
              <w:t>480 beds, 4 st.</w:t>
            </w:r>
          </w:p>
        </w:tc>
        <w:tc>
          <w:tcPr>
            <w:tcW w:type="dxa" w:w="1080"/>
            <w:tcBorders>
              <w:bottom w:val="single" w:sz="12" w:color="000000"/>
            </w:tcBorders>
          </w:tcPr>
          <w:p>
            <w:pPr>
              <w:spacing w:line="240" w:lineRule="auto" w:before="40" w:after="40"/>
              <w:jc w:val="center"/>
            </w:pPr>
            <w:r/>
            <w:r>
              <w:rPr>
                <w:b w:val="0"/>
                <w:i w:val="0"/>
                <w:sz w:val="16"/>
              </w:rPr>
              <w:t>52.00</w:t>
            </w:r>
          </w:p>
        </w:tc>
        <w:tc>
          <w:tcPr>
            <w:tcW w:type="dxa" w:w="792"/>
            <w:tcBorders>
              <w:bottom w:val="single" w:sz="12" w:color="000000"/>
            </w:tcBorders>
          </w:tcPr>
          <w:p>
            <w:pPr>
              <w:spacing w:line="240" w:lineRule="auto" w:before="40" w:after="40"/>
              <w:jc w:val="center"/>
            </w:pPr>
            <w:r/>
            <w:r>
              <w:rPr>
                <w:b w:val="0"/>
                <w:i w:val="0"/>
                <w:sz w:val="16"/>
              </w:rPr>
              <w:t>65%</w:t>
            </w:r>
          </w:p>
        </w:tc>
        <w:tc>
          <w:tcPr>
            <w:tcW w:type="dxa" w:w="936"/>
            <w:tcBorders>
              <w:bottom w:val="single" w:sz="12" w:color="000000"/>
            </w:tcBorders>
          </w:tcPr>
          <w:p>
            <w:pPr>
              <w:spacing w:line="240" w:lineRule="auto" w:before="40" w:after="40"/>
              <w:jc w:val="center"/>
            </w:pPr>
            <w:r/>
            <w:r>
              <w:rPr>
                <w:b w:val="0"/>
                <w:i w:val="0"/>
                <w:sz w:val="16"/>
              </w:rPr>
              <w:t>4</w:t>
            </w:r>
          </w:p>
        </w:tc>
        <w:tc>
          <w:tcPr>
            <w:tcW w:type="dxa" w:w="1080"/>
            <w:tcBorders>
              <w:bottom w:val="single" w:sz="12" w:color="000000"/>
            </w:tcBorders>
          </w:tcPr>
          <w:p>
            <w:pPr>
              <w:spacing w:line="240" w:lineRule="auto" w:before="40" w:after="40"/>
              <w:jc w:val="center"/>
            </w:pPr>
            <w:r/>
            <w:r>
              <w:rPr>
                <w:b w:val="0"/>
                <w:i w:val="0"/>
                <w:sz w:val="16"/>
              </w:rPr>
              <w:t>240</w:t>
            </w:r>
          </w:p>
        </w:tc>
        <w:tc>
          <w:tcPr>
            <w:tcW w:type="dxa" w:w="648"/>
            <w:tcBorders>
              <w:bottom w:val="single" w:sz="12" w:color="000000"/>
            </w:tcBorders>
          </w:tcPr>
          <w:p>
            <w:pPr>
              <w:spacing w:line="240" w:lineRule="auto" w:before="40" w:after="40"/>
              <w:jc w:val="center"/>
            </w:pPr>
            <w:r/>
            <w:r>
              <w:rPr>
                <w:b w:val="0"/>
                <w:i w:val="0"/>
                <w:sz w:val="16"/>
              </w:rPr>
              <w:t>7.5</w:t>
            </w:r>
          </w:p>
        </w:tc>
      </w:tr>
    </w:tbl>
    <w:p>
      <w:pPr>
        <w:spacing w:line="240" w:lineRule="auto" w:after="80"/>
      </w:pPr>
    </w:p>
    <w:p>
      <w:pPr>
        <w:spacing w:line="480" w:lineRule="auto" w:after="0"/>
        <w:ind w:firstLine="720"/>
        <w:jc w:val="both"/>
      </w:pPr>
      <w:r>
        <w:rPr>
          <w:b w:val="0"/>
          <w:i w:val="0"/>
        </w:rPr>
        <w:t>Table 14 reports 24 budget scenarios. In 18 of the 22 feasible cases the largest design used 85% or more of the budget; the cases with lower use are those where a limit binds before the money runs out. A ₱80 million school budget, for instance, buys 15 classrooms in a 4-storey building that already fills the 60 m lot at the four-storey DepEd limit, so the solver shows that the extra money should fund a second building rather than a padded one. Where even the smallest design costs more than the budget, as for a ₱10 million evacuation center or market, the solver says so instead of returning an under-scoped design. Each search evaluated at most 604 complete designs and finished in 37 ms or less, with a median of 3.6 ms for a full school search, fast enough to run on a phone as the user moves a budget slider.</w:t>
      </w:r>
    </w:p>
    <w:p>
      <w:pPr>
        <w:keepNext/>
        <w:spacing w:line="240" w:lineRule="auto" w:after="0" w:before="120"/>
        <w:jc w:val="left"/>
      </w:pPr>
      <w:r>
        <w:rPr>
          <w:b/>
          <w:i w:val="0"/>
        </w:rPr>
        <w:t>Figure 10.</w:t>
      </w:r>
    </w:p>
    <w:p>
      <w:pPr>
        <w:keepNext/>
        <w:spacing w:line="240" w:lineRule="auto" w:after="0"/>
        <w:jc w:val="left"/>
      </w:pPr>
      <w:r>
        <w:rPr>
          <w:b w:val="0"/>
          <w:i/>
        </w:rPr>
        <w:t>Budget-to-Design Frontier for School Buildings by Storey Limit</w:t>
      </w:r>
    </w:p>
    <w:p>
      <w:pPr>
        <w:spacing w:line="240" w:lineRule="auto" w:after="200"/>
        <w:jc w:val="center"/>
      </w:pPr>
      <w:r>
        <w:drawing>
          <wp:inline xmlns:a="http://schemas.openxmlformats.org/drawingml/2006/main" xmlns:pic="http://schemas.openxmlformats.org/drawingml/2006/picture">
            <wp:extent cx="4937760" cy="3185652"/>
            <wp:docPr id="62" name="Picture 62"/>
            <wp:cNvGraphicFramePr>
              <a:graphicFrameLocks noChangeAspect="1"/>
            </wp:cNvGraphicFramePr>
            <a:graphic>
              <a:graphicData uri="http://schemas.openxmlformats.org/drawingml/2006/picture">
                <pic:pic>
                  <pic:nvPicPr>
                    <pic:cNvPr id="0" name="frontier_school.png"/>
                    <pic:cNvPicPr/>
                  </pic:nvPicPr>
                  <pic:blipFill>
                    <a:blip r:embed="rId46"/>
                    <a:stretch>
                      <a:fillRect/>
                    </a:stretch>
                  </pic:blipFill>
                  <pic:spPr>
                    <a:xfrm>
                      <a:off x="0" y="0"/>
                      <a:ext cx="4937760" cy="3185652"/>
                    </a:xfrm>
                    <a:prstGeom prst="rect"/>
                  </pic:spPr>
                </pic:pic>
              </a:graphicData>
            </a:graphic>
          </wp:inline>
        </w:drawing>
      </w:r>
    </w:p>
    <w:p>
      <w:pPr>
        <w:spacing w:line="480" w:lineRule="auto" w:after="0"/>
        <w:ind w:firstLine="720"/>
        <w:jc w:val="both"/>
      </w:pPr>
      <w:r>
        <w:rPr>
          <w:b w:val="0"/>
          <w:i w:val="0"/>
        </w:rPr>
        <w:t>Figure 10 plots the frontier for school buildings. With one storey the 60 m lot caps the building at five classrooms, so extra money buys nothing; allowing two, three and four storeys lifts the frontier step by step. Across budgets from ₱6 million to ₱80 million, allowing up to four storeys gave an average of 6.4 and up to 10 more classrooms than a single-storey policy for the same money. The steps are the integer nature of the problem: a classroom is added only when the next whole module, with its share of stairs and toilets, fits the budget.</w:t>
      </w:r>
    </w:p>
    <w:p>
      <w:pPr>
        <w:keepNext/>
        <w:spacing w:line="480" w:lineRule="auto" w:after="0"/>
        <w:ind w:left="720"/>
        <w:jc w:val="left"/>
      </w:pPr>
      <w:r>
        <w:rPr>
          <w:b/>
          <w:i w:val="0"/>
        </w:rPr>
        <w:t>c.) Compliance and Bridge Type Selection</w:t>
      </w:r>
    </w:p>
    <w:p>
      <w:pPr>
        <w:spacing w:line="480" w:lineRule="auto" w:after="0"/>
        <w:ind w:firstLine="720"/>
        <w:jc w:val="both"/>
      </w:pPr>
      <w:r>
        <w:rPr>
          <w:b w:val="0"/>
          <w:i w:val="0"/>
        </w:rPr>
        <w:t>All 41 building templates passed all 152 applicable checks: classroom size, corridor width, stairs and exits per floor, toilets with PWD cubicles on every floor, evacuation living space and natural light. Because the checks run on every generated design, a user who removes a stair or a toilet block sees the warning at once.</w:t>
      </w:r>
    </w:p>
    <w:p>
      <w:pPr>
        <w:keepNext/>
        <w:spacing w:line="240" w:lineRule="auto" w:after="0" w:before="120"/>
        <w:jc w:val="left"/>
      </w:pPr>
      <w:r>
        <w:rPr>
          <w:b/>
          <w:i w:val="0"/>
        </w:rPr>
        <w:t>Table 15.</w:t>
      </w:r>
    </w:p>
    <w:p>
      <w:pPr>
        <w:keepNext/>
        <w:spacing w:line="240" w:lineRule="auto" w:after="0"/>
        <w:jc w:val="left"/>
      </w:pPr>
      <w:r>
        <w:rPr>
          <w:b w:val="0"/>
          <w:i/>
        </w:rPr>
        <w:t>Bridge Designs Recommended by Gap Length (Two Lanes)</w:t>
      </w:r>
    </w:p>
    <w:tbl>
      <w:tblPr>
        <w:tblW w:type="auto" w:w="0"/>
        <w:jc w:val="center"/>
        <w:tblLayout w:type="fixed"/>
        <w:tblLook w:firstColumn="1" w:firstRow="1" w:lastColumn="0" w:lastRow="0" w:noHBand="0" w:noVBand="1" w:val="04A0"/>
        <w:tblLayout w:type="fixed"/>
      </w:tblPr>
      <w:tblGrid>
        <w:gridCol w:w="864"/>
        <w:gridCol w:w="2160"/>
        <w:gridCol w:w="1296"/>
        <w:gridCol w:w="1296"/>
        <w:gridCol w:w="1007"/>
        <w:gridCol w:w="2736"/>
      </w:tblGrid>
      <w:tr>
        <w:tc>
          <w:tcPr>
            <w:tcW w:type="dxa" w:w="864"/>
            <w:tcBorders>
              <w:top w:val="single" w:sz="12" w:color="000000"/>
              <w:bottom w:val="single" w:sz="8" w:color="000000"/>
            </w:tcBorders>
          </w:tcPr>
          <w:p>
            <w:pPr>
              <w:spacing w:line="240" w:lineRule="auto" w:before="40" w:after="40"/>
              <w:jc w:val="center"/>
            </w:pPr>
            <w:r/>
            <w:r>
              <w:rPr>
                <w:b/>
                <w:i w:val="0"/>
                <w:sz w:val="17"/>
              </w:rPr>
              <w:t>GAP (m)</w:t>
            </w:r>
          </w:p>
        </w:tc>
        <w:tc>
          <w:tcPr>
            <w:tcW w:type="dxa" w:w="2160"/>
            <w:tcBorders>
              <w:top w:val="single" w:sz="12" w:color="000000"/>
              <w:bottom w:val="single" w:sz="8" w:color="000000"/>
            </w:tcBorders>
          </w:tcPr>
          <w:p>
            <w:pPr>
              <w:spacing w:line="240" w:lineRule="auto" w:before="40" w:after="40"/>
              <w:jc w:val="center"/>
            </w:pPr>
            <w:r/>
            <w:r>
              <w:rPr>
                <w:b/>
                <w:i w:val="0"/>
                <w:sz w:val="17"/>
              </w:rPr>
              <w:t>LOWEST-COST DESIGN</w:t>
            </w:r>
          </w:p>
        </w:tc>
        <w:tc>
          <w:tcPr>
            <w:tcW w:type="dxa" w:w="1296"/>
            <w:tcBorders>
              <w:top w:val="single" w:sz="12" w:color="000000"/>
              <w:bottom w:val="single" w:sz="8" w:color="000000"/>
            </w:tcBorders>
          </w:tcPr>
          <w:p>
            <w:pPr>
              <w:spacing w:line="240" w:lineRule="auto" w:before="40" w:after="40"/>
              <w:jc w:val="center"/>
            </w:pPr>
            <w:r/>
            <w:r>
              <w:rPr>
                <w:b/>
                <w:i w:val="0"/>
                <w:sz w:val="17"/>
              </w:rPr>
              <w:t>SPANS</w:t>
            </w:r>
          </w:p>
        </w:tc>
        <w:tc>
          <w:tcPr>
            <w:tcW w:type="dxa" w:w="1296"/>
            <w:tcBorders>
              <w:top w:val="single" w:sz="12" w:color="000000"/>
              <w:bottom w:val="single" w:sz="8" w:color="000000"/>
            </w:tcBorders>
          </w:tcPr>
          <w:p>
            <w:pPr>
              <w:spacing w:line="240" w:lineRule="auto" w:before="40" w:after="40"/>
              <w:jc w:val="center"/>
            </w:pPr>
            <w:r/>
            <w:r>
              <w:rPr>
                <w:b/>
                <w:i w:val="0"/>
                <w:sz w:val="17"/>
              </w:rPr>
              <w:t>STANDARD (₱M)</w:t>
            </w:r>
          </w:p>
        </w:tc>
        <w:tc>
          <w:tcPr>
            <w:tcW w:type="dxa" w:w="1008"/>
            <w:tcBorders>
              <w:top w:val="single" w:sz="12" w:color="000000"/>
              <w:bottom w:val="single" w:sz="8" w:color="000000"/>
            </w:tcBorders>
          </w:tcPr>
          <w:p>
            <w:pPr>
              <w:spacing w:line="240" w:lineRule="auto" w:before="40" w:after="40"/>
              <w:jc w:val="center"/>
            </w:pPr>
            <w:r/>
            <w:r>
              <w:rPr>
                <w:b/>
                <w:i w:val="0"/>
                <w:sz w:val="17"/>
              </w:rPr>
              <w:t>₱000 / m</w:t>
            </w:r>
          </w:p>
        </w:tc>
        <w:tc>
          <w:tcPr>
            <w:tcW w:type="dxa" w:w="2736"/>
            <w:tcBorders>
              <w:top w:val="single" w:sz="12" w:color="000000"/>
              <w:bottom w:val="single" w:sz="8" w:color="000000"/>
            </w:tcBorders>
          </w:tcPr>
          <w:p>
            <w:pPr>
              <w:spacing w:line="240" w:lineRule="auto" w:before="40" w:after="40"/>
              <w:jc w:val="center"/>
            </w:pPr>
            <w:r/>
            <w:r>
              <w:rPr>
                <w:b/>
                <w:i w:val="0"/>
                <w:sz w:val="17"/>
              </w:rPr>
              <w:t>RUNNER-UP (₱M)</w:t>
            </w:r>
          </w:p>
        </w:tc>
      </w:tr>
      <w:tr>
        <w:tc>
          <w:tcPr>
            <w:tcW w:type="dxa" w:w="864"/>
            <w:shd w:val="clear" w:color="auto" w:fill="EFEFEF"/>
          </w:tcPr>
          <w:p>
            <w:pPr>
              <w:spacing w:line="240" w:lineRule="auto" w:before="40" w:after="40"/>
              <w:jc w:val="left"/>
            </w:pPr>
            <w:r/>
            <w:r>
              <w:rPr>
                <w:b w:val="0"/>
                <w:i/>
                <w:sz w:val="17"/>
              </w:rPr>
              <w:t>6</w:t>
            </w:r>
          </w:p>
        </w:tc>
        <w:tc>
          <w:tcPr>
            <w:tcW w:type="dxa" w:w="2160"/>
            <w:shd w:val="clear" w:color="auto" w:fill="EFEFEF"/>
          </w:tcPr>
          <w:p>
            <w:pPr>
              <w:spacing w:line="240" w:lineRule="auto" w:before="40" w:after="40"/>
              <w:jc w:val="center"/>
            </w:pPr>
            <w:r/>
            <w:r>
              <w:rPr>
                <w:b w:val="0"/>
                <w:i w:val="0"/>
                <w:sz w:val="17"/>
              </w:rPr>
              <w:t>RC box culvert</w:t>
            </w:r>
          </w:p>
        </w:tc>
        <w:tc>
          <w:tcPr>
            <w:tcW w:type="dxa" w:w="1296"/>
            <w:shd w:val="clear" w:color="auto" w:fill="EFEFEF"/>
          </w:tcPr>
          <w:p>
            <w:pPr>
              <w:spacing w:line="240" w:lineRule="auto" w:before="40" w:after="40"/>
              <w:jc w:val="center"/>
            </w:pPr>
            <w:r/>
            <w:r>
              <w:rPr>
                <w:b w:val="0"/>
                <w:i w:val="0"/>
                <w:sz w:val="17"/>
              </w:rPr>
              <w:t>2 × 3.0 m</w:t>
            </w:r>
          </w:p>
        </w:tc>
        <w:tc>
          <w:tcPr>
            <w:tcW w:type="dxa" w:w="1296"/>
            <w:shd w:val="clear" w:color="auto" w:fill="EFEFEF"/>
          </w:tcPr>
          <w:p>
            <w:pPr>
              <w:spacing w:line="240" w:lineRule="auto" w:before="40" w:after="40"/>
              <w:jc w:val="center"/>
            </w:pPr>
            <w:r/>
            <w:r>
              <w:rPr>
                <w:b w:val="0"/>
                <w:i w:val="0"/>
                <w:sz w:val="17"/>
              </w:rPr>
              <w:t>3.33</w:t>
            </w:r>
          </w:p>
        </w:tc>
        <w:tc>
          <w:tcPr>
            <w:tcW w:type="dxa" w:w="1008"/>
            <w:shd w:val="clear" w:color="auto" w:fill="EFEFEF"/>
          </w:tcPr>
          <w:p>
            <w:pPr>
              <w:spacing w:line="240" w:lineRule="auto" w:before="40" w:after="40"/>
              <w:jc w:val="center"/>
            </w:pPr>
            <w:r/>
            <w:r>
              <w:rPr>
                <w:b w:val="0"/>
                <w:i w:val="0"/>
                <w:sz w:val="17"/>
              </w:rPr>
              <w:t>555</w:t>
            </w:r>
          </w:p>
        </w:tc>
        <w:tc>
          <w:tcPr>
            <w:tcW w:type="dxa" w:w="2736"/>
            <w:shd w:val="clear" w:color="auto" w:fill="EFEFEF"/>
          </w:tcPr>
          <w:p>
            <w:pPr>
              <w:spacing w:line="240" w:lineRule="auto" w:before="40" w:after="40"/>
              <w:jc w:val="center"/>
            </w:pPr>
            <w:r/>
            <w:r>
              <w:rPr>
                <w:b w:val="0"/>
                <w:i w:val="0"/>
                <w:sz w:val="17"/>
              </w:rPr>
              <w:t>RC box culvert (3 spans), 3.39</w:t>
            </w:r>
          </w:p>
        </w:tc>
      </w:tr>
      <w:tr>
        <w:tc>
          <w:tcPr>
            <w:tcW w:type="dxa" w:w="864"/>
          </w:tcPr>
          <w:p>
            <w:pPr>
              <w:spacing w:line="240" w:lineRule="auto" w:before="40" w:after="40"/>
              <w:jc w:val="left"/>
            </w:pPr>
            <w:r/>
            <w:r>
              <w:rPr>
                <w:b w:val="0"/>
                <w:i/>
                <w:sz w:val="17"/>
              </w:rPr>
              <w:t>12</w:t>
            </w:r>
          </w:p>
        </w:tc>
        <w:tc>
          <w:tcPr>
            <w:tcW w:type="dxa" w:w="2160"/>
          </w:tcPr>
          <w:p>
            <w:pPr>
              <w:spacing w:line="240" w:lineRule="auto" w:before="40" w:after="40"/>
              <w:jc w:val="center"/>
            </w:pPr>
            <w:r/>
            <w:r>
              <w:rPr>
                <w:b w:val="0"/>
                <w:i w:val="0"/>
                <w:sz w:val="17"/>
              </w:rPr>
              <w:t>RC box culvert</w:t>
            </w:r>
          </w:p>
        </w:tc>
        <w:tc>
          <w:tcPr>
            <w:tcW w:type="dxa" w:w="1296"/>
          </w:tcPr>
          <w:p>
            <w:pPr>
              <w:spacing w:line="240" w:lineRule="auto" w:before="40" w:after="40"/>
              <w:jc w:val="center"/>
            </w:pPr>
            <w:r/>
            <w:r>
              <w:rPr>
                <w:b w:val="0"/>
                <w:i w:val="0"/>
                <w:sz w:val="17"/>
              </w:rPr>
              <w:t>4 × 3.0 m</w:t>
            </w:r>
          </w:p>
        </w:tc>
        <w:tc>
          <w:tcPr>
            <w:tcW w:type="dxa" w:w="1296"/>
          </w:tcPr>
          <w:p>
            <w:pPr>
              <w:spacing w:line="240" w:lineRule="auto" w:before="40" w:after="40"/>
              <w:jc w:val="center"/>
            </w:pPr>
            <w:r/>
            <w:r>
              <w:rPr>
                <w:b w:val="0"/>
                <w:i w:val="0"/>
                <w:sz w:val="17"/>
              </w:rPr>
              <w:t>5.60</w:t>
            </w:r>
          </w:p>
        </w:tc>
        <w:tc>
          <w:tcPr>
            <w:tcW w:type="dxa" w:w="1008"/>
          </w:tcPr>
          <w:p>
            <w:pPr>
              <w:spacing w:line="240" w:lineRule="auto" w:before="40" w:after="40"/>
              <w:jc w:val="center"/>
            </w:pPr>
            <w:r/>
            <w:r>
              <w:rPr>
                <w:b w:val="0"/>
                <w:i w:val="0"/>
                <w:sz w:val="17"/>
              </w:rPr>
              <w:t>467</w:t>
            </w:r>
          </w:p>
        </w:tc>
        <w:tc>
          <w:tcPr>
            <w:tcW w:type="dxa" w:w="2736"/>
          </w:tcPr>
          <w:p>
            <w:pPr>
              <w:spacing w:line="240" w:lineRule="auto" w:before="40" w:after="40"/>
              <w:jc w:val="center"/>
            </w:pPr>
            <w:r/>
            <w:r>
              <w:rPr>
                <w:b w:val="0"/>
                <w:i w:val="0"/>
                <w:sz w:val="17"/>
              </w:rPr>
              <w:t>RC box culvert (5 spans), 5.66</w:t>
            </w:r>
          </w:p>
        </w:tc>
      </w:tr>
      <w:tr>
        <w:tc>
          <w:tcPr>
            <w:tcW w:type="dxa" w:w="864"/>
            <w:shd w:val="clear" w:color="auto" w:fill="EFEFEF"/>
          </w:tcPr>
          <w:p>
            <w:pPr>
              <w:spacing w:line="240" w:lineRule="auto" w:before="40" w:after="40"/>
              <w:jc w:val="left"/>
            </w:pPr>
            <w:r/>
            <w:r>
              <w:rPr>
                <w:b w:val="0"/>
                <w:i/>
                <w:sz w:val="17"/>
              </w:rPr>
              <w:t>20</w:t>
            </w:r>
          </w:p>
        </w:tc>
        <w:tc>
          <w:tcPr>
            <w:tcW w:type="dxa" w:w="2160"/>
            <w:shd w:val="clear" w:color="auto" w:fill="EFEFEF"/>
          </w:tcPr>
          <w:p>
            <w:pPr>
              <w:spacing w:line="240" w:lineRule="auto" w:before="40" w:after="40"/>
              <w:jc w:val="center"/>
            </w:pPr>
            <w:r/>
            <w:r>
              <w:rPr>
                <w:b w:val="0"/>
                <w:i w:val="0"/>
                <w:sz w:val="17"/>
              </w:rPr>
              <w:t>RC deck girder (RCDG)</w:t>
            </w:r>
          </w:p>
        </w:tc>
        <w:tc>
          <w:tcPr>
            <w:tcW w:type="dxa" w:w="1296"/>
            <w:shd w:val="clear" w:color="auto" w:fill="EFEFEF"/>
          </w:tcPr>
          <w:p>
            <w:pPr>
              <w:spacing w:line="240" w:lineRule="auto" w:before="40" w:after="40"/>
              <w:jc w:val="center"/>
            </w:pPr>
            <w:r/>
            <w:r>
              <w:rPr>
                <w:b w:val="0"/>
                <w:i w:val="0"/>
                <w:sz w:val="17"/>
              </w:rPr>
              <w:t>1 × 20.0 m</w:t>
            </w:r>
          </w:p>
        </w:tc>
        <w:tc>
          <w:tcPr>
            <w:tcW w:type="dxa" w:w="1296"/>
            <w:shd w:val="clear" w:color="auto" w:fill="EFEFEF"/>
          </w:tcPr>
          <w:p>
            <w:pPr>
              <w:spacing w:line="240" w:lineRule="auto" w:before="40" w:after="40"/>
              <w:jc w:val="center"/>
            </w:pPr>
            <w:r/>
            <w:r>
              <w:rPr>
                <w:b w:val="0"/>
                <w:i w:val="0"/>
                <w:sz w:val="17"/>
              </w:rPr>
              <w:t>21.79</w:t>
            </w:r>
          </w:p>
        </w:tc>
        <w:tc>
          <w:tcPr>
            <w:tcW w:type="dxa" w:w="1008"/>
            <w:shd w:val="clear" w:color="auto" w:fill="EFEFEF"/>
          </w:tcPr>
          <w:p>
            <w:pPr>
              <w:spacing w:line="240" w:lineRule="auto" w:before="40" w:after="40"/>
              <w:jc w:val="center"/>
            </w:pPr>
            <w:r/>
            <w:r>
              <w:rPr>
                <w:b w:val="0"/>
                <w:i w:val="0"/>
                <w:sz w:val="17"/>
              </w:rPr>
              <w:t>1,089</w:t>
            </w:r>
          </w:p>
        </w:tc>
        <w:tc>
          <w:tcPr>
            <w:tcW w:type="dxa" w:w="2736"/>
            <w:shd w:val="clear" w:color="auto" w:fill="EFEFEF"/>
          </w:tcPr>
          <w:p>
            <w:pPr>
              <w:spacing w:line="240" w:lineRule="auto" w:before="40" w:after="40"/>
              <w:jc w:val="center"/>
            </w:pPr>
            <w:r/>
            <w:r>
              <w:rPr>
                <w:b w:val="0"/>
                <w:i w:val="0"/>
                <w:sz w:val="17"/>
              </w:rPr>
              <w:t>RC deck girder (RCDG) (2 spans), 25.24</w:t>
            </w:r>
          </w:p>
        </w:tc>
      </w:tr>
      <w:tr>
        <w:tc>
          <w:tcPr>
            <w:tcW w:type="dxa" w:w="864"/>
          </w:tcPr>
          <w:p>
            <w:pPr>
              <w:spacing w:line="240" w:lineRule="auto" w:before="40" w:after="40"/>
              <w:jc w:val="left"/>
            </w:pPr>
            <w:r/>
            <w:r>
              <w:rPr>
                <w:b w:val="0"/>
                <w:i/>
                <w:sz w:val="17"/>
              </w:rPr>
              <w:t>30</w:t>
            </w:r>
          </w:p>
        </w:tc>
        <w:tc>
          <w:tcPr>
            <w:tcW w:type="dxa" w:w="2160"/>
          </w:tcPr>
          <w:p>
            <w:pPr>
              <w:spacing w:line="240" w:lineRule="auto" w:before="40" w:after="40"/>
              <w:jc w:val="center"/>
            </w:pPr>
            <w:r/>
            <w:r>
              <w:rPr>
                <w:b w:val="0"/>
                <w:i w:val="0"/>
                <w:sz w:val="17"/>
              </w:rPr>
              <w:t>RC deck girder (RCDG)</w:t>
            </w:r>
          </w:p>
        </w:tc>
        <w:tc>
          <w:tcPr>
            <w:tcW w:type="dxa" w:w="1296"/>
          </w:tcPr>
          <w:p>
            <w:pPr>
              <w:spacing w:line="240" w:lineRule="auto" w:before="40" w:after="40"/>
              <w:jc w:val="center"/>
            </w:pPr>
            <w:r/>
            <w:r>
              <w:rPr>
                <w:b w:val="0"/>
                <w:i w:val="0"/>
                <w:sz w:val="17"/>
              </w:rPr>
              <w:t>2 × 15.0 m</w:t>
            </w:r>
          </w:p>
        </w:tc>
        <w:tc>
          <w:tcPr>
            <w:tcW w:type="dxa" w:w="1296"/>
          </w:tcPr>
          <w:p>
            <w:pPr>
              <w:spacing w:line="240" w:lineRule="auto" w:before="40" w:after="40"/>
              <w:jc w:val="center"/>
            </w:pPr>
            <w:r/>
            <w:r>
              <w:rPr>
                <w:b w:val="0"/>
                <w:i w:val="0"/>
                <w:sz w:val="17"/>
              </w:rPr>
              <w:t>27.82</w:t>
            </w:r>
          </w:p>
        </w:tc>
        <w:tc>
          <w:tcPr>
            <w:tcW w:type="dxa" w:w="1008"/>
          </w:tcPr>
          <w:p>
            <w:pPr>
              <w:spacing w:line="240" w:lineRule="auto" w:before="40" w:after="40"/>
              <w:jc w:val="center"/>
            </w:pPr>
            <w:r/>
            <w:r>
              <w:rPr>
                <w:b w:val="0"/>
                <w:i w:val="0"/>
                <w:sz w:val="17"/>
              </w:rPr>
              <w:t>927</w:t>
            </w:r>
          </w:p>
        </w:tc>
        <w:tc>
          <w:tcPr>
            <w:tcW w:type="dxa" w:w="2736"/>
          </w:tcPr>
          <w:p>
            <w:pPr>
              <w:spacing w:line="240" w:lineRule="auto" w:before="40" w:after="40"/>
              <w:jc w:val="center"/>
            </w:pPr>
            <w:r/>
            <w:r>
              <w:rPr>
                <w:b w:val="0"/>
                <w:i w:val="0"/>
                <w:sz w:val="17"/>
              </w:rPr>
              <w:t>RC deck girder (RCDG) (3 spans), 31.88</w:t>
            </w:r>
          </w:p>
        </w:tc>
      </w:tr>
      <w:tr>
        <w:tc>
          <w:tcPr>
            <w:tcW w:type="dxa" w:w="864"/>
            <w:shd w:val="clear" w:color="auto" w:fill="EFEFEF"/>
          </w:tcPr>
          <w:p>
            <w:pPr>
              <w:spacing w:line="240" w:lineRule="auto" w:before="40" w:after="40"/>
              <w:jc w:val="left"/>
            </w:pPr>
            <w:r/>
            <w:r>
              <w:rPr>
                <w:b w:val="0"/>
                <w:i/>
                <w:sz w:val="17"/>
              </w:rPr>
              <w:t>45</w:t>
            </w:r>
          </w:p>
        </w:tc>
        <w:tc>
          <w:tcPr>
            <w:tcW w:type="dxa" w:w="2160"/>
            <w:shd w:val="clear" w:color="auto" w:fill="EFEFEF"/>
          </w:tcPr>
          <w:p>
            <w:pPr>
              <w:spacing w:line="240" w:lineRule="auto" w:before="40" w:after="40"/>
              <w:jc w:val="center"/>
            </w:pPr>
            <w:r/>
            <w:r>
              <w:rPr>
                <w:b w:val="0"/>
                <w:i w:val="0"/>
                <w:sz w:val="17"/>
              </w:rPr>
              <w:t>RC deck girder (RCDG)</w:t>
            </w:r>
          </w:p>
        </w:tc>
        <w:tc>
          <w:tcPr>
            <w:tcW w:type="dxa" w:w="1296"/>
            <w:shd w:val="clear" w:color="auto" w:fill="EFEFEF"/>
          </w:tcPr>
          <w:p>
            <w:pPr>
              <w:spacing w:line="240" w:lineRule="auto" w:before="40" w:after="40"/>
              <w:jc w:val="center"/>
            </w:pPr>
            <w:r/>
            <w:r>
              <w:rPr>
                <w:b w:val="0"/>
                <w:i w:val="0"/>
                <w:sz w:val="17"/>
              </w:rPr>
              <w:t>2 × 22.5 m</w:t>
            </w:r>
          </w:p>
        </w:tc>
        <w:tc>
          <w:tcPr>
            <w:tcW w:type="dxa" w:w="1296"/>
            <w:shd w:val="clear" w:color="auto" w:fill="EFEFEF"/>
          </w:tcPr>
          <w:p>
            <w:pPr>
              <w:spacing w:line="240" w:lineRule="auto" w:before="40" w:after="40"/>
              <w:jc w:val="center"/>
            </w:pPr>
            <w:r/>
            <w:r>
              <w:rPr>
                <w:b w:val="0"/>
                <w:i w:val="0"/>
                <w:sz w:val="17"/>
              </w:rPr>
              <w:t>33.70</w:t>
            </w:r>
          </w:p>
        </w:tc>
        <w:tc>
          <w:tcPr>
            <w:tcW w:type="dxa" w:w="1008"/>
            <w:shd w:val="clear" w:color="auto" w:fill="EFEFEF"/>
          </w:tcPr>
          <w:p>
            <w:pPr>
              <w:spacing w:line="240" w:lineRule="auto" w:before="40" w:after="40"/>
              <w:jc w:val="center"/>
            </w:pPr>
            <w:r/>
            <w:r>
              <w:rPr>
                <w:b w:val="0"/>
                <w:i w:val="0"/>
                <w:sz w:val="17"/>
              </w:rPr>
              <w:t>749</w:t>
            </w:r>
          </w:p>
        </w:tc>
        <w:tc>
          <w:tcPr>
            <w:tcW w:type="dxa" w:w="2736"/>
            <w:shd w:val="clear" w:color="auto" w:fill="EFEFEF"/>
          </w:tcPr>
          <w:p>
            <w:pPr>
              <w:spacing w:line="240" w:lineRule="auto" w:before="40" w:after="40"/>
              <w:jc w:val="center"/>
            </w:pPr>
            <w:r/>
            <w:r>
              <w:rPr>
                <w:b w:val="0"/>
                <w:i w:val="0"/>
                <w:sz w:val="17"/>
              </w:rPr>
              <w:t>RC deck girder (RCDG) (3 spans), 35.74</w:t>
            </w:r>
          </w:p>
        </w:tc>
      </w:tr>
      <w:tr>
        <w:tc>
          <w:tcPr>
            <w:tcW w:type="dxa" w:w="864"/>
          </w:tcPr>
          <w:p>
            <w:pPr>
              <w:spacing w:line="240" w:lineRule="auto" w:before="40" w:after="40"/>
              <w:jc w:val="left"/>
            </w:pPr>
            <w:r/>
            <w:r>
              <w:rPr>
                <w:b w:val="0"/>
                <w:i/>
                <w:sz w:val="17"/>
              </w:rPr>
              <w:t>60</w:t>
            </w:r>
          </w:p>
        </w:tc>
        <w:tc>
          <w:tcPr>
            <w:tcW w:type="dxa" w:w="2160"/>
          </w:tcPr>
          <w:p>
            <w:pPr>
              <w:spacing w:line="240" w:lineRule="auto" w:before="40" w:after="40"/>
              <w:jc w:val="center"/>
            </w:pPr>
            <w:r/>
            <w:r>
              <w:rPr>
                <w:b w:val="0"/>
                <w:i w:val="0"/>
                <w:sz w:val="17"/>
              </w:rPr>
              <w:t>RC deck girder (RCDG)</w:t>
            </w:r>
          </w:p>
        </w:tc>
        <w:tc>
          <w:tcPr>
            <w:tcW w:type="dxa" w:w="1296"/>
          </w:tcPr>
          <w:p>
            <w:pPr>
              <w:spacing w:line="240" w:lineRule="auto" w:before="40" w:after="40"/>
              <w:jc w:val="center"/>
            </w:pPr>
            <w:r/>
            <w:r>
              <w:rPr>
                <w:b w:val="0"/>
                <w:i w:val="0"/>
                <w:sz w:val="17"/>
              </w:rPr>
              <w:t>3 × 20.0 m</w:t>
            </w:r>
          </w:p>
        </w:tc>
        <w:tc>
          <w:tcPr>
            <w:tcW w:type="dxa" w:w="1296"/>
          </w:tcPr>
          <w:p>
            <w:pPr>
              <w:spacing w:line="240" w:lineRule="auto" w:before="40" w:after="40"/>
              <w:jc w:val="center"/>
            </w:pPr>
            <w:r/>
            <w:r>
              <w:rPr>
                <w:b w:val="0"/>
                <w:i w:val="0"/>
                <w:sz w:val="17"/>
              </w:rPr>
              <w:t>41.43</w:t>
            </w:r>
          </w:p>
        </w:tc>
        <w:tc>
          <w:tcPr>
            <w:tcW w:type="dxa" w:w="1008"/>
          </w:tcPr>
          <w:p>
            <w:pPr>
              <w:spacing w:line="240" w:lineRule="auto" w:before="40" w:after="40"/>
              <w:jc w:val="center"/>
            </w:pPr>
            <w:r/>
            <w:r>
              <w:rPr>
                <w:b w:val="0"/>
                <w:i w:val="0"/>
                <w:sz w:val="17"/>
              </w:rPr>
              <w:t>690</w:t>
            </w:r>
          </w:p>
        </w:tc>
        <w:tc>
          <w:tcPr>
            <w:tcW w:type="dxa" w:w="2736"/>
          </w:tcPr>
          <w:p>
            <w:pPr>
              <w:spacing w:line="240" w:lineRule="auto" w:before="40" w:after="40"/>
              <w:jc w:val="center"/>
            </w:pPr>
            <w:r/>
            <w:r>
              <w:rPr>
                <w:b w:val="0"/>
                <w:i w:val="0"/>
                <w:sz w:val="17"/>
              </w:rPr>
              <w:t>RC deck girder (RCDG) (4 spans), 43.67</w:t>
            </w:r>
          </w:p>
        </w:tc>
      </w:tr>
      <w:tr>
        <w:tc>
          <w:tcPr>
            <w:tcW w:type="dxa" w:w="864"/>
            <w:shd w:val="clear" w:color="auto" w:fill="EFEFEF"/>
          </w:tcPr>
          <w:p>
            <w:pPr>
              <w:spacing w:line="240" w:lineRule="auto" w:before="40" w:after="40"/>
              <w:jc w:val="left"/>
            </w:pPr>
            <w:r/>
            <w:r>
              <w:rPr>
                <w:b w:val="0"/>
                <w:i/>
                <w:sz w:val="17"/>
              </w:rPr>
              <w:t>90</w:t>
            </w:r>
          </w:p>
        </w:tc>
        <w:tc>
          <w:tcPr>
            <w:tcW w:type="dxa" w:w="2160"/>
            <w:shd w:val="clear" w:color="auto" w:fill="EFEFEF"/>
          </w:tcPr>
          <w:p>
            <w:pPr>
              <w:spacing w:line="240" w:lineRule="auto" w:before="40" w:after="40"/>
              <w:jc w:val="center"/>
            </w:pPr>
            <w:r/>
            <w:r>
              <w:rPr>
                <w:b w:val="0"/>
                <w:i w:val="0"/>
                <w:sz w:val="17"/>
              </w:rPr>
              <w:t>RC deck girder (RCDG)</w:t>
            </w:r>
          </w:p>
        </w:tc>
        <w:tc>
          <w:tcPr>
            <w:tcW w:type="dxa" w:w="1296"/>
            <w:shd w:val="clear" w:color="auto" w:fill="EFEFEF"/>
          </w:tcPr>
          <w:p>
            <w:pPr>
              <w:spacing w:line="240" w:lineRule="auto" w:before="40" w:after="40"/>
              <w:jc w:val="center"/>
            </w:pPr>
            <w:r/>
            <w:r>
              <w:rPr>
                <w:b w:val="0"/>
                <w:i w:val="0"/>
                <w:sz w:val="17"/>
              </w:rPr>
              <w:t>4 × 22.5 m</w:t>
            </w:r>
          </w:p>
        </w:tc>
        <w:tc>
          <w:tcPr>
            <w:tcW w:type="dxa" w:w="1296"/>
            <w:shd w:val="clear" w:color="auto" w:fill="EFEFEF"/>
          </w:tcPr>
          <w:p>
            <w:pPr>
              <w:spacing w:line="240" w:lineRule="auto" w:before="40" w:after="40"/>
              <w:jc w:val="center"/>
            </w:pPr>
            <w:r/>
            <w:r>
              <w:rPr>
                <w:b w:val="0"/>
                <w:i w:val="0"/>
                <w:sz w:val="17"/>
              </w:rPr>
              <w:t>55.43</w:t>
            </w:r>
          </w:p>
        </w:tc>
        <w:tc>
          <w:tcPr>
            <w:tcW w:type="dxa" w:w="1008"/>
            <w:shd w:val="clear" w:color="auto" w:fill="EFEFEF"/>
          </w:tcPr>
          <w:p>
            <w:pPr>
              <w:spacing w:line="240" w:lineRule="auto" w:before="40" w:after="40"/>
              <w:jc w:val="center"/>
            </w:pPr>
            <w:r/>
            <w:r>
              <w:rPr>
                <w:b w:val="0"/>
                <w:i w:val="0"/>
                <w:sz w:val="17"/>
              </w:rPr>
              <w:t>616</w:t>
            </w:r>
          </w:p>
        </w:tc>
        <w:tc>
          <w:tcPr>
            <w:tcW w:type="dxa" w:w="2736"/>
            <w:shd w:val="clear" w:color="auto" w:fill="EFEFEF"/>
          </w:tcPr>
          <w:p>
            <w:pPr>
              <w:spacing w:line="240" w:lineRule="auto" w:before="40" w:after="40"/>
              <w:jc w:val="center"/>
            </w:pPr>
            <w:r/>
            <w:r>
              <w:rPr>
                <w:b w:val="0"/>
                <w:i w:val="0"/>
                <w:sz w:val="17"/>
              </w:rPr>
              <w:t>RC deck girder (RCDG) (5 spans), 57.35</w:t>
            </w:r>
          </w:p>
        </w:tc>
      </w:tr>
      <w:tr>
        <w:tc>
          <w:tcPr>
            <w:tcW w:type="dxa" w:w="864"/>
            <w:tcBorders>
              <w:bottom w:val="single" w:sz="12" w:color="000000"/>
            </w:tcBorders>
          </w:tcPr>
          <w:p>
            <w:pPr>
              <w:spacing w:line="240" w:lineRule="auto" w:before="40" w:after="40"/>
              <w:jc w:val="left"/>
            </w:pPr>
            <w:r/>
            <w:r>
              <w:rPr>
                <w:b w:val="0"/>
                <w:i/>
                <w:sz w:val="17"/>
              </w:rPr>
              <w:t>120</w:t>
            </w:r>
          </w:p>
        </w:tc>
        <w:tc>
          <w:tcPr>
            <w:tcW w:type="dxa" w:w="2160"/>
            <w:tcBorders>
              <w:bottom w:val="single" w:sz="12" w:color="000000"/>
            </w:tcBorders>
          </w:tcPr>
          <w:p>
            <w:pPr>
              <w:spacing w:line="240" w:lineRule="auto" w:before="40" w:after="40"/>
              <w:jc w:val="center"/>
            </w:pPr>
            <w:r/>
            <w:r>
              <w:rPr>
                <w:b w:val="0"/>
                <w:i w:val="0"/>
                <w:sz w:val="17"/>
              </w:rPr>
              <w:t>RC deck girder (RCDG)</w:t>
            </w:r>
          </w:p>
        </w:tc>
        <w:tc>
          <w:tcPr>
            <w:tcW w:type="dxa" w:w="1296"/>
            <w:tcBorders>
              <w:bottom w:val="single" w:sz="12" w:color="000000"/>
            </w:tcBorders>
          </w:tcPr>
          <w:p>
            <w:pPr>
              <w:spacing w:line="240" w:lineRule="auto" w:before="40" w:after="40"/>
              <w:jc w:val="center"/>
            </w:pPr>
            <w:r/>
            <w:r>
              <w:rPr>
                <w:b w:val="0"/>
                <w:i w:val="0"/>
                <w:sz w:val="17"/>
              </w:rPr>
              <w:t>5 × 24.0 m</w:t>
            </w:r>
          </w:p>
        </w:tc>
        <w:tc>
          <w:tcPr>
            <w:tcW w:type="dxa" w:w="1296"/>
            <w:tcBorders>
              <w:bottom w:val="single" w:sz="12" w:color="000000"/>
            </w:tcBorders>
          </w:tcPr>
          <w:p>
            <w:pPr>
              <w:spacing w:line="240" w:lineRule="auto" w:before="40" w:after="40"/>
              <w:jc w:val="center"/>
            </w:pPr>
            <w:r/>
            <w:r>
              <w:rPr>
                <w:b w:val="0"/>
                <w:i w:val="0"/>
                <w:sz w:val="17"/>
              </w:rPr>
              <w:t>68.28</w:t>
            </w:r>
          </w:p>
        </w:tc>
        <w:tc>
          <w:tcPr>
            <w:tcW w:type="dxa" w:w="1008"/>
            <w:tcBorders>
              <w:bottom w:val="single" w:sz="12" w:color="000000"/>
            </w:tcBorders>
          </w:tcPr>
          <w:p>
            <w:pPr>
              <w:spacing w:line="240" w:lineRule="auto" w:before="40" w:after="40"/>
              <w:jc w:val="center"/>
            </w:pPr>
            <w:r/>
            <w:r>
              <w:rPr>
                <w:b w:val="0"/>
                <w:i w:val="0"/>
                <w:sz w:val="17"/>
              </w:rPr>
              <w:t>569</w:t>
            </w:r>
          </w:p>
        </w:tc>
        <w:tc>
          <w:tcPr>
            <w:tcW w:type="dxa" w:w="2736"/>
            <w:tcBorders>
              <w:bottom w:val="single" w:sz="12" w:color="000000"/>
            </w:tcBorders>
          </w:tcPr>
          <w:p>
            <w:pPr>
              <w:spacing w:line="240" w:lineRule="auto" w:before="40" w:after="40"/>
              <w:jc w:val="center"/>
            </w:pPr>
            <w:r/>
            <w:r>
              <w:rPr>
                <w:b w:val="0"/>
                <w:i w:val="0"/>
                <w:sz w:val="17"/>
              </w:rPr>
              <w:t>RC deck girder (RCDG) (6 spans), 69.71</w:t>
            </w:r>
          </w:p>
        </w:tc>
      </w:tr>
    </w:tbl>
    <w:p>
      <w:pPr>
        <w:spacing w:line="240" w:lineRule="auto" w:after="80"/>
      </w:pPr>
    </w:p>
    <w:p>
      <w:pPr>
        <w:spacing w:line="480" w:lineRule="auto" w:after="0"/>
        <w:ind w:firstLine="720"/>
        <w:jc w:val="both"/>
      </w:pPr>
      <w:r>
        <w:rPr>
          <w:b w:val="0"/>
          <w:i w:val="0"/>
        </w:rPr>
        <w:t>Table 15 shows the bridge designer across gaps of 6 to 120 m. Box culverts were cheapest up to 12 m. Beyond that, multi-span RC deck girders were the lowest-cost option at every gap in this price book, because an extra pier costs less than prestressed or steel superstructure; the cost per meter fell from about ₱1,089 thousand for a 20 m crossing to ₱569 thousand for 120 m as abutment costs are shared. In practice, river hydraulics, debris during typhoons and navigation may require fewer piers and longer spans, so the designer lists every option with its price and lets the engineer choose; the price of that choice then becomes visible to the public.</w:t>
      </w:r>
    </w:p>
    <w:p>
      <w:pPr>
        <w:keepNext/>
        <w:spacing w:line="240" w:lineRule="auto" w:after="0" w:before="120"/>
        <w:jc w:val="left"/>
      </w:pPr>
      <w:r>
        <w:rPr>
          <w:b/>
          <w:i w:val="0"/>
        </w:rPr>
        <w:t>Figure 11.</w:t>
      </w:r>
    </w:p>
    <w:p>
      <w:pPr>
        <w:keepNext/>
        <w:spacing w:line="240" w:lineRule="auto" w:after="0"/>
        <w:jc w:val="left"/>
      </w:pPr>
      <w:r>
        <w:rPr>
          <w:b w:val="0"/>
          <w:i/>
        </w:rPr>
        <w:t>Generated Elevation of a Three-Span RCDG Bridge (3 × 20 m)</w:t>
      </w:r>
    </w:p>
    <w:p>
      <w:pPr>
        <w:spacing w:line="240" w:lineRule="auto" w:after="200"/>
        <w:jc w:val="center"/>
      </w:pPr>
      <w:r>
        <w:drawing>
          <wp:inline xmlns:a="http://schemas.openxmlformats.org/drawingml/2006/main" xmlns:pic="http://schemas.openxmlformats.org/drawingml/2006/picture">
            <wp:extent cx="5669280" cy="1539428"/>
            <wp:docPr id="63" name="Picture 63"/>
            <wp:cNvGraphicFramePr>
              <a:graphicFrameLocks noChangeAspect="1"/>
            </wp:cNvGraphicFramePr>
            <a:graphic>
              <a:graphicData uri="http://schemas.openxmlformats.org/drawingml/2006/picture">
                <pic:pic>
                  <pic:nvPicPr>
                    <pic:cNvPr id="0" name="elev_rcdg60.png"/>
                    <pic:cNvPicPr/>
                  </pic:nvPicPr>
                  <pic:blipFill>
                    <a:blip r:embed="rId47"/>
                    <a:stretch>
                      <a:fillRect/>
                    </a:stretch>
                  </pic:blipFill>
                  <pic:spPr>
                    <a:xfrm>
                      <a:off x="0" y="0"/>
                      <a:ext cx="5669280" cy="1539428"/>
                    </a:xfrm>
                    <a:prstGeom prst="rect"/>
                  </pic:spPr>
                </pic:pic>
              </a:graphicData>
            </a:graphic>
          </wp:inline>
        </w:drawing>
      </w:r>
    </w:p>
    <w:p>
      <w:pPr>
        <w:keepNext/>
        <w:spacing w:line="240" w:lineRule="auto" w:after="0" w:before="120"/>
        <w:jc w:val="left"/>
      </w:pPr>
      <w:r>
        <w:rPr>
          <w:b/>
          <w:i w:val="0"/>
        </w:rPr>
        <w:t>Figure 12.</w:t>
      </w:r>
    </w:p>
    <w:p>
      <w:pPr>
        <w:keepNext/>
        <w:spacing w:line="240" w:lineRule="auto" w:after="0"/>
        <w:jc w:val="left"/>
      </w:pPr>
      <w:r>
        <w:rPr>
          <w:b w:val="0"/>
          <w:i/>
        </w:rPr>
        <w:t>Generated Elevation of a 45 m Steel Truss Bridge</w:t>
      </w:r>
    </w:p>
    <w:p>
      <w:pPr>
        <w:spacing w:line="240" w:lineRule="auto" w:after="200"/>
        <w:jc w:val="center"/>
      </w:pPr>
      <w:r>
        <w:drawing>
          <wp:inline xmlns:a="http://schemas.openxmlformats.org/drawingml/2006/main" xmlns:pic="http://schemas.openxmlformats.org/drawingml/2006/picture">
            <wp:extent cx="5669280" cy="1883945"/>
            <wp:docPr id="64" name="Picture 64"/>
            <wp:cNvGraphicFramePr>
              <a:graphicFrameLocks noChangeAspect="1"/>
            </wp:cNvGraphicFramePr>
            <a:graphic>
              <a:graphicData uri="http://schemas.openxmlformats.org/drawingml/2006/picture">
                <pic:pic>
                  <pic:nvPicPr>
                    <pic:cNvPr id="0" name="elev_truss45.png"/>
                    <pic:cNvPicPr/>
                  </pic:nvPicPr>
                  <pic:blipFill>
                    <a:blip r:embed="rId48"/>
                    <a:stretch>
                      <a:fillRect/>
                    </a:stretch>
                  </pic:blipFill>
                  <pic:spPr>
                    <a:xfrm>
                      <a:off x="0" y="0"/>
                      <a:ext cx="5669280" cy="1883945"/>
                    </a:xfrm>
                    <a:prstGeom prst="rect"/>
                  </pic:spPr>
                </pic:pic>
              </a:graphicData>
            </a:graphic>
          </wp:inline>
        </w:drawing>
      </w:r>
    </w:p>
    <w:p>
      <w:pPr>
        <w:keepNext/>
        <w:spacing w:line="480" w:lineRule="auto" w:after="0"/>
        <w:jc w:val="left"/>
      </w:pPr>
      <w:r>
        <w:rPr>
          <w:b/>
          <w:i w:val="0"/>
        </w:rPr>
        <w:t>Accuracy of the Standards-Based Quantity Take-Off Engine</w:t>
      </w:r>
    </w:p>
    <w:p>
      <w:pPr>
        <w:spacing w:line="480" w:lineRule="auto" w:after="0"/>
        <w:ind w:firstLine="720"/>
        <w:jc w:val="both"/>
      </w:pPr>
      <w:r>
        <w:rPr>
          <w:b w:val="0"/>
          <w:i w:val="0"/>
        </w:rPr>
        <w:t>The third research question examined how well the engine prices buildings and bridges from their plans. Table 16 lists the three tiers for the 19 reference plans, priced for Albay at 2025 levels.</w:t>
      </w:r>
    </w:p>
    <w:p>
      <w:pPr>
        <w:keepNext/>
        <w:spacing w:line="480" w:lineRule="auto" w:after="0"/>
        <w:ind w:left="720"/>
        <w:jc w:val="left"/>
      </w:pPr>
      <w:r>
        <w:rPr>
          <w:b/>
          <w:i w:val="0"/>
        </w:rPr>
        <w:t>a.) Lean Start Quotation, Standard Fair Estimate and Ceiling</w:t>
      </w:r>
    </w:p>
    <w:p>
      <w:pPr>
        <w:keepNext/>
        <w:spacing w:line="240" w:lineRule="auto" w:after="0" w:before="120"/>
        <w:jc w:val="left"/>
      </w:pPr>
      <w:r>
        <w:rPr>
          <w:b/>
          <w:i w:val="0"/>
        </w:rPr>
        <w:t>Table 16.</w:t>
      </w:r>
    </w:p>
    <w:p>
      <w:pPr>
        <w:keepNext/>
        <w:spacing w:line="240" w:lineRule="auto" w:after="0"/>
        <w:jc w:val="left"/>
      </w:pPr>
      <w:r>
        <w:rPr>
          <w:b w:val="0"/>
          <w:i/>
        </w:rPr>
        <w:t>Quotations of the Reference Plans (Albay, 2025 Prices)</w:t>
      </w:r>
    </w:p>
    <w:tbl>
      <w:tblPr>
        <w:tblW w:type="auto" w:w="0"/>
        <w:jc w:val="center"/>
        <w:tblLayout w:type="fixed"/>
        <w:tblLook w:firstColumn="1" w:firstRow="1" w:lastColumn="0" w:lastRow="0" w:noHBand="0" w:noVBand="1" w:val="04A0"/>
        <w:tblLayout w:type="fixed"/>
      </w:tblPr>
      <w:tblGrid>
        <w:gridCol w:w="3600"/>
        <w:gridCol w:w="1152"/>
        <w:gridCol w:w="1224"/>
        <w:gridCol w:w="1224"/>
        <w:gridCol w:w="1368"/>
        <w:gridCol w:w="936"/>
      </w:tblGrid>
      <w:tr>
        <w:tc>
          <w:tcPr>
            <w:tcW w:type="dxa" w:w="3600"/>
            <w:tcBorders>
              <w:top w:val="single" w:sz="12" w:color="000000"/>
              <w:bottom w:val="single" w:sz="8" w:color="000000"/>
            </w:tcBorders>
          </w:tcPr>
          <w:p>
            <w:pPr>
              <w:spacing w:line="240" w:lineRule="auto" w:before="40" w:after="40"/>
              <w:jc w:val="center"/>
            </w:pPr>
            <w:r/>
            <w:r>
              <w:rPr>
                <w:b/>
                <w:i w:val="0"/>
                <w:sz w:val="17"/>
              </w:rPr>
              <w:t>REFERENCE PLAN</w:t>
            </w:r>
          </w:p>
        </w:tc>
        <w:tc>
          <w:tcPr>
            <w:tcW w:type="dxa" w:w="1152"/>
            <w:tcBorders>
              <w:top w:val="single" w:sz="12" w:color="000000"/>
              <w:bottom w:val="single" w:sz="8" w:color="000000"/>
            </w:tcBorders>
          </w:tcPr>
          <w:p>
            <w:pPr>
              <w:spacing w:line="240" w:lineRule="auto" w:before="40" w:after="40"/>
              <w:jc w:val="center"/>
            </w:pPr>
            <w:r/>
            <w:r>
              <w:rPr>
                <w:b/>
                <w:i w:val="0"/>
                <w:sz w:val="17"/>
              </w:rPr>
              <w:t>LEAN</w:t>
            </w:r>
          </w:p>
        </w:tc>
        <w:tc>
          <w:tcPr>
            <w:tcW w:type="dxa" w:w="1224"/>
            <w:tcBorders>
              <w:top w:val="single" w:sz="12" w:color="000000"/>
              <w:bottom w:val="single" w:sz="8" w:color="000000"/>
            </w:tcBorders>
          </w:tcPr>
          <w:p>
            <w:pPr>
              <w:spacing w:line="240" w:lineRule="auto" w:before="40" w:after="40"/>
              <w:jc w:val="center"/>
            </w:pPr>
            <w:r/>
            <w:r>
              <w:rPr>
                <w:b/>
                <w:i w:val="0"/>
                <w:sz w:val="17"/>
              </w:rPr>
              <w:t>STANDARD</w:t>
            </w:r>
          </w:p>
        </w:tc>
        <w:tc>
          <w:tcPr>
            <w:tcW w:type="dxa" w:w="1224"/>
            <w:tcBorders>
              <w:top w:val="single" w:sz="12" w:color="000000"/>
              <w:bottom w:val="single" w:sz="8" w:color="000000"/>
            </w:tcBorders>
          </w:tcPr>
          <w:p>
            <w:pPr>
              <w:spacing w:line="240" w:lineRule="auto" w:before="40" w:after="40"/>
              <w:jc w:val="center"/>
            </w:pPr>
            <w:r/>
            <w:r>
              <w:rPr>
                <w:b/>
                <w:i w:val="0"/>
                <w:sz w:val="17"/>
              </w:rPr>
              <w:t>CEILING</w:t>
            </w:r>
          </w:p>
        </w:tc>
        <w:tc>
          <w:tcPr>
            <w:tcW w:type="dxa" w:w="1368"/>
            <w:tcBorders>
              <w:top w:val="single" w:sz="12" w:color="000000"/>
              <w:bottom w:val="single" w:sz="8" w:color="000000"/>
            </w:tcBorders>
          </w:tcPr>
          <w:p>
            <w:pPr>
              <w:spacing w:line="240" w:lineRule="auto" w:before="40" w:after="40"/>
              <w:jc w:val="center"/>
            </w:pPr>
            <w:r/>
            <w:r>
              <w:rPr>
                <w:b/>
                <w:i w:val="0"/>
                <w:sz w:val="17"/>
              </w:rPr>
              <w:t>STANDARD / m²</w:t>
            </w:r>
          </w:p>
        </w:tc>
        <w:tc>
          <w:tcPr>
            <w:tcW w:type="dxa" w:w="936"/>
            <w:tcBorders>
              <w:top w:val="single" w:sz="12" w:color="000000"/>
              <w:bottom w:val="single" w:sz="8" w:color="000000"/>
            </w:tcBorders>
          </w:tcPr>
          <w:p>
            <w:pPr>
              <w:spacing w:line="240" w:lineRule="auto" w:before="40" w:after="40"/>
              <w:jc w:val="center"/>
            </w:pPr>
            <w:r/>
            <w:r>
              <w:rPr>
                <w:b/>
                <w:i w:val="0"/>
                <w:sz w:val="17"/>
              </w:rPr>
              <w:t>LEAN SAVING</w:t>
            </w:r>
          </w:p>
        </w:tc>
      </w:tr>
      <w:tr>
        <w:tc>
          <w:tcPr>
            <w:tcW w:type="dxa" w:w="3600"/>
            <w:shd w:val="clear" w:color="auto" w:fill="EFEFEF"/>
          </w:tcPr>
          <w:p>
            <w:pPr>
              <w:spacing w:line="240" w:lineRule="auto" w:before="40" w:after="40"/>
              <w:jc w:val="left"/>
            </w:pPr>
            <w:r/>
            <w:r>
              <w:rPr>
                <w:b w:val="0"/>
                <w:i/>
                <w:sz w:val="17"/>
              </w:rPr>
              <w:t>1-storey 2-classroom school building</w:t>
            </w:r>
          </w:p>
        </w:tc>
        <w:tc>
          <w:tcPr>
            <w:tcW w:type="dxa" w:w="1152"/>
            <w:shd w:val="clear" w:color="auto" w:fill="EFEFEF"/>
          </w:tcPr>
          <w:p>
            <w:pPr>
              <w:spacing w:line="240" w:lineRule="auto" w:before="40" w:after="40"/>
              <w:jc w:val="center"/>
            </w:pPr>
            <w:r/>
            <w:r>
              <w:rPr>
                <w:b w:val="0"/>
                <w:i w:val="0"/>
                <w:sz w:val="17"/>
              </w:rPr>
              <w:t>₱4.63M</w:t>
            </w:r>
          </w:p>
        </w:tc>
        <w:tc>
          <w:tcPr>
            <w:tcW w:type="dxa" w:w="1224"/>
            <w:shd w:val="clear" w:color="auto" w:fill="EFEFEF"/>
          </w:tcPr>
          <w:p>
            <w:pPr>
              <w:spacing w:line="240" w:lineRule="auto" w:before="40" w:after="40"/>
              <w:jc w:val="center"/>
            </w:pPr>
            <w:r/>
            <w:r>
              <w:rPr>
                <w:b w:val="0"/>
                <w:i w:val="0"/>
                <w:sz w:val="17"/>
              </w:rPr>
              <w:t>₱5.31M</w:t>
            </w:r>
          </w:p>
        </w:tc>
        <w:tc>
          <w:tcPr>
            <w:tcW w:type="dxa" w:w="1224"/>
            <w:shd w:val="clear" w:color="auto" w:fill="EFEFEF"/>
          </w:tcPr>
          <w:p>
            <w:pPr>
              <w:spacing w:line="240" w:lineRule="auto" w:before="40" w:after="40"/>
              <w:jc w:val="center"/>
            </w:pPr>
            <w:r/>
            <w:r>
              <w:rPr>
                <w:b w:val="0"/>
                <w:i w:val="0"/>
                <w:sz w:val="17"/>
              </w:rPr>
              <w:t>₱6.41M</w:t>
            </w:r>
          </w:p>
        </w:tc>
        <w:tc>
          <w:tcPr>
            <w:tcW w:type="dxa" w:w="1368"/>
            <w:shd w:val="clear" w:color="auto" w:fill="EFEFEF"/>
          </w:tcPr>
          <w:p>
            <w:pPr>
              <w:spacing w:line="240" w:lineRule="auto" w:before="40" w:after="40"/>
              <w:jc w:val="center"/>
            </w:pPr>
            <w:r/>
            <w:r>
              <w:rPr>
                <w:b w:val="0"/>
                <w:i w:val="0"/>
                <w:sz w:val="17"/>
              </w:rPr>
              <w:t>₱32,797/m²</w:t>
            </w:r>
          </w:p>
        </w:tc>
        <w:tc>
          <w:tcPr>
            <w:tcW w:type="dxa" w:w="936"/>
            <w:shd w:val="clear" w:color="auto" w:fill="EFEFEF"/>
          </w:tcPr>
          <w:p>
            <w:pPr>
              <w:spacing w:line="240" w:lineRule="auto" w:before="40" w:after="40"/>
              <w:jc w:val="center"/>
            </w:pPr>
            <w:r/>
            <w:r>
              <w:rPr>
                <w:b w:val="0"/>
                <w:i w:val="0"/>
                <w:sz w:val="17"/>
              </w:rPr>
              <w:t>12.9%</w:t>
            </w:r>
          </w:p>
        </w:tc>
      </w:tr>
      <w:tr>
        <w:tc>
          <w:tcPr>
            <w:tcW w:type="dxa" w:w="3600"/>
          </w:tcPr>
          <w:p>
            <w:pPr>
              <w:spacing w:line="240" w:lineRule="auto" w:before="40" w:after="40"/>
              <w:jc w:val="left"/>
            </w:pPr>
            <w:r/>
            <w:r>
              <w:rPr>
                <w:b w:val="0"/>
                <w:i/>
                <w:sz w:val="17"/>
              </w:rPr>
              <w:t>2-storey 4-classroom school building</w:t>
            </w:r>
          </w:p>
        </w:tc>
        <w:tc>
          <w:tcPr>
            <w:tcW w:type="dxa" w:w="1152"/>
          </w:tcPr>
          <w:p>
            <w:pPr>
              <w:spacing w:line="240" w:lineRule="auto" w:before="40" w:after="40"/>
              <w:jc w:val="center"/>
            </w:pPr>
            <w:r/>
            <w:r>
              <w:rPr>
                <w:b w:val="0"/>
                <w:i w:val="0"/>
                <w:sz w:val="17"/>
              </w:rPr>
              <w:t>₱7.88M</w:t>
            </w:r>
          </w:p>
        </w:tc>
        <w:tc>
          <w:tcPr>
            <w:tcW w:type="dxa" w:w="1224"/>
          </w:tcPr>
          <w:p>
            <w:pPr>
              <w:spacing w:line="240" w:lineRule="auto" w:before="40" w:after="40"/>
              <w:jc w:val="center"/>
            </w:pPr>
            <w:r/>
            <w:r>
              <w:rPr>
                <w:b w:val="0"/>
                <w:i w:val="0"/>
                <w:sz w:val="17"/>
              </w:rPr>
              <w:t>₱9.10M</w:t>
            </w:r>
          </w:p>
        </w:tc>
        <w:tc>
          <w:tcPr>
            <w:tcW w:type="dxa" w:w="1224"/>
          </w:tcPr>
          <w:p>
            <w:pPr>
              <w:spacing w:line="240" w:lineRule="auto" w:before="40" w:after="40"/>
              <w:jc w:val="center"/>
            </w:pPr>
            <w:r/>
            <w:r>
              <w:rPr>
                <w:b w:val="0"/>
                <w:i w:val="0"/>
                <w:sz w:val="17"/>
              </w:rPr>
              <w:t>₱11.49M</w:t>
            </w:r>
          </w:p>
        </w:tc>
        <w:tc>
          <w:tcPr>
            <w:tcW w:type="dxa" w:w="1368"/>
          </w:tcPr>
          <w:p>
            <w:pPr>
              <w:spacing w:line="240" w:lineRule="auto" w:before="40" w:after="40"/>
              <w:jc w:val="center"/>
            </w:pPr>
            <w:r/>
            <w:r>
              <w:rPr>
                <w:b w:val="0"/>
                <w:i w:val="0"/>
                <w:sz w:val="17"/>
              </w:rPr>
              <w:t>₱26,612/m²</w:t>
            </w:r>
          </w:p>
        </w:tc>
        <w:tc>
          <w:tcPr>
            <w:tcW w:type="dxa" w:w="936"/>
          </w:tcPr>
          <w:p>
            <w:pPr>
              <w:spacing w:line="240" w:lineRule="auto" w:before="40" w:after="40"/>
              <w:jc w:val="center"/>
            </w:pPr>
            <w:r/>
            <w:r>
              <w:rPr>
                <w:b w:val="0"/>
                <w:i w:val="0"/>
                <w:sz w:val="17"/>
              </w:rPr>
              <w:t>13.5%</w:t>
            </w:r>
          </w:p>
        </w:tc>
      </w:tr>
      <w:tr>
        <w:tc>
          <w:tcPr>
            <w:tcW w:type="dxa" w:w="3600"/>
            <w:shd w:val="clear" w:color="auto" w:fill="EFEFEF"/>
          </w:tcPr>
          <w:p>
            <w:pPr>
              <w:spacing w:line="240" w:lineRule="auto" w:before="40" w:after="40"/>
              <w:jc w:val="left"/>
            </w:pPr>
            <w:r/>
            <w:r>
              <w:rPr>
                <w:b w:val="0"/>
                <w:i/>
                <w:sz w:val="17"/>
              </w:rPr>
              <w:t>3-storey 9-classroom school building</w:t>
            </w:r>
          </w:p>
        </w:tc>
        <w:tc>
          <w:tcPr>
            <w:tcW w:type="dxa" w:w="1152"/>
            <w:shd w:val="clear" w:color="auto" w:fill="EFEFEF"/>
          </w:tcPr>
          <w:p>
            <w:pPr>
              <w:spacing w:line="240" w:lineRule="auto" w:before="40" w:after="40"/>
              <w:jc w:val="center"/>
            </w:pPr>
            <w:r/>
            <w:r>
              <w:rPr>
                <w:b w:val="0"/>
                <w:i w:val="0"/>
                <w:sz w:val="17"/>
              </w:rPr>
              <w:t>₱17.28M</w:t>
            </w:r>
          </w:p>
        </w:tc>
        <w:tc>
          <w:tcPr>
            <w:tcW w:type="dxa" w:w="1224"/>
            <w:shd w:val="clear" w:color="auto" w:fill="EFEFEF"/>
          </w:tcPr>
          <w:p>
            <w:pPr>
              <w:spacing w:line="240" w:lineRule="auto" w:before="40" w:after="40"/>
              <w:jc w:val="center"/>
            </w:pPr>
            <w:r/>
            <w:r>
              <w:rPr>
                <w:b w:val="0"/>
                <w:i w:val="0"/>
                <w:sz w:val="17"/>
              </w:rPr>
              <w:t>₱20.03M</w:t>
            </w:r>
          </w:p>
        </w:tc>
        <w:tc>
          <w:tcPr>
            <w:tcW w:type="dxa" w:w="1224"/>
            <w:shd w:val="clear" w:color="auto" w:fill="EFEFEF"/>
          </w:tcPr>
          <w:p>
            <w:pPr>
              <w:spacing w:line="240" w:lineRule="auto" w:before="40" w:after="40"/>
              <w:jc w:val="center"/>
            </w:pPr>
            <w:r/>
            <w:r>
              <w:rPr>
                <w:b w:val="0"/>
                <w:i w:val="0"/>
                <w:sz w:val="17"/>
              </w:rPr>
              <w:t>₱25.37M</w:t>
            </w:r>
          </w:p>
        </w:tc>
        <w:tc>
          <w:tcPr>
            <w:tcW w:type="dxa" w:w="1368"/>
            <w:shd w:val="clear" w:color="auto" w:fill="EFEFEF"/>
          </w:tcPr>
          <w:p>
            <w:pPr>
              <w:spacing w:line="240" w:lineRule="auto" w:before="40" w:after="40"/>
              <w:jc w:val="center"/>
            </w:pPr>
            <w:r/>
            <w:r>
              <w:rPr>
                <w:b w:val="0"/>
                <w:i w:val="0"/>
                <w:sz w:val="17"/>
              </w:rPr>
              <w:t>₱26,036/m²</w:t>
            </w:r>
          </w:p>
        </w:tc>
        <w:tc>
          <w:tcPr>
            <w:tcW w:type="dxa" w:w="936"/>
            <w:shd w:val="clear" w:color="auto" w:fill="EFEFEF"/>
          </w:tcPr>
          <w:p>
            <w:pPr>
              <w:spacing w:line="240" w:lineRule="auto" w:before="40" w:after="40"/>
              <w:jc w:val="center"/>
            </w:pPr>
            <w:r/>
            <w:r>
              <w:rPr>
                <w:b w:val="0"/>
                <w:i w:val="0"/>
                <w:sz w:val="17"/>
              </w:rPr>
              <w:t>13.7%</w:t>
            </w:r>
          </w:p>
        </w:tc>
      </w:tr>
      <w:tr>
        <w:tc>
          <w:tcPr>
            <w:tcW w:type="dxa" w:w="3600"/>
          </w:tcPr>
          <w:p>
            <w:pPr>
              <w:spacing w:line="240" w:lineRule="auto" w:before="40" w:after="40"/>
              <w:jc w:val="left"/>
            </w:pPr>
            <w:r/>
            <w:r>
              <w:rPr>
                <w:b w:val="0"/>
                <w:i/>
                <w:sz w:val="17"/>
              </w:rPr>
              <w:t>4-storey 12-classroom school building</w:t>
            </w:r>
          </w:p>
        </w:tc>
        <w:tc>
          <w:tcPr>
            <w:tcW w:type="dxa" w:w="1152"/>
          </w:tcPr>
          <w:p>
            <w:pPr>
              <w:spacing w:line="240" w:lineRule="auto" w:before="40" w:after="40"/>
              <w:jc w:val="center"/>
            </w:pPr>
            <w:r/>
            <w:r>
              <w:rPr>
                <w:b w:val="0"/>
                <w:i w:val="0"/>
                <w:sz w:val="17"/>
              </w:rPr>
              <w:t>₱29.08M</w:t>
            </w:r>
          </w:p>
        </w:tc>
        <w:tc>
          <w:tcPr>
            <w:tcW w:type="dxa" w:w="1224"/>
          </w:tcPr>
          <w:p>
            <w:pPr>
              <w:spacing w:line="240" w:lineRule="auto" w:before="40" w:after="40"/>
              <w:jc w:val="center"/>
            </w:pPr>
            <w:r/>
            <w:r>
              <w:rPr>
                <w:b w:val="0"/>
                <w:i w:val="0"/>
                <w:sz w:val="17"/>
              </w:rPr>
              <w:t>₱33.80M</w:t>
            </w:r>
          </w:p>
        </w:tc>
        <w:tc>
          <w:tcPr>
            <w:tcW w:type="dxa" w:w="1224"/>
          </w:tcPr>
          <w:p>
            <w:pPr>
              <w:spacing w:line="240" w:lineRule="auto" w:before="40" w:after="40"/>
              <w:jc w:val="center"/>
            </w:pPr>
            <w:r/>
            <w:r>
              <w:rPr>
                <w:b w:val="0"/>
                <w:i w:val="0"/>
                <w:sz w:val="17"/>
              </w:rPr>
              <w:t>₱42.89M</w:t>
            </w:r>
          </w:p>
        </w:tc>
        <w:tc>
          <w:tcPr>
            <w:tcW w:type="dxa" w:w="1368"/>
          </w:tcPr>
          <w:p>
            <w:pPr>
              <w:spacing w:line="240" w:lineRule="auto" w:before="40" w:after="40"/>
              <w:jc w:val="center"/>
            </w:pPr>
            <w:r/>
            <w:r>
              <w:rPr>
                <w:b w:val="0"/>
                <w:i w:val="0"/>
                <w:sz w:val="17"/>
              </w:rPr>
              <w:t>₱24,709/m²</w:t>
            </w:r>
          </w:p>
        </w:tc>
        <w:tc>
          <w:tcPr>
            <w:tcW w:type="dxa" w:w="936"/>
          </w:tcPr>
          <w:p>
            <w:pPr>
              <w:spacing w:line="240" w:lineRule="auto" w:before="40" w:after="40"/>
              <w:jc w:val="center"/>
            </w:pPr>
            <w:r/>
            <w:r>
              <w:rPr>
                <w:b w:val="0"/>
                <w:i w:val="0"/>
                <w:sz w:val="17"/>
              </w:rPr>
              <w:t>14.0%</w:t>
            </w:r>
          </w:p>
        </w:tc>
      </w:tr>
      <w:tr>
        <w:tc>
          <w:tcPr>
            <w:tcW w:type="dxa" w:w="3600"/>
            <w:shd w:val="clear" w:color="auto" w:fill="EFEFEF"/>
          </w:tcPr>
          <w:p>
            <w:pPr>
              <w:spacing w:line="240" w:lineRule="auto" w:before="40" w:after="40"/>
              <w:jc w:val="left"/>
            </w:pPr>
            <w:r/>
            <w:r>
              <w:rPr>
                <w:b w:val="0"/>
                <w:i/>
                <w:sz w:val="17"/>
              </w:rPr>
              <w:t>Barangay health station</w:t>
            </w:r>
          </w:p>
        </w:tc>
        <w:tc>
          <w:tcPr>
            <w:tcW w:type="dxa" w:w="1152"/>
            <w:shd w:val="clear" w:color="auto" w:fill="EFEFEF"/>
          </w:tcPr>
          <w:p>
            <w:pPr>
              <w:spacing w:line="240" w:lineRule="auto" w:before="40" w:after="40"/>
              <w:jc w:val="center"/>
            </w:pPr>
            <w:r/>
            <w:r>
              <w:rPr>
                <w:b w:val="0"/>
                <w:i w:val="0"/>
                <w:sz w:val="17"/>
              </w:rPr>
              <w:t>₱3.07M</w:t>
            </w:r>
          </w:p>
        </w:tc>
        <w:tc>
          <w:tcPr>
            <w:tcW w:type="dxa" w:w="1224"/>
            <w:shd w:val="clear" w:color="auto" w:fill="EFEFEF"/>
          </w:tcPr>
          <w:p>
            <w:pPr>
              <w:spacing w:line="240" w:lineRule="auto" w:before="40" w:after="40"/>
              <w:jc w:val="center"/>
            </w:pPr>
            <w:r/>
            <w:r>
              <w:rPr>
                <w:b w:val="0"/>
                <w:i w:val="0"/>
                <w:sz w:val="17"/>
              </w:rPr>
              <w:t>₱3.66M</w:t>
            </w:r>
          </w:p>
        </w:tc>
        <w:tc>
          <w:tcPr>
            <w:tcW w:type="dxa" w:w="1224"/>
            <w:shd w:val="clear" w:color="auto" w:fill="EFEFEF"/>
          </w:tcPr>
          <w:p>
            <w:pPr>
              <w:spacing w:line="240" w:lineRule="auto" w:before="40" w:after="40"/>
              <w:jc w:val="center"/>
            </w:pPr>
            <w:r/>
            <w:r>
              <w:rPr>
                <w:b w:val="0"/>
                <w:i w:val="0"/>
                <w:sz w:val="17"/>
              </w:rPr>
              <w:t>₱4.63M</w:t>
            </w:r>
          </w:p>
        </w:tc>
        <w:tc>
          <w:tcPr>
            <w:tcW w:type="dxa" w:w="1368"/>
            <w:shd w:val="clear" w:color="auto" w:fill="EFEFEF"/>
          </w:tcPr>
          <w:p>
            <w:pPr>
              <w:spacing w:line="240" w:lineRule="auto" w:before="40" w:after="40"/>
              <w:jc w:val="center"/>
            </w:pPr>
            <w:r/>
            <w:r>
              <w:rPr>
                <w:b w:val="0"/>
                <w:i w:val="0"/>
                <w:sz w:val="17"/>
              </w:rPr>
              <w:t>₱45,711/m²</w:t>
            </w:r>
          </w:p>
        </w:tc>
        <w:tc>
          <w:tcPr>
            <w:tcW w:type="dxa" w:w="936"/>
            <w:shd w:val="clear" w:color="auto" w:fill="EFEFEF"/>
          </w:tcPr>
          <w:p>
            <w:pPr>
              <w:spacing w:line="240" w:lineRule="auto" w:before="40" w:after="40"/>
              <w:jc w:val="center"/>
            </w:pPr>
            <w:r/>
            <w:r>
              <w:rPr>
                <w:b w:val="0"/>
                <w:i w:val="0"/>
                <w:sz w:val="17"/>
              </w:rPr>
              <w:t>16.0%</w:t>
            </w:r>
          </w:p>
        </w:tc>
      </w:tr>
      <w:tr>
        <w:tc>
          <w:tcPr>
            <w:tcW w:type="dxa" w:w="3600"/>
          </w:tcPr>
          <w:p>
            <w:pPr>
              <w:spacing w:line="240" w:lineRule="auto" w:before="40" w:after="40"/>
              <w:jc w:val="left"/>
            </w:pPr>
            <w:r/>
            <w:r>
              <w:rPr>
                <w:b w:val="0"/>
                <w:i/>
                <w:sz w:val="17"/>
              </w:rPr>
              <w:t>2-storey rural health unit / birthing facility</w:t>
            </w:r>
          </w:p>
        </w:tc>
        <w:tc>
          <w:tcPr>
            <w:tcW w:type="dxa" w:w="1152"/>
          </w:tcPr>
          <w:p>
            <w:pPr>
              <w:spacing w:line="240" w:lineRule="auto" w:before="40" w:after="40"/>
              <w:jc w:val="center"/>
            </w:pPr>
            <w:r/>
            <w:r>
              <w:rPr>
                <w:b w:val="0"/>
                <w:i w:val="0"/>
                <w:sz w:val="17"/>
              </w:rPr>
              <w:t>₱12.83M</w:t>
            </w:r>
          </w:p>
        </w:tc>
        <w:tc>
          <w:tcPr>
            <w:tcW w:type="dxa" w:w="1224"/>
          </w:tcPr>
          <w:p>
            <w:pPr>
              <w:spacing w:line="240" w:lineRule="auto" w:before="40" w:after="40"/>
              <w:jc w:val="center"/>
            </w:pPr>
            <w:r/>
            <w:r>
              <w:rPr>
                <w:b w:val="0"/>
                <w:i w:val="0"/>
                <w:sz w:val="17"/>
              </w:rPr>
              <w:t>₱15.66M</w:t>
            </w:r>
          </w:p>
        </w:tc>
        <w:tc>
          <w:tcPr>
            <w:tcW w:type="dxa" w:w="1224"/>
          </w:tcPr>
          <w:p>
            <w:pPr>
              <w:spacing w:line="240" w:lineRule="auto" w:before="40" w:after="40"/>
              <w:jc w:val="center"/>
            </w:pPr>
            <w:r/>
            <w:r>
              <w:rPr>
                <w:b w:val="0"/>
                <w:i w:val="0"/>
                <w:sz w:val="17"/>
              </w:rPr>
              <w:t>₱20.08M</w:t>
            </w:r>
          </w:p>
        </w:tc>
        <w:tc>
          <w:tcPr>
            <w:tcW w:type="dxa" w:w="1368"/>
          </w:tcPr>
          <w:p>
            <w:pPr>
              <w:spacing w:line="240" w:lineRule="auto" w:before="40" w:after="40"/>
              <w:jc w:val="center"/>
            </w:pPr>
            <w:r/>
            <w:r>
              <w:rPr>
                <w:b w:val="0"/>
                <w:i w:val="0"/>
                <w:sz w:val="17"/>
              </w:rPr>
              <w:t>₱32,634/m²</w:t>
            </w:r>
          </w:p>
        </w:tc>
        <w:tc>
          <w:tcPr>
            <w:tcW w:type="dxa" w:w="936"/>
          </w:tcPr>
          <w:p>
            <w:pPr>
              <w:spacing w:line="240" w:lineRule="auto" w:before="40" w:after="40"/>
              <w:jc w:val="center"/>
            </w:pPr>
            <w:r/>
            <w:r>
              <w:rPr>
                <w:b w:val="0"/>
                <w:i w:val="0"/>
                <w:sz w:val="17"/>
              </w:rPr>
              <w:t>18.1%</w:t>
            </w:r>
          </w:p>
        </w:tc>
      </w:tr>
      <w:tr>
        <w:tc>
          <w:tcPr>
            <w:tcW w:type="dxa" w:w="3600"/>
            <w:shd w:val="clear" w:color="auto" w:fill="EFEFEF"/>
          </w:tcPr>
          <w:p>
            <w:pPr>
              <w:spacing w:line="240" w:lineRule="auto" w:before="40" w:after="40"/>
              <w:jc w:val="left"/>
            </w:pPr>
            <w:r/>
            <w:r>
              <w:rPr>
                <w:b w:val="0"/>
                <w:i/>
                <w:sz w:val="17"/>
              </w:rPr>
              <w:t>Multi-purpose evacuation center, 600 m²</w:t>
            </w:r>
          </w:p>
        </w:tc>
        <w:tc>
          <w:tcPr>
            <w:tcW w:type="dxa" w:w="1152"/>
            <w:shd w:val="clear" w:color="auto" w:fill="EFEFEF"/>
          </w:tcPr>
          <w:p>
            <w:pPr>
              <w:spacing w:line="240" w:lineRule="auto" w:before="40" w:after="40"/>
              <w:jc w:val="center"/>
            </w:pPr>
            <w:r/>
            <w:r>
              <w:rPr>
                <w:b w:val="0"/>
                <w:i w:val="0"/>
                <w:sz w:val="17"/>
              </w:rPr>
              <w:t>₱14.00M</w:t>
            </w:r>
          </w:p>
        </w:tc>
        <w:tc>
          <w:tcPr>
            <w:tcW w:type="dxa" w:w="1224"/>
            <w:shd w:val="clear" w:color="auto" w:fill="EFEFEF"/>
          </w:tcPr>
          <w:p>
            <w:pPr>
              <w:spacing w:line="240" w:lineRule="auto" w:before="40" w:after="40"/>
              <w:jc w:val="center"/>
            </w:pPr>
            <w:r/>
            <w:r>
              <w:rPr>
                <w:b w:val="0"/>
                <w:i w:val="0"/>
                <w:sz w:val="17"/>
              </w:rPr>
              <w:t>₱16.13M</w:t>
            </w:r>
          </w:p>
        </w:tc>
        <w:tc>
          <w:tcPr>
            <w:tcW w:type="dxa" w:w="1224"/>
            <w:shd w:val="clear" w:color="auto" w:fill="EFEFEF"/>
          </w:tcPr>
          <w:p>
            <w:pPr>
              <w:spacing w:line="240" w:lineRule="auto" w:before="40" w:after="40"/>
              <w:jc w:val="center"/>
            </w:pPr>
            <w:r/>
            <w:r>
              <w:rPr>
                <w:b w:val="0"/>
                <w:i w:val="0"/>
                <w:sz w:val="17"/>
              </w:rPr>
              <w:t>₱20.34M</w:t>
            </w:r>
          </w:p>
        </w:tc>
        <w:tc>
          <w:tcPr>
            <w:tcW w:type="dxa" w:w="1368"/>
            <w:shd w:val="clear" w:color="auto" w:fill="EFEFEF"/>
          </w:tcPr>
          <w:p>
            <w:pPr>
              <w:spacing w:line="240" w:lineRule="auto" w:before="40" w:after="40"/>
              <w:jc w:val="center"/>
            </w:pPr>
            <w:r/>
            <w:r>
              <w:rPr>
                <w:b w:val="0"/>
                <w:i w:val="0"/>
                <w:sz w:val="17"/>
              </w:rPr>
              <w:t>₱26,884/m²</w:t>
            </w:r>
          </w:p>
        </w:tc>
        <w:tc>
          <w:tcPr>
            <w:tcW w:type="dxa" w:w="936"/>
            <w:shd w:val="clear" w:color="auto" w:fill="EFEFEF"/>
          </w:tcPr>
          <w:p>
            <w:pPr>
              <w:spacing w:line="240" w:lineRule="auto" w:before="40" w:after="40"/>
              <w:jc w:val="center"/>
            </w:pPr>
            <w:r/>
            <w:r>
              <w:rPr>
                <w:b w:val="0"/>
                <w:i w:val="0"/>
                <w:sz w:val="17"/>
              </w:rPr>
              <w:t>13.2%</w:t>
            </w:r>
          </w:p>
        </w:tc>
      </w:tr>
      <w:tr>
        <w:tc>
          <w:tcPr>
            <w:tcW w:type="dxa" w:w="3600"/>
          </w:tcPr>
          <w:p>
            <w:pPr>
              <w:spacing w:line="240" w:lineRule="auto" w:before="40" w:after="40"/>
              <w:jc w:val="left"/>
            </w:pPr>
            <w:r/>
            <w:r>
              <w:rPr>
                <w:b w:val="0"/>
                <w:i/>
                <w:sz w:val="17"/>
              </w:rPr>
              <w:t>2-storey municipal office building</w:t>
            </w:r>
          </w:p>
        </w:tc>
        <w:tc>
          <w:tcPr>
            <w:tcW w:type="dxa" w:w="1152"/>
          </w:tcPr>
          <w:p>
            <w:pPr>
              <w:spacing w:line="240" w:lineRule="auto" w:before="40" w:after="40"/>
              <w:jc w:val="center"/>
            </w:pPr>
            <w:r/>
            <w:r>
              <w:rPr>
                <w:b w:val="0"/>
                <w:i w:val="0"/>
                <w:sz w:val="17"/>
              </w:rPr>
              <w:t>₱15.03M</w:t>
            </w:r>
          </w:p>
        </w:tc>
        <w:tc>
          <w:tcPr>
            <w:tcW w:type="dxa" w:w="1224"/>
          </w:tcPr>
          <w:p>
            <w:pPr>
              <w:spacing w:line="240" w:lineRule="auto" w:before="40" w:after="40"/>
              <w:jc w:val="center"/>
            </w:pPr>
            <w:r/>
            <w:r>
              <w:rPr>
                <w:b w:val="0"/>
                <w:i w:val="0"/>
                <w:sz w:val="17"/>
              </w:rPr>
              <w:t>₱18.20M</w:t>
            </w:r>
          </w:p>
        </w:tc>
        <w:tc>
          <w:tcPr>
            <w:tcW w:type="dxa" w:w="1224"/>
          </w:tcPr>
          <w:p>
            <w:pPr>
              <w:spacing w:line="240" w:lineRule="auto" w:before="40" w:after="40"/>
              <w:jc w:val="center"/>
            </w:pPr>
            <w:r/>
            <w:r>
              <w:rPr>
                <w:b w:val="0"/>
                <w:i w:val="0"/>
                <w:sz w:val="17"/>
              </w:rPr>
              <w:t>₱23.21M</w:t>
            </w:r>
          </w:p>
        </w:tc>
        <w:tc>
          <w:tcPr>
            <w:tcW w:type="dxa" w:w="1368"/>
          </w:tcPr>
          <w:p>
            <w:pPr>
              <w:spacing w:line="240" w:lineRule="auto" w:before="40" w:after="40"/>
              <w:jc w:val="center"/>
            </w:pPr>
            <w:r/>
            <w:r>
              <w:rPr>
                <w:b w:val="0"/>
                <w:i w:val="0"/>
                <w:sz w:val="17"/>
              </w:rPr>
              <w:t>₱27,076/m²</w:t>
            </w:r>
          </w:p>
        </w:tc>
        <w:tc>
          <w:tcPr>
            <w:tcW w:type="dxa" w:w="936"/>
          </w:tcPr>
          <w:p>
            <w:pPr>
              <w:spacing w:line="240" w:lineRule="auto" w:before="40" w:after="40"/>
              <w:jc w:val="center"/>
            </w:pPr>
            <w:r/>
            <w:r>
              <w:rPr>
                <w:b w:val="0"/>
                <w:i w:val="0"/>
                <w:sz w:val="17"/>
              </w:rPr>
              <w:t>17.4%</w:t>
            </w:r>
          </w:p>
        </w:tc>
      </w:tr>
      <w:tr>
        <w:tc>
          <w:tcPr>
            <w:tcW w:type="dxa" w:w="3600"/>
            <w:shd w:val="clear" w:color="auto" w:fill="EFEFEF"/>
          </w:tcPr>
          <w:p>
            <w:pPr>
              <w:spacing w:line="240" w:lineRule="auto" w:before="40" w:after="40"/>
              <w:jc w:val="left"/>
            </w:pPr>
            <w:r/>
            <w:r>
              <w:rPr>
                <w:b w:val="0"/>
                <w:i/>
                <w:sz w:val="17"/>
              </w:rPr>
              <w:t>3-storey provincial office building</w:t>
            </w:r>
          </w:p>
        </w:tc>
        <w:tc>
          <w:tcPr>
            <w:tcW w:type="dxa" w:w="1152"/>
            <w:shd w:val="clear" w:color="auto" w:fill="EFEFEF"/>
          </w:tcPr>
          <w:p>
            <w:pPr>
              <w:spacing w:line="240" w:lineRule="auto" w:before="40" w:after="40"/>
              <w:jc w:val="center"/>
            </w:pPr>
            <w:r/>
            <w:r>
              <w:rPr>
                <w:b w:val="0"/>
                <w:i w:val="0"/>
                <w:sz w:val="17"/>
              </w:rPr>
              <w:t>₱38.16M</w:t>
            </w:r>
          </w:p>
        </w:tc>
        <w:tc>
          <w:tcPr>
            <w:tcW w:type="dxa" w:w="1224"/>
            <w:shd w:val="clear" w:color="auto" w:fill="EFEFEF"/>
          </w:tcPr>
          <w:p>
            <w:pPr>
              <w:spacing w:line="240" w:lineRule="auto" w:before="40" w:after="40"/>
              <w:jc w:val="center"/>
            </w:pPr>
            <w:r/>
            <w:r>
              <w:rPr>
                <w:b w:val="0"/>
                <w:i w:val="0"/>
                <w:sz w:val="17"/>
              </w:rPr>
              <w:t>₱46.87M</w:t>
            </w:r>
          </w:p>
        </w:tc>
        <w:tc>
          <w:tcPr>
            <w:tcW w:type="dxa" w:w="1224"/>
            <w:shd w:val="clear" w:color="auto" w:fill="EFEFEF"/>
          </w:tcPr>
          <w:p>
            <w:pPr>
              <w:spacing w:line="240" w:lineRule="auto" w:before="40" w:after="40"/>
              <w:jc w:val="center"/>
            </w:pPr>
            <w:r/>
            <w:r>
              <w:rPr>
                <w:b w:val="0"/>
                <w:i w:val="0"/>
                <w:sz w:val="17"/>
              </w:rPr>
              <w:t>₱60.09M</w:t>
            </w:r>
          </w:p>
        </w:tc>
        <w:tc>
          <w:tcPr>
            <w:tcW w:type="dxa" w:w="1368"/>
            <w:shd w:val="clear" w:color="auto" w:fill="EFEFEF"/>
          </w:tcPr>
          <w:p>
            <w:pPr>
              <w:spacing w:line="240" w:lineRule="auto" w:before="40" w:after="40"/>
              <w:jc w:val="center"/>
            </w:pPr>
            <w:r/>
            <w:r>
              <w:rPr>
                <w:b w:val="0"/>
                <w:i w:val="0"/>
                <w:sz w:val="17"/>
              </w:rPr>
              <w:t>₱24,109/m²</w:t>
            </w:r>
          </w:p>
        </w:tc>
        <w:tc>
          <w:tcPr>
            <w:tcW w:type="dxa" w:w="936"/>
            <w:shd w:val="clear" w:color="auto" w:fill="EFEFEF"/>
          </w:tcPr>
          <w:p>
            <w:pPr>
              <w:spacing w:line="240" w:lineRule="auto" w:before="40" w:after="40"/>
              <w:jc w:val="center"/>
            </w:pPr>
            <w:r/>
            <w:r>
              <w:rPr>
                <w:b w:val="0"/>
                <w:i w:val="0"/>
                <w:sz w:val="17"/>
              </w:rPr>
              <w:t>18.6%</w:t>
            </w:r>
          </w:p>
        </w:tc>
      </w:tr>
      <w:tr>
        <w:tc>
          <w:tcPr>
            <w:tcW w:type="dxa" w:w="3600"/>
          </w:tcPr>
          <w:p>
            <w:pPr>
              <w:spacing w:line="240" w:lineRule="auto" w:before="40" w:after="40"/>
              <w:jc w:val="left"/>
            </w:pPr>
            <w:r/>
            <w:r>
              <w:rPr>
                <w:b w:val="0"/>
                <w:i/>
                <w:sz w:val="17"/>
              </w:rPr>
              <w:t>Public market, 1-storey</w:t>
            </w:r>
          </w:p>
        </w:tc>
        <w:tc>
          <w:tcPr>
            <w:tcW w:type="dxa" w:w="1152"/>
          </w:tcPr>
          <w:p>
            <w:pPr>
              <w:spacing w:line="240" w:lineRule="auto" w:before="40" w:after="40"/>
              <w:jc w:val="center"/>
            </w:pPr>
            <w:r/>
            <w:r>
              <w:rPr>
                <w:b w:val="0"/>
                <w:i w:val="0"/>
                <w:sz w:val="17"/>
              </w:rPr>
              <w:t>₱23.49M</w:t>
            </w:r>
          </w:p>
        </w:tc>
        <w:tc>
          <w:tcPr>
            <w:tcW w:type="dxa" w:w="1224"/>
          </w:tcPr>
          <w:p>
            <w:pPr>
              <w:spacing w:line="240" w:lineRule="auto" w:before="40" w:after="40"/>
              <w:jc w:val="center"/>
            </w:pPr>
            <w:r/>
            <w:r>
              <w:rPr>
                <w:b w:val="0"/>
                <w:i w:val="0"/>
                <w:sz w:val="17"/>
              </w:rPr>
              <w:t>₱27.13M</w:t>
            </w:r>
          </w:p>
        </w:tc>
        <w:tc>
          <w:tcPr>
            <w:tcW w:type="dxa" w:w="1224"/>
          </w:tcPr>
          <w:p>
            <w:pPr>
              <w:spacing w:line="240" w:lineRule="auto" w:before="40" w:after="40"/>
              <w:jc w:val="center"/>
            </w:pPr>
            <w:r/>
            <w:r>
              <w:rPr>
                <w:b w:val="0"/>
                <w:i w:val="0"/>
                <w:sz w:val="17"/>
              </w:rPr>
              <w:t>₱34.42M</w:t>
            </w:r>
          </w:p>
        </w:tc>
        <w:tc>
          <w:tcPr>
            <w:tcW w:type="dxa" w:w="1368"/>
          </w:tcPr>
          <w:p>
            <w:pPr>
              <w:spacing w:line="240" w:lineRule="auto" w:before="40" w:after="40"/>
              <w:jc w:val="center"/>
            </w:pPr>
            <w:r/>
            <w:r>
              <w:rPr>
                <w:b w:val="0"/>
                <w:i w:val="0"/>
                <w:sz w:val="17"/>
              </w:rPr>
              <w:t>₱28,258/m²</w:t>
            </w:r>
          </w:p>
        </w:tc>
        <w:tc>
          <w:tcPr>
            <w:tcW w:type="dxa" w:w="936"/>
          </w:tcPr>
          <w:p>
            <w:pPr>
              <w:spacing w:line="240" w:lineRule="auto" w:before="40" w:after="40"/>
              <w:jc w:val="center"/>
            </w:pPr>
            <w:r/>
            <w:r>
              <w:rPr>
                <w:b w:val="0"/>
                <w:i w:val="0"/>
                <w:sz w:val="17"/>
              </w:rPr>
              <w:t>13.4%</w:t>
            </w:r>
          </w:p>
        </w:tc>
      </w:tr>
      <w:tr>
        <w:tc>
          <w:tcPr>
            <w:tcW w:type="dxa" w:w="3600"/>
            <w:shd w:val="clear" w:color="auto" w:fill="EFEFEF"/>
          </w:tcPr>
          <w:p>
            <w:pPr>
              <w:spacing w:line="240" w:lineRule="auto" w:before="40" w:after="40"/>
              <w:jc w:val="left"/>
            </w:pPr>
            <w:r/>
            <w:r>
              <w:rPr>
                <w:b w:val="0"/>
                <w:i/>
                <w:sz w:val="17"/>
              </w:rPr>
              <w:t>3-storey dormitory</w:t>
            </w:r>
          </w:p>
        </w:tc>
        <w:tc>
          <w:tcPr>
            <w:tcW w:type="dxa" w:w="1152"/>
            <w:shd w:val="clear" w:color="auto" w:fill="EFEFEF"/>
          </w:tcPr>
          <w:p>
            <w:pPr>
              <w:spacing w:line="240" w:lineRule="auto" w:before="40" w:after="40"/>
              <w:jc w:val="center"/>
            </w:pPr>
            <w:r/>
            <w:r>
              <w:rPr>
                <w:b w:val="0"/>
                <w:i w:val="0"/>
                <w:sz w:val="17"/>
              </w:rPr>
              <w:t>₱24.51M</w:t>
            </w:r>
          </w:p>
        </w:tc>
        <w:tc>
          <w:tcPr>
            <w:tcW w:type="dxa" w:w="1224"/>
            <w:shd w:val="clear" w:color="auto" w:fill="EFEFEF"/>
          </w:tcPr>
          <w:p>
            <w:pPr>
              <w:spacing w:line="240" w:lineRule="auto" w:before="40" w:after="40"/>
              <w:jc w:val="center"/>
            </w:pPr>
            <w:r/>
            <w:r>
              <w:rPr>
                <w:b w:val="0"/>
                <w:i w:val="0"/>
                <w:sz w:val="17"/>
              </w:rPr>
              <w:t>₱28.47M</w:t>
            </w:r>
          </w:p>
        </w:tc>
        <w:tc>
          <w:tcPr>
            <w:tcW w:type="dxa" w:w="1224"/>
            <w:shd w:val="clear" w:color="auto" w:fill="EFEFEF"/>
          </w:tcPr>
          <w:p>
            <w:pPr>
              <w:spacing w:line="240" w:lineRule="auto" w:before="40" w:after="40"/>
              <w:jc w:val="center"/>
            </w:pPr>
            <w:r/>
            <w:r>
              <w:rPr>
                <w:b w:val="0"/>
                <w:i w:val="0"/>
                <w:sz w:val="17"/>
              </w:rPr>
              <w:t>₱36.23M</w:t>
            </w:r>
          </w:p>
        </w:tc>
        <w:tc>
          <w:tcPr>
            <w:tcW w:type="dxa" w:w="1368"/>
            <w:shd w:val="clear" w:color="auto" w:fill="EFEFEF"/>
          </w:tcPr>
          <w:p>
            <w:pPr>
              <w:spacing w:line="240" w:lineRule="auto" w:before="40" w:after="40"/>
              <w:jc w:val="center"/>
            </w:pPr>
            <w:r/>
            <w:r>
              <w:rPr>
                <w:b w:val="0"/>
                <w:i w:val="0"/>
                <w:sz w:val="17"/>
              </w:rPr>
              <w:t>₱26,358/m²</w:t>
            </w:r>
          </w:p>
        </w:tc>
        <w:tc>
          <w:tcPr>
            <w:tcW w:type="dxa" w:w="936"/>
            <w:shd w:val="clear" w:color="auto" w:fill="EFEFEF"/>
          </w:tcPr>
          <w:p>
            <w:pPr>
              <w:spacing w:line="240" w:lineRule="auto" w:before="40" w:after="40"/>
              <w:jc w:val="center"/>
            </w:pPr>
            <w:r/>
            <w:r>
              <w:rPr>
                <w:b w:val="0"/>
                <w:i w:val="0"/>
                <w:sz w:val="17"/>
              </w:rPr>
              <w:t>13.9%</w:t>
            </w:r>
          </w:p>
        </w:tc>
      </w:tr>
      <w:tr>
        <w:tc>
          <w:tcPr>
            <w:tcW w:type="dxa" w:w="3600"/>
          </w:tcPr>
          <w:p>
            <w:pPr>
              <w:spacing w:line="240" w:lineRule="auto" w:before="40" w:after="40"/>
              <w:jc w:val="left"/>
            </w:pPr>
            <w:r/>
            <w:r>
              <w:rPr>
                <w:b w:val="0"/>
                <w:i/>
                <w:sz w:val="17"/>
              </w:rPr>
              <w:t>Single-cell RC box culvert 3.0 × 3.0 m</w:t>
            </w:r>
          </w:p>
        </w:tc>
        <w:tc>
          <w:tcPr>
            <w:tcW w:type="dxa" w:w="1152"/>
          </w:tcPr>
          <w:p>
            <w:pPr>
              <w:spacing w:line="240" w:lineRule="auto" w:before="40" w:after="40"/>
              <w:jc w:val="center"/>
            </w:pPr>
            <w:r/>
            <w:r>
              <w:rPr>
                <w:b w:val="0"/>
                <w:i w:val="0"/>
                <w:sz w:val="17"/>
              </w:rPr>
              <w:t>₱1.73M</w:t>
            </w:r>
          </w:p>
        </w:tc>
        <w:tc>
          <w:tcPr>
            <w:tcW w:type="dxa" w:w="1224"/>
          </w:tcPr>
          <w:p>
            <w:pPr>
              <w:spacing w:line="240" w:lineRule="auto" w:before="40" w:after="40"/>
              <w:jc w:val="center"/>
            </w:pPr>
            <w:r/>
            <w:r>
              <w:rPr>
                <w:b w:val="0"/>
                <w:i w:val="0"/>
                <w:sz w:val="17"/>
              </w:rPr>
              <w:t>₱1.87M</w:t>
            </w:r>
          </w:p>
        </w:tc>
        <w:tc>
          <w:tcPr>
            <w:tcW w:type="dxa" w:w="1224"/>
          </w:tcPr>
          <w:p>
            <w:pPr>
              <w:spacing w:line="240" w:lineRule="auto" w:before="40" w:after="40"/>
              <w:jc w:val="center"/>
            </w:pPr>
            <w:r/>
            <w:r>
              <w:rPr>
                <w:b w:val="0"/>
                <w:i w:val="0"/>
                <w:sz w:val="17"/>
              </w:rPr>
              <w:t>₱2.20M</w:t>
            </w:r>
          </w:p>
        </w:tc>
        <w:tc>
          <w:tcPr>
            <w:tcW w:type="dxa" w:w="1368"/>
          </w:tcPr>
          <w:p>
            <w:pPr>
              <w:spacing w:line="240" w:lineRule="auto" w:before="40" w:after="40"/>
              <w:jc w:val="center"/>
            </w:pPr>
            <w:r/>
            <w:r>
              <w:rPr>
                <w:b w:val="0"/>
                <w:i w:val="0"/>
                <w:sz w:val="17"/>
              </w:rPr>
              <w:t>₱62,874/m²</w:t>
            </w:r>
          </w:p>
        </w:tc>
        <w:tc>
          <w:tcPr>
            <w:tcW w:type="dxa" w:w="936"/>
          </w:tcPr>
          <w:p>
            <w:pPr>
              <w:spacing w:line="240" w:lineRule="auto" w:before="40" w:after="40"/>
              <w:jc w:val="center"/>
            </w:pPr>
            <w:r/>
            <w:r>
              <w:rPr>
                <w:b w:val="0"/>
                <w:i w:val="0"/>
                <w:sz w:val="17"/>
              </w:rPr>
              <w:t>7.2%</w:t>
            </w:r>
          </w:p>
        </w:tc>
      </w:tr>
      <w:tr>
        <w:tc>
          <w:tcPr>
            <w:tcW w:type="dxa" w:w="3600"/>
            <w:shd w:val="clear" w:color="auto" w:fill="EFEFEF"/>
          </w:tcPr>
          <w:p>
            <w:pPr>
              <w:spacing w:line="240" w:lineRule="auto" w:before="40" w:after="40"/>
              <w:jc w:val="left"/>
            </w:pPr>
            <w:r/>
            <w:r>
              <w:rPr>
                <w:b w:val="0"/>
                <w:i/>
                <w:sz w:val="17"/>
              </w:rPr>
              <w:t>Double-barrel RC box culvert 2 × (3.0 × 2.5 m)</w:t>
            </w:r>
          </w:p>
        </w:tc>
        <w:tc>
          <w:tcPr>
            <w:tcW w:type="dxa" w:w="1152"/>
            <w:shd w:val="clear" w:color="auto" w:fill="EFEFEF"/>
          </w:tcPr>
          <w:p>
            <w:pPr>
              <w:spacing w:line="240" w:lineRule="auto" w:before="40" w:after="40"/>
              <w:jc w:val="center"/>
            </w:pPr>
            <w:r/>
            <w:r>
              <w:rPr>
                <w:b w:val="0"/>
                <w:i w:val="0"/>
                <w:sz w:val="17"/>
              </w:rPr>
              <w:t>₱2.48M</w:t>
            </w:r>
          </w:p>
        </w:tc>
        <w:tc>
          <w:tcPr>
            <w:tcW w:type="dxa" w:w="1224"/>
            <w:shd w:val="clear" w:color="auto" w:fill="EFEFEF"/>
          </w:tcPr>
          <w:p>
            <w:pPr>
              <w:spacing w:line="240" w:lineRule="auto" w:before="40" w:after="40"/>
              <w:jc w:val="center"/>
            </w:pPr>
            <w:r/>
            <w:r>
              <w:rPr>
                <w:b w:val="0"/>
                <w:i w:val="0"/>
                <w:sz w:val="17"/>
              </w:rPr>
              <w:t>₱2.68M</w:t>
            </w:r>
          </w:p>
        </w:tc>
        <w:tc>
          <w:tcPr>
            <w:tcW w:type="dxa" w:w="1224"/>
            <w:shd w:val="clear" w:color="auto" w:fill="EFEFEF"/>
          </w:tcPr>
          <w:p>
            <w:pPr>
              <w:spacing w:line="240" w:lineRule="auto" w:before="40" w:after="40"/>
              <w:jc w:val="center"/>
            </w:pPr>
            <w:r/>
            <w:r>
              <w:rPr>
                <w:b w:val="0"/>
                <w:i w:val="0"/>
                <w:sz w:val="17"/>
              </w:rPr>
              <w:t>₱3.16M</w:t>
            </w:r>
          </w:p>
        </w:tc>
        <w:tc>
          <w:tcPr>
            <w:tcW w:type="dxa" w:w="1368"/>
            <w:shd w:val="clear" w:color="auto" w:fill="EFEFEF"/>
          </w:tcPr>
          <w:p>
            <w:pPr>
              <w:spacing w:line="240" w:lineRule="auto" w:before="40" w:after="40"/>
              <w:jc w:val="center"/>
            </w:pPr>
            <w:r/>
            <w:r>
              <w:rPr>
                <w:b w:val="0"/>
                <w:i w:val="0"/>
                <w:sz w:val="17"/>
              </w:rPr>
              <w:t>₱46,990/m²</w:t>
            </w:r>
          </w:p>
        </w:tc>
        <w:tc>
          <w:tcPr>
            <w:tcW w:type="dxa" w:w="936"/>
            <w:shd w:val="clear" w:color="auto" w:fill="EFEFEF"/>
          </w:tcPr>
          <w:p>
            <w:pPr>
              <w:spacing w:line="240" w:lineRule="auto" w:before="40" w:after="40"/>
              <w:jc w:val="center"/>
            </w:pPr>
            <w:r/>
            <w:r>
              <w:rPr>
                <w:b w:val="0"/>
                <w:i w:val="0"/>
                <w:sz w:val="17"/>
              </w:rPr>
              <w:t>7.4%</w:t>
            </w:r>
          </w:p>
        </w:tc>
      </w:tr>
      <w:tr>
        <w:tc>
          <w:tcPr>
            <w:tcW w:type="dxa" w:w="3600"/>
          </w:tcPr>
          <w:p>
            <w:pPr>
              <w:spacing w:line="240" w:lineRule="auto" w:before="40" w:after="40"/>
              <w:jc w:val="left"/>
            </w:pPr>
            <w:r/>
            <w:r>
              <w:rPr>
                <w:b w:val="0"/>
                <w:i/>
                <w:sz w:val="17"/>
              </w:rPr>
              <w:t>Single-lane farm-to-market RCDG bridge 1 × 12 m</w:t>
            </w:r>
          </w:p>
        </w:tc>
        <w:tc>
          <w:tcPr>
            <w:tcW w:type="dxa" w:w="1152"/>
          </w:tcPr>
          <w:p>
            <w:pPr>
              <w:spacing w:line="240" w:lineRule="auto" w:before="40" w:after="40"/>
              <w:jc w:val="center"/>
            </w:pPr>
            <w:r/>
            <w:r>
              <w:rPr>
                <w:b w:val="0"/>
                <w:i w:val="0"/>
                <w:sz w:val="17"/>
              </w:rPr>
              <w:t>₱5.78M</w:t>
            </w:r>
          </w:p>
        </w:tc>
        <w:tc>
          <w:tcPr>
            <w:tcW w:type="dxa" w:w="1224"/>
          </w:tcPr>
          <w:p>
            <w:pPr>
              <w:spacing w:line="240" w:lineRule="auto" w:before="40" w:after="40"/>
              <w:jc w:val="center"/>
            </w:pPr>
            <w:r/>
            <w:r>
              <w:rPr>
                <w:b w:val="0"/>
                <w:i w:val="0"/>
                <w:sz w:val="17"/>
              </w:rPr>
              <w:t>₱6.22M</w:t>
            </w:r>
          </w:p>
        </w:tc>
        <w:tc>
          <w:tcPr>
            <w:tcW w:type="dxa" w:w="1224"/>
          </w:tcPr>
          <w:p>
            <w:pPr>
              <w:spacing w:line="240" w:lineRule="auto" w:before="40" w:after="40"/>
              <w:jc w:val="center"/>
            </w:pPr>
            <w:r/>
            <w:r>
              <w:rPr>
                <w:b w:val="0"/>
                <w:i w:val="0"/>
                <w:sz w:val="17"/>
              </w:rPr>
              <w:t>₱7.19M</w:t>
            </w:r>
          </w:p>
        </w:tc>
        <w:tc>
          <w:tcPr>
            <w:tcW w:type="dxa" w:w="1368"/>
          </w:tcPr>
          <w:p>
            <w:pPr>
              <w:spacing w:line="240" w:lineRule="auto" w:before="40" w:after="40"/>
              <w:jc w:val="center"/>
            </w:pPr>
            <w:r/>
            <w:r>
              <w:rPr>
                <w:b w:val="0"/>
                <w:i w:val="0"/>
                <w:sz w:val="17"/>
              </w:rPr>
              <w:t>₱92,518/m²</w:t>
            </w:r>
          </w:p>
        </w:tc>
        <w:tc>
          <w:tcPr>
            <w:tcW w:type="dxa" w:w="936"/>
          </w:tcPr>
          <w:p>
            <w:pPr>
              <w:spacing w:line="240" w:lineRule="auto" w:before="40" w:after="40"/>
              <w:jc w:val="center"/>
            </w:pPr>
            <w:r/>
            <w:r>
              <w:rPr>
                <w:b w:val="0"/>
                <w:i w:val="0"/>
                <w:sz w:val="17"/>
              </w:rPr>
              <w:t>7.1%</w:t>
            </w:r>
          </w:p>
        </w:tc>
      </w:tr>
      <w:tr>
        <w:tc>
          <w:tcPr>
            <w:tcW w:type="dxa" w:w="3600"/>
            <w:shd w:val="clear" w:color="auto" w:fill="EFEFEF"/>
          </w:tcPr>
          <w:p>
            <w:pPr>
              <w:spacing w:line="240" w:lineRule="auto" w:before="40" w:after="40"/>
              <w:jc w:val="left"/>
            </w:pPr>
            <w:r/>
            <w:r>
              <w:rPr>
                <w:b w:val="0"/>
                <w:i/>
                <w:sz w:val="17"/>
              </w:rPr>
              <w:t>Two-lane RCDG bridge 1 × 18 m</w:t>
            </w:r>
          </w:p>
        </w:tc>
        <w:tc>
          <w:tcPr>
            <w:tcW w:type="dxa" w:w="1152"/>
            <w:shd w:val="clear" w:color="auto" w:fill="EFEFEF"/>
          </w:tcPr>
          <w:p>
            <w:pPr>
              <w:spacing w:line="240" w:lineRule="auto" w:before="40" w:after="40"/>
              <w:jc w:val="center"/>
            </w:pPr>
            <w:r/>
            <w:r>
              <w:rPr>
                <w:b w:val="0"/>
                <w:i w:val="0"/>
                <w:sz w:val="17"/>
              </w:rPr>
              <w:t>₱18.39M</w:t>
            </w:r>
          </w:p>
        </w:tc>
        <w:tc>
          <w:tcPr>
            <w:tcW w:type="dxa" w:w="1224"/>
            <w:shd w:val="clear" w:color="auto" w:fill="EFEFEF"/>
          </w:tcPr>
          <w:p>
            <w:pPr>
              <w:spacing w:line="240" w:lineRule="auto" w:before="40" w:after="40"/>
              <w:jc w:val="center"/>
            </w:pPr>
            <w:r/>
            <w:r>
              <w:rPr>
                <w:b w:val="0"/>
                <w:i w:val="0"/>
                <w:sz w:val="17"/>
              </w:rPr>
              <w:t>₱19.41M</w:t>
            </w:r>
          </w:p>
        </w:tc>
        <w:tc>
          <w:tcPr>
            <w:tcW w:type="dxa" w:w="1224"/>
            <w:shd w:val="clear" w:color="auto" w:fill="EFEFEF"/>
          </w:tcPr>
          <w:p>
            <w:pPr>
              <w:spacing w:line="240" w:lineRule="auto" w:before="40" w:after="40"/>
              <w:jc w:val="center"/>
            </w:pPr>
            <w:r/>
            <w:r>
              <w:rPr>
                <w:b w:val="0"/>
                <w:i w:val="0"/>
                <w:sz w:val="17"/>
              </w:rPr>
              <w:t>₱22.64M</w:t>
            </w:r>
          </w:p>
        </w:tc>
        <w:tc>
          <w:tcPr>
            <w:tcW w:type="dxa" w:w="1368"/>
            <w:shd w:val="clear" w:color="auto" w:fill="EFEFEF"/>
          </w:tcPr>
          <w:p>
            <w:pPr>
              <w:spacing w:line="240" w:lineRule="auto" w:before="40" w:after="40"/>
              <w:jc w:val="center"/>
            </w:pPr>
            <w:r/>
            <w:r>
              <w:rPr>
                <w:b w:val="0"/>
                <w:i w:val="0"/>
                <w:sz w:val="17"/>
              </w:rPr>
              <w:t>₱122,561/m²</w:t>
            </w:r>
          </w:p>
        </w:tc>
        <w:tc>
          <w:tcPr>
            <w:tcW w:type="dxa" w:w="936"/>
            <w:shd w:val="clear" w:color="auto" w:fill="EFEFEF"/>
          </w:tcPr>
          <w:p>
            <w:pPr>
              <w:spacing w:line="240" w:lineRule="auto" w:before="40" w:after="40"/>
              <w:jc w:val="center"/>
            </w:pPr>
            <w:r/>
            <w:r>
              <w:rPr>
                <w:b w:val="0"/>
                <w:i w:val="0"/>
                <w:sz w:val="17"/>
              </w:rPr>
              <w:t>5.3%</w:t>
            </w:r>
          </w:p>
        </w:tc>
      </w:tr>
      <w:tr>
        <w:tc>
          <w:tcPr>
            <w:tcW w:type="dxa" w:w="3600"/>
          </w:tcPr>
          <w:p>
            <w:pPr>
              <w:spacing w:line="240" w:lineRule="auto" w:before="40" w:after="40"/>
              <w:jc w:val="left"/>
            </w:pPr>
            <w:r/>
            <w:r>
              <w:rPr>
                <w:b w:val="0"/>
                <w:i/>
                <w:sz w:val="17"/>
              </w:rPr>
              <w:t>Two-lane RCDG bridge 3 × 20 m</w:t>
            </w:r>
          </w:p>
        </w:tc>
        <w:tc>
          <w:tcPr>
            <w:tcW w:type="dxa" w:w="1152"/>
          </w:tcPr>
          <w:p>
            <w:pPr>
              <w:spacing w:line="240" w:lineRule="auto" w:before="40" w:after="40"/>
              <w:jc w:val="center"/>
            </w:pPr>
            <w:r/>
            <w:r>
              <w:rPr>
                <w:b w:val="0"/>
                <w:i w:val="0"/>
                <w:sz w:val="17"/>
              </w:rPr>
              <w:t>₱39.07M</w:t>
            </w:r>
          </w:p>
        </w:tc>
        <w:tc>
          <w:tcPr>
            <w:tcW w:type="dxa" w:w="1224"/>
          </w:tcPr>
          <w:p>
            <w:pPr>
              <w:spacing w:line="240" w:lineRule="auto" w:before="40" w:after="40"/>
              <w:jc w:val="center"/>
            </w:pPr>
            <w:r/>
            <w:r>
              <w:rPr>
                <w:b w:val="0"/>
                <w:i w:val="0"/>
                <w:sz w:val="17"/>
              </w:rPr>
              <w:t>₱42.04M</w:t>
            </w:r>
          </w:p>
        </w:tc>
        <w:tc>
          <w:tcPr>
            <w:tcW w:type="dxa" w:w="1224"/>
          </w:tcPr>
          <w:p>
            <w:pPr>
              <w:spacing w:line="240" w:lineRule="auto" w:before="40" w:after="40"/>
              <w:jc w:val="center"/>
            </w:pPr>
            <w:r/>
            <w:r>
              <w:rPr>
                <w:b w:val="0"/>
                <w:i w:val="0"/>
                <w:sz w:val="17"/>
              </w:rPr>
              <w:t>₱50.12M</w:t>
            </w:r>
          </w:p>
        </w:tc>
        <w:tc>
          <w:tcPr>
            <w:tcW w:type="dxa" w:w="1368"/>
          </w:tcPr>
          <w:p>
            <w:pPr>
              <w:spacing w:line="240" w:lineRule="auto" w:before="40" w:after="40"/>
              <w:jc w:val="center"/>
            </w:pPr>
            <w:r/>
            <w:r>
              <w:rPr>
                <w:b w:val="0"/>
                <w:i w:val="0"/>
                <w:sz w:val="17"/>
              </w:rPr>
              <w:t>₱79,615/m²</w:t>
            </w:r>
          </w:p>
        </w:tc>
        <w:tc>
          <w:tcPr>
            <w:tcW w:type="dxa" w:w="936"/>
          </w:tcPr>
          <w:p>
            <w:pPr>
              <w:spacing w:line="240" w:lineRule="auto" w:before="40" w:after="40"/>
              <w:jc w:val="center"/>
            </w:pPr>
            <w:r/>
            <w:r>
              <w:rPr>
                <w:b w:val="0"/>
                <w:i w:val="0"/>
                <w:sz w:val="17"/>
              </w:rPr>
              <w:t>7.1%</w:t>
            </w:r>
          </w:p>
        </w:tc>
      </w:tr>
      <w:tr>
        <w:tc>
          <w:tcPr>
            <w:tcW w:type="dxa" w:w="3600"/>
            <w:shd w:val="clear" w:color="auto" w:fill="EFEFEF"/>
          </w:tcPr>
          <w:p>
            <w:pPr>
              <w:spacing w:line="240" w:lineRule="auto" w:before="40" w:after="40"/>
              <w:jc w:val="left"/>
            </w:pPr>
            <w:r/>
            <w:r>
              <w:rPr>
                <w:b w:val="0"/>
                <w:i/>
                <w:sz w:val="17"/>
              </w:rPr>
              <w:t>Two-lane PSCG bridge 2 × 30 m (AASHTO Type IV)</w:t>
            </w:r>
          </w:p>
        </w:tc>
        <w:tc>
          <w:tcPr>
            <w:tcW w:type="dxa" w:w="1152"/>
            <w:shd w:val="clear" w:color="auto" w:fill="EFEFEF"/>
          </w:tcPr>
          <w:p>
            <w:pPr>
              <w:spacing w:line="240" w:lineRule="auto" w:before="40" w:after="40"/>
              <w:jc w:val="center"/>
            </w:pPr>
            <w:r/>
            <w:r>
              <w:rPr>
                <w:b w:val="0"/>
                <w:i w:val="0"/>
                <w:sz w:val="17"/>
              </w:rPr>
              <w:t>₱56.28M</w:t>
            </w:r>
          </w:p>
        </w:tc>
        <w:tc>
          <w:tcPr>
            <w:tcW w:type="dxa" w:w="1224"/>
            <w:shd w:val="clear" w:color="auto" w:fill="EFEFEF"/>
          </w:tcPr>
          <w:p>
            <w:pPr>
              <w:spacing w:line="240" w:lineRule="auto" w:before="40" w:after="40"/>
              <w:jc w:val="center"/>
            </w:pPr>
            <w:r/>
            <w:r>
              <w:rPr>
                <w:b w:val="0"/>
                <w:i w:val="0"/>
                <w:sz w:val="17"/>
              </w:rPr>
              <w:t>₱59.00M</w:t>
            </w:r>
          </w:p>
        </w:tc>
        <w:tc>
          <w:tcPr>
            <w:tcW w:type="dxa" w:w="1224"/>
            <w:shd w:val="clear" w:color="auto" w:fill="EFEFEF"/>
          </w:tcPr>
          <w:p>
            <w:pPr>
              <w:spacing w:line="240" w:lineRule="auto" w:before="40" w:after="40"/>
              <w:jc w:val="center"/>
            </w:pPr>
            <w:r/>
            <w:r>
              <w:rPr>
                <w:b w:val="0"/>
                <w:i w:val="0"/>
                <w:sz w:val="17"/>
              </w:rPr>
              <w:t>₱67.09M</w:t>
            </w:r>
          </w:p>
        </w:tc>
        <w:tc>
          <w:tcPr>
            <w:tcW w:type="dxa" w:w="1368"/>
            <w:shd w:val="clear" w:color="auto" w:fill="EFEFEF"/>
          </w:tcPr>
          <w:p>
            <w:pPr>
              <w:spacing w:line="240" w:lineRule="auto" w:before="40" w:after="40"/>
              <w:jc w:val="center"/>
            </w:pPr>
            <w:r/>
            <w:r>
              <w:rPr>
                <w:b w:val="0"/>
                <w:i w:val="0"/>
                <w:sz w:val="17"/>
              </w:rPr>
              <w:t>₱105,735/m²</w:t>
            </w:r>
          </w:p>
        </w:tc>
        <w:tc>
          <w:tcPr>
            <w:tcW w:type="dxa" w:w="936"/>
            <w:shd w:val="clear" w:color="auto" w:fill="EFEFEF"/>
          </w:tcPr>
          <w:p>
            <w:pPr>
              <w:spacing w:line="240" w:lineRule="auto" w:before="40" w:after="40"/>
              <w:jc w:val="center"/>
            </w:pPr>
            <w:r/>
            <w:r>
              <w:rPr>
                <w:b w:val="0"/>
                <w:i w:val="0"/>
                <w:sz w:val="17"/>
              </w:rPr>
              <w:t>4.6%</w:t>
            </w:r>
          </w:p>
        </w:tc>
      </w:tr>
      <w:tr>
        <w:tc>
          <w:tcPr>
            <w:tcW w:type="dxa" w:w="3600"/>
          </w:tcPr>
          <w:p>
            <w:pPr>
              <w:spacing w:line="240" w:lineRule="auto" w:before="40" w:after="40"/>
              <w:jc w:val="left"/>
            </w:pPr>
            <w:r/>
            <w:r>
              <w:rPr>
                <w:b w:val="0"/>
                <w:i/>
                <w:sz w:val="17"/>
              </w:rPr>
              <w:t>Two-lane PSCG bridge 4 × 35 m</w:t>
            </w:r>
          </w:p>
        </w:tc>
        <w:tc>
          <w:tcPr>
            <w:tcW w:type="dxa" w:w="1152"/>
          </w:tcPr>
          <w:p>
            <w:pPr>
              <w:spacing w:line="240" w:lineRule="auto" w:before="40" w:after="40"/>
              <w:jc w:val="center"/>
            </w:pPr>
            <w:r/>
            <w:r>
              <w:rPr>
                <w:b w:val="0"/>
                <w:i w:val="0"/>
                <w:sz w:val="17"/>
              </w:rPr>
              <w:t>₱119.21M</w:t>
            </w:r>
          </w:p>
        </w:tc>
        <w:tc>
          <w:tcPr>
            <w:tcW w:type="dxa" w:w="1224"/>
          </w:tcPr>
          <w:p>
            <w:pPr>
              <w:spacing w:line="240" w:lineRule="auto" w:before="40" w:after="40"/>
              <w:jc w:val="center"/>
            </w:pPr>
            <w:r/>
            <w:r>
              <w:rPr>
                <w:b w:val="0"/>
                <w:i w:val="0"/>
                <w:sz w:val="17"/>
              </w:rPr>
              <w:t>₱124.62M</w:t>
            </w:r>
          </w:p>
        </w:tc>
        <w:tc>
          <w:tcPr>
            <w:tcW w:type="dxa" w:w="1224"/>
          </w:tcPr>
          <w:p>
            <w:pPr>
              <w:spacing w:line="240" w:lineRule="auto" w:before="40" w:after="40"/>
              <w:jc w:val="center"/>
            </w:pPr>
            <w:r/>
            <w:r>
              <w:rPr>
                <w:b w:val="0"/>
                <w:i w:val="0"/>
                <w:sz w:val="17"/>
              </w:rPr>
              <w:t>₱143.72M</w:t>
            </w:r>
          </w:p>
        </w:tc>
        <w:tc>
          <w:tcPr>
            <w:tcW w:type="dxa" w:w="1368"/>
          </w:tcPr>
          <w:p>
            <w:pPr>
              <w:spacing w:line="240" w:lineRule="auto" w:before="40" w:after="40"/>
              <w:jc w:val="center"/>
            </w:pPr>
            <w:r/>
            <w:r>
              <w:rPr>
                <w:b w:val="0"/>
                <w:i w:val="0"/>
                <w:sz w:val="17"/>
              </w:rPr>
              <w:t>₱95,712/m²</w:t>
            </w:r>
          </w:p>
        </w:tc>
        <w:tc>
          <w:tcPr>
            <w:tcW w:type="dxa" w:w="936"/>
          </w:tcPr>
          <w:p>
            <w:pPr>
              <w:spacing w:line="240" w:lineRule="auto" w:before="40" w:after="40"/>
              <w:jc w:val="center"/>
            </w:pPr>
            <w:r/>
            <w:r>
              <w:rPr>
                <w:b w:val="0"/>
                <w:i w:val="0"/>
                <w:sz w:val="17"/>
              </w:rPr>
              <w:t>4.3%</w:t>
            </w:r>
          </w:p>
        </w:tc>
      </w:tr>
      <w:tr>
        <w:tc>
          <w:tcPr>
            <w:tcW w:type="dxa" w:w="3600"/>
            <w:shd w:val="clear" w:color="auto" w:fill="EFEFEF"/>
            <w:tcBorders>
              <w:bottom w:val="single" w:sz="12" w:color="000000"/>
            </w:tcBorders>
          </w:tcPr>
          <w:p>
            <w:pPr>
              <w:spacing w:line="240" w:lineRule="auto" w:before="40" w:after="40"/>
              <w:jc w:val="left"/>
            </w:pPr>
            <w:r/>
            <w:r>
              <w:rPr>
                <w:b w:val="0"/>
                <w:i/>
                <w:sz w:val="17"/>
              </w:rPr>
              <w:t>Two-lane steel truss bridge 1 × 50 m</w:t>
            </w:r>
          </w:p>
        </w:tc>
        <w:tc>
          <w:tcPr>
            <w:tcW w:type="dxa" w:w="1152"/>
            <w:shd w:val="clear" w:color="auto" w:fill="EFEFEF"/>
            <w:tcBorders>
              <w:bottom w:val="single" w:sz="12" w:color="000000"/>
            </w:tcBorders>
          </w:tcPr>
          <w:p>
            <w:pPr>
              <w:spacing w:line="240" w:lineRule="auto" w:before="40" w:after="40"/>
              <w:jc w:val="center"/>
            </w:pPr>
            <w:r/>
            <w:r>
              <w:rPr>
                <w:b w:val="0"/>
                <w:i w:val="0"/>
                <w:sz w:val="17"/>
              </w:rPr>
              <w:t>₱62.19M</w:t>
            </w:r>
          </w:p>
        </w:tc>
        <w:tc>
          <w:tcPr>
            <w:tcW w:type="dxa" w:w="1224"/>
            <w:shd w:val="clear" w:color="auto" w:fill="EFEFEF"/>
            <w:tcBorders>
              <w:bottom w:val="single" w:sz="12" w:color="000000"/>
            </w:tcBorders>
          </w:tcPr>
          <w:p>
            <w:pPr>
              <w:spacing w:line="240" w:lineRule="auto" w:before="40" w:after="40"/>
              <w:jc w:val="center"/>
            </w:pPr>
            <w:r/>
            <w:r>
              <w:rPr>
                <w:b w:val="0"/>
                <w:i w:val="0"/>
                <w:sz w:val="17"/>
              </w:rPr>
              <w:t>₱65.79M</w:t>
            </w:r>
          </w:p>
        </w:tc>
        <w:tc>
          <w:tcPr>
            <w:tcW w:type="dxa" w:w="1224"/>
            <w:shd w:val="clear" w:color="auto" w:fill="EFEFEF"/>
            <w:tcBorders>
              <w:bottom w:val="single" w:sz="12" w:color="000000"/>
            </w:tcBorders>
          </w:tcPr>
          <w:p>
            <w:pPr>
              <w:spacing w:line="240" w:lineRule="auto" w:before="40" w:after="40"/>
              <w:jc w:val="center"/>
            </w:pPr>
            <w:r/>
            <w:r>
              <w:rPr>
                <w:b w:val="0"/>
                <w:i w:val="0"/>
                <w:sz w:val="17"/>
              </w:rPr>
              <w:t>₱79.88M</w:t>
            </w:r>
          </w:p>
        </w:tc>
        <w:tc>
          <w:tcPr>
            <w:tcW w:type="dxa" w:w="1368"/>
            <w:shd w:val="clear" w:color="auto" w:fill="EFEFEF"/>
            <w:tcBorders>
              <w:bottom w:val="single" w:sz="12" w:color="000000"/>
            </w:tcBorders>
          </w:tcPr>
          <w:p>
            <w:pPr>
              <w:spacing w:line="240" w:lineRule="auto" w:before="40" w:after="40"/>
              <w:jc w:val="center"/>
            </w:pPr>
            <w:r/>
            <w:r>
              <w:rPr>
                <w:b w:val="0"/>
                <w:i w:val="0"/>
                <w:sz w:val="17"/>
              </w:rPr>
              <w:t>₱149,527/m²</w:t>
            </w:r>
          </w:p>
        </w:tc>
        <w:tc>
          <w:tcPr>
            <w:tcW w:type="dxa" w:w="936"/>
            <w:shd w:val="clear" w:color="auto" w:fill="EFEFEF"/>
            <w:tcBorders>
              <w:bottom w:val="single" w:sz="12" w:color="000000"/>
            </w:tcBorders>
          </w:tcPr>
          <w:p>
            <w:pPr>
              <w:spacing w:line="240" w:lineRule="auto" w:before="40" w:after="40"/>
              <w:jc w:val="center"/>
            </w:pPr>
            <w:r/>
            <w:r>
              <w:rPr>
                <w:b w:val="0"/>
                <w:i w:val="0"/>
                <w:sz w:val="17"/>
              </w:rPr>
              <w:t>5.5%</w:t>
            </w:r>
          </w:p>
        </w:tc>
      </w:tr>
    </w:tbl>
    <w:p>
      <w:pPr>
        <w:spacing w:line="240" w:lineRule="auto" w:after="80"/>
      </w:pPr>
    </w:p>
    <w:p>
      <w:pPr>
        <w:spacing w:line="480" w:lineRule="auto" w:after="0"/>
        <w:ind w:firstLine="720"/>
        <w:jc w:val="both"/>
      </w:pPr>
      <w:r>
        <w:rPr>
          <w:b w:val="0"/>
          <w:i w:val="0"/>
        </w:rPr>
        <w:t>For buildings, the standard estimate ranged from ₱24,109 to ₱45,711 per m² of gross floor area, with the smallest buildings, such as the barangay health station, costing most per m² because fixed items like septic tanks, ramps and plumbing are spread over less floor area. The 2-storey 4-classroom school building came to ₱9.10 million, or about ₱2.28 million per classroom, and its lean start quotation was ₱7.88 million. For multi-span bridges, the standard estimate ranged from ₱0.70M to ₱1.32M per linear meter, rising from RCDG to PSCG to steel truss as spans lengthen. The lean saving was larger for buildings (12% to 19%) than for bridges (4% to 8%), because buildings carry finishes and MEPF allowances that can be specified leanly, whereas a bridge's cost is dominated by structural quantities that the codes already fix. Appendix C shows the full bill of quantities of the 2-storey 4-classroom school building.</w:t>
      </w:r>
    </w:p>
    <w:p>
      <w:pPr>
        <w:keepNext/>
        <w:spacing w:line="480" w:lineRule="auto" w:after="0"/>
        <w:ind w:left="720"/>
        <w:jc w:val="left"/>
      </w:pPr>
      <w:r>
        <w:rPr>
          <w:b/>
          <w:i w:val="0"/>
        </w:rPr>
        <w:t>b.) Accuracy against Fair Awarded Costs</w:t>
      </w:r>
    </w:p>
    <w:p>
      <w:pPr>
        <w:keepNext/>
        <w:spacing w:line="240" w:lineRule="auto" w:after="0" w:before="120"/>
        <w:jc w:val="left"/>
      </w:pPr>
      <w:r>
        <w:rPr>
          <w:b/>
          <w:i w:val="0"/>
        </w:rPr>
        <w:t>Table 17.</w:t>
      </w:r>
    </w:p>
    <w:p>
      <w:pPr>
        <w:keepNext/>
        <w:spacing w:line="240" w:lineRule="auto" w:after="0"/>
        <w:jc w:val="left"/>
      </w:pPr>
      <w:r>
        <w:rPr>
          <w:b w:val="0"/>
          <w:i/>
        </w:rPr>
        <w:t>Accuracy of the Standards-Based Estimate against Fair Awarded Costs</w:t>
      </w:r>
    </w:p>
    <w:tbl>
      <w:tblPr>
        <w:tblW w:type="auto" w:w="0"/>
        <w:jc w:val="center"/>
        <w:tblLayout w:type="fixed"/>
        <w:tblLook w:firstColumn="1" w:firstRow="1" w:lastColumn="0" w:lastRow="0" w:noHBand="0" w:noVBand="1" w:val="04A0"/>
        <w:tblLayout w:type="fixed"/>
      </w:tblPr>
      <w:tblGrid>
        <w:gridCol w:w="4176"/>
        <w:gridCol w:w="2448"/>
        <w:gridCol w:w="2448"/>
      </w:tblGrid>
      <w:tr>
        <w:tc>
          <w:tcPr>
            <w:tcW w:type="dxa" w:w="4176"/>
            <w:tcBorders>
              <w:top w:val="single" w:sz="12" w:color="000000"/>
              <w:bottom w:val="single" w:sz="8" w:color="000000"/>
            </w:tcBorders>
          </w:tcPr>
          <w:p>
            <w:pPr>
              <w:spacing w:line="240" w:lineRule="auto" w:before="40" w:after="40"/>
              <w:jc w:val="center"/>
            </w:pPr>
            <w:r/>
            <w:r>
              <w:rPr>
                <w:b/>
                <w:i w:val="0"/>
                <w:sz w:val="20"/>
              </w:rPr>
              <w:t>MEASURE (NON-INJECTED PROJECTS)</w:t>
            </w:r>
          </w:p>
        </w:tc>
        <w:tc>
          <w:tcPr>
            <w:tcW w:type="dxa" w:w="2448"/>
            <w:tcBorders>
              <w:top w:val="single" w:sz="12" w:color="000000"/>
              <w:bottom w:val="single" w:sz="8" w:color="000000"/>
            </w:tcBorders>
          </w:tcPr>
          <w:p>
            <w:pPr>
              <w:spacing w:line="240" w:lineRule="auto" w:before="40" w:after="40"/>
              <w:jc w:val="center"/>
            </w:pPr>
            <w:r/>
            <w:r>
              <w:rPr>
                <w:b/>
                <w:i w:val="0"/>
                <w:sz w:val="20"/>
              </w:rPr>
              <w:t>BUILDINGS (n = 140)</w:t>
            </w:r>
          </w:p>
        </w:tc>
        <w:tc>
          <w:tcPr>
            <w:tcW w:type="dxa" w:w="2448"/>
            <w:tcBorders>
              <w:top w:val="single" w:sz="12" w:color="000000"/>
              <w:bottom w:val="single" w:sz="8" w:color="000000"/>
            </w:tcBorders>
          </w:tcPr>
          <w:p>
            <w:pPr>
              <w:spacing w:line="240" w:lineRule="auto" w:before="40" w:after="40"/>
              <w:jc w:val="center"/>
            </w:pPr>
            <w:r/>
            <w:r>
              <w:rPr>
                <w:b/>
                <w:i w:val="0"/>
                <w:sz w:val="20"/>
              </w:rPr>
              <w:t>BRIDGES (n = 124)</w:t>
            </w:r>
          </w:p>
        </w:tc>
      </w:tr>
      <w:tr>
        <w:tc>
          <w:tcPr>
            <w:tcW w:type="dxa" w:w="4176"/>
            <w:shd w:val="clear" w:color="auto" w:fill="EFEFEF"/>
          </w:tcPr>
          <w:p>
            <w:pPr>
              <w:spacing w:line="240" w:lineRule="auto" w:before="40" w:after="40"/>
              <w:jc w:val="left"/>
            </w:pPr>
            <w:r/>
            <w:r>
              <w:rPr>
                <w:b w:val="0"/>
                <w:i/>
                <w:sz w:val="20"/>
              </w:rPr>
              <w:t>MAPE, standard estimate</w:t>
            </w:r>
          </w:p>
        </w:tc>
        <w:tc>
          <w:tcPr>
            <w:tcW w:type="dxa" w:w="2448"/>
            <w:shd w:val="clear" w:color="auto" w:fill="EFEFEF"/>
          </w:tcPr>
          <w:p>
            <w:pPr>
              <w:spacing w:line="240" w:lineRule="auto" w:before="40" w:after="40"/>
              <w:jc w:val="center"/>
            </w:pPr>
            <w:r/>
            <w:r>
              <w:rPr>
                <w:b w:val="0"/>
                <w:i w:val="0"/>
                <w:sz w:val="20"/>
              </w:rPr>
              <w:t>5.21%</w:t>
            </w:r>
          </w:p>
        </w:tc>
        <w:tc>
          <w:tcPr>
            <w:tcW w:type="dxa" w:w="2448"/>
            <w:shd w:val="clear" w:color="auto" w:fill="EFEFEF"/>
          </w:tcPr>
          <w:p>
            <w:pPr>
              <w:spacing w:line="240" w:lineRule="auto" w:before="40" w:after="40"/>
              <w:jc w:val="center"/>
            </w:pPr>
            <w:r/>
            <w:r>
              <w:rPr>
                <w:b w:val="0"/>
                <w:i w:val="0"/>
                <w:sz w:val="20"/>
              </w:rPr>
              <w:t>7.67%</w:t>
            </w:r>
          </w:p>
        </w:tc>
      </w:tr>
      <w:tr>
        <w:tc>
          <w:tcPr>
            <w:tcW w:type="dxa" w:w="4176"/>
          </w:tcPr>
          <w:p>
            <w:pPr>
              <w:spacing w:line="240" w:lineRule="auto" w:before="40" w:after="40"/>
              <w:jc w:val="left"/>
            </w:pPr>
            <w:r/>
            <w:r>
              <w:rPr>
                <w:b w:val="0"/>
                <w:i/>
                <w:sz w:val="20"/>
              </w:rPr>
              <w:t>R², standard estimate</w:t>
            </w:r>
          </w:p>
        </w:tc>
        <w:tc>
          <w:tcPr>
            <w:tcW w:type="dxa" w:w="2448"/>
          </w:tcPr>
          <w:p>
            <w:pPr>
              <w:spacing w:line="240" w:lineRule="auto" w:before="40" w:after="40"/>
              <w:jc w:val="center"/>
            </w:pPr>
            <w:r/>
            <w:r>
              <w:rPr>
                <w:b w:val="0"/>
                <w:i w:val="0"/>
                <w:sz w:val="20"/>
              </w:rPr>
              <w:t>0.9799</w:t>
            </w:r>
          </w:p>
        </w:tc>
        <w:tc>
          <w:tcPr>
            <w:tcW w:type="dxa" w:w="2448"/>
          </w:tcPr>
          <w:p>
            <w:pPr>
              <w:spacing w:line="240" w:lineRule="auto" w:before="40" w:after="40"/>
              <w:jc w:val="center"/>
            </w:pPr>
            <w:r/>
            <w:r>
              <w:rPr>
                <w:b w:val="0"/>
                <w:i w:val="0"/>
                <w:sz w:val="20"/>
              </w:rPr>
              <w:t>0.9801</w:t>
            </w:r>
          </w:p>
        </w:tc>
      </w:tr>
      <w:tr>
        <w:tc>
          <w:tcPr>
            <w:tcW w:type="dxa" w:w="4176"/>
            <w:shd w:val="clear" w:color="auto" w:fill="EFEFEF"/>
          </w:tcPr>
          <w:p>
            <w:pPr>
              <w:spacing w:line="240" w:lineRule="auto" w:before="40" w:after="40"/>
              <w:jc w:val="left"/>
            </w:pPr>
            <w:r/>
            <w:r>
              <w:rPr>
                <w:b w:val="0"/>
                <w:i/>
                <w:sz w:val="20"/>
              </w:rPr>
              <w:t>RMSE, standard estimate</w:t>
            </w:r>
          </w:p>
        </w:tc>
        <w:tc>
          <w:tcPr>
            <w:tcW w:type="dxa" w:w="2448"/>
            <w:shd w:val="clear" w:color="auto" w:fill="EFEFEF"/>
          </w:tcPr>
          <w:p>
            <w:pPr>
              <w:spacing w:line="240" w:lineRule="auto" w:before="40" w:after="40"/>
              <w:jc w:val="center"/>
            </w:pPr>
            <w:r/>
            <w:r>
              <w:rPr>
                <w:b w:val="0"/>
                <w:i w:val="0"/>
                <w:sz w:val="20"/>
              </w:rPr>
              <w:t>₱1,229,130</w:t>
            </w:r>
          </w:p>
        </w:tc>
        <w:tc>
          <w:tcPr>
            <w:tcW w:type="dxa" w:w="2448"/>
            <w:shd w:val="clear" w:color="auto" w:fill="EFEFEF"/>
          </w:tcPr>
          <w:p>
            <w:pPr>
              <w:spacing w:line="240" w:lineRule="auto" w:before="40" w:after="40"/>
              <w:jc w:val="center"/>
            </w:pPr>
            <w:r/>
            <w:r>
              <w:rPr>
                <w:b w:val="0"/>
                <w:i w:val="0"/>
                <w:sz w:val="20"/>
              </w:rPr>
              <w:t>₱5,160,512</w:t>
            </w:r>
          </w:p>
        </w:tc>
      </w:tr>
      <w:tr>
        <w:tc>
          <w:tcPr>
            <w:tcW w:type="dxa" w:w="4176"/>
          </w:tcPr>
          <w:p>
            <w:pPr>
              <w:spacing w:line="240" w:lineRule="auto" w:before="40" w:after="40"/>
              <w:jc w:val="left"/>
            </w:pPr>
            <w:r/>
            <w:r>
              <w:rPr>
                <w:b w:val="0"/>
                <w:i/>
                <w:sz w:val="20"/>
              </w:rPr>
              <w:t>MAPE, XGBoost (LOOCV)</w:t>
            </w:r>
          </w:p>
        </w:tc>
        <w:tc>
          <w:tcPr>
            <w:tcW w:type="dxa" w:w="2448"/>
          </w:tcPr>
          <w:p>
            <w:pPr>
              <w:spacing w:line="240" w:lineRule="auto" w:before="40" w:after="40"/>
              <w:jc w:val="center"/>
            </w:pPr>
            <w:r/>
            <w:r>
              <w:rPr>
                <w:b w:val="0"/>
                <w:i w:val="0"/>
                <w:sz w:val="20"/>
              </w:rPr>
              <w:t>11.82%</w:t>
            </w:r>
          </w:p>
        </w:tc>
        <w:tc>
          <w:tcPr>
            <w:tcW w:type="dxa" w:w="2448"/>
          </w:tcPr>
          <w:p>
            <w:pPr>
              <w:spacing w:line="240" w:lineRule="auto" w:before="40" w:after="40"/>
              <w:jc w:val="center"/>
            </w:pPr>
            <w:r/>
            <w:r>
              <w:rPr>
                <w:b w:val="0"/>
                <w:i w:val="0"/>
                <w:sz w:val="20"/>
              </w:rPr>
              <w:t>17.24%</w:t>
            </w:r>
          </w:p>
        </w:tc>
      </w:tr>
      <w:tr>
        <w:tc>
          <w:tcPr>
            <w:tcW w:type="dxa" w:w="4176"/>
            <w:shd w:val="clear" w:color="auto" w:fill="EFEFEF"/>
          </w:tcPr>
          <w:p>
            <w:pPr>
              <w:spacing w:line="240" w:lineRule="auto" w:before="40" w:after="40"/>
              <w:jc w:val="left"/>
            </w:pPr>
            <w:r/>
            <w:r>
              <w:rPr>
                <w:b w:val="0"/>
                <w:i/>
                <w:sz w:val="20"/>
              </w:rPr>
              <w:t>Lean start quotation ≤ awarded cost</w:t>
            </w:r>
          </w:p>
        </w:tc>
        <w:tc>
          <w:tcPr>
            <w:tcW w:type="dxa" w:w="2448"/>
            <w:shd w:val="clear" w:color="auto" w:fill="EFEFEF"/>
          </w:tcPr>
          <w:p>
            <w:pPr>
              <w:spacing w:line="240" w:lineRule="auto" w:before="40" w:after="40"/>
              <w:jc w:val="center"/>
            </w:pPr>
            <w:r/>
            <w:r>
              <w:rPr>
                <w:b w:val="0"/>
                <w:i w:val="0"/>
                <w:sz w:val="20"/>
              </w:rPr>
              <w:t>94.3%</w:t>
            </w:r>
          </w:p>
        </w:tc>
        <w:tc>
          <w:tcPr>
            <w:tcW w:type="dxa" w:w="2448"/>
            <w:shd w:val="clear" w:color="auto" w:fill="EFEFEF"/>
          </w:tcPr>
          <w:p>
            <w:pPr>
              <w:spacing w:line="240" w:lineRule="auto" w:before="40" w:after="40"/>
              <w:jc w:val="center"/>
            </w:pPr>
            <w:r/>
            <w:r>
              <w:rPr>
                <w:b w:val="0"/>
                <w:i w:val="0"/>
                <w:sz w:val="20"/>
              </w:rPr>
              <w:t>81.5%</w:t>
            </w:r>
          </w:p>
        </w:tc>
      </w:tr>
      <w:tr>
        <w:tc>
          <w:tcPr>
            <w:tcW w:type="dxa" w:w="4176"/>
          </w:tcPr>
          <w:p>
            <w:pPr>
              <w:spacing w:line="240" w:lineRule="auto" w:before="40" w:after="40"/>
              <w:jc w:val="left"/>
            </w:pPr>
            <w:r/>
            <w:r>
              <w:rPr>
                <w:b w:val="0"/>
                <w:i/>
                <w:sz w:val="20"/>
              </w:rPr>
              <w:t>Awarded cost ≤ ceiling</w:t>
            </w:r>
          </w:p>
        </w:tc>
        <w:tc>
          <w:tcPr>
            <w:tcW w:type="dxa" w:w="2448"/>
          </w:tcPr>
          <w:p>
            <w:pPr>
              <w:spacing w:line="240" w:lineRule="auto" w:before="40" w:after="40"/>
              <w:jc w:val="center"/>
            </w:pPr>
            <w:r/>
            <w:r>
              <w:rPr>
                <w:b w:val="0"/>
                <w:i w:val="0"/>
                <w:sz w:val="20"/>
              </w:rPr>
              <w:t>100.0%</w:t>
            </w:r>
          </w:p>
        </w:tc>
        <w:tc>
          <w:tcPr>
            <w:tcW w:type="dxa" w:w="2448"/>
          </w:tcPr>
          <w:p>
            <w:pPr>
              <w:spacing w:line="240" w:lineRule="auto" w:before="40" w:after="40"/>
              <w:jc w:val="center"/>
            </w:pPr>
            <w:r/>
            <w:r>
              <w:rPr>
                <w:b w:val="0"/>
                <w:i w:val="0"/>
                <w:sz w:val="20"/>
              </w:rPr>
              <w:t>88.7%</w:t>
            </w:r>
          </w:p>
        </w:tc>
      </w:tr>
      <w:tr>
        <w:tc>
          <w:tcPr>
            <w:tcW w:type="dxa" w:w="4176"/>
            <w:shd w:val="clear" w:color="auto" w:fill="EFEFEF"/>
            <w:tcBorders>
              <w:bottom w:val="single" w:sz="12" w:color="000000"/>
            </w:tcBorders>
          </w:tcPr>
          <w:p>
            <w:pPr>
              <w:spacing w:line="240" w:lineRule="auto" w:before="40" w:after="40"/>
              <w:jc w:val="left"/>
            </w:pPr>
            <w:r/>
            <w:r>
              <w:rPr>
                <w:b w:val="0"/>
                <w:i/>
                <w:sz w:val="20"/>
              </w:rPr>
              <w:t>Mean lean saving vs. standard</w:t>
            </w:r>
          </w:p>
        </w:tc>
        <w:tc>
          <w:tcPr>
            <w:tcW w:type="dxa" w:w="2448"/>
            <w:shd w:val="clear" w:color="auto" w:fill="EFEFEF"/>
            <w:tcBorders>
              <w:bottom w:val="single" w:sz="12" w:color="000000"/>
            </w:tcBorders>
          </w:tcPr>
          <w:p>
            <w:pPr>
              <w:spacing w:line="240" w:lineRule="auto" w:before="40" w:after="40"/>
              <w:jc w:val="center"/>
            </w:pPr>
            <w:r/>
            <w:r>
              <w:rPr>
                <w:b w:val="0"/>
                <w:i w:val="0"/>
                <w:sz w:val="20"/>
              </w:rPr>
              <w:t>14.4%</w:t>
            </w:r>
          </w:p>
        </w:tc>
        <w:tc>
          <w:tcPr>
            <w:tcW w:type="dxa" w:w="2448"/>
            <w:shd w:val="clear" w:color="auto" w:fill="EFEFEF"/>
            <w:tcBorders>
              <w:bottom w:val="single" w:sz="12" w:color="000000"/>
            </w:tcBorders>
          </w:tcPr>
          <w:p>
            <w:pPr>
              <w:spacing w:line="240" w:lineRule="auto" w:before="40" w:after="40"/>
              <w:jc w:val="center"/>
            </w:pPr>
            <w:r/>
            <w:r>
              <w:rPr>
                <w:b w:val="0"/>
                <w:i w:val="0"/>
                <w:sz w:val="20"/>
              </w:rPr>
              <w:t>5.9%</w:t>
            </w:r>
          </w:p>
        </w:tc>
      </w:tr>
    </w:tbl>
    <w:p>
      <w:pPr>
        <w:spacing w:line="240" w:lineRule="auto" w:after="80"/>
      </w:pPr>
    </w:p>
    <w:p>
      <w:pPr>
        <w:spacing w:line="480" w:lineRule="auto" w:after="0"/>
        <w:ind w:firstLine="720"/>
        <w:jc w:val="both"/>
      </w:pPr>
      <w:r>
        <w:rPr>
          <w:b w:val="0"/>
          <w:i w:val="0"/>
        </w:rPr>
        <w:t>Table 17 compares the standard estimate with the awarded cost of the projects without injected overpricing. The engine reached a MAPE of 5.21% for buildings and 7.67% for bridges, with R</w:t>
      </w:r>
      <w:r>
        <w:rPr>
          <w:b w:val="0"/>
          <w:i w:val="0"/>
          <w:vertAlign w:val="superscript"/>
        </w:rPr>
        <w:t>2</w:t>
      </w:r>
      <w:r>
        <w:rPr>
          <w:b w:val="0"/>
          <w:i w:val="0"/>
        </w:rPr>
        <w:t xml:space="preserve"> of 0.9799 and 0.9801. This is less than half the error of the XGBoost model on the same projects (11.82% and 17.24%), showing the value of pricing from the plan instead of from comparable contracts. The lean start quotation stayed at or below the fair awarded cost for 94.3% of buildings and 81.5% of bridges, so it behaves as an efficient floor, and the ceiling covered 100.0% of fair building contracts and 88.7% of fair bridge contracts. The lower bridge coverage comes from hidden pile lengths of up to 35% beyond the plan: a bridge whose piles must go deeper than designed can legitimately exceed the plan-based ceiling. This agrees with the long-standing observation that ground conditions are the largest source of cost uncertainty in substructures and shows why geotechnical data should accompany a bridge check.</w:t>
      </w:r>
    </w:p>
    <w:p>
      <w:pPr>
        <w:spacing w:line="480" w:lineRule="auto" w:after="0"/>
        <w:ind w:firstLine="720"/>
        <w:jc w:val="both"/>
      </w:pPr>
      <w:r>
        <w:rPr>
          <w:b w:val="0"/>
          <w:i w:val="0"/>
        </w:rPr>
        <w:t>Because the benchmark was generated with the same engine plus hidden variation, these figures measure how robust the plan-level estimate is to unseen site and market conditions of the stated size, not its accuracy on actual DPWH contracts, which remains to be validated (see Recommendations).</w:t>
      </w:r>
    </w:p>
    <w:p>
      <w:pPr>
        <w:keepNext/>
        <w:spacing w:line="240" w:lineRule="auto" w:after="0" w:before="120"/>
        <w:jc w:val="left"/>
      </w:pPr>
      <w:r>
        <w:rPr>
          <w:b/>
          <w:i w:val="0"/>
        </w:rPr>
        <w:t>Figure 13.</w:t>
      </w:r>
    </w:p>
    <w:p>
      <w:pPr>
        <w:keepNext/>
        <w:spacing w:line="240" w:lineRule="auto" w:after="0"/>
        <w:jc w:val="left"/>
      </w:pPr>
      <w:r>
        <w:rPr>
          <w:b w:val="0"/>
          <w:i/>
        </w:rPr>
        <w:t>Distribution of the Over-Budget Ratio for Injected and Non-Injected Projects</w:t>
      </w:r>
    </w:p>
    <w:p>
      <w:pPr>
        <w:spacing w:line="240" w:lineRule="auto" w:after="200"/>
        <w:jc w:val="center"/>
      </w:pPr>
      <w:r>
        <w:drawing>
          <wp:inline xmlns:a="http://schemas.openxmlformats.org/drawingml/2006/main" xmlns:pic="http://schemas.openxmlformats.org/drawingml/2006/picture">
            <wp:extent cx="5120640" cy="3303639"/>
            <wp:docPr id="65" name="Picture 65"/>
            <wp:cNvGraphicFramePr>
              <a:graphicFrameLocks noChangeAspect="1"/>
            </wp:cNvGraphicFramePr>
            <a:graphic>
              <a:graphicData uri="http://schemas.openxmlformats.org/drawingml/2006/picture">
                <pic:pic>
                  <pic:nvPicPr>
                    <pic:cNvPr id="0" name="obr_hist.png"/>
                    <pic:cNvPicPr/>
                  </pic:nvPicPr>
                  <pic:blipFill>
                    <a:blip r:embed="rId49"/>
                    <a:stretch>
                      <a:fillRect/>
                    </a:stretch>
                  </pic:blipFill>
                  <pic:spPr>
                    <a:xfrm>
                      <a:off x="0" y="0"/>
                      <a:ext cx="5120640" cy="3303639"/>
                    </a:xfrm>
                    <a:prstGeom prst="rect"/>
                  </pic:spPr>
                </pic:pic>
              </a:graphicData>
            </a:graphic>
          </wp:inline>
        </w:drawing>
      </w:r>
    </w:p>
    <w:p>
      <w:pPr>
        <w:spacing w:line="480" w:lineRule="auto" w:after="0"/>
        <w:ind w:firstLine="720"/>
        <w:jc w:val="both"/>
      </w:pPr>
      <w:r>
        <w:rPr>
          <w:b w:val="0"/>
          <w:i w:val="0"/>
        </w:rPr>
        <w:t>Figure 13 shows the over-budget ratio of all 300 projects. Fair projects cluster around 1.0, while injected projects sit to the right of the review line, most of them beyond the ceiling. The overlap between the two groups is small for buildings and larger for bridges, which anticipates the detection results.</w:t>
      </w:r>
    </w:p>
    <w:p>
      <w:pPr>
        <w:keepNext/>
        <w:spacing w:line="480" w:lineRule="auto" w:after="0"/>
        <w:jc w:val="left"/>
      </w:pPr>
      <w:r>
        <w:rPr>
          <w:b/>
          <w:i w:val="0"/>
        </w:rPr>
        <w:t>Development of Machine Learning Models to Predict Construction Cost</w:t>
      </w:r>
    </w:p>
    <w:p>
      <w:pPr>
        <w:spacing w:line="480" w:lineRule="auto" w:after="0"/>
        <w:ind w:firstLine="720"/>
        <w:jc w:val="both"/>
      </w:pPr>
      <w:r>
        <w:rPr>
          <w:b w:val="0"/>
          <w:i w:val="0"/>
        </w:rPr>
        <w:t>The fourth research question compared Multiple Linear Regression and XGBoost as data-driven predictors of awarded cost, trained on all 300 benchmark projects including the padded ones, as an auditor would face in practice.</w:t>
      </w:r>
    </w:p>
    <w:p>
      <w:pPr>
        <w:keepNext/>
        <w:spacing w:line="480" w:lineRule="auto" w:after="0"/>
        <w:ind w:left="720"/>
        <w:jc w:val="left"/>
      </w:pPr>
      <w:r>
        <w:rPr>
          <w:b/>
          <w:i w:val="0"/>
        </w:rPr>
        <w:t>a.) Multiple Linear Regression</w:t>
      </w:r>
    </w:p>
    <w:p>
      <w:pPr>
        <w:keepNext/>
        <w:spacing w:line="240" w:lineRule="auto" w:after="0" w:before="120"/>
        <w:jc w:val="left"/>
      </w:pPr>
      <w:r>
        <w:rPr>
          <w:b/>
          <w:i w:val="0"/>
        </w:rPr>
        <w:t>Table 18.</w:t>
      </w:r>
    </w:p>
    <w:p>
      <w:pPr>
        <w:keepNext/>
        <w:spacing w:line="240" w:lineRule="auto" w:after="0"/>
        <w:jc w:val="left"/>
      </w:pPr>
      <w:r>
        <w:rPr>
          <w:b w:val="0"/>
          <w:i/>
        </w:rPr>
        <w:t>Variance Inflation Factor of the Building Predictors</w:t>
      </w:r>
    </w:p>
    <w:tbl>
      <w:tblPr>
        <w:tblW w:type="auto" w:w="0"/>
        <w:jc w:val="center"/>
        <w:tblLayout w:type="fixed"/>
        <w:tblLook w:firstColumn="1" w:firstRow="1" w:lastColumn="0" w:lastRow="0" w:noHBand="0" w:noVBand="1" w:val="04A0"/>
        <w:tblLayout w:type="fixed"/>
      </w:tblPr>
      <w:tblGrid>
        <w:gridCol w:w="4320"/>
        <w:gridCol w:w="2304"/>
      </w:tblGrid>
      <w:tr>
        <w:tc>
          <w:tcPr>
            <w:tcW w:type="dxa" w:w="4320"/>
            <w:tcBorders>
              <w:top w:val="single" w:sz="12" w:color="000000"/>
              <w:bottom w:val="single" w:sz="8" w:color="000000"/>
            </w:tcBorders>
          </w:tcPr>
          <w:p>
            <w:pPr>
              <w:spacing w:line="240" w:lineRule="auto" w:before="40" w:after="40"/>
              <w:jc w:val="center"/>
            </w:pPr>
            <w:r/>
            <w:r>
              <w:rPr>
                <w:b/>
                <w:i w:val="0"/>
                <w:sz w:val="20"/>
              </w:rPr>
              <w:t>FEATURE</w:t>
            </w:r>
          </w:p>
        </w:tc>
        <w:tc>
          <w:tcPr>
            <w:tcW w:type="dxa" w:w="2304"/>
            <w:tcBorders>
              <w:top w:val="single" w:sz="12" w:color="000000"/>
              <w:bottom w:val="single" w:sz="8" w:color="000000"/>
            </w:tcBorders>
          </w:tcPr>
          <w:p>
            <w:pPr>
              <w:spacing w:line="240" w:lineRule="auto" w:before="40" w:after="40"/>
              <w:jc w:val="center"/>
            </w:pPr>
            <w:r/>
            <w:r>
              <w:rPr>
                <w:b/>
                <w:i w:val="0"/>
                <w:sz w:val="20"/>
              </w:rPr>
              <w:t>VIF</w:t>
            </w:r>
          </w:p>
        </w:tc>
      </w:tr>
      <w:tr>
        <w:tc>
          <w:tcPr>
            <w:tcW w:type="dxa" w:w="4320"/>
            <w:shd w:val="clear" w:color="auto" w:fill="EFEFEF"/>
          </w:tcPr>
          <w:p>
            <w:pPr>
              <w:spacing w:line="240" w:lineRule="auto" w:before="40" w:after="40"/>
              <w:jc w:val="left"/>
            </w:pPr>
            <w:r/>
            <w:r>
              <w:rPr>
                <w:b w:val="0"/>
                <w:i/>
                <w:sz w:val="20"/>
              </w:rPr>
              <w:t>Gross Floor Area</w:t>
            </w:r>
          </w:p>
        </w:tc>
        <w:tc>
          <w:tcPr>
            <w:tcW w:type="dxa" w:w="2304"/>
            <w:shd w:val="clear" w:color="auto" w:fill="EFEFEF"/>
          </w:tcPr>
          <w:p>
            <w:pPr>
              <w:spacing w:line="240" w:lineRule="auto" w:before="40" w:after="40"/>
              <w:jc w:val="center"/>
            </w:pPr>
            <w:r/>
            <w:r>
              <w:rPr>
                <w:b w:val="0"/>
                <w:i w:val="0"/>
                <w:sz w:val="20"/>
              </w:rPr>
              <w:t>7.4348</w:t>
            </w:r>
          </w:p>
        </w:tc>
      </w:tr>
      <w:tr>
        <w:tc>
          <w:tcPr>
            <w:tcW w:type="dxa" w:w="4320"/>
          </w:tcPr>
          <w:p>
            <w:pPr>
              <w:spacing w:line="240" w:lineRule="auto" w:before="40" w:after="40"/>
              <w:jc w:val="left"/>
            </w:pPr>
            <w:r/>
            <w:r>
              <w:rPr>
                <w:b w:val="0"/>
                <w:i/>
                <w:sz w:val="20"/>
              </w:rPr>
              <w:t>Footprint Area</w:t>
            </w:r>
          </w:p>
        </w:tc>
        <w:tc>
          <w:tcPr>
            <w:tcW w:type="dxa" w:w="2304"/>
          </w:tcPr>
          <w:p>
            <w:pPr>
              <w:spacing w:line="240" w:lineRule="auto" w:before="40" w:after="40"/>
              <w:jc w:val="center"/>
            </w:pPr>
            <w:r/>
            <w:r>
              <w:rPr>
                <w:b w:val="0"/>
                <w:i w:val="0"/>
                <w:sz w:val="20"/>
              </w:rPr>
              <w:t>5.7900</w:t>
            </w:r>
          </w:p>
        </w:tc>
      </w:tr>
      <w:tr>
        <w:tc>
          <w:tcPr>
            <w:tcW w:type="dxa" w:w="4320"/>
            <w:shd w:val="clear" w:color="auto" w:fill="EFEFEF"/>
          </w:tcPr>
          <w:p>
            <w:pPr>
              <w:spacing w:line="240" w:lineRule="auto" w:before="40" w:after="40"/>
              <w:jc w:val="left"/>
            </w:pPr>
            <w:r/>
            <w:r>
              <w:rPr>
                <w:b w:val="0"/>
                <w:i/>
                <w:sz w:val="20"/>
              </w:rPr>
              <w:t>Number of Storeys</w:t>
            </w:r>
          </w:p>
        </w:tc>
        <w:tc>
          <w:tcPr>
            <w:tcW w:type="dxa" w:w="2304"/>
            <w:shd w:val="clear" w:color="auto" w:fill="EFEFEF"/>
          </w:tcPr>
          <w:p>
            <w:pPr>
              <w:spacing w:line="240" w:lineRule="auto" w:before="40" w:after="40"/>
              <w:jc w:val="center"/>
            </w:pPr>
            <w:r/>
            <w:r>
              <w:rPr>
                <w:b w:val="0"/>
                <w:i w:val="0"/>
                <w:sz w:val="20"/>
              </w:rPr>
              <w:t>5.8024</w:t>
            </w:r>
          </w:p>
        </w:tc>
      </w:tr>
      <w:tr>
        <w:tc>
          <w:tcPr>
            <w:tcW w:type="dxa" w:w="4320"/>
          </w:tcPr>
          <w:p>
            <w:pPr>
              <w:spacing w:line="240" w:lineRule="auto" w:before="40" w:after="40"/>
              <w:jc w:val="left"/>
            </w:pPr>
            <w:r/>
            <w:r>
              <w:rPr>
                <w:b w:val="0"/>
                <w:i/>
                <w:sz w:val="20"/>
              </w:rPr>
              <w:t>Structural Span</w:t>
            </w:r>
          </w:p>
        </w:tc>
        <w:tc>
          <w:tcPr>
            <w:tcW w:type="dxa" w:w="2304"/>
          </w:tcPr>
          <w:p>
            <w:pPr>
              <w:spacing w:line="240" w:lineRule="auto" w:before="40" w:after="40"/>
              <w:jc w:val="center"/>
            </w:pPr>
            <w:r/>
            <w:r>
              <w:rPr>
                <w:b w:val="0"/>
                <w:i w:val="0"/>
                <w:sz w:val="20"/>
              </w:rPr>
              <w:t>1.0707</w:t>
            </w:r>
          </w:p>
        </w:tc>
      </w:tr>
      <w:tr>
        <w:tc>
          <w:tcPr>
            <w:tcW w:type="dxa" w:w="4320"/>
            <w:shd w:val="clear" w:color="auto" w:fill="EFEFEF"/>
          </w:tcPr>
          <w:p>
            <w:pPr>
              <w:spacing w:line="240" w:lineRule="auto" w:before="40" w:after="40"/>
              <w:jc w:val="left"/>
            </w:pPr>
            <w:r/>
            <w:r>
              <w:rPr>
                <w:b w:val="0"/>
                <w:i/>
                <w:sz w:val="20"/>
              </w:rPr>
              <w:t>Floor Height</w:t>
            </w:r>
          </w:p>
        </w:tc>
        <w:tc>
          <w:tcPr>
            <w:tcW w:type="dxa" w:w="2304"/>
            <w:shd w:val="clear" w:color="auto" w:fill="EFEFEF"/>
          </w:tcPr>
          <w:p>
            <w:pPr>
              <w:spacing w:line="240" w:lineRule="auto" w:before="40" w:after="40"/>
              <w:jc w:val="center"/>
            </w:pPr>
            <w:r/>
            <w:r>
              <w:rPr>
                <w:b w:val="0"/>
                <w:i w:val="0"/>
                <w:sz w:val="20"/>
              </w:rPr>
              <w:t>1.9786</w:t>
            </w:r>
          </w:p>
        </w:tc>
      </w:tr>
      <w:tr>
        <w:tc>
          <w:tcPr>
            <w:tcW w:type="dxa" w:w="4320"/>
          </w:tcPr>
          <w:p>
            <w:pPr>
              <w:spacing w:line="240" w:lineRule="auto" w:before="40" w:after="40"/>
              <w:jc w:val="left"/>
            </w:pPr>
            <w:r/>
            <w:r>
              <w:rPr>
                <w:b w:val="0"/>
                <w:i/>
                <w:sz w:val="20"/>
              </w:rPr>
              <w:t>Facility Type Index</w:t>
            </w:r>
          </w:p>
        </w:tc>
        <w:tc>
          <w:tcPr>
            <w:tcW w:type="dxa" w:w="2304"/>
          </w:tcPr>
          <w:p>
            <w:pPr>
              <w:spacing w:line="240" w:lineRule="auto" w:before="40" w:after="40"/>
              <w:jc w:val="center"/>
            </w:pPr>
            <w:r/>
            <w:r>
              <w:rPr>
                <w:b w:val="0"/>
                <w:i w:val="0"/>
                <w:sz w:val="20"/>
              </w:rPr>
              <w:t>1.3686</w:t>
            </w:r>
          </w:p>
        </w:tc>
      </w:tr>
      <w:tr>
        <w:tc>
          <w:tcPr>
            <w:tcW w:type="dxa" w:w="4320"/>
            <w:shd w:val="clear" w:color="auto" w:fill="EFEFEF"/>
          </w:tcPr>
          <w:p>
            <w:pPr>
              <w:spacing w:line="240" w:lineRule="auto" w:before="40" w:after="40"/>
              <w:jc w:val="left"/>
            </w:pPr>
            <w:r/>
            <w:r>
              <w:rPr>
                <w:b w:val="0"/>
                <w:i/>
                <w:sz w:val="20"/>
              </w:rPr>
              <w:t>RC Roof Deck</w:t>
            </w:r>
          </w:p>
        </w:tc>
        <w:tc>
          <w:tcPr>
            <w:tcW w:type="dxa" w:w="2304"/>
            <w:shd w:val="clear" w:color="auto" w:fill="EFEFEF"/>
          </w:tcPr>
          <w:p>
            <w:pPr>
              <w:spacing w:line="240" w:lineRule="auto" w:before="40" w:after="40"/>
              <w:jc w:val="center"/>
            </w:pPr>
            <w:r/>
            <w:r>
              <w:rPr>
                <w:b w:val="0"/>
                <w:i w:val="0"/>
                <w:sz w:val="20"/>
              </w:rPr>
              <w:t>1.1039</w:t>
            </w:r>
          </w:p>
        </w:tc>
      </w:tr>
      <w:tr>
        <w:tc>
          <w:tcPr>
            <w:tcW w:type="dxa" w:w="4320"/>
          </w:tcPr>
          <w:p>
            <w:pPr>
              <w:spacing w:line="240" w:lineRule="auto" w:before="40" w:after="40"/>
              <w:jc w:val="left"/>
            </w:pPr>
            <w:r/>
            <w:r>
              <w:rPr>
                <w:b w:val="0"/>
                <w:i/>
                <w:sz w:val="20"/>
              </w:rPr>
              <w:t>Location Factor</w:t>
            </w:r>
          </w:p>
        </w:tc>
        <w:tc>
          <w:tcPr>
            <w:tcW w:type="dxa" w:w="2304"/>
          </w:tcPr>
          <w:p>
            <w:pPr>
              <w:spacing w:line="240" w:lineRule="auto" w:before="40" w:after="40"/>
              <w:jc w:val="center"/>
            </w:pPr>
            <w:r/>
            <w:r>
              <w:rPr>
                <w:b w:val="0"/>
                <w:i w:val="0"/>
                <w:sz w:val="20"/>
              </w:rPr>
              <w:t>1.0522</w:t>
            </w:r>
          </w:p>
        </w:tc>
      </w:tr>
      <w:tr>
        <w:tc>
          <w:tcPr>
            <w:tcW w:type="dxa" w:w="4320"/>
            <w:shd w:val="clear" w:color="auto" w:fill="EFEFEF"/>
            <w:tcBorders>
              <w:bottom w:val="single" w:sz="12" w:color="000000"/>
            </w:tcBorders>
          </w:tcPr>
          <w:p>
            <w:pPr>
              <w:spacing w:line="240" w:lineRule="auto" w:before="40" w:after="40"/>
              <w:jc w:val="left"/>
            </w:pPr>
            <w:r/>
            <w:r>
              <w:rPr>
                <w:b w:val="0"/>
                <w:i/>
                <w:sz w:val="20"/>
              </w:rPr>
              <w:t>Cost Index (Year)</w:t>
            </w:r>
          </w:p>
        </w:tc>
        <w:tc>
          <w:tcPr>
            <w:tcW w:type="dxa" w:w="2304"/>
            <w:shd w:val="clear" w:color="auto" w:fill="EFEFEF"/>
            <w:tcBorders>
              <w:bottom w:val="single" w:sz="12" w:color="000000"/>
            </w:tcBorders>
          </w:tcPr>
          <w:p>
            <w:pPr>
              <w:spacing w:line="240" w:lineRule="auto" w:before="40" w:after="40"/>
              <w:jc w:val="center"/>
            </w:pPr>
            <w:r/>
            <w:r>
              <w:rPr>
                <w:b w:val="0"/>
                <w:i w:val="0"/>
                <w:sz w:val="20"/>
              </w:rPr>
              <w:t>1.0741</w:t>
            </w:r>
          </w:p>
        </w:tc>
      </w:tr>
    </w:tbl>
    <w:p>
      <w:pPr>
        <w:spacing w:line="240" w:lineRule="auto" w:after="80"/>
      </w:pPr>
    </w:p>
    <w:p>
      <w:pPr>
        <w:spacing w:line="480" w:lineRule="auto" w:after="0"/>
        <w:ind w:firstLine="720"/>
        <w:jc w:val="both"/>
      </w:pPr>
      <w:r>
        <w:rPr>
          <w:b w:val="0"/>
          <w:i w:val="0"/>
        </w:rPr>
        <w:t>Table 18 shows that all building predictors stayed below the threshold of 10. Gross floor area (7.43), number of storeys (5.80) and footprint area (5.79) were the most correlated, as expected since gross floor area is footprint times storeys, but their overlap was moderate because footprints vary widely at every storey count. No predictor was removed.</w:t>
      </w:r>
    </w:p>
    <w:p>
      <w:pPr>
        <w:keepNext/>
        <w:spacing w:line="240" w:lineRule="auto" w:after="0" w:before="120"/>
        <w:jc w:val="left"/>
      </w:pPr>
      <w:r>
        <w:rPr>
          <w:b/>
          <w:i w:val="0"/>
        </w:rPr>
        <w:t>Table 19.</w:t>
      </w:r>
    </w:p>
    <w:p>
      <w:pPr>
        <w:keepNext/>
        <w:spacing w:line="240" w:lineRule="auto" w:after="0"/>
        <w:jc w:val="left"/>
      </w:pPr>
      <w:r>
        <w:rPr>
          <w:b w:val="0"/>
          <w:i/>
        </w:rPr>
        <w:t>Variance Inflation Factor of the Bridge Predictors, Full and Reduced Models</w:t>
      </w:r>
    </w:p>
    <w:tbl>
      <w:tblPr>
        <w:tblW w:type="auto" w:w="0"/>
        <w:jc w:val="center"/>
        <w:tblLayout w:type="fixed"/>
        <w:tblLook w:firstColumn="1" w:firstRow="1" w:lastColumn="0" w:lastRow="0" w:noHBand="0" w:noVBand="1" w:val="04A0"/>
        <w:tblLayout w:type="fixed"/>
      </w:tblPr>
      <w:tblGrid>
        <w:gridCol w:w="3744"/>
        <w:gridCol w:w="2304"/>
        <w:gridCol w:w="2592"/>
      </w:tblGrid>
      <w:tr>
        <w:tc>
          <w:tcPr>
            <w:tcW w:type="dxa" w:w="3744"/>
            <w:tcBorders>
              <w:top w:val="single" w:sz="12" w:color="000000"/>
              <w:bottom w:val="single" w:sz="8" w:color="000000"/>
            </w:tcBorders>
          </w:tcPr>
          <w:p>
            <w:pPr>
              <w:spacing w:line="240" w:lineRule="auto" w:before="40" w:after="40"/>
              <w:jc w:val="center"/>
            </w:pPr>
            <w:r/>
            <w:r>
              <w:rPr>
                <w:b/>
                <w:i w:val="0"/>
                <w:sz w:val="20"/>
              </w:rPr>
              <w:t>FEATURE</w:t>
            </w:r>
          </w:p>
        </w:tc>
        <w:tc>
          <w:tcPr>
            <w:tcW w:type="dxa" w:w="2304"/>
            <w:tcBorders>
              <w:top w:val="single" w:sz="12" w:color="000000"/>
              <w:bottom w:val="single" w:sz="8" w:color="000000"/>
            </w:tcBorders>
          </w:tcPr>
          <w:p>
            <w:pPr>
              <w:spacing w:line="240" w:lineRule="auto" w:before="40" w:after="40"/>
              <w:jc w:val="center"/>
            </w:pPr>
            <w:r/>
            <w:r>
              <w:rPr>
                <w:b/>
                <w:i w:val="0"/>
                <w:sz w:val="20"/>
              </w:rPr>
              <w:t>VIF (FULL MODEL)</w:t>
            </w:r>
          </w:p>
        </w:tc>
        <w:tc>
          <w:tcPr>
            <w:tcW w:type="dxa" w:w="2592"/>
            <w:tcBorders>
              <w:top w:val="single" w:sz="12" w:color="000000"/>
              <w:bottom w:val="single" w:sz="8" w:color="000000"/>
            </w:tcBorders>
          </w:tcPr>
          <w:p>
            <w:pPr>
              <w:spacing w:line="240" w:lineRule="auto" w:before="40" w:after="40"/>
              <w:jc w:val="center"/>
            </w:pPr>
            <w:r/>
            <w:r>
              <w:rPr>
                <w:b/>
                <w:i w:val="0"/>
                <w:sz w:val="20"/>
              </w:rPr>
              <w:t>VIF (REDUCED MODEL)</w:t>
            </w:r>
          </w:p>
        </w:tc>
      </w:tr>
      <w:tr>
        <w:tc>
          <w:tcPr>
            <w:tcW w:type="dxa" w:w="3744"/>
            <w:shd w:val="clear" w:color="auto" w:fill="EFEFEF"/>
          </w:tcPr>
          <w:p>
            <w:pPr>
              <w:spacing w:line="240" w:lineRule="auto" w:before="40" w:after="40"/>
              <w:jc w:val="left"/>
            </w:pPr>
            <w:r/>
            <w:r>
              <w:rPr>
                <w:b w:val="0"/>
                <w:i/>
                <w:sz w:val="20"/>
              </w:rPr>
              <w:t>Total Length</w:t>
            </w:r>
          </w:p>
        </w:tc>
        <w:tc>
          <w:tcPr>
            <w:tcW w:type="dxa" w:w="2304"/>
            <w:shd w:val="clear" w:color="auto" w:fill="EFEFEF"/>
          </w:tcPr>
          <w:p>
            <w:pPr>
              <w:spacing w:line="240" w:lineRule="auto" w:before="40" w:after="40"/>
              <w:jc w:val="center"/>
            </w:pPr>
            <w:r/>
            <w:r>
              <w:rPr>
                <w:b w:val="0"/>
                <w:i w:val="0"/>
                <w:sz w:val="20"/>
              </w:rPr>
              <w:t>44.4445</w:t>
            </w:r>
          </w:p>
        </w:tc>
        <w:tc>
          <w:tcPr>
            <w:tcW w:type="dxa" w:w="2592"/>
            <w:shd w:val="clear" w:color="auto" w:fill="EFEFEF"/>
          </w:tcPr>
          <w:p>
            <w:pPr>
              <w:spacing w:line="240" w:lineRule="auto" w:before="40" w:after="40"/>
              <w:jc w:val="center"/>
            </w:pPr>
            <w:r/>
            <w:r>
              <w:rPr>
                <w:b w:val="0"/>
                <w:i w:val="0"/>
                <w:sz w:val="20"/>
              </w:rPr>
              <w:t>3.4172</w:t>
            </w:r>
          </w:p>
        </w:tc>
      </w:tr>
      <w:tr>
        <w:tc>
          <w:tcPr>
            <w:tcW w:type="dxa" w:w="3744"/>
          </w:tcPr>
          <w:p>
            <w:pPr>
              <w:spacing w:line="240" w:lineRule="auto" w:before="40" w:after="40"/>
              <w:jc w:val="left"/>
            </w:pPr>
            <w:r/>
            <w:r>
              <w:rPr>
                <w:b w:val="0"/>
                <w:i/>
                <w:sz w:val="20"/>
              </w:rPr>
              <w:t>Deck Width</w:t>
            </w:r>
          </w:p>
        </w:tc>
        <w:tc>
          <w:tcPr>
            <w:tcW w:type="dxa" w:w="2304"/>
          </w:tcPr>
          <w:p>
            <w:pPr>
              <w:spacing w:line="240" w:lineRule="auto" w:before="40" w:after="40"/>
              <w:jc w:val="center"/>
            </w:pPr>
            <w:r/>
            <w:r>
              <w:rPr>
                <w:b w:val="0"/>
                <w:i w:val="0"/>
                <w:sz w:val="20"/>
              </w:rPr>
              <w:t>2.3229</w:t>
            </w:r>
          </w:p>
        </w:tc>
        <w:tc>
          <w:tcPr>
            <w:tcW w:type="dxa" w:w="2592"/>
          </w:tcPr>
          <w:p>
            <w:pPr>
              <w:spacing w:line="240" w:lineRule="auto" w:before="40" w:after="40"/>
              <w:jc w:val="center"/>
            </w:pPr>
            <w:r/>
            <w:r>
              <w:rPr>
                <w:b w:val="0"/>
                <w:i w:val="0"/>
                <w:sz w:val="20"/>
              </w:rPr>
              <w:t>1.0743</w:t>
            </w:r>
          </w:p>
        </w:tc>
      </w:tr>
      <w:tr>
        <w:tc>
          <w:tcPr>
            <w:tcW w:type="dxa" w:w="3744"/>
            <w:shd w:val="clear" w:color="auto" w:fill="EFEFEF"/>
          </w:tcPr>
          <w:p>
            <w:pPr>
              <w:spacing w:line="240" w:lineRule="auto" w:before="40" w:after="40"/>
              <w:jc w:val="left"/>
            </w:pPr>
            <w:r/>
            <w:r>
              <w:rPr>
                <w:b w:val="0"/>
                <w:i/>
                <w:sz w:val="20"/>
              </w:rPr>
              <w:t>Deck Area</w:t>
            </w:r>
          </w:p>
        </w:tc>
        <w:tc>
          <w:tcPr>
            <w:tcW w:type="dxa" w:w="2304"/>
            <w:shd w:val="clear" w:color="auto" w:fill="EFEFEF"/>
          </w:tcPr>
          <w:p>
            <w:pPr>
              <w:spacing w:line="240" w:lineRule="auto" w:before="40" w:after="40"/>
              <w:jc w:val="center"/>
            </w:pPr>
            <w:r/>
            <w:r>
              <w:rPr>
                <w:b w:val="0"/>
                <w:i w:val="0"/>
                <w:sz w:val="20"/>
              </w:rPr>
              <w:t>44.3983</w:t>
            </w:r>
          </w:p>
        </w:tc>
        <w:tc>
          <w:tcPr>
            <w:tcW w:type="dxa" w:w="2592"/>
            <w:shd w:val="clear" w:color="auto" w:fill="EFEFEF"/>
          </w:tcPr>
          <w:p>
            <w:pPr>
              <w:spacing w:line="240" w:lineRule="auto" w:before="40" w:after="40"/>
              <w:jc w:val="center"/>
            </w:pPr>
            <w:r/>
            <w:r>
              <w:rPr>
                <w:b w:val="0"/>
                <w:i w:val="0"/>
                <w:sz w:val="20"/>
              </w:rPr>
              <w:t>removed</w:t>
            </w:r>
          </w:p>
        </w:tc>
      </w:tr>
      <w:tr>
        <w:tc>
          <w:tcPr>
            <w:tcW w:type="dxa" w:w="3744"/>
          </w:tcPr>
          <w:p>
            <w:pPr>
              <w:spacing w:line="240" w:lineRule="auto" w:before="40" w:after="40"/>
              <w:jc w:val="left"/>
            </w:pPr>
            <w:r/>
            <w:r>
              <w:rPr>
                <w:b w:val="0"/>
                <w:i/>
                <w:sz w:val="20"/>
              </w:rPr>
              <w:t>Span Length</w:t>
            </w:r>
          </w:p>
        </w:tc>
        <w:tc>
          <w:tcPr>
            <w:tcW w:type="dxa" w:w="2304"/>
          </w:tcPr>
          <w:p>
            <w:pPr>
              <w:spacing w:line="240" w:lineRule="auto" w:before="40" w:after="40"/>
              <w:jc w:val="center"/>
            </w:pPr>
            <w:r/>
            <w:r>
              <w:rPr>
                <w:b w:val="0"/>
                <w:i w:val="0"/>
                <w:sz w:val="20"/>
              </w:rPr>
              <w:t>10.4170</w:t>
            </w:r>
          </w:p>
        </w:tc>
        <w:tc>
          <w:tcPr>
            <w:tcW w:type="dxa" w:w="2592"/>
          </w:tcPr>
          <w:p>
            <w:pPr>
              <w:spacing w:line="240" w:lineRule="auto" w:before="40" w:after="40"/>
              <w:jc w:val="center"/>
            </w:pPr>
            <w:r/>
            <w:r>
              <w:rPr>
                <w:b w:val="0"/>
                <w:i w:val="0"/>
                <w:sz w:val="20"/>
              </w:rPr>
              <w:t>2.9914</w:t>
            </w:r>
          </w:p>
        </w:tc>
      </w:tr>
      <w:tr>
        <w:tc>
          <w:tcPr>
            <w:tcW w:type="dxa" w:w="3744"/>
            <w:shd w:val="clear" w:color="auto" w:fill="EFEFEF"/>
          </w:tcPr>
          <w:p>
            <w:pPr>
              <w:spacing w:line="240" w:lineRule="auto" w:before="40" w:after="40"/>
              <w:jc w:val="left"/>
            </w:pPr>
            <w:r/>
            <w:r>
              <w:rPr>
                <w:b w:val="0"/>
                <w:i/>
                <w:sz w:val="20"/>
              </w:rPr>
              <w:t>Pier Height</w:t>
            </w:r>
          </w:p>
        </w:tc>
        <w:tc>
          <w:tcPr>
            <w:tcW w:type="dxa" w:w="2304"/>
            <w:shd w:val="clear" w:color="auto" w:fill="EFEFEF"/>
          </w:tcPr>
          <w:p>
            <w:pPr>
              <w:spacing w:line="240" w:lineRule="auto" w:before="40" w:after="40"/>
              <w:jc w:val="center"/>
            </w:pPr>
            <w:r/>
            <w:r>
              <w:rPr>
                <w:b w:val="0"/>
                <w:i w:val="0"/>
                <w:sz w:val="20"/>
              </w:rPr>
              <w:t>1.8396</w:t>
            </w:r>
          </w:p>
        </w:tc>
        <w:tc>
          <w:tcPr>
            <w:tcW w:type="dxa" w:w="2592"/>
            <w:shd w:val="clear" w:color="auto" w:fill="EFEFEF"/>
          </w:tcPr>
          <w:p>
            <w:pPr>
              <w:spacing w:line="240" w:lineRule="auto" w:before="40" w:after="40"/>
              <w:jc w:val="center"/>
            </w:pPr>
            <w:r/>
            <w:r>
              <w:rPr>
                <w:b w:val="0"/>
                <w:i w:val="0"/>
                <w:sz w:val="20"/>
              </w:rPr>
              <w:t>1.8395</w:t>
            </w:r>
          </w:p>
        </w:tc>
      </w:tr>
      <w:tr>
        <w:tc>
          <w:tcPr>
            <w:tcW w:type="dxa" w:w="3744"/>
          </w:tcPr>
          <w:p>
            <w:pPr>
              <w:spacing w:line="240" w:lineRule="auto" w:before="40" w:after="40"/>
              <w:jc w:val="left"/>
            </w:pPr>
            <w:r/>
            <w:r>
              <w:rPr>
                <w:b w:val="0"/>
                <w:i/>
                <w:sz w:val="20"/>
              </w:rPr>
              <w:t>Abutment Height</w:t>
            </w:r>
          </w:p>
        </w:tc>
        <w:tc>
          <w:tcPr>
            <w:tcW w:type="dxa" w:w="2304"/>
          </w:tcPr>
          <w:p>
            <w:pPr>
              <w:spacing w:line="240" w:lineRule="auto" w:before="40" w:after="40"/>
              <w:jc w:val="center"/>
            </w:pPr>
            <w:r/>
            <w:r>
              <w:rPr>
                <w:b w:val="0"/>
                <w:i w:val="0"/>
                <w:sz w:val="20"/>
              </w:rPr>
              <w:t>1.4483</w:t>
            </w:r>
          </w:p>
        </w:tc>
        <w:tc>
          <w:tcPr>
            <w:tcW w:type="dxa" w:w="2592"/>
          </w:tcPr>
          <w:p>
            <w:pPr>
              <w:spacing w:line="240" w:lineRule="auto" w:before="40" w:after="40"/>
              <w:jc w:val="center"/>
            </w:pPr>
            <w:r/>
            <w:r>
              <w:rPr>
                <w:b w:val="0"/>
                <w:i w:val="0"/>
                <w:sz w:val="20"/>
              </w:rPr>
              <w:t>1.3780</w:t>
            </w:r>
          </w:p>
        </w:tc>
      </w:tr>
      <w:tr>
        <w:tc>
          <w:tcPr>
            <w:tcW w:type="dxa" w:w="3744"/>
            <w:shd w:val="clear" w:color="auto" w:fill="EFEFEF"/>
          </w:tcPr>
          <w:p>
            <w:pPr>
              <w:spacing w:line="240" w:lineRule="auto" w:before="40" w:after="40"/>
              <w:jc w:val="left"/>
            </w:pPr>
            <w:r/>
            <w:r>
              <w:rPr>
                <w:b w:val="0"/>
                <w:i/>
                <w:sz w:val="20"/>
              </w:rPr>
              <w:t>Superstructure Type Index</w:t>
            </w:r>
          </w:p>
        </w:tc>
        <w:tc>
          <w:tcPr>
            <w:tcW w:type="dxa" w:w="2304"/>
            <w:shd w:val="clear" w:color="auto" w:fill="EFEFEF"/>
          </w:tcPr>
          <w:p>
            <w:pPr>
              <w:spacing w:line="240" w:lineRule="auto" w:before="40" w:after="40"/>
              <w:jc w:val="center"/>
            </w:pPr>
            <w:r/>
            <w:r>
              <w:rPr>
                <w:b w:val="0"/>
                <w:i w:val="0"/>
                <w:sz w:val="20"/>
              </w:rPr>
              <w:t>12.1095</w:t>
            </w:r>
          </w:p>
        </w:tc>
        <w:tc>
          <w:tcPr>
            <w:tcW w:type="dxa" w:w="2592"/>
            <w:shd w:val="clear" w:color="auto" w:fill="EFEFEF"/>
          </w:tcPr>
          <w:p>
            <w:pPr>
              <w:spacing w:line="240" w:lineRule="auto" w:before="40" w:after="40"/>
              <w:jc w:val="center"/>
            </w:pPr>
            <w:r/>
            <w:r>
              <w:rPr>
                <w:b w:val="0"/>
                <w:i w:val="0"/>
                <w:sz w:val="20"/>
              </w:rPr>
              <w:t>removed</w:t>
            </w:r>
          </w:p>
        </w:tc>
      </w:tr>
      <w:tr>
        <w:tc>
          <w:tcPr>
            <w:tcW w:type="dxa" w:w="3744"/>
          </w:tcPr>
          <w:p>
            <w:pPr>
              <w:spacing w:line="240" w:lineRule="auto" w:before="40" w:after="40"/>
              <w:jc w:val="left"/>
            </w:pPr>
            <w:r/>
            <w:r>
              <w:rPr>
                <w:b w:val="0"/>
                <w:i/>
                <w:sz w:val="20"/>
              </w:rPr>
              <w:t>Foundation Type Index</w:t>
            </w:r>
          </w:p>
        </w:tc>
        <w:tc>
          <w:tcPr>
            <w:tcW w:type="dxa" w:w="2304"/>
          </w:tcPr>
          <w:p>
            <w:pPr>
              <w:spacing w:line="240" w:lineRule="auto" w:before="40" w:after="40"/>
              <w:jc w:val="center"/>
            </w:pPr>
            <w:r/>
            <w:r>
              <w:rPr>
                <w:b w:val="0"/>
                <w:i w:val="0"/>
                <w:sz w:val="20"/>
              </w:rPr>
              <w:t>3.5079</w:t>
            </w:r>
          </w:p>
        </w:tc>
        <w:tc>
          <w:tcPr>
            <w:tcW w:type="dxa" w:w="2592"/>
          </w:tcPr>
          <w:p>
            <w:pPr>
              <w:spacing w:line="240" w:lineRule="auto" w:before="40" w:after="40"/>
              <w:jc w:val="center"/>
            </w:pPr>
            <w:r/>
            <w:r>
              <w:rPr>
                <w:b w:val="0"/>
                <w:i w:val="0"/>
                <w:sz w:val="20"/>
              </w:rPr>
              <w:t>3.3669</w:t>
            </w:r>
          </w:p>
        </w:tc>
      </w:tr>
      <w:tr>
        <w:tc>
          <w:tcPr>
            <w:tcW w:type="dxa" w:w="3744"/>
            <w:shd w:val="clear" w:color="auto" w:fill="EFEFEF"/>
          </w:tcPr>
          <w:p>
            <w:pPr>
              <w:spacing w:line="240" w:lineRule="auto" w:before="40" w:after="40"/>
              <w:jc w:val="left"/>
            </w:pPr>
            <w:r/>
            <w:r>
              <w:rPr>
                <w:b w:val="0"/>
                <w:i/>
                <w:sz w:val="20"/>
              </w:rPr>
              <w:t>Pile Length</w:t>
            </w:r>
          </w:p>
        </w:tc>
        <w:tc>
          <w:tcPr>
            <w:tcW w:type="dxa" w:w="2304"/>
            <w:shd w:val="clear" w:color="auto" w:fill="EFEFEF"/>
          </w:tcPr>
          <w:p>
            <w:pPr>
              <w:spacing w:line="240" w:lineRule="auto" w:before="40" w:after="40"/>
              <w:jc w:val="center"/>
            </w:pPr>
            <w:r/>
            <w:r>
              <w:rPr>
                <w:b w:val="0"/>
                <w:i w:val="0"/>
                <w:sz w:val="20"/>
              </w:rPr>
              <w:t>2.5744</w:t>
            </w:r>
          </w:p>
        </w:tc>
        <w:tc>
          <w:tcPr>
            <w:tcW w:type="dxa" w:w="2592"/>
            <w:shd w:val="clear" w:color="auto" w:fill="EFEFEF"/>
          </w:tcPr>
          <w:p>
            <w:pPr>
              <w:spacing w:line="240" w:lineRule="auto" w:before="40" w:after="40"/>
              <w:jc w:val="center"/>
            </w:pPr>
            <w:r/>
            <w:r>
              <w:rPr>
                <w:b w:val="0"/>
                <w:i w:val="0"/>
                <w:sz w:val="20"/>
              </w:rPr>
              <w:t>2.5213</w:t>
            </w:r>
          </w:p>
        </w:tc>
      </w:tr>
      <w:tr>
        <w:tc>
          <w:tcPr>
            <w:tcW w:type="dxa" w:w="3744"/>
          </w:tcPr>
          <w:p>
            <w:pPr>
              <w:spacing w:line="240" w:lineRule="auto" w:before="40" w:after="40"/>
              <w:jc w:val="left"/>
            </w:pPr>
            <w:r/>
            <w:r>
              <w:rPr>
                <w:b w:val="0"/>
                <w:i/>
                <w:sz w:val="20"/>
              </w:rPr>
              <w:t>Location Factor</w:t>
            </w:r>
          </w:p>
        </w:tc>
        <w:tc>
          <w:tcPr>
            <w:tcW w:type="dxa" w:w="2304"/>
          </w:tcPr>
          <w:p>
            <w:pPr>
              <w:spacing w:line="240" w:lineRule="auto" w:before="40" w:after="40"/>
              <w:jc w:val="center"/>
            </w:pPr>
            <w:r/>
            <w:r>
              <w:rPr>
                <w:b w:val="0"/>
                <w:i w:val="0"/>
                <w:sz w:val="20"/>
              </w:rPr>
              <w:t>1.1048</w:t>
            </w:r>
          </w:p>
        </w:tc>
        <w:tc>
          <w:tcPr>
            <w:tcW w:type="dxa" w:w="2592"/>
          </w:tcPr>
          <w:p>
            <w:pPr>
              <w:spacing w:line="240" w:lineRule="auto" w:before="40" w:after="40"/>
              <w:jc w:val="center"/>
            </w:pPr>
            <w:r/>
            <w:r>
              <w:rPr>
                <w:b w:val="0"/>
                <w:i w:val="0"/>
                <w:sz w:val="20"/>
              </w:rPr>
              <w:t>1.0836</w:t>
            </w:r>
          </w:p>
        </w:tc>
      </w:tr>
      <w:tr>
        <w:tc>
          <w:tcPr>
            <w:tcW w:type="dxa" w:w="3744"/>
            <w:shd w:val="clear" w:color="auto" w:fill="EFEFEF"/>
            <w:tcBorders>
              <w:bottom w:val="single" w:sz="12" w:color="000000"/>
            </w:tcBorders>
          </w:tcPr>
          <w:p>
            <w:pPr>
              <w:spacing w:line="240" w:lineRule="auto" w:before="40" w:after="40"/>
              <w:jc w:val="left"/>
            </w:pPr>
            <w:r/>
            <w:r>
              <w:rPr>
                <w:b w:val="0"/>
                <w:i/>
                <w:sz w:val="20"/>
              </w:rPr>
              <w:t>Cost Index (Year)</w:t>
            </w:r>
          </w:p>
        </w:tc>
        <w:tc>
          <w:tcPr>
            <w:tcW w:type="dxa" w:w="2304"/>
            <w:shd w:val="clear" w:color="auto" w:fill="EFEFEF"/>
            <w:tcBorders>
              <w:bottom w:val="single" w:sz="12" w:color="000000"/>
            </w:tcBorders>
          </w:tcPr>
          <w:p>
            <w:pPr>
              <w:spacing w:line="240" w:lineRule="auto" w:before="40" w:after="40"/>
              <w:jc w:val="center"/>
            </w:pPr>
            <w:r/>
            <w:r>
              <w:rPr>
                <w:b w:val="0"/>
                <w:i w:val="0"/>
                <w:sz w:val="20"/>
              </w:rPr>
              <w:t>1.0237</w:t>
            </w:r>
          </w:p>
        </w:tc>
        <w:tc>
          <w:tcPr>
            <w:tcW w:type="dxa" w:w="2592"/>
            <w:shd w:val="clear" w:color="auto" w:fill="EFEFEF"/>
            <w:tcBorders>
              <w:bottom w:val="single" w:sz="12" w:color="000000"/>
            </w:tcBorders>
          </w:tcPr>
          <w:p>
            <w:pPr>
              <w:spacing w:line="240" w:lineRule="auto" w:before="40" w:after="40"/>
              <w:jc w:val="center"/>
            </w:pPr>
            <w:r/>
            <w:r>
              <w:rPr>
                <w:b w:val="0"/>
                <w:i w:val="0"/>
                <w:sz w:val="20"/>
              </w:rPr>
              <w:t>1.0115</w:t>
            </w:r>
          </w:p>
        </w:tc>
      </w:tr>
    </w:tbl>
    <w:p>
      <w:pPr>
        <w:spacing w:line="240" w:lineRule="auto" w:after="80"/>
      </w:pPr>
    </w:p>
    <w:p>
      <w:pPr>
        <w:spacing w:line="480" w:lineRule="auto" w:after="0"/>
        <w:ind w:firstLine="720"/>
        <w:jc w:val="both"/>
      </w:pPr>
      <w:r>
        <w:rPr>
          <w:b w:val="0"/>
          <w:i w:val="0"/>
        </w:rPr>
        <w:t>For bridges (Table 19), total length (44.44) and deck area (44.40) showed severe multicollinearity, structurally expected because deck area is total length times deck width, the same pattern CORA found between road length and pavement area (Buban, 2026). Superstructure type (12.11) was also collinear with span length because span determines the girder system. Removing Deck Area and Superstructure Type Index brought every VIF to 3.42 or below.</w:t>
      </w:r>
    </w:p>
    <w:p>
      <w:pPr>
        <w:keepNext/>
        <w:spacing w:line="240" w:lineRule="auto" w:after="0" w:before="120"/>
        <w:jc w:val="left"/>
      </w:pPr>
      <w:r>
        <w:rPr>
          <w:b/>
          <w:i w:val="0"/>
        </w:rPr>
        <w:t>Table 20.</w:t>
      </w:r>
    </w:p>
    <w:p>
      <w:pPr>
        <w:keepNext/>
        <w:spacing w:line="240" w:lineRule="auto" w:after="0"/>
        <w:jc w:val="left"/>
      </w:pPr>
      <w:r>
        <w:rPr>
          <w:b w:val="0"/>
          <w:i/>
        </w:rPr>
        <w:t>Ordinary Least Squares Results for Buildings</w:t>
      </w:r>
    </w:p>
    <w:tbl>
      <w:tblPr>
        <w:tblW w:type="auto" w:w="0"/>
        <w:jc w:val="center"/>
        <w:tblLayout w:type="fixed"/>
        <w:tblLook w:firstColumn="1" w:firstRow="1" w:lastColumn="0" w:lastRow="0" w:noHBand="0" w:noVBand="1" w:val="04A0"/>
        <w:tblLayout w:type="fixed"/>
      </w:tblPr>
      <w:tblGrid>
        <w:gridCol w:w="2304"/>
        <w:gridCol w:w="1440"/>
        <w:gridCol w:w="1296"/>
        <w:gridCol w:w="864"/>
        <w:gridCol w:w="1007"/>
        <w:gridCol w:w="1296"/>
        <w:gridCol w:w="1296"/>
      </w:tblGrid>
      <w:tr>
        <w:tc>
          <w:tcPr>
            <w:tcW w:type="dxa" w:w="2304"/>
            <w:tcBorders>
              <w:top w:val="single" w:sz="12" w:color="000000"/>
              <w:bottom w:val="single" w:sz="8" w:color="000000"/>
            </w:tcBorders>
          </w:tcPr>
          <w:p>
            <w:pPr>
              <w:spacing w:line="240" w:lineRule="auto" w:before="40" w:after="40"/>
              <w:jc w:val="center"/>
            </w:pPr>
            <w:r/>
            <w:r>
              <w:rPr>
                <w:b/>
                <w:i w:val="0"/>
                <w:sz w:val="17"/>
              </w:rPr>
              <w:t>VARIABLE</w:t>
            </w:r>
          </w:p>
        </w:tc>
        <w:tc>
          <w:tcPr>
            <w:tcW w:type="dxa" w:w="1440"/>
            <w:tcBorders>
              <w:top w:val="single" w:sz="12" w:color="000000"/>
              <w:bottom w:val="single" w:sz="8" w:color="000000"/>
            </w:tcBorders>
          </w:tcPr>
          <w:p>
            <w:pPr>
              <w:spacing w:line="240" w:lineRule="auto" w:before="40" w:after="40"/>
              <w:jc w:val="center"/>
            </w:pPr>
            <w:r/>
            <w:r>
              <w:rPr>
                <w:b/>
                <w:i w:val="0"/>
                <w:sz w:val="17"/>
              </w:rPr>
              <w:t>COEFFICIENT</w:t>
            </w:r>
          </w:p>
        </w:tc>
        <w:tc>
          <w:tcPr>
            <w:tcW w:type="dxa" w:w="1296"/>
            <w:tcBorders>
              <w:top w:val="single" w:sz="12" w:color="000000"/>
              <w:bottom w:val="single" w:sz="8" w:color="000000"/>
            </w:tcBorders>
          </w:tcPr>
          <w:p>
            <w:pPr>
              <w:spacing w:line="240" w:lineRule="auto" w:before="40" w:after="40"/>
              <w:jc w:val="center"/>
            </w:pPr>
            <w:r/>
            <w:r>
              <w:rPr>
                <w:b/>
                <w:i w:val="0"/>
                <w:sz w:val="17"/>
              </w:rPr>
              <w:t>STD. ERROR</w:t>
            </w:r>
          </w:p>
        </w:tc>
        <w:tc>
          <w:tcPr>
            <w:tcW w:type="dxa" w:w="864"/>
            <w:tcBorders>
              <w:top w:val="single" w:sz="12" w:color="000000"/>
              <w:bottom w:val="single" w:sz="8" w:color="000000"/>
            </w:tcBorders>
          </w:tcPr>
          <w:p>
            <w:pPr>
              <w:spacing w:line="240" w:lineRule="auto" w:before="40" w:after="40"/>
              <w:jc w:val="center"/>
            </w:pPr>
            <w:r/>
            <w:r>
              <w:rPr>
                <w:b/>
                <w:i w:val="0"/>
                <w:sz w:val="17"/>
              </w:rPr>
              <w:t>t</w:t>
            </w:r>
          </w:p>
        </w:tc>
        <w:tc>
          <w:tcPr>
            <w:tcW w:type="dxa" w:w="1008"/>
            <w:tcBorders>
              <w:top w:val="single" w:sz="12" w:color="000000"/>
              <w:bottom w:val="single" w:sz="8" w:color="000000"/>
            </w:tcBorders>
          </w:tcPr>
          <w:p>
            <w:pPr>
              <w:spacing w:line="240" w:lineRule="auto" w:before="40" w:after="40"/>
              <w:jc w:val="center"/>
            </w:pPr>
            <w:r/>
            <w:r>
              <w:rPr>
                <w:b/>
                <w:i w:val="0"/>
                <w:sz w:val="17"/>
              </w:rPr>
              <w:t>P &gt; |t|</w:t>
            </w:r>
          </w:p>
        </w:tc>
        <w:tc>
          <w:tcPr>
            <w:tcW w:type="dxa" w:w="1296"/>
            <w:tcBorders>
              <w:top w:val="single" w:sz="12" w:color="000000"/>
              <w:bottom w:val="single" w:sz="8" w:color="000000"/>
            </w:tcBorders>
          </w:tcPr>
          <w:p>
            <w:pPr>
              <w:spacing w:line="240" w:lineRule="auto" w:before="40" w:after="40"/>
              <w:jc w:val="center"/>
            </w:pPr>
            <w:r/>
            <w:r>
              <w:rPr>
                <w:b/>
                <w:i w:val="0"/>
                <w:sz w:val="17"/>
              </w:rPr>
              <w:t>[0.025</w:t>
            </w:r>
          </w:p>
        </w:tc>
        <w:tc>
          <w:tcPr>
            <w:tcW w:type="dxa" w:w="1296"/>
            <w:tcBorders>
              <w:top w:val="single" w:sz="12" w:color="000000"/>
              <w:bottom w:val="single" w:sz="8" w:color="000000"/>
            </w:tcBorders>
          </w:tcPr>
          <w:p>
            <w:pPr>
              <w:spacing w:line="240" w:lineRule="auto" w:before="40" w:after="40"/>
              <w:jc w:val="center"/>
            </w:pPr>
            <w:r/>
            <w:r>
              <w:rPr>
                <w:b/>
                <w:i w:val="0"/>
                <w:sz w:val="17"/>
              </w:rPr>
              <w:t>0.975]</w:t>
            </w:r>
          </w:p>
        </w:tc>
      </w:tr>
      <w:tr>
        <w:tc>
          <w:tcPr>
            <w:tcW w:type="dxa" w:w="2304"/>
            <w:shd w:val="clear" w:color="auto" w:fill="EFEFEF"/>
          </w:tcPr>
          <w:p>
            <w:pPr>
              <w:spacing w:line="240" w:lineRule="auto" w:before="40" w:after="40"/>
              <w:jc w:val="left"/>
            </w:pPr>
            <w:r/>
            <w:r>
              <w:rPr>
                <w:b w:val="0"/>
                <w:i/>
                <w:sz w:val="17"/>
              </w:rPr>
              <w:t>Constant</w:t>
            </w:r>
          </w:p>
        </w:tc>
        <w:tc>
          <w:tcPr>
            <w:tcW w:type="dxa" w:w="1440"/>
            <w:shd w:val="clear" w:color="auto" w:fill="EFEFEF"/>
          </w:tcPr>
          <w:p>
            <w:pPr>
              <w:spacing w:line="240" w:lineRule="auto" w:before="40" w:after="40"/>
              <w:jc w:val="center"/>
            </w:pPr>
            <w:r/>
            <w:r>
              <w:rPr>
                <w:b w:val="0"/>
                <w:i w:val="0"/>
                <w:sz w:val="17"/>
              </w:rPr>
              <w:t>-46,114,581</w:t>
            </w:r>
          </w:p>
        </w:tc>
        <w:tc>
          <w:tcPr>
            <w:tcW w:type="dxa" w:w="1296"/>
            <w:shd w:val="clear" w:color="auto" w:fill="EFEFEF"/>
          </w:tcPr>
          <w:p>
            <w:pPr>
              <w:spacing w:line="240" w:lineRule="auto" w:before="40" w:after="40"/>
              <w:jc w:val="center"/>
            </w:pPr>
            <w:r/>
            <w:r>
              <w:rPr>
                <w:b w:val="0"/>
                <w:i w:val="0"/>
                <w:sz w:val="17"/>
              </w:rPr>
              <w:t>11,702,924</w:t>
            </w:r>
          </w:p>
        </w:tc>
        <w:tc>
          <w:tcPr>
            <w:tcW w:type="dxa" w:w="864"/>
            <w:shd w:val="clear" w:color="auto" w:fill="EFEFEF"/>
          </w:tcPr>
          <w:p>
            <w:pPr>
              <w:spacing w:line="240" w:lineRule="auto" w:before="40" w:after="40"/>
              <w:jc w:val="center"/>
            </w:pPr>
            <w:r/>
            <w:r>
              <w:rPr>
                <w:b w:val="0"/>
                <w:i w:val="0"/>
                <w:sz w:val="17"/>
              </w:rPr>
              <w:t>-3.940</w:t>
            </w:r>
          </w:p>
        </w:tc>
        <w:tc>
          <w:tcPr>
            <w:tcW w:type="dxa" w:w="1008"/>
            <w:shd w:val="clear" w:color="auto" w:fill="EFEFEF"/>
          </w:tcPr>
          <w:p>
            <w:pPr>
              <w:spacing w:line="240" w:lineRule="auto" w:before="40" w:after="40"/>
              <w:jc w:val="center"/>
            </w:pPr>
            <w:r/>
            <w:r>
              <w:rPr>
                <w:b w:val="0"/>
                <w:i w:val="0"/>
                <w:sz w:val="17"/>
              </w:rPr>
              <w:t>&lt;0.001*</w:t>
            </w:r>
          </w:p>
        </w:tc>
        <w:tc>
          <w:tcPr>
            <w:tcW w:type="dxa" w:w="1296"/>
            <w:shd w:val="clear" w:color="auto" w:fill="EFEFEF"/>
          </w:tcPr>
          <w:p>
            <w:pPr>
              <w:spacing w:line="240" w:lineRule="auto" w:before="40" w:after="40"/>
              <w:jc w:val="center"/>
            </w:pPr>
            <w:r/>
            <w:r>
              <w:rPr>
                <w:b w:val="0"/>
                <w:i w:val="0"/>
                <w:sz w:val="17"/>
              </w:rPr>
              <w:t>-69,238,450</w:t>
            </w:r>
          </w:p>
        </w:tc>
        <w:tc>
          <w:tcPr>
            <w:tcW w:type="dxa" w:w="1296"/>
            <w:shd w:val="clear" w:color="auto" w:fill="EFEFEF"/>
          </w:tcPr>
          <w:p>
            <w:pPr>
              <w:spacing w:line="240" w:lineRule="auto" w:before="40" w:after="40"/>
              <w:jc w:val="center"/>
            </w:pPr>
            <w:r/>
            <w:r>
              <w:rPr>
                <w:b w:val="0"/>
                <w:i w:val="0"/>
                <w:sz w:val="17"/>
              </w:rPr>
              <w:t>-22,990,711</w:t>
            </w:r>
          </w:p>
        </w:tc>
      </w:tr>
      <w:tr>
        <w:tc>
          <w:tcPr>
            <w:tcW w:type="dxa" w:w="2304"/>
          </w:tcPr>
          <w:p>
            <w:pPr>
              <w:spacing w:line="240" w:lineRule="auto" w:before="40" w:after="40"/>
              <w:jc w:val="left"/>
            </w:pPr>
            <w:r/>
            <w:r>
              <w:rPr>
                <w:b w:val="0"/>
                <w:i/>
                <w:sz w:val="17"/>
              </w:rPr>
              <w:t>Gross Floor Area</w:t>
            </w:r>
          </w:p>
        </w:tc>
        <w:tc>
          <w:tcPr>
            <w:tcW w:type="dxa" w:w="1440"/>
          </w:tcPr>
          <w:p>
            <w:pPr>
              <w:spacing w:line="240" w:lineRule="auto" w:before="40" w:after="40"/>
              <w:jc w:val="center"/>
            </w:pPr>
            <w:r/>
            <w:r>
              <w:rPr>
                <w:b w:val="0"/>
                <w:i w:val="0"/>
                <w:sz w:val="17"/>
              </w:rPr>
              <w:t>20,379</w:t>
            </w:r>
          </w:p>
        </w:tc>
        <w:tc>
          <w:tcPr>
            <w:tcW w:type="dxa" w:w="1296"/>
          </w:tcPr>
          <w:p>
            <w:pPr>
              <w:spacing w:line="240" w:lineRule="auto" w:before="40" w:after="40"/>
              <w:jc w:val="center"/>
            </w:pPr>
            <w:r/>
            <w:r>
              <w:rPr>
                <w:b w:val="0"/>
                <w:i w:val="0"/>
                <w:sz w:val="17"/>
              </w:rPr>
              <w:t>2,347</w:t>
            </w:r>
          </w:p>
        </w:tc>
        <w:tc>
          <w:tcPr>
            <w:tcW w:type="dxa" w:w="864"/>
          </w:tcPr>
          <w:p>
            <w:pPr>
              <w:spacing w:line="240" w:lineRule="auto" w:before="40" w:after="40"/>
              <w:jc w:val="center"/>
            </w:pPr>
            <w:r/>
            <w:r>
              <w:rPr>
                <w:b w:val="0"/>
                <w:i w:val="0"/>
                <w:sz w:val="17"/>
              </w:rPr>
              <w:t>8.683</w:t>
            </w:r>
          </w:p>
        </w:tc>
        <w:tc>
          <w:tcPr>
            <w:tcW w:type="dxa" w:w="1008"/>
          </w:tcPr>
          <w:p>
            <w:pPr>
              <w:spacing w:line="240" w:lineRule="auto" w:before="40" w:after="40"/>
              <w:jc w:val="center"/>
            </w:pPr>
            <w:r/>
            <w:r>
              <w:rPr>
                <w:b w:val="0"/>
                <w:i w:val="0"/>
                <w:sz w:val="17"/>
              </w:rPr>
              <w:t>&lt;0.001*</w:t>
            </w:r>
          </w:p>
        </w:tc>
        <w:tc>
          <w:tcPr>
            <w:tcW w:type="dxa" w:w="1296"/>
          </w:tcPr>
          <w:p>
            <w:pPr>
              <w:spacing w:line="240" w:lineRule="auto" w:before="40" w:after="40"/>
              <w:jc w:val="center"/>
            </w:pPr>
            <w:r/>
            <w:r>
              <w:rPr>
                <w:b w:val="0"/>
                <w:i w:val="0"/>
                <w:sz w:val="17"/>
              </w:rPr>
              <w:t>15,741</w:t>
            </w:r>
          </w:p>
        </w:tc>
        <w:tc>
          <w:tcPr>
            <w:tcW w:type="dxa" w:w="1296"/>
          </w:tcPr>
          <w:p>
            <w:pPr>
              <w:spacing w:line="240" w:lineRule="auto" w:before="40" w:after="40"/>
              <w:jc w:val="center"/>
            </w:pPr>
            <w:r/>
            <w:r>
              <w:rPr>
                <w:b w:val="0"/>
                <w:i w:val="0"/>
                <w:sz w:val="17"/>
              </w:rPr>
              <w:t>25,016</w:t>
            </w:r>
          </w:p>
        </w:tc>
      </w:tr>
      <w:tr>
        <w:tc>
          <w:tcPr>
            <w:tcW w:type="dxa" w:w="2304"/>
            <w:shd w:val="clear" w:color="auto" w:fill="EFEFEF"/>
          </w:tcPr>
          <w:p>
            <w:pPr>
              <w:spacing w:line="240" w:lineRule="auto" w:before="40" w:after="40"/>
              <w:jc w:val="left"/>
            </w:pPr>
            <w:r/>
            <w:r>
              <w:rPr>
                <w:b w:val="0"/>
                <w:i/>
                <w:sz w:val="17"/>
              </w:rPr>
              <w:t>Footprint Area</w:t>
            </w:r>
          </w:p>
        </w:tc>
        <w:tc>
          <w:tcPr>
            <w:tcW w:type="dxa" w:w="1440"/>
            <w:shd w:val="clear" w:color="auto" w:fill="EFEFEF"/>
          </w:tcPr>
          <w:p>
            <w:pPr>
              <w:spacing w:line="240" w:lineRule="auto" w:before="40" w:after="40"/>
              <w:jc w:val="center"/>
            </w:pPr>
            <w:r/>
            <w:r>
              <w:rPr>
                <w:b w:val="0"/>
                <w:i w:val="0"/>
                <w:sz w:val="17"/>
              </w:rPr>
              <w:t>8,496</w:t>
            </w:r>
          </w:p>
        </w:tc>
        <w:tc>
          <w:tcPr>
            <w:tcW w:type="dxa" w:w="1296"/>
            <w:shd w:val="clear" w:color="auto" w:fill="EFEFEF"/>
          </w:tcPr>
          <w:p>
            <w:pPr>
              <w:spacing w:line="240" w:lineRule="auto" w:before="40" w:after="40"/>
              <w:jc w:val="center"/>
            </w:pPr>
            <w:r/>
            <w:r>
              <w:rPr>
                <w:b w:val="0"/>
                <w:i w:val="0"/>
                <w:sz w:val="17"/>
              </w:rPr>
              <w:t>3,791</w:t>
            </w:r>
          </w:p>
        </w:tc>
        <w:tc>
          <w:tcPr>
            <w:tcW w:type="dxa" w:w="864"/>
            <w:shd w:val="clear" w:color="auto" w:fill="EFEFEF"/>
          </w:tcPr>
          <w:p>
            <w:pPr>
              <w:spacing w:line="240" w:lineRule="auto" w:before="40" w:after="40"/>
              <w:jc w:val="center"/>
            </w:pPr>
            <w:r/>
            <w:r>
              <w:rPr>
                <w:b w:val="0"/>
                <w:i w:val="0"/>
                <w:sz w:val="17"/>
              </w:rPr>
              <w:t>2.241</w:t>
            </w:r>
          </w:p>
        </w:tc>
        <w:tc>
          <w:tcPr>
            <w:tcW w:type="dxa" w:w="1008"/>
            <w:shd w:val="clear" w:color="auto" w:fill="EFEFEF"/>
          </w:tcPr>
          <w:p>
            <w:pPr>
              <w:spacing w:line="240" w:lineRule="auto" w:before="40" w:after="40"/>
              <w:jc w:val="center"/>
            </w:pPr>
            <w:r/>
            <w:r>
              <w:rPr>
                <w:b w:val="0"/>
                <w:i w:val="0"/>
                <w:sz w:val="17"/>
              </w:rPr>
              <w:t>0.027*</w:t>
            </w:r>
          </w:p>
        </w:tc>
        <w:tc>
          <w:tcPr>
            <w:tcW w:type="dxa" w:w="1296"/>
            <w:shd w:val="clear" w:color="auto" w:fill="EFEFEF"/>
          </w:tcPr>
          <w:p>
            <w:pPr>
              <w:spacing w:line="240" w:lineRule="auto" w:before="40" w:after="40"/>
              <w:jc w:val="center"/>
            </w:pPr>
            <w:r/>
            <w:r>
              <w:rPr>
                <w:b w:val="0"/>
                <w:i w:val="0"/>
                <w:sz w:val="17"/>
              </w:rPr>
              <w:t>1,004</w:t>
            </w:r>
          </w:p>
        </w:tc>
        <w:tc>
          <w:tcPr>
            <w:tcW w:type="dxa" w:w="1296"/>
            <w:shd w:val="clear" w:color="auto" w:fill="EFEFEF"/>
          </w:tcPr>
          <w:p>
            <w:pPr>
              <w:spacing w:line="240" w:lineRule="auto" w:before="40" w:after="40"/>
              <w:jc w:val="center"/>
            </w:pPr>
            <w:r/>
            <w:r>
              <w:rPr>
                <w:b w:val="0"/>
                <w:i w:val="0"/>
                <w:sz w:val="17"/>
              </w:rPr>
              <w:t>15,988</w:t>
            </w:r>
          </w:p>
        </w:tc>
      </w:tr>
      <w:tr>
        <w:tc>
          <w:tcPr>
            <w:tcW w:type="dxa" w:w="2304"/>
          </w:tcPr>
          <w:p>
            <w:pPr>
              <w:spacing w:line="240" w:lineRule="auto" w:before="40" w:after="40"/>
              <w:jc w:val="left"/>
            </w:pPr>
            <w:r/>
            <w:r>
              <w:rPr>
                <w:b w:val="0"/>
                <w:i/>
                <w:sz w:val="17"/>
              </w:rPr>
              <w:t>Number of Storeys</w:t>
            </w:r>
          </w:p>
        </w:tc>
        <w:tc>
          <w:tcPr>
            <w:tcW w:type="dxa" w:w="1440"/>
          </w:tcPr>
          <w:p>
            <w:pPr>
              <w:spacing w:line="240" w:lineRule="auto" w:before="40" w:after="40"/>
              <w:jc w:val="center"/>
            </w:pPr>
            <w:r/>
            <w:r>
              <w:rPr>
                <w:b w:val="0"/>
                <w:i w:val="0"/>
                <w:sz w:val="17"/>
              </w:rPr>
              <w:t>1,260,755</w:t>
            </w:r>
          </w:p>
        </w:tc>
        <w:tc>
          <w:tcPr>
            <w:tcW w:type="dxa" w:w="1296"/>
          </w:tcPr>
          <w:p>
            <w:pPr>
              <w:spacing w:line="240" w:lineRule="auto" w:before="40" w:after="40"/>
              <w:jc w:val="center"/>
            </w:pPr>
            <w:r/>
            <w:r>
              <w:rPr>
                <w:b w:val="0"/>
                <w:i w:val="0"/>
                <w:sz w:val="17"/>
              </w:rPr>
              <w:t>865,717</w:t>
            </w:r>
          </w:p>
        </w:tc>
        <w:tc>
          <w:tcPr>
            <w:tcW w:type="dxa" w:w="864"/>
          </w:tcPr>
          <w:p>
            <w:pPr>
              <w:spacing w:line="240" w:lineRule="auto" w:before="40" w:after="40"/>
              <w:jc w:val="center"/>
            </w:pPr>
            <w:r/>
            <w:r>
              <w:rPr>
                <w:b w:val="0"/>
                <w:i w:val="0"/>
                <w:sz w:val="17"/>
              </w:rPr>
              <w:t>1.456</w:t>
            </w:r>
          </w:p>
        </w:tc>
        <w:tc>
          <w:tcPr>
            <w:tcW w:type="dxa" w:w="1008"/>
          </w:tcPr>
          <w:p>
            <w:pPr>
              <w:spacing w:line="240" w:lineRule="auto" w:before="40" w:after="40"/>
              <w:jc w:val="center"/>
            </w:pPr>
            <w:r/>
            <w:r>
              <w:rPr>
                <w:b w:val="0"/>
                <w:i w:val="0"/>
                <w:sz w:val="17"/>
              </w:rPr>
              <w:t>0.147</w:t>
            </w:r>
          </w:p>
        </w:tc>
        <w:tc>
          <w:tcPr>
            <w:tcW w:type="dxa" w:w="1296"/>
          </w:tcPr>
          <w:p>
            <w:pPr>
              <w:spacing w:line="240" w:lineRule="auto" w:before="40" w:after="40"/>
              <w:jc w:val="center"/>
            </w:pPr>
            <w:r/>
            <w:r>
              <w:rPr>
                <w:b w:val="0"/>
                <w:i w:val="0"/>
                <w:sz w:val="17"/>
              </w:rPr>
              <w:t>-449,820</w:t>
            </w:r>
          </w:p>
        </w:tc>
        <w:tc>
          <w:tcPr>
            <w:tcW w:type="dxa" w:w="1296"/>
          </w:tcPr>
          <w:p>
            <w:pPr>
              <w:spacing w:line="240" w:lineRule="auto" w:before="40" w:after="40"/>
              <w:jc w:val="center"/>
            </w:pPr>
            <w:r/>
            <w:r>
              <w:rPr>
                <w:b w:val="0"/>
                <w:i w:val="0"/>
                <w:sz w:val="17"/>
              </w:rPr>
              <w:t>2,971,330</w:t>
            </w:r>
          </w:p>
        </w:tc>
      </w:tr>
      <w:tr>
        <w:tc>
          <w:tcPr>
            <w:tcW w:type="dxa" w:w="2304"/>
            <w:shd w:val="clear" w:color="auto" w:fill="EFEFEF"/>
          </w:tcPr>
          <w:p>
            <w:pPr>
              <w:spacing w:line="240" w:lineRule="auto" w:before="40" w:after="40"/>
              <w:jc w:val="left"/>
            </w:pPr>
            <w:r/>
            <w:r>
              <w:rPr>
                <w:b w:val="0"/>
                <w:i/>
                <w:sz w:val="17"/>
              </w:rPr>
              <w:t>Structural Span</w:t>
            </w:r>
          </w:p>
        </w:tc>
        <w:tc>
          <w:tcPr>
            <w:tcW w:type="dxa" w:w="1440"/>
            <w:shd w:val="clear" w:color="auto" w:fill="EFEFEF"/>
          </w:tcPr>
          <w:p>
            <w:pPr>
              <w:spacing w:line="240" w:lineRule="auto" w:before="40" w:after="40"/>
              <w:jc w:val="center"/>
            </w:pPr>
            <w:r/>
            <w:r>
              <w:rPr>
                <w:b w:val="0"/>
                <w:i w:val="0"/>
                <w:sz w:val="17"/>
              </w:rPr>
              <w:t>126,306</w:t>
            </w:r>
          </w:p>
        </w:tc>
        <w:tc>
          <w:tcPr>
            <w:tcW w:type="dxa" w:w="1296"/>
            <w:shd w:val="clear" w:color="auto" w:fill="EFEFEF"/>
          </w:tcPr>
          <w:p>
            <w:pPr>
              <w:spacing w:line="240" w:lineRule="auto" w:before="40" w:after="40"/>
              <w:jc w:val="center"/>
            </w:pPr>
            <w:r/>
            <w:r>
              <w:rPr>
                <w:b w:val="0"/>
                <w:i w:val="0"/>
                <w:sz w:val="17"/>
              </w:rPr>
              <w:t>202,355</w:t>
            </w:r>
          </w:p>
        </w:tc>
        <w:tc>
          <w:tcPr>
            <w:tcW w:type="dxa" w:w="864"/>
            <w:shd w:val="clear" w:color="auto" w:fill="EFEFEF"/>
          </w:tcPr>
          <w:p>
            <w:pPr>
              <w:spacing w:line="240" w:lineRule="auto" w:before="40" w:after="40"/>
              <w:jc w:val="center"/>
            </w:pPr>
            <w:r/>
            <w:r>
              <w:rPr>
                <w:b w:val="0"/>
                <w:i w:val="0"/>
                <w:sz w:val="17"/>
              </w:rPr>
              <w:t>0.624</w:t>
            </w:r>
          </w:p>
        </w:tc>
        <w:tc>
          <w:tcPr>
            <w:tcW w:type="dxa" w:w="1008"/>
            <w:shd w:val="clear" w:color="auto" w:fill="EFEFEF"/>
          </w:tcPr>
          <w:p>
            <w:pPr>
              <w:spacing w:line="240" w:lineRule="auto" w:before="40" w:after="40"/>
              <w:jc w:val="center"/>
            </w:pPr>
            <w:r/>
            <w:r>
              <w:rPr>
                <w:b w:val="0"/>
                <w:i w:val="0"/>
                <w:sz w:val="17"/>
              </w:rPr>
              <w:t>0.533</w:t>
            </w:r>
          </w:p>
        </w:tc>
        <w:tc>
          <w:tcPr>
            <w:tcW w:type="dxa" w:w="1296"/>
            <w:shd w:val="clear" w:color="auto" w:fill="EFEFEF"/>
          </w:tcPr>
          <w:p>
            <w:pPr>
              <w:spacing w:line="240" w:lineRule="auto" w:before="40" w:after="40"/>
              <w:jc w:val="center"/>
            </w:pPr>
            <w:r/>
            <w:r>
              <w:rPr>
                <w:b w:val="0"/>
                <w:i w:val="0"/>
                <w:sz w:val="17"/>
              </w:rPr>
              <w:t>-273,529</w:t>
            </w:r>
          </w:p>
        </w:tc>
        <w:tc>
          <w:tcPr>
            <w:tcW w:type="dxa" w:w="1296"/>
            <w:shd w:val="clear" w:color="auto" w:fill="EFEFEF"/>
          </w:tcPr>
          <w:p>
            <w:pPr>
              <w:spacing w:line="240" w:lineRule="auto" w:before="40" w:after="40"/>
              <w:jc w:val="center"/>
            </w:pPr>
            <w:r/>
            <w:r>
              <w:rPr>
                <w:b w:val="0"/>
                <w:i w:val="0"/>
                <w:sz w:val="17"/>
              </w:rPr>
              <w:t>526,140</w:t>
            </w:r>
          </w:p>
        </w:tc>
      </w:tr>
      <w:tr>
        <w:tc>
          <w:tcPr>
            <w:tcW w:type="dxa" w:w="2304"/>
          </w:tcPr>
          <w:p>
            <w:pPr>
              <w:spacing w:line="240" w:lineRule="auto" w:before="40" w:after="40"/>
              <w:jc w:val="left"/>
            </w:pPr>
            <w:r/>
            <w:r>
              <w:rPr>
                <w:b w:val="0"/>
                <w:i/>
                <w:sz w:val="17"/>
              </w:rPr>
              <w:t>Floor Height</w:t>
            </w:r>
          </w:p>
        </w:tc>
        <w:tc>
          <w:tcPr>
            <w:tcW w:type="dxa" w:w="1440"/>
          </w:tcPr>
          <w:p>
            <w:pPr>
              <w:spacing w:line="240" w:lineRule="auto" w:before="40" w:after="40"/>
              <w:jc w:val="center"/>
            </w:pPr>
            <w:r/>
            <w:r>
              <w:rPr>
                <w:b w:val="0"/>
                <w:i w:val="0"/>
                <w:sz w:val="17"/>
              </w:rPr>
              <w:t>234,911</w:t>
            </w:r>
          </w:p>
        </w:tc>
        <w:tc>
          <w:tcPr>
            <w:tcW w:type="dxa" w:w="1296"/>
          </w:tcPr>
          <w:p>
            <w:pPr>
              <w:spacing w:line="240" w:lineRule="auto" w:before="40" w:after="40"/>
              <w:jc w:val="center"/>
            </w:pPr>
            <w:r/>
            <w:r>
              <w:rPr>
                <w:b w:val="0"/>
                <w:i w:val="0"/>
                <w:sz w:val="17"/>
              </w:rPr>
              <w:t>622,591</w:t>
            </w:r>
          </w:p>
        </w:tc>
        <w:tc>
          <w:tcPr>
            <w:tcW w:type="dxa" w:w="864"/>
          </w:tcPr>
          <w:p>
            <w:pPr>
              <w:spacing w:line="240" w:lineRule="auto" w:before="40" w:after="40"/>
              <w:jc w:val="center"/>
            </w:pPr>
            <w:r/>
            <w:r>
              <w:rPr>
                <w:b w:val="0"/>
                <w:i w:val="0"/>
                <w:sz w:val="17"/>
              </w:rPr>
              <w:t>0.377</w:t>
            </w:r>
          </w:p>
        </w:tc>
        <w:tc>
          <w:tcPr>
            <w:tcW w:type="dxa" w:w="1008"/>
          </w:tcPr>
          <w:p>
            <w:pPr>
              <w:spacing w:line="240" w:lineRule="auto" w:before="40" w:after="40"/>
              <w:jc w:val="center"/>
            </w:pPr>
            <w:r/>
            <w:r>
              <w:rPr>
                <w:b w:val="0"/>
                <w:i w:val="0"/>
                <w:sz w:val="17"/>
              </w:rPr>
              <w:t>0.706</w:t>
            </w:r>
          </w:p>
        </w:tc>
        <w:tc>
          <w:tcPr>
            <w:tcW w:type="dxa" w:w="1296"/>
          </w:tcPr>
          <w:p>
            <w:pPr>
              <w:spacing w:line="240" w:lineRule="auto" w:before="40" w:after="40"/>
              <w:jc w:val="center"/>
            </w:pPr>
            <w:r/>
            <w:r>
              <w:rPr>
                <w:b w:val="0"/>
                <w:i w:val="0"/>
                <w:sz w:val="17"/>
              </w:rPr>
              <w:t>-995,270</w:t>
            </w:r>
          </w:p>
        </w:tc>
        <w:tc>
          <w:tcPr>
            <w:tcW w:type="dxa" w:w="1296"/>
          </w:tcPr>
          <w:p>
            <w:pPr>
              <w:spacing w:line="240" w:lineRule="auto" w:before="40" w:after="40"/>
              <w:jc w:val="center"/>
            </w:pPr>
            <w:r/>
            <w:r>
              <w:rPr>
                <w:b w:val="0"/>
                <w:i w:val="0"/>
                <w:sz w:val="17"/>
              </w:rPr>
              <w:t>1,465,091</w:t>
            </w:r>
          </w:p>
        </w:tc>
      </w:tr>
      <w:tr>
        <w:tc>
          <w:tcPr>
            <w:tcW w:type="dxa" w:w="2304"/>
            <w:shd w:val="clear" w:color="auto" w:fill="EFEFEF"/>
          </w:tcPr>
          <w:p>
            <w:pPr>
              <w:spacing w:line="240" w:lineRule="auto" w:before="40" w:after="40"/>
              <w:jc w:val="left"/>
            </w:pPr>
            <w:r/>
            <w:r>
              <w:rPr>
                <w:b w:val="0"/>
                <w:i/>
                <w:sz w:val="17"/>
              </w:rPr>
              <w:t>Facility Type Index</w:t>
            </w:r>
          </w:p>
        </w:tc>
        <w:tc>
          <w:tcPr>
            <w:tcW w:type="dxa" w:w="1440"/>
            <w:shd w:val="clear" w:color="auto" w:fill="EFEFEF"/>
          </w:tcPr>
          <w:p>
            <w:pPr>
              <w:spacing w:line="240" w:lineRule="auto" w:before="40" w:after="40"/>
              <w:jc w:val="center"/>
            </w:pPr>
            <w:r/>
            <w:r>
              <w:rPr>
                <w:b w:val="0"/>
                <w:i w:val="0"/>
                <w:sz w:val="17"/>
              </w:rPr>
              <w:t>463,310</w:t>
            </w:r>
          </w:p>
        </w:tc>
        <w:tc>
          <w:tcPr>
            <w:tcW w:type="dxa" w:w="1296"/>
            <w:shd w:val="clear" w:color="auto" w:fill="EFEFEF"/>
          </w:tcPr>
          <w:p>
            <w:pPr>
              <w:spacing w:line="240" w:lineRule="auto" w:before="40" w:after="40"/>
              <w:jc w:val="center"/>
            </w:pPr>
            <w:r/>
            <w:r>
              <w:rPr>
                <w:b w:val="0"/>
                <w:i w:val="0"/>
                <w:sz w:val="17"/>
              </w:rPr>
              <w:t>226,326</w:t>
            </w:r>
          </w:p>
        </w:tc>
        <w:tc>
          <w:tcPr>
            <w:tcW w:type="dxa" w:w="864"/>
            <w:shd w:val="clear" w:color="auto" w:fill="EFEFEF"/>
          </w:tcPr>
          <w:p>
            <w:pPr>
              <w:spacing w:line="240" w:lineRule="auto" w:before="40" w:after="40"/>
              <w:jc w:val="center"/>
            </w:pPr>
            <w:r/>
            <w:r>
              <w:rPr>
                <w:b w:val="0"/>
                <w:i w:val="0"/>
                <w:sz w:val="17"/>
              </w:rPr>
              <w:t>2.047</w:t>
            </w:r>
          </w:p>
        </w:tc>
        <w:tc>
          <w:tcPr>
            <w:tcW w:type="dxa" w:w="1008"/>
            <w:shd w:val="clear" w:color="auto" w:fill="EFEFEF"/>
          </w:tcPr>
          <w:p>
            <w:pPr>
              <w:spacing w:line="240" w:lineRule="auto" w:before="40" w:after="40"/>
              <w:jc w:val="center"/>
            </w:pPr>
            <w:r/>
            <w:r>
              <w:rPr>
                <w:b w:val="0"/>
                <w:i w:val="0"/>
                <w:sz w:val="17"/>
              </w:rPr>
              <w:t>0.042*</w:t>
            </w:r>
          </w:p>
        </w:tc>
        <w:tc>
          <w:tcPr>
            <w:tcW w:type="dxa" w:w="1296"/>
            <w:shd w:val="clear" w:color="auto" w:fill="EFEFEF"/>
          </w:tcPr>
          <w:p>
            <w:pPr>
              <w:spacing w:line="240" w:lineRule="auto" w:before="40" w:after="40"/>
              <w:jc w:val="center"/>
            </w:pPr>
            <w:r/>
            <w:r>
              <w:rPr>
                <w:b w:val="0"/>
                <w:i w:val="0"/>
                <w:sz w:val="17"/>
              </w:rPr>
              <w:t>16,112</w:t>
            </w:r>
          </w:p>
        </w:tc>
        <w:tc>
          <w:tcPr>
            <w:tcW w:type="dxa" w:w="1296"/>
            <w:shd w:val="clear" w:color="auto" w:fill="EFEFEF"/>
          </w:tcPr>
          <w:p>
            <w:pPr>
              <w:spacing w:line="240" w:lineRule="auto" w:before="40" w:after="40"/>
              <w:jc w:val="center"/>
            </w:pPr>
            <w:r/>
            <w:r>
              <w:rPr>
                <w:b w:val="0"/>
                <w:i w:val="0"/>
                <w:sz w:val="17"/>
              </w:rPr>
              <w:t>910,508</w:t>
            </w:r>
          </w:p>
        </w:tc>
      </w:tr>
      <w:tr>
        <w:tc>
          <w:tcPr>
            <w:tcW w:type="dxa" w:w="2304"/>
          </w:tcPr>
          <w:p>
            <w:pPr>
              <w:spacing w:line="240" w:lineRule="auto" w:before="40" w:after="40"/>
              <w:jc w:val="left"/>
            </w:pPr>
            <w:r/>
            <w:r>
              <w:rPr>
                <w:b w:val="0"/>
                <w:i/>
                <w:sz w:val="17"/>
              </w:rPr>
              <w:t>RC Roof Deck</w:t>
            </w:r>
          </w:p>
        </w:tc>
        <w:tc>
          <w:tcPr>
            <w:tcW w:type="dxa" w:w="1440"/>
          </w:tcPr>
          <w:p>
            <w:pPr>
              <w:spacing w:line="240" w:lineRule="auto" w:before="40" w:after="40"/>
              <w:jc w:val="center"/>
            </w:pPr>
            <w:r/>
            <w:r>
              <w:rPr>
                <w:b w:val="0"/>
                <w:i w:val="0"/>
                <w:sz w:val="17"/>
              </w:rPr>
              <w:t>1,403,944</w:t>
            </w:r>
          </w:p>
        </w:tc>
        <w:tc>
          <w:tcPr>
            <w:tcW w:type="dxa" w:w="1296"/>
          </w:tcPr>
          <w:p>
            <w:pPr>
              <w:spacing w:line="240" w:lineRule="auto" w:before="40" w:after="40"/>
              <w:jc w:val="center"/>
            </w:pPr>
            <w:r/>
            <w:r>
              <w:rPr>
                <w:b w:val="0"/>
                <w:i w:val="0"/>
                <w:sz w:val="17"/>
              </w:rPr>
              <w:t>1,461,220</w:t>
            </w:r>
          </w:p>
        </w:tc>
        <w:tc>
          <w:tcPr>
            <w:tcW w:type="dxa" w:w="864"/>
          </w:tcPr>
          <w:p>
            <w:pPr>
              <w:spacing w:line="240" w:lineRule="auto" w:before="40" w:after="40"/>
              <w:jc w:val="center"/>
            </w:pPr>
            <w:r/>
            <w:r>
              <w:rPr>
                <w:b w:val="0"/>
                <w:i w:val="0"/>
                <w:sz w:val="17"/>
              </w:rPr>
              <w:t>0.961</w:t>
            </w:r>
          </w:p>
        </w:tc>
        <w:tc>
          <w:tcPr>
            <w:tcW w:type="dxa" w:w="1008"/>
          </w:tcPr>
          <w:p>
            <w:pPr>
              <w:spacing w:line="240" w:lineRule="auto" w:before="40" w:after="40"/>
              <w:jc w:val="center"/>
            </w:pPr>
            <w:r/>
            <w:r>
              <w:rPr>
                <w:b w:val="0"/>
                <w:i w:val="0"/>
                <w:sz w:val="17"/>
              </w:rPr>
              <w:t>0.338</w:t>
            </w:r>
          </w:p>
        </w:tc>
        <w:tc>
          <w:tcPr>
            <w:tcW w:type="dxa" w:w="1296"/>
          </w:tcPr>
          <w:p>
            <w:pPr>
              <w:spacing w:line="240" w:lineRule="auto" w:before="40" w:after="40"/>
              <w:jc w:val="center"/>
            </w:pPr>
            <w:r/>
            <w:r>
              <w:rPr>
                <w:b w:val="0"/>
                <w:i w:val="0"/>
                <w:sz w:val="17"/>
              </w:rPr>
              <w:t>-1,483,289</w:t>
            </w:r>
          </w:p>
        </w:tc>
        <w:tc>
          <w:tcPr>
            <w:tcW w:type="dxa" w:w="1296"/>
          </w:tcPr>
          <w:p>
            <w:pPr>
              <w:spacing w:line="240" w:lineRule="auto" w:before="40" w:after="40"/>
              <w:jc w:val="center"/>
            </w:pPr>
            <w:r/>
            <w:r>
              <w:rPr>
                <w:b w:val="0"/>
                <w:i w:val="0"/>
                <w:sz w:val="17"/>
              </w:rPr>
              <w:t>4,291,178</w:t>
            </w:r>
          </w:p>
        </w:tc>
      </w:tr>
      <w:tr>
        <w:tc>
          <w:tcPr>
            <w:tcW w:type="dxa" w:w="2304"/>
            <w:shd w:val="clear" w:color="auto" w:fill="EFEFEF"/>
          </w:tcPr>
          <w:p>
            <w:pPr>
              <w:spacing w:line="240" w:lineRule="auto" w:before="40" w:after="40"/>
              <w:jc w:val="left"/>
            </w:pPr>
            <w:r/>
            <w:r>
              <w:rPr>
                <w:b w:val="0"/>
                <w:i/>
                <w:sz w:val="17"/>
              </w:rPr>
              <w:t>Location Factor</w:t>
            </w:r>
          </w:p>
        </w:tc>
        <w:tc>
          <w:tcPr>
            <w:tcW w:type="dxa" w:w="1440"/>
            <w:shd w:val="clear" w:color="auto" w:fill="EFEFEF"/>
          </w:tcPr>
          <w:p>
            <w:pPr>
              <w:spacing w:line="240" w:lineRule="auto" w:before="40" w:after="40"/>
              <w:jc w:val="center"/>
            </w:pPr>
            <w:r/>
            <w:r>
              <w:rPr>
                <w:b w:val="0"/>
                <w:i w:val="0"/>
                <w:sz w:val="17"/>
              </w:rPr>
              <w:t>18,028,194</w:t>
            </w:r>
          </w:p>
        </w:tc>
        <w:tc>
          <w:tcPr>
            <w:tcW w:type="dxa" w:w="1296"/>
            <w:shd w:val="clear" w:color="auto" w:fill="EFEFEF"/>
          </w:tcPr>
          <w:p>
            <w:pPr>
              <w:spacing w:line="240" w:lineRule="auto" w:before="40" w:after="40"/>
              <w:jc w:val="center"/>
            </w:pPr>
            <w:r/>
            <w:r>
              <w:rPr>
                <w:b w:val="0"/>
                <w:i w:val="0"/>
                <w:sz w:val="17"/>
              </w:rPr>
              <w:t>7,380,574</w:t>
            </w:r>
          </w:p>
        </w:tc>
        <w:tc>
          <w:tcPr>
            <w:tcW w:type="dxa" w:w="864"/>
            <w:shd w:val="clear" w:color="auto" w:fill="EFEFEF"/>
          </w:tcPr>
          <w:p>
            <w:pPr>
              <w:spacing w:line="240" w:lineRule="auto" w:before="40" w:after="40"/>
              <w:jc w:val="center"/>
            </w:pPr>
            <w:r/>
            <w:r>
              <w:rPr>
                <w:b w:val="0"/>
                <w:i w:val="0"/>
                <w:sz w:val="17"/>
              </w:rPr>
              <w:t>2.443</w:t>
            </w:r>
          </w:p>
        </w:tc>
        <w:tc>
          <w:tcPr>
            <w:tcW w:type="dxa" w:w="1008"/>
            <w:shd w:val="clear" w:color="auto" w:fill="EFEFEF"/>
          </w:tcPr>
          <w:p>
            <w:pPr>
              <w:spacing w:line="240" w:lineRule="auto" w:before="40" w:after="40"/>
              <w:jc w:val="center"/>
            </w:pPr>
            <w:r/>
            <w:r>
              <w:rPr>
                <w:b w:val="0"/>
                <w:i w:val="0"/>
                <w:sz w:val="17"/>
              </w:rPr>
              <w:t>0.016*</w:t>
            </w:r>
          </w:p>
        </w:tc>
        <w:tc>
          <w:tcPr>
            <w:tcW w:type="dxa" w:w="1296"/>
            <w:shd w:val="clear" w:color="auto" w:fill="EFEFEF"/>
          </w:tcPr>
          <w:p>
            <w:pPr>
              <w:spacing w:line="240" w:lineRule="auto" w:before="40" w:after="40"/>
              <w:jc w:val="center"/>
            </w:pPr>
            <w:r/>
            <w:r>
              <w:rPr>
                <w:b w:val="0"/>
                <w:i w:val="0"/>
                <w:sz w:val="17"/>
              </w:rPr>
              <w:t>3,444,878</w:t>
            </w:r>
          </w:p>
        </w:tc>
        <w:tc>
          <w:tcPr>
            <w:tcW w:type="dxa" w:w="1296"/>
            <w:shd w:val="clear" w:color="auto" w:fill="EFEFEF"/>
          </w:tcPr>
          <w:p>
            <w:pPr>
              <w:spacing w:line="240" w:lineRule="auto" w:before="40" w:after="40"/>
              <w:jc w:val="center"/>
            </w:pPr>
            <w:r/>
            <w:r>
              <w:rPr>
                <w:b w:val="0"/>
                <w:i w:val="0"/>
                <w:sz w:val="17"/>
              </w:rPr>
              <w:t>32,611,510</w:t>
            </w:r>
          </w:p>
        </w:tc>
      </w:tr>
      <w:tr>
        <w:tc>
          <w:tcPr>
            <w:tcW w:type="dxa" w:w="2304"/>
            <w:tcBorders>
              <w:bottom w:val="single" w:sz="12" w:color="000000"/>
            </w:tcBorders>
          </w:tcPr>
          <w:p>
            <w:pPr>
              <w:spacing w:line="240" w:lineRule="auto" w:before="40" w:after="40"/>
              <w:jc w:val="left"/>
            </w:pPr>
            <w:r/>
            <w:r>
              <w:rPr>
                <w:b w:val="0"/>
                <w:i/>
                <w:sz w:val="17"/>
              </w:rPr>
              <w:t>Cost Index (Year)</w:t>
            </w:r>
          </w:p>
        </w:tc>
        <w:tc>
          <w:tcPr>
            <w:tcW w:type="dxa" w:w="1440"/>
            <w:tcBorders>
              <w:bottom w:val="single" w:sz="12" w:color="000000"/>
            </w:tcBorders>
          </w:tcPr>
          <w:p>
            <w:pPr>
              <w:spacing w:line="240" w:lineRule="auto" w:before="40" w:after="40"/>
              <w:jc w:val="center"/>
            </w:pPr>
            <w:r/>
            <w:r>
              <w:rPr>
                <w:b w:val="0"/>
                <w:i w:val="0"/>
                <w:sz w:val="17"/>
              </w:rPr>
              <w:t>25,035,073</w:t>
            </w:r>
          </w:p>
        </w:tc>
        <w:tc>
          <w:tcPr>
            <w:tcW w:type="dxa" w:w="1296"/>
            <w:tcBorders>
              <w:bottom w:val="single" w:sz="12" w:color="000000"/>
            </w:tcBorders>
          </w:tcPr>
          <w:p>
            <w:pPr>
              <w:spacing w:line="240" w:lineRule="auto" w:before="40" w:after="40"/>
              <w:jc w:val="center"/>
            </w:pPr>
            <w:r/>
            <w:r>
              <w:rPr>
                <w:b w:val="0"/>
                <w:i w:val="0"/>
                <w:sz w:val="17"/>
              </w:rPr>
              <w:t>9,020,962</w:t>
            </w:r>
          </w:p>
        </w:tc>
        <w:tc>
          <w:tcPr>
            <w:tcW w:type="dxa" w:w="864"/>
            <w:tcBorders>
              <w:bottom w:val="single" w:sz="12" w:color="000000"/>
            </w:tcBorders>
          </w:tcPr>
          <w:p>
            <w:pPr>
              <w:spacing w:line="240" w:lineRule="auto" w:before="40" w:after="40"/>
              <w:jc w:val="center"/>
            </w:pPr>
            <w:r/>
            <w:r>
              <w:rPr>
                <w:b w:val="0"/>
                <w:i w:val="0"/>
                <w:sz w:val="17"/>
              </w:rPr>
              <w:t>2.775</w:t>
            </w:r>
          </w:p>
        </w:tc>
        <w:tc>
          <w:tcPr>
            <w:tcW w:type="dxa" w:w="1008"/>
            <w:tcBorders>
              <w:bottom w:val="single" w:sz="12" w:color="000000"/>
            </w:tcBorders>
          </w:tcPr>
          <w:p>
            <w:pPr>
              <w:spacing w:line="240" w:lineRule="auto" w:before="40" w:after="40"/>
              <w:jc w:val="center"/>
            </w:pPr>
            <w:r/>
            <w:r>
              <w:rPr>
                <w:b w:val="0"/>
                <w:i w:val="0"/>
                <w:sz w:val="17"/>
              </w:rPr>
              <w:t>0.006*</w:t>
            </w:r>
          </w:p>
        </w:tc>
        <w:tc>
          <w:tcPr>
            <w:tcW w:type="dxa" w:w="1296"/>
            <w:tcBorders>
              <w:bottom w:val="single" w:sz="12" w:color="000000"/>
            </w:tcBorders>
          </w:tcPr>
          <w:p>
            <w:pPr>
              <w:spacing w:line="240" w:lineRule="auto" w:before="40" w:after="40"/>
              <w:jc w:val="center"/>
            </w:pPr>
            <w:r/>
            <w:r>
              <w:rPr>
                <w:b w:val="0"/>
                <w:i w:val="0"/>
                <w:sz w:val="17"/>
              </w:rPr>
              <w:t>7,210,505</w:t>
            </w:r>
          </w:p>
        </w:tc>
        <w:tc>
          <w:tcPr>
            <w:tcW w:type="dxa" w:w="1296"/>
            <w:tcBorders>
              <w:bottom w:val="single" w:sz="12" w:color="000000"/>
            </w:tcBorders>
          </w:tcPr>
          <w:p>
            <w:pPr>
              <w:spacing w:line="240" w:lineRule="auto" w:before="40" w:after="40"/>
              <w:jc w:val="center"/>
            </w:pPr>
            <w:r/>
            <w:r>
              <w:rPr>
                <w:b w:val="0"/>
                <w:i w:val="0"/>
                <w:sz w:val="17"/>
              </w:rPr>
              <w:t>42,859,641</w:t>
            </w:r>
          </w:p>
        </w:tc>
      </w:tr>
    </w:tbl>
    <w:p>
      <w:pPr>
        <w:spacing w:line="240" w:lineRule="auto" w:after="80"/>
      </w:pPr>
    </w:p>
    <w:p>
      <w:pPr>
        <w:spacing w:line="480" w:lineRule="auto" w:after="0"/>
        <w:ind w:firstLine="720"/>
        <w:jc w:val="both"/>
      </w:pPr>
      <w:r>
        <w:rPr>
          <w:b w:val="0"/>
          <w:i w:val="0"/>
        </w:rPr>
        <w:t>Table 20 presents the building model (R</w:t>
      </w:r>
      <w:r>
        <w:rPr>
          <w:b w:val="0"/>
          <w:i w:val="0"/>
          <w:vertAlign w:val="superscript"/>
        </w:rPr>
        <w:t>2</w:t>
      </w:r>
      <w:r>
        <w:rPr>
          <w:b w:val="0"/>
          <w:i w:val="0"/>
        </w:rPr>
        <w:t xml:space="preserve"> = 0.8449, adjusted R</w:t>
      </w:r>
      <w:r>
        <w:rPr>
          <w:b w:val="0"/>
          <w:i w:val="0"/>
          <w:vertAlign w:val="superscript"/>
        </w:rPr>
        <w:t>2</w:t>
      </w:r>
      <w:r>
        <w:rPr>
          <w:b w:val="0"/>
          <w:i w:val="0"/>
        </w:rPr>
        <w:t xml:space="preserve"> = 0.8356, F = 90.79, p &lt; 0.001). Gross floor area was the strongest predictor (t = 8.683): holding the others constant, each additional m² adds about ₱20,379 to the contract. Significant predictors at the 5% level were Gross Floor Area, Footprint Area, Facility Type Index, Location Factor, Cost Index (Year). Storeys, span, floor height and roof type were not significant once floor area was included, so their signs should not be read as independent effects. The large negative constant has no physical meaning on its own, since a building with zero floor area lies outside the data.</w:t>
      </w:r>
    </w:p>
    <w:p>
      <w:pPr>
        <w:keepNext/>
        <w:spacing w:line="240" w:lineRule="auto" w:after="0" w:before="120"/>
        <w:jc w:val="left"/>
      </w:pPr>
      <w:r>
        <w:rPr>
          <w:b/>
          <w:i w:val="0"/>
        </w:rPr>
        <w:t>Table 21.</w:t>
      </w:r>
    </w:p>
    <w:p>
      <w:pPr>
        <w:keepNext/>
        <w:spacing w:line="240" w:lineRule="auto" w:after="0"/>
        <w:jc w:val="left"/>
      </w:pPr>
      <w:r>
        <w:rPr>
          <w:b w:val="0"/>
          <w:i/>
        </w:rPr>
        <w:t>Ordinary Least Squares Results for Bridges</w:t>
      </w:r>
    </w:p>
    <w:tbl>
      <w:tblPr>
        <w:tblW w:type="auto" w:w="0"/>
        <w:jc w:val="center"/>
        <w:tblLayout w:type="fixed"/>
        <w:tblLook w:firstColumn="1" w:firstRow="1" w:lastColumn="0" w:lastRow="0" w:noHBand="0" w:noVBand="1" w:val="04A0"/>
        <w:tblLayout w:type="fixed"/>
      </w:tblPr>
      <w:tblGrid>
        <w:gridCol w:w="2304"/>
        <w:gridCol w:w="1440"/>
        <w:gridCol w:w="1296"/>
        <w:gridCol w:w="864"/>
        <w:gridCol w:w="1007"/>
        <w:gridCol w:w="1296"/>
        <w:gridCol w:w="1296"/>
      </w:tblGrid>
      <w:tr>
        <w:tc>
          <w:tcPr>
            <w:tcW w:type="dxa" w:w="2304"/>
            <w:tcBorders>
              <w:top w:val="single" w:sz="12" w:color="000000"/>
              <w:bottom w:val="single" w:sz="8" w:color="000000"/>
            </w:tcBorders>
          </w:tcPr>
          <w:p>
            <w:pPr>
              <w:spacing w:line="240" w:lineRule="auto" w:before="40" w:after="40"/>
              <w:jc w:val="center"/>
            </w:pPr>
            <w:r/>
            <w:r>
              <w:rPr>
                <w:b/>
                <w:i w:val="0"/>
                <w:sz w:val="17"/>
              </w:rPr>
              <w:t>VARIABLE</w:t>
            </w:r>
          </w:p>
        </w:tc>
        <w:tc>
          <w:tcPr>
            <w:tcW w:type="dxa" w:w="1440"/>
            <w:tcBorders>
              <w:top w:val="single" w:sz="12" w:color="000000"/>
              <w:bottom w:val="single" w:sz="8" w:color="000000"/>
            </w:tcBorders>
          </w:tcPr>
          <w:p>
            <w:pPr>
              <w:spacing w:line="240" w:lineRule="auto" w:before="40" w:after="40"/>
              <w:jc w:val="center"/>
            </w:pPr>
            <w:r/>
            <w:r>
              <w:rPr>
                <w:b/>
                <w:i w:val="0"/>
                <w:sz w:val="17"/>
              </w:rPr>
              <w:t>COEFFICIENT</w:t>
            </w:r>
          </w:p>
        </w:tc>
        <w:tc>
          <w:tcPr>
            <w:tcW w:type="dxa" w:w="1296"/>
            <w:tcBorders>
              <w:top w:val="single" w:sz="12" w:color="000000"/>
              <w:bottom w:val="single" w:sz="8" w:color="000000"/>
            </w:tcBorders>
          </w:tcPr>
          <w:p>
            <w:pPr>
              <w:spacing w:line="240" w:lineRule="auto" w:before="40" w:after="40"/>
              <w:jc w:val="center"/>
            </w:pPr>
            <w:r/>
            <w:r>
              <w:rPr>
                <w:b/>
                <w:i w:val="0"/>
                <w:sz w:val="17"/>
              </w:rPr>
              <w:t>STD. ERROR</w:t>
            </w:r>
          </w:p>
        </w:tc>
        <w:tc>
          <w:tcPr>
            <w:tcW w:type="dxa" w:w="864"/>
            <w:tcBorders>
              <w:top w:val="single" w:sz="12" w:color="000000"/>
              <w:bottom w:val="single" w:sz="8" w:color="000000"/>
            </w:tcBorders>
          </w:tcPr>
          <w:p>
            <w:pPr>
              <w:spacing w:line="240" w:lineRule="auto" w:before="40" w:after="40"/>
              <w:jc w:val="center"/>
            </w:pPr>
            <w:r/>
            <w:r>
              <w:rPr>
                <w:b/>
                <w:i w:val="0"/>
                <w:sz w:val="17"/>
              </w:rPr>
              <w:t>t</w:t>
            </w:r>
          </w:p>
        </w:tc>
        <w:tc>
          <w:tcPr>
            <w:tcW w:type="dxa" w:w="1008"/>
            <w:tcBorders>
              <w:top w:val="single" w:sz="12" w:color="000000"/>
              <w:bottom w:val="single" w:sz="8" w:color="000000"/>
            </w:tcBorders>
          </w:tcPr>
          <w:p>
            <w:pPr>
              <w:spacing w:line="240" w:lineRule="auto" w:before="40" w:after="40"/>
              <w:jc w:val="center"/>
            </w:pPr>
            <w:r/>
            <w:r>
              <w:rPr>
                <w:b/>
                <w:i w:val="0"/>
                <w:sz w:val="17"/>
              </w:rPr>
              <w:t>P &gt; |t|</w:t>
            </w:r>
          </w:p>
        </w:tc>
        <w:tc>
          <w:tcPr>
            <w:tcW w:type="dxa" w:w="1296"/>
            <w:tcBorders>
              <w:top w:val="single" w:sz="12" w:color="000000"/>
              <w:bottom w:val="single" w:sz="8" w:color="000000"/>
            </w:tcBorders>
          </w:tcPr>
          <w:p>
            <w:pPr>
              <w:spacing w:line="240" w:lineRule="auto" w:before="40" w:after="40"/>
              <w:jc w:val="center"/>
            </w:pPr>
            <w:r/>
            <w:r>
              <w:rPr>
                <w:b/>
                <w:i w:val="0"/>
                <w:sz w:val="17"/>
              </w:rPr>
              <w:t>[0.025</w:t>
            </w:r>
          </w:p>
        </w:tc>
        <w:tc>
          <w:tcPr>
            <w:tcW w:type="dxa" w:w="1296"/>
            <w:tcBorders>
              <w:top w:val="single" w:sz="12" w:color="000000"/>
              <w:bottom w:val="single" w:sz="8" w:color="000000"/>
            </w:tcBorders>
          </w:tcPr>
          <w:p>
            <w:pPr>
              <w:spacing w:line="240" w:lineRule="auto" w:before="40" w:after="40"/>
              <w:jc w:val="center"/>
            </w:pPr>
            <w:r/>
            <w:r>
              <w:rPr>
                <w:b/>
                <w:i w:val="0"/>
                <w:sz w:val="17"/>
              </w:rPr>
              <w:t>0.975]</w:t>
            </w:r>
          </w:p>
        </w:tc>
      </w:tr>
      <w:tr>
        <w:tc>
          <w:tcPr>
            <w:tcW w:type="dxa" w:w="2304"/>
            <w:shd w:val="clear" w:color="auto" w:fill="EFEFEF"/>
          </w:tcPr>
          <w:p>
            <w:pPr>
              <w:spacing w:line="240" w:lineRule="auto" w:before="40" w:after="40"/>
              <w:jc w:val="left"/>
            </w:pPr>
            <w:r/>
            <w:r>
              <w:rPr>
                <w:b w:val="0"/>
                <w:i/>
                <w:sz w:val="17"/>
              </w:rPr>
              <w:t>Constant</w:t>
            </w:r>
          </w:p>
        </w:tc>
        <w:tc>
          <w:tcPr>
            <w:tcW w:type="dxa" w:w="1440"/>
            <w:shd w:val="clear" w:color="auto" w:fill="EFEFEF"/>
          </w:tcPr>
          <w:p>
            <w:pPr>
              <w:spacing w:line="240" w:lineRule="auto" w:before="40" w:after="40"/>
              <w:jc w:val="center"/>
            </w:pPr>
            <w:r/>
            <w:r>
              <w:rPr>
                <w:b w:val="0"/>
                <w:i w:val="0"/>
                <w:sz w:val="17"/>
              </w:rPr>
              <w:t>-141,342,353</w:t>
            </w:r>
          </w:p>
        </w:tc>
        <w:tc>
          <w:tcPr>
            <w:tcW w:type="dxa" w:w="1296"/>
            <w:shd w:val="clear" w:color="auto" w:fill="EFEFEF"/>
          </w:tcPr>
          <w:p>
            <w:pPr>
              <w:spacing w:line="240" w:lineRule="auto" w:before="40" w:after="40"/>
              <w:jc w:val="center"/>
            </w:pPr>
            <w:r/>
            <w:r>
              <w:rPr>
                <w:b w:val="0"/>
                <w:i w:val="0"/>
                <w:sz w:val="17"/>
              </w:rPr>
              <w:t>39,111,477</w:t>
            </w:r>
          </w:p>
        </w:tc>
        <w:tc>
          <w:tcPr>
            <w:tcW w:type="dxa" w:w="864"/>
            <w:shd w:val="clear" w:color="auto" w:fill="EFEFEF"/>
          </w:tcPr>
          <w:p>
            <w:pPr>
              <w:spacing w:line="240" w:lineRule="auto" w:before="40" w:after="40"/>
              <w:jc w:val="center"/>
            </w:pPr>
            <w:r/>
            <w:r>
              <w:rPr>
                <w:b w:val="0"/>
                <w:i w:val="0"/>
                <w:sz w:val="17"/>
              </w:rPr>
              <w:t>-3.614</w:t>
            </w:r>
          </w:p>
        </w:tc>
        <w:tc>
          <w:tcPr>
            <w:tcW w:type="dxa" w:w="1008"/>
            <w:shd w:val="clear" w:color="auto" w:fill="EFEFEF"/>
          </w:tcPr>
          <w:p>
            <w:pPr>
              <w:spacing w:line="240" w:lineRule="auto" w:before="40" w:after="40"/>
              <w:jc w:val="center"/>
            </w:pPr>
            <w:r/>
            <w:r>
              <w:rPr>
                <w:b w:val="0"/>
                <w:i w:val="0"/>
                <w:sz w:val="17"/>
              </w:rPr>
              <w:t>&lt;0.001*</w:t>
            </w:r>
          </w:p>
        </w:tc>
        <w:tc>
          <w:tcPr>
            <w:tcW w:type="dxa" w:w="1296"/>
            <w:shd w:val="clear" w:color="auto" w:fill="EFEFEF"/>
          </w:tcPr>
          <w:p>
            <w:pPr>
              <w:spacing w:line="240" w:lineRule="auto" w:before="40" w:after="40"/>
              <w:jc w:val="center"/>
            </w:pPr>
            <w:r/>
            <w:r>
              <w:rPr>
                <w:b w:val="0"/>
                <w:i w:val="0"/>
                <w:sz w:val="17"/>
              </w:rPr>
              <w:t>-218,719,732</w:t>
            </w:r>
          </w:p>
        </w:tc>
        <w:tc>
          <w:tcPr>
            <w:tcW w:type="dxa" w:w="1296"/>
            <w:shd w:val="clear" w:color="auto" w:fill="EFEFEF"/>
          </w:tcPr>
          <w:p>
            <w:pPr>
              <w:spacing w:line="240" w:lineRule="auto" w:before="40" w:after="40"/>
              <w:jc w:val="center"/>
            </w:pPr>
            <w:r/>
            <w:r>
              <w:rPr>
                <w:b w:val="0"/>
                <w:i w:val="0"/>
                <w:sz w:val="17"/>
              </w:rPr>
              <w:t>-63,964,973</w:t>
            </w:r>
          </w:p>
        </w:tc>
      </w:tr>
      <w:tr>
        <w:tc>
          <w:tcPr>
            <w:tcW w:type="dxa" w:w="2304"/>
          </w:tcPr>
          <w:p>
            <w:pPr>
              <w:spacing w:line="240" w:lineRule="auto" w:before="40" w:after="40"/>
              <w:jc w:val="left"/>
            </w:pPr>
            <w:r/>
            <w:r>
              <w:rPr>
                <w:b w:val="0"/>
                <w:i/>
                <w:sz w:val="17"/>
              </w:rPr>
              <w:t>Total Length</w:t>
            </w:r>
          </w:p>
        </w:tc>
        <w:tc>
          <w:tcPr>
            <w:tcW w:type="dxa" w:w="1440"/>
          </w:tcPr>
          <w:p>
            <w:pPr>
              <w:spacing w:line="240" w:lineRule="auto" w:before="40" w:after="40"/>
              <w:jc w:val="center"/>
            </w:pPr>
            <w:r/>
            <w:r>
              <w:rPr>
                <w:b w:val="0"/>
                <w:i w:val="0"/>
                <w:sz w:val="17"/>
              </w:rPr>
              <w:t>630,763</w:t>
            </w:r>
          </w:p>
        </w:tc>
        <w:tc>
          <w:tcPr>
            <w:tcW w:type="dxa" w:w="1296"/>
          </w:tcPr>
          <w:p>
            <w:pPr>
              <w:spacing w:line="240" w:lineRule="auto" w:before="40" w:after="40"/>
              <w:jc w:val="center"/>
            </w:pPr>
            <w:r/>
            <w:r>
              <w:rPr>
                <w:b w:val="0"/>
                <w:i w:val="0"/>
                <w:sz w:val="17"/>
              </w:rPr>
              <w:t>53,583</w:t>
            </w:r>
          </w:p>
        </w:tc>
        <w:tc>
          <w:tcPr>
            <w:tcW w:type="dxa" w:w="864"/>
          </w:tcPr>
          <w:p>
            <w:pPr>
              <w:spacing w:line="240" w:lineRule="auto" w:before="40" w:after="40"/>
              <w:jc w:val="center"/>
            </w:pPr>
            <w:r/>
            <w:r>
              <w:rPr>
                <w:b w:val="0"/>
                <w:i w:val="0"/>
                <w:sz w:val="17"/>
              </w:rPr>
              <w:t>11.772</w:t>
            </w:r>
          </w:p>
        </w:tc>
        <w:tc>
          <w:tcPr>
            <w:tcW w:type="dxa" w:w="1008"/>
          </w:tcPr>
          <w:p>
            <w:pPr>
              <w:spacing w:line="240" w:lineRule="auto" w:before="40" w:after="40"/>
              <w:jc w:val="center"/>
            </w:pPr>
            <w:r/>
            <w:r>
              <w:rPr>
                <w:b w:val="0"/>
                <w:i w:val="0"/>
                <w:sz w:val="17"/>
              </w:rPr>
              <w:t>&lt;0.001*</w:t>
            </w:r>
          </w:p>
        </w:tc>
        <w:tc>
          <w:tcPr>
            <w:tcW w:type="dxa" w:w="1296"/>
          </w:tcPr>
          <w:p>
            <w:pPr>
              <w:spacing w:line="240" w:lineRule="auto" w:before="40" w:after="40"/>
              <w:jc w:val="center"/>
            </w:pPr>
            <w:r/>
            <w:r>
              <w:rPr>
                <w:b w:val="0"/>
                <w:i w:val="0"/>
                <w:sz w:val="17"/>
              </w:rPr>
              <w:t>524,756</w:t>
            </w:r>
          </w:p>
        </w:tc>
        <w:tc>
          <w:tcPr>
            <w:tcW w:type="dxa" w:w="1296"/>
          </w:tcPr>
          <w:p>
            <w:pPr>
              <w:spacing w:line="240" w:lineRule="auto" w:before="40" w:after="40"/>
              <w:jc w:val="center"/>
            </w:pPr>
            <w:r/>
            <w:r>
              <w:rPr>
                <w:b w:val="0"/>
                <w:i w:val="0"/>
                <w:sz w:val="17"/>
              </w:rPr>
              <w:t>736,769</w:t>
            </w:r>
          </w:p>
        </w:tc>
      </w:tr>
      <w:tr>
        <w:tc>
          <w:tcPr>
            <w:tcW w:type="dxa" w:w="2304"/>
            <w:shd w:val="clear" w:color="auto" w:fill="EFEFEF"/>
          </w:tcPr>
          <w:p>
            <w:pPr>
              <w:spacing w:line="240" w:lineRule="auto" w:before="40" w:after="40"/>
              <w:jc w:val="left"/>
            </w:pPr>
            <w:r/>
            <w:r>
              <w:rPr>
                <w:b w:val="0"/>
                <w:i/>
                <w:sz w:val="17"/>
              </w:rPr>
              <w:t>Deck Width</w:t>
            </w:r>
          </w:p>
        </w:tc>
        <w:tc>
          <w:tcPr>
            <w:tcW w:type="dxa" w:w="1440"/>
            <w:shd w:val="clear" w:color="auto" w:fill="EFEFEF"/>
          </w:tcPr>
          <w:p>
            <w:pPr>
              <w:spacing w:line="240" w:lineRule="auto" w:before="40" w:after="40"/>
              <w:jc w:val="center"/>
            </w:pPr>
            <w:r/>
            <w:r>
              <w:rPr>
                <w:b w:val="0"/>
                <w:i w:val="0"/>
                <w:sz w:val="17"/>
              </w:rPr>
              <w:t>2,545,124</w:t>
            </w:r>
          </w:p>
        </w:tc>
        <w:tc>
          <w:tcPr>
            <w:tcW w:type="dxa" w:w="1296"/>
            <w:shd w:val="clear" w:color="auto" w:fill="EFEFEF"/>
          </w:tcPr>
          <w:p>
            <w:pPr>
              <w:spacing w:line="240" w:lineRule="auto" w:before="40" w:after="40"/>
              <w:jc w:val="center"/>
            </w:pPr>
            <w:r/>
            <w:r>
              <w:rPr>
                <w:b w:val="0"/>
                <w:i w:val="0"/>
                <w:sz w:val="17"/>
              </w:rPr>
              <w:t>602,620</w:t>
            </w:r>
          </w:p>
        </w:tc>
        <w:tc>
          <w:tcPr>
            <w:tcW w:type="dxa" w:w="864"/>
            <w:shd w:val="clear" w:color="auto" w:fill="EFEFEF"/>
          </w:tcPr>
          <w:p>
            <w:pPr>
              <w:spacing w:line="240" w:lineRule="auto" w:before="40" w:after="40"/>
              <w:jc w:val="center"/>
            </w:pPr>
            <w:r/>
            <w:r>
              <w:rPr>
                <w:b w:val="0"/>
                <w:i w:val="0"/>
                <w:sz w:val="17"/>
              </w:rPr>
              <w:t>4.223</w:t>
            </w:r>
          </w:p>
        </w:tc>
        <w:tc>
          <w:tcPr>
            <w:tcW w:type="dxa" w:w="1008"/>
            <w:shd w:val="clear" w:color="auto" w:fill="EFEFEF"/>
          </w:tcPr>
          <w:p>
            <w:pPr>
              <w:spacing w:line="240" w:lineRule="auto" w:before="40" w:after="40"/>
              <w:jc w:val="center"/>
            </w:pPr>
            <w:r/>
            <w:r>
              <w:rPr>
                <w:b w:val="0"/>
                <w:i w:val="0"/>
                <w:sz w:val="17"/>
              </w:rPr>
              <w:t>&lt;0.001*</w:t>
            </w:r>
          </w:p>
        </w:tc>
        <w:tc>
          <w:tcPr>
            <w:tcW w:type="dxa" w:w="1296"/>
            <w:shd w:val="clear" w:color="auto" w:fill="EFEFEF"/>
          </w:tcPr>
          <w:p>
            <w:pPr>
              <w:spacing w:line="240" w:lineRule="auto" w:before="40" w:after="40"/>
              <w:jc w:val="center"/>
            </w:pPr>
            <w:r/>
            <w:r>
              <w:rPr>
                <w:b w:val="0"/>
                <w:i w:val="0"/>
                <w:sz w:val="17"/>
              </w:rPr>
              <w:t>1,352,912</w:t>
            </w:r>
          </w:p>
        </w:tc>
        <w:tc>
          <w:tcPr>
            <w:tcW w:type="dxa" w:w="1296"/>
            <w:shd w:val="clear" w:color="auto" w:fill="EFEFEF"/>
          </w:tcPr>
          <w:p>
            <w:pPr>
              <w:spacing w:line="240" w:lineRule="auto" w:before="40" w:after="40"/>
              <w:jc w:val="center"/>
            </w:pPr>
            <w:r/>
            <w:r>
              <w:rPr>
                <w:b w:val="0"/>
                <w:i w:val="0"/>
                <w:sz w:val="17"/>
              </w:rPr>
              <w:t>3,737,336</w:t>
            </w:r>
          </w:p>
        </w:tc>
      </w:tr>
      <w:tr>
        <w:tc>
          <w:tcPr>
            <w:tcW w:type="dxa" w:w="2304"/>
          </w:tcPr>
          <w:p>
            <w:pPr>
              <w:spacing w:line="240" w:lineRule="auto" w:before="40" w:after="40"/>
              <w:jc w:val="left"/>
            </w:pPr>
            <w:r/>
            <w:r>
              <w:rPr>
                <w:b w:val="0"/>
                <w:i/>
                <w:sz w:val="17"/>
              </w:rPr>
              <w:t>Span Length</w:t>
            </w:r>
          </w:p>
        </w:tc>
        <w:tc>
          <w:tcPr>
            <w:tcW w:type="dxa" w:w="1440"/>
          </w:tcPr>
          <w:p>
            <w:pPr>
              <w:spacing w:line="240" w:lineRule="auto" w:before="40" w:after="40"/>
              <w:jc w:val="center"/>
            </w:pPr>
            <w:r/>
            <w:r>
              <w:rPr>
                <w:b w:val="0"/>
                <w:i w:val="0"/>
                <w:sz w:val="17"/>
              </w:rPr>
              <w:t>274,632</w:t>
            </w:r>
          </w:p>
        </w:tc>
        <w:tc>
          <w:tcPr>
            <w:tcW w:type="dxa" w:w="1296"/>
          </w:tcPr>
          <w:p>
            <w:pPr>
              <w:spacing w:line="240" w:lineRule="auto" w:before="40" w:after="40"/>
              <w:jc w:val="center"/>
            </w:pPr>
            <w:r/>
            <w:r>
              <w:rPr>
                <w:b w:val="0"/>
                <w:i w:val="0"/>
                <w:sz w:val="17"/>
              </w:rPr>
              <w:t>124,921</w:t>
            </w:r>
          </w:p>
        </w:tc>
        <w:tc>
          <w:tcPr>
            <w:tcW w:type="dxa" w:w="864"/>
          </w:tcPr>
          <w:p>
            <w:pPr>
              <w:spacing w:line="240" w:lineRule="auto" w:before="40" w:after="40"/>
              <w:jc w:val="center"/>
            </w:pPr>
            <w:r/>
            <w:r>
              <w:rPr>
                <w:b w:val="0"/>
                <w:i w:val="0"/>
                <w:sz w:val="17"/>
              </w:rPr>
              <w:t>2.198</w:t>
            </w:r>
          </w:p>
        </w:tc>
        <w:tc>
          <w:tcPr>
            <w:tcW w:type="dxa" w:w="1008"/>
          </w:tcPr>
          <w:p>
            <w:pPr>
              <w:spacing w:line="240" w:lineRule="auto" w:before="40" w:after="40"/>
              <w:jc w:val="center"/>
            </w:pPr>
            <w:r/>
            <w:r>
              <w:rPr>
                <w:b w:val="0"/>
                <w:i w:val="0"/>
                <w:sz w:val="17"/>
              </w:rPr>
              <w:t>0.030*</w:t>
            </w:r>
          </w:p>
        </w:tc>
        <w:tc>
          <w:tcPr>
            <w:tcW w:type="dxa" w:w="1296"/>
          </w:tcPr>
          <w:p>
            <w:pPr>
              <w:spacing w:line="240" w:lineRule="auto" w:before="40" w:after="40"/>
              <w:jc w:val="center"/>
            </w:pPr>
            <w:r/>
            <w:r>
              <w:rPr>
                <w:b w:val="0"/>
                <w:i w:val="0"/>
                <w:sz w:val="17"/>
              </w:rPr>
              <w:t>27,491</w:t>
            </w:r>
          </w:p>
        </w:tc>
        <w:tc>
          <w:tcPr>
            <w:tcW w:type="dxa" w:w="1296"/>
          </w:tcPr>
          <w:p>
            <w:pPr>
              <w:spacing w:line="240" w:lineRule="auto" w:before="40" w:after="40"/>
              <w:jc w:val="center"/>
            </w:pPr>
            <w:r/>
            <w:r>
              <w:rPr>
                <w:b w:val="0"/>
                <w:i w:val="0"/>
                <w:sz w:val="17"/>
              </w:rPr>
              <w:t>521,773</w:t>
            </w:r>
          </w:p>
        </w:tc>
      </w:tr>
      <w:tr>
        <w:tc>
          <w:tcPr>
            <w:tcW w:type="dxa" w:w="2304"/>
            <w:shd w:val="clear" w:color="auto" w:fill="EFEFEF"/>
          </w:tcPr>
          <w:p>
            <w:pPr>
              <w:spacing w:line="240" w:lineRule="auto" w:before="40" w:after="40"/>
              <w:jc w:val="left"/>
            </w:pPr>
            <w:r/>
            <w:r>
              <w:rPr>
                <w:b w:val="0"/>
                <w:i/>
                <w:sz w:val="17"/>
              </w:rPr>
              <w:t>Pier Height</w:t>
            </w:r>
          </w:p>
        </w:tc>
        <w:tc>
          <w:tcPr>
            <w:tcW w:type="dxa" w:w="1440"/>
            <w:shd w:val="clear" w:color="auto" w:fill="EFEFEF"/>
          </w:tcPr>
          <w:p>
            <w:pPr>
              <w:spacing w:line="240" w:lineRule="auto" w:before="40" w:after="40"/>
              <w:jc w:val="center"/>
            </w:pPr>
            <w:r/>
            <w:r>
              <w:rPr>
                <w:b w:val="0"/>
                <w:i w:val="0"/>
                <w:sz w:val="17"/>
              </w:rPr>
              <w:t>-2,613</w:t>
            </w:r>
          </w:p>
        </w:tc>
        <w:tc>
          <w:tcPr>
            <w:tcW w:type="dxa" w:w="1296"/>
            <w:shd w:val="clear" w:color="auto" w:fill="EFEFEF"/>
          </w:tcPr>
          <w:p>
            <w:pPr>
              <w:spacing w:line="240" w:lineRule="auto" w:before="40" w:after="40"/>
              <w:jc w:val="center"/>
            </w:pPr>
            <w:r/>
            <w:r>
              <w:rPr>
                <w:b w:val="0"/>
                <w:i w:val="0"/>
                <w:sz w:val="17"/>
              </w:rPr>
              <w:t>393,175</w:t>
            </w:r>
          </w:p>
        </w:tc>
        <w:tc>
          <w:tcPr>
            <w:tcW w:type="dxa" w:w="864"/>
            <w:shd w:val="clear" w:color="auto" w:fill="EFEFEF"/>
          </w:tcPr>
          <w:p>
            <w:pPr>
              <w:spacing w:line="240" w:lineRule="auto" w:before="40" w:after="40"/>
              <w:jc w:val="center"/>
            </w:pPr>
            <w:r/>
            <w:r>
              <w:rPr>
                <w:b w:val="0"/>
                <w:i w:val="0"/>
                <w:sz w:val="17"/>
              </w:rPr>
              <w:t>-0.007</w:t>
            </w:r>
          </w:p>
        </w:tc>
        <w:tc>
          <w:tcPr>
            <w:tcW w:type="dxa" w:w="1008"/>
            <w:shd w:val="clear" w:color="auto" w:fill="EFEFEF"/>
          </w:tcPr>
          <w:p>
            <w:pPr>
              <w:spacing w:line="240" w:lineRule="auto" w:before="40" w:after="40"/>
              <w:jc w:val="center"/>
            </w:pPr>
            <w:r/>
            <w:r>
              <w:rPr>
                <w:b w:val="0"/>
                <w:i w:val="0"/>
                <w:sz w:val="17"/>
              </w:rPr>
              <w:t>0.995</w:t>
            </w:r>
          </w:p>
        </w:tc>
        <w:tc>
          <w:tcPr>
            <w:tcW w:type="dxa" w:w="1296"/>
            <w:shd w:val="clear" w:color="auto" w:fill="EFEFEF"/>
          </w:tcPr>
          <w:p>
            <w:pPr>
              <w:spacing w:line="240" w:lineRule="auto" w:before="40" w:after="40"/>
              <w:jc w:val="center"/>
            </w:pPr>
            <w:r/>
            <w:r>
              <w:rPr>
                <w:b w:val="0"/>
                <w:i w:val="0"/>
                <w:sz w:val="17"/>
              </w:rPr>
              <w:t>-780,463</w:t>
            </w:r>
          </w:p>
        </w:tc>
        <w:tc>
          <w:tcPr>
            <w:tcW w:type="dxa" w:w="1296"/>
            <w:shd w:val="clear" w:color="auto" w:fill="EFEFEF"/>
          </w:tcPr>
          <w:p>
            <w:pPr>
              <w:spacing w:line="240" w:lineRule="auto" w:before="40" w:after="40"/>
              <w:jc w:val="center"/>
            </w:pPr>
            <w:r/>
            <w:r>
              <w:rPr>
                <w:b w:val="0"/>
                <w:i w:val="0"/>
                <w:sz w:val="17"/>
              </w:rPr>
              <w:t>775,237</w:t>
            </w:r>
          </w:p>
        </w:tc>
      </w:tr>
      <w:tr>
        <w:tc>
          <w:tcPr>
            <w:tcW w:type="dxa" w:w="2304"/>
          </w:tcPr>
          <w:p>
            <w:pPr>
              <w:spacing w:line="240" w:lineRule="auto" w:before="40" w:after="40"/>
              <w:jc w:val="left"/>
            </w:pPr>
            <w:r/>
            <w:r>
              <w:rPr>
                <w:b w:val="0"/>
                <w:i/>
                <w:sz w:val="17"/>
              </w:rPr>
              <w:t>Abutment Height</w:t>
            </w:r>
          </w:p>
        </w:tc>
        <w:tc>
          <w:tcPr>
            <w:tcW w:type="dxa" w:w="1440"/>
          </w:tcPr>
          <w:p>
            <w:pPr>
              <w:spacing w:line="240" w:lineRule="auto" w:before="40" w:after="40"/>
              <w:jc w:val="center"/>
            </w:pPr>
            <w:r/>
            <w:r>
              <w:rPr>
                <w:b w:val="0"/>
                <w:i w:val="0"/>
                <w:sz w:val="17"/>
              </w:rPr>
              <w:t>1,313,775</w:t>
            </w:r>
          </w:p>
        </w:tc>
        <w:tc>
          <w:tcPr>
            <w:tcW w:type="dxa" w:w="1296"/>
          </w:tcPr>
          <w:p>
            <w:pPr>
              <w:spacing w:line="240" w:lineRule="auto" w:before="40" w:after="40"/>
              <w:jc w:val="center"/>
            </w:pPr>
            <w:r/>
            <w:r>
              <w:rPr>
                <w:b w:val="0"/>
                <w:i w:val="0"/>
                <w:sz w:val="17"/>
              </w:rPr>
              <w:t>849,695</w:t>
            </w:r>
          </w:p>
        </w:tc>
        <w:tc>
          <w:tcPr>
            <w:tcW w:type="dxa" w:w="864"/>
          </w:tcPr>
          <w:p>
            <w:pPr>
              <w:spacing w:line="240" w:lineRule="auto" w:before="40" w:after="40"/>
              <w:jc w:val="center"/>
            </w:pPr>
            <w:r/>
            <w:r>
              <w:rPr>
                <w:b w:val="0"/>
                <w:i w:val="0"/>
                <w:sz w:val="17"/>
              </w:rPr>
              <w:t>1.546</w:t>
            </w:r>
          </w:p>
        </w:tc>
        <w:tc>
          <w:tcPr>
            <w:tcW w:type="dxa" w:w="1008"/>
          </w:tcPr>
          <w:p>
            <w:pPr>
              <w:spacing w:line="240" w:lineRule="auto" w:before="40" w:after="40"/>
              <w:jc w:val="center"/>
            </w:pPr>
            <w:r/>
            <w:r>
              <w:rPr>
                <w:b w:val="0"/>
                <w:i w:val="0"/>
                <w:sz w:val="17"/>
              </w:rPr>
              <w:t>0.124</w:t>
            </w:r>
          </w:p>
        </w:tc>
        <w:tc>
          <w:tcPr>
            <w:tcW w:type="dxa" w:w="1296"/>
          </w:tcPr>
          <w:p>
            <w:pPr>
              <w:spacing w:line="240" w:lineRule="auto" w:before="40" w:after="40"/>
              <w:jc w:val="center"/>
            </w:pPr>
            <w:r/>
            <w:r>
              <w:rPr>
                <w:b w:val="0"/>
                <w:i w:val="0"/>
                <w:sz w:val="17"/>
              </w:rPr>
              <w:t>-367,246</w:t>
            </w:r>
          </w:p>
        </w:tc>
        <w:tc>
          <w:tcPr>
            <w:tcW w:type="dxa" w:w="1296"/>
          </w:tcPr>
          <w:p>
            <w:pPr>
              <w:spacing w:line="240" w:lineRule="auto" w:before="40" w:after="40"/>
              <w:jc w:val="center"/>
            </w:pPr>
            <w:r/>
            <w:r>
              <w:rPr>
                <w:b w:val="0"/>
                <w:i w:val="0"/>
                <w:sz w:val="17"/>
              </w:rPr>
              <w:t>2,994,795</w:t>
            </w:r>
          </w:p>
        </w:tc>
      </w:tr>
      <w:tr>
        <w:tc>
          <w:tcPr>
            <w:tcW w:type="dxa" w:w="2304"/>
            <w:shd w:val="clear" w:color="auto" w:fill="EFEFEF"/>
          </w:tcPr>
          <w:p>
            <w:pPr>
              <w:spacing w:line="240" w:lineRule="auto" w:before="40" w:after="40"/>
              <w:jc w:val="left"/>
            </w:pPr>
            <w:r/>
            <w:r>
              <w:rPr>
                <w:b w:val="0"/>
                <w:i/>
                <w:sz w:val="17"/>
              </w:rPr>
              <w:t>Foundation Type Index</w:t>
            </w:r>
          </w:p>
        </w:tc>
        <w:tc>
          <w:tcPr>
            <w:tcW w:type="dxa" w:w="1440"/>
            <w:shd w:val="clear" w:color="auto" w:fill="EFEFEF"/>
          </w:tcPr>
          <w:p>
            <w:pPr>
              <w:spacing w:line="240" w:lineRule="auto" w:before="40" w:after="40"/>
              <w:jc w:val="center"/>
            </w:pPr>
            <w:r/>
            <w:r>
              <w:rPr>
                <w:b w:val="0"/>
                <w:i w:val="0"/>
                <w:sz w:val="17"/>
              </w:rPr>
              <w:t>8,727,086</w:t>
            </w:r>
          </w:p>
        </w:tc>
        <w:tc>
          <w:tcPr>
            <w:tcW w:type="dxa" w:w="1296"/>
            <w:shd w:val="clear" w:color="auto" w:fill="EFEFEF"/>
          </w:tcPr>
          <w:p>
            <w:pPr>
              <w:spacing w:line="240" w:lineRule="auto" w:before="40" w:after="40"/>
              <w:jc w:val="center"/>
            </w:pPr>
            <w:r/>
            <w:r>
              <w:rPr>
                <w:b w:val="0"/>
                <w:i w:val="0"/>
                <w:sz w:val="17"/>
              </w:rPr>
              <w:t>2,644,518</w:t>
            </w:r>
          </w:p>
        </w:tc>
        <w:tc>
          <w:tcPr>
            <w:tcW w:type="dxa" w:w="864"/>
            <w:shd w:val="clear" w:color="auto" w:fill="EFEFEF"/>
          </w:tcPr>
          <w:p>
            <w:pPr>
              <w:spacing w:line="240" w:lineRule="auto" w:before="40" w:after="40"/>
              <w:jc w:val="center"/>
            </w:pPr>
            <w:r/>
            <w:r>
              <w:rPr>
                <w:b w:val="0"/>
                <w:i w:val="0"/>
                <w:sz w:val="17"/>
              </w:rPr>
              <w:t>3.300</w:t>
            </w:r>
          </w:p>
        </w:tc>
        <w:tc>
          <w:tcPr>
            <w:tcW w:type="dxa" w:w="1008"/>
            <w:shd w:val="clear" w:color="auto" w:fill="EFEFEF"/>
          </w:tcPr>
          <w:p>
            <w:pPr>
              <w:spacing w:line="240" w:lineRule="auto" w:before="40" w:after="40"/>
              <w:jc w:val="center"/>
            </w:pPr>
            <w:r/>
            <w:r>
              <w:rPr>
                <w:b w:val="0"/>
                <w:i w:val="0"/>
                <w:sz w:val="17"/>
              </w:rPr>
              <w:t>0.001*</w:t>
            </w:r>
          </w:p>
        </w:tc>
        <w:tc>
          <w:tcPr>
            <w:tcW w:type="dxa" w:w="1296"/>
            <w:shd w:val="clear" w:color="auto" w:fill="EFEFEF"/>
          </w:tcPr>
          <w:p>
            <w:pPr>
              <w:spacing w:line="240" w:lineRule="auto" w:before="40" w:after="40"/>
              <w:jc w:val="center"/>
            </w:pPr>
            <w:r/>
            <w:r>
              <w:rPr>
                <w:b w:val="0"/>
                <w:i w:val="0"/>
                <w:sz w:val="17"/>
              </w:rPr>
              <w:t>3,495,222</w:t>
            </w:r>
          </w:p>
        </w:tc>
        <w:tc>
          <w:tcPr>
            <w:tcW w:type="dxa" w:w="1296"/>
            <w:shd w:val="clear" w:color="auto" w:fill="EFEFEF"/>
          </w:tcPr>
          <w:p>
            <w:pPr>
              <w:spacing w:line="240" w:lineRule="auto" w:before="40" w:after="40"/>
              <w:jc w:val="center"/>
            </w:pPr>
            <w:r/>
            <w:r>
              <w:rPr>
                <w:b w:val="0"/>
                <w:i w:val="0"/>
                <w:sz w:val="17"/>
              </w:rPr>
              <w:t>13,958,949</w:t>
            </w:r>
          </w:p>
        </w:tc>
      </w:tr>
      <w:tr>
        <w:tc>
          <w:tcPr>
            <w:tcW w:type="dxa" w:w="2304"/>
          </w:tcPr>
          <w:p>
            <w:pPr>
              <w:spacing w:line="240" w:lineRule="auto" w:before="40" w:after="40"/>
              <w:jc w:val="left"/>
            </w:pPr>
            <w:r/>
            <w:r>
              <w:rPr>
                <w:b w:val="0"/>
                <w:i/>
                <w:sz w:val="17"/>
              </w:rPr>
              <w:t>Pile Length</w:t>
            </w:r>
          </w:p>
        </w:tc>
        <w:tc>
          <w:tcPr>
            <w:tcW w:type="dxa" w:w="1440"/>
          </w:tcPr>
          <w:p>
            <w:pPr>
              <w:spacing w:line="240" w:lineRule="auto" w:before="40" w:after="40"/>
              <w:jc w:val="center"/>
            </w:pPr>
            <w:r/>
            <w:r>
              <w:rPr>
                <w:b w:val="0"/>
                <w:i w:val="0"/>
                <w:sz w:val="17"/>
              </w:rPr>
              <w:t>340,928</w:t>
            </w:r>
          </w:p>
        </w:tc>
        <w:tc>
          <w:tcPr>
            <w:tcW w:type="dxa" w:w="1296"/>
          </w:tcPr>
          <w:p>
            <w:pPr>
              <w:spacing w:line="240" w:lineRule="auto" w:before="40" w:after="40"/>
              <w:jc w:val="center"/>
            </w:pPr>
            <w:r/>
            <w:r>
              <w:rPr>
                <w:b w:val="0"/>
                <w:i w:val="0"/>
                <w:sz w:val="17"/>
              </w:rPr>
              <w:t>171,104</w:t>
            </w:r>
          </w:p>
        </w:tc>
        <w:tc>
          <w:tcPr>
            <w:tcW w:type="dxa" w:w="864"/>
          </w:tcPr>
          <w:p>
            <w:pPr>
              <w:spacing w:line="240" w:lineRule="auto" w:before="40" w:after="40"/>
              <w:jc w:val="center"/>
            </w:pPr>
            <w:r/>
            <w:r>
              <w:rPr>
                <w:b w:val="0"/>
                <w:i w:val="0"/>
                <w:sz w:val="17"/>
              </w:rPr>
              <w:t>1.993</w:t>
            </w:r>
          </w:p>
        </w:tc>
        <w:tc>
          <w:tcPr>
            <w:tcW w:type="dxa" w:w="1008"/>
          </w:tcPr>
          <w:p>
            <w:pPr>
              <w:spacing w:line="240" w:lineRule="auto" w:before="40" w:after="40"/>
              <w:jc w:val="center"/>
            </w:pPr>
            <w:r/>
            <w:r>
              <w:rPr>
                <w:b w:val="0"/>
                <w:i w:val="0"/>
                <w:sz w:val="17"/>
              </w:rPr>
              <w:t>0.048*</w:t>
            </w:r>
          </w:p>
        </w:tc>
        <w:tc>
          <w:tcPr>
            <w:tcW w:type="dxa" w:w="1296"/>
          </w:tcPr>
          <w:p>
            <w:pPr>
              <w:spacing w:line="240" w:lineRule="auto" w:before="40" w:after="40"/>
              <w:jc w:val="center"/>
            </w:pPr>
            <w:r/>
            <w:r>
              <w:rPr>
                <w:b w:val="0"/>
                <w:i w:val="0"/>
                <w:sz w:val="17"/>
              </w:rPr>
              <w:t>2,419</w:t>
            </w:r>
          </w:p>
        </w:tc>
        <w:tc>
          <w:tcPr>
            <w:tcW w:type="dxa" w:w="1296"/>
          </w:tcPr>
          <w:p>
            <w:pPr>
              <w:spacing w:line="240" w:lineRule="auto" w:before="40" w:after="40"/>
              <w:jc w:val="center"/>
            </w:pPr>
            <w:r/>
            <w:r>
              <w:rPr>
                <w:b w:val="0"/>
                <w:i w:val="0"/>
                <w:sz w:val="17"/>
              </w:rPr>
              <w:t>679,437</w:t>
            </w:r>
          </w:p>
        </w:tc>
      </w:tr>
      <w:tr>
        <w:tc>
          <w:tcPr>
            <w:tcW w:type="dxa" w:w="2304"/>
            <w:shd w:val="clear" w:color="auto" w:fill="EFEFEF"/>
          </w:tcPr>
          <w:p>
            <w:pPr>
              <w:spacing w:line="240" w:lineRule="auto" w:before="40" w:after="40"/>
              <w:jc w:val="left"/>
            </w:pPr>
            <w:r/>
            <w:r>
              <w:rPr>
                <w:b w:val="0"/>
                <w:i/>
                <w:sz w:val="17"/>
              </w:rPr>
              <w:t>Location Factor</w:t>
            </w:r>
          </w:p>
        </w:tc>
        <w:tc>
          <w:tcPr>
            <w:tcW w:type="dxa" w:w="1440"/>
            <w:shd w:val="clear" w:color="auto" w:fill="EFEFEF"/>
          </w:tcPr>
          <w:p>
            <w:pPr>
              <w:spacing w:line="240" w:lineRule="auto" w:before="40" w:after="40"/>
              <w:jc w:val="center"/>
            </w:pPr>
            <w:r/>
            <w:r>
              <w:rPr>
                <w:b w:val="0"/>
                <w:i w:val="0"/>
                <w:sz w:val="17"/>
              </w:rPr>
              <w:t>71,540,128</w:t>
            </w:r>
          </w:p>
        </w:tc>
        <w:tc>
          <w:tcPr>
            <w:tcW w:type="dxa" w:w="1296"/>
            <w:shd w:val="clear" w:color="auto" w:fill="EFEFEF"/>
          </w:tcPr>
          <w:p>
            <w:pPr>
              <w:spacing w:line="240" w:lineRule="auto" w:before="40" w:after="40"/>
              <w:jc w:val="center"/>
            </w:pPr>
            <w:r/>
            <w:r>
              <w:rPr>
                <w:b w:val="0"/>
                <w:i w:val="0"/>
                <w:sz w:val="17"/>
              </w:rPr>
              <w:t>24,680,609</w:t>
            </w:r>
          </w:p>
        </w:tc>
        <w:tc>
          <w:tcPr>
            <w:tcW w:type="dxa" w:w="864"/>
            <w:shd w:val="clear" w:color="auto" w:fill="EFEFEF"/>
          </w:tcPr>
          <w:p>
            <w:pPr>
              <w:spacing w:line="240" w:lineRule="auto" w:before="40" w:after="40"/>
              <w:jc w:val="center"/>
            </w:pPr>
            <w:r/>
            <w:r>
              <w:rPr>
                <w:b w:val="0"/>
                <w:i w:val="0"/>
                <w:sz w:val="17"/>
              </w:rPr>
              <w:t>2.899</w:t>
            </w:r>
          </w:p>
        </w:tc>
        <w:tc>
          <w:tcPr>
            <w:tcW w:type="dxa" w:w="1008"/>
            <w:shd w:val="clear" w:color="auto" w:fill="EFEFEF"/>
          </w:tcPr>
          <w:p>
            <w:pPr>
              <w:spacing w:line="240" w:lineRule="auto" w:before="40" w:after="40"/>
              <w:jc w:val="center"/>
            </w:pPr>
            <w:r/>
            <w:r>
              <w:rPr>
                <w:b w:val="0"/>
                <w:i w:val="0"/>
                <w:sz w:val="17"/>
              </w:rPr>
              <w:t>0.004*</w:t>
            </w:r>
          </w:p>
        </w:tc>
        <w:tc>
          <w:tcPr>
            <w:tcW w:type="dxa" w:w="1296"/>
            <w:shd w:val="clear" w:color="auto" w:fill="EFEFEF"/>
          </w:tcPr>
          <w:p>
            <w:pPr>
              <w:spacing w:line="240" w:lineRule="auto" w:before="40" w:after="40"/>
              <w:jc w:val="center"/>
            </w:pPr>
            <w:r/>
            <w:r>
              <w:rPr>
                <w:b w:val="0"/>
                <w:i w:val="0"/>
                <w:sz w:val="17"/>
              </w:rPr>
              <w:t>22,712,494</w:t>
            </w:r>
          </w:p>
        </w:tc>
        <w:tc>
          <w:tcPr>
            <w:tcW w:type="dxa" w:w="1296"/>
            <w:shd w:val="clear" w:color="auto" w:fill="EFEFEF"/>
          </w:tcPr>
          <w:p>
            <w:pPr>
              <w:spacing w:line="240" w:lineRule="auto" w:before="40" w:after="40"/>
              <w:jc w:val="center"/>
            </w:pPr>
            <w:r/>
            <w:r>
              <w:rPr>
                <w:b w:val="0"/>
                <w:i w:val="0"/>
                <w:sz w:val="17"/>
              </w:rPr>
              <w:t>120,367,761</w:t>
            </w:r>
          </w:p>
        </w:tc>
      </w:tr>
      <w:tr>
        <w:tc>
          <w:tcPr>
            <w:tcW w:type="dxa" w:w="2304"/>
            <w:tcBorders>
              <w:bottom w:val="single" w:sz="12" w:color="000000"/>
            </w:tcBorders>
          </w:tcPr>
          <w:p>
            <w:pPr>
              <w:spacing w:line="240" w:lineRule="auto" w:before="40" w:after="40"/>
              <w:jc w:val="left"/>
            </w:pPr>
            <w:r/>
            <w:r>
              <w:rPr>
                <w:b w:val="0"/>
                <w:i/>
                <w:sz w:val="17"/>
              </w:rPr>
              <w:t>Cost Index (Year)</w:t>
            </w:r>
          </w:p>
        </w:tc>
        <w:tc>
          <w:tcPr>
            <w:tcW w:type="dxa" w:w="1440"/>
            <w:tcBorders>
              <w:bottom w:val="single" w:sz="12" w:color="000000"/>
            </w:tcBorders>
          </w:tcPr>
          <w:p>
            <w:pPr>
              <w:spacing w:line="240" w:lineRule="auto" w:before="40" w:after="40"/>
              <w:jc w:val="center"/>
            </w:pPr>
            <w:r/>
            <w:r>
              <w:rPr>
                <w:b w:val="0"/>
                <w:i w:val="0"/>
                <w:sz w:val="17"/>
              </w:rPr>
              <w:t>30,119,933</w:t>
            </w:r>
          </w:p>
        </w:tc>
        <w:tc>
          <w:tcPr>
            <w:tcW w:type="dxa" w:w="1296"/>
            <w:tcBorders>
              <w:bottom w:val="single" w:sz="12" w:color="000000"/>
            </w:tcBorders>
          </w:tcPr>
          <w:p>
            <w:pPr>
              <w:spacing w:line="240" w:lineRule="auto" w:before="40" w:after="40"/>
              <w:jc w:val="center"/>
            </w:pPr>
            <w:r/>
            <w:r>
              <w:rPr>
                <w:b w:val="0"/>
                <w:i w:val="0"/>
                <w:sz w:val="17"/>
              </w:rPr>
              <w:t>30,007,182</w:t>
            </w:r>
          </w:p>
        </w:tc>
        <w:tc>
          <w:tcPr>
            <w:tcW w:type="dxa" w:w="864"/>
            <w:tcBorders>
              <w:bottom w:val="single" w:sz="12" w:color="000000"/>
            </w:tcBorders>
          </w:tcPr>
          <w:p>
            <w:pPr>
              <w:spacing w:line="240" w:lineRule="auto" w:before="40" w:after="40"/>
              <w:jc w:val="center"/>
            </w:pPr>
            <w:r/>
            <w:r>
              <w:rPr>
                <w:b w:val="0"/>
                <w:i w:val="0"/>
                <w:sz w:val="17"/>
              </w:rPr>
              <w:t>1.004</w:t>
            </w:r>
          </w:p>
        </w:tc>
        <w:tc>
          <w:tcPr>
            <w:tcW w:type="dxa" w:w="1008"/>
            <w:tcBorders>
              <w:bottom w:val="single" w:sz="12" w:color="000000"/>
            </w:tcBorders>
          </w:tcPr>
          <w:p>
            <w:pPr>
              <w:spacing w:line="240" w:lineRule="auto" w:before="40" w:after="40"/>
              <w:jc w:val="center"/>
            </w:pPr>
            <w:r/>
            <w:r>
              <w:rPr>
                <w:b w:val="0"/>
                <w:i w:val="0"/>
                <w:sz w:val="17"/>
              </w:rPr>
              <w:t>0.317</w:t>
            </w:r>
          </w:p>
        </w:tc>
        <w:tc>
          <w:tcPr>
            <w:tcW w:type="dxa" w:w="1296"/>
            <w:tcBorders>
              <w:bottom w:val="single" w:sz="12" w:color="000000"/>
            </w:tcBorders>
          </w:tcPr>
          <w:p>
            <w:pPr>
              <w:spacing w:line="240" w:lineRule="auto" w:before="40" w:after="40"/>
              <w:jc w:val="center"/>
            </w:pPr>
            <w:r/>
            <w:r>
              <w:rPr>
                <w:b w:val="0"/>
                <w:i w:val="0"/>
                <w:sz w:val="17"/>
              </w:rPr>
              <w:t>-29,245,688</w:t>
            </w:r>
          </w:p>
        </w:tc>
        <w:tc>
          <w:tcPr>
            <w:tcW w:type="dxa" w:w="1296"/>
            <w:tcBorders>
              <w:bottom w:val="single" w:sz="12" w:color="000000"/>
            </w:tcBorders>
          </w:tcPr>
          <w:p>
            <w:pPr>
              <w:spacing w:line="240" w:lineRule="auto" w:before="40" w:after="40"/>
              <w:jc w:val="center"/>
            </w:pPr>
            <w:r/>
            <w:r>
              <w:rPr>
                <w:b w:val="0"/>
                <w:i w:val="0"/>
                <w:sz w:val="17"/>
              </w:rPr>
              <w:t>89,485,553</w:t>
            </w:r>
          </w:p>
        </w:tc>
      </w:tr>
    </w:tbl>
    <w:p>
      <w:pPr>
        <w:spacing w:line="240" w:lineRule="auto" w:after="80"/>
      </w:pPr>
    </w:p>
    <w:p>
      <w:pPr>
        <w:spacing w:line="480" w:lineRule="auto" w:after="0"/>
        <w:ind w:firstLine="720"/>
        <w:jc w:val="both"/>
      </w:pPr>
      <w:r>
        <w:rPr>
          <w:b w:val="0"/>
          <w:i w:val="0"/>
        </w:rPr>
        <w:t>Table 21 presents the reduced bridge model (R</w:t>
      </w:r>
      <w:r>
        <w:rPr>
          <w:b w:val="0"/>
          <w:i w:val="0"/>
          <w:vertAlign w:val="superscript"/>
        </w:rPr>
        <w:t>2</w:t>
      </w:r>
      <w:r>
        <w:rPr>
          <w:b w:val="0"/>
          <w:i w:val="0"/>
        </w:rPr>
        <w:t xml:space="preserve"> = 0.8866, adjusted R</w:t>
      </w:r>
      <w:r>
        <w:rPr>
          <w:b w:val="0"/>
          <w:i w:val="0"/>
          <w:vertAlign w:val="superscript"/>
        </w:rPr>
        <w:t>2</w:t>
      </w:r>
      <w:r>
        <w:rPr>
          <w:b w:val="0"/>
          <w:i w:val="0"/>
        </w:rPr>
        <w:t xml:space="preserve"> = 0.8787, F = 112.91, p &lt; 0.001). Total length (t = 11.772) and deck width (t = 4.223) were the strongest predictors: each additional meter of length adds about ₱630,763 and each meter of width about ₱2,545,124. Foundation type, pile length, span length and location were also significant, while pier height and price year were not.</w:t>
      </w:r>
    </w:p>
    <w:p>
      <w:pPr>
        <w:spacing w:line="480" w:lineRule="auto" w:after="0"/>
        <w:ind w:firstLine="720"/>
        <w:jc w:val="both"/>
      </w:pPr>
      <w:r>
        <w:rPr>
          <w:b w:val="0"/>
          <w:i w:val="0"/>
        </w:rPr>
        <w:t>Substituting the coefficients into the general model gives the reduced working equations, rounded to four significant digits:</w:t>
      </w:r>
    </w:p>
    <w:p>
      <w:pPr>
        <w:spacing w:line="360" w:lineRule="auto" w:after="120"/>
        <w:jc w:val="center"/>
      </w:pPr>
      <w:r>
        <w:rPr>
          <w:b/>
          <w:i/>
        </w:rPr>
        <w:t>Cost</w:t>
      </w:r>
      <w:r>
        <w:rPr>
          <w:b/>
          <w:i/>
          <w:vertAlign w:val="subscript"/>
        </w:rPr>
        <w:t>building</w:t>
      </w:r>
      <w:r>
        <w:rPr>
          <w:b/>
          <w:i/>
        </w:rPr>
        <w:t xml:space="preserve"> = 20,380 GFA + 8,496 Footprint + 1,261,000 Storeys + 126,300 Span + 234,900 FloorHeight + 463,300 Type + 1,404,000 RoofRC + 18,030,000 Location + 25,040,000 Year − 46,110,000</w:t>
      </w:r>
    </w:p>
    <w:p>
      <w:pPr>
        <w:spacing w:line="360" w:lineRule="auto" w:after="120"/>
        <w:jc w:val="center"/>
      </w:pPr>
      <w:r>
        <w:rPr>
          <w:b/>
          <w:i/>
        </w:rPr>
        <w:t>Cost</w:t>
      </w:r>
      <w:r>
        <w:rPr>
          <w:b/>
          <w:i/>
          <w:vertAlign w:val="subscript"/>
        </w:rPr>
        <w:t>bridge</w:t>
      </w:r>
      <w:r>
        <w:rPr>
          <w:b/>
          <w:i/>
        </w:rPr>
        <w:t xml:space="preserve"> = 630,800 Length + 2,545,000 Width + 274,600 Span − 2,613 PierHeight + 1,314,000 AbutmentHeight + 8,727,000 Foundation + 340,900 PileLength + 71,540,000 Location + 30,120,000 Year − 141,300,000</w:t>
      </w:r>
    </w:p>
    <w:p>
      <w:pPr>
        <w:keepNext/>
        <w:spacing w:line="240" w:lineRule="auto" w:after="0" w:before="120"/>
        <w:jc w:val="left"/>
      </w:pPr>
      <w:r>
        <w:rPr>
          <w:b/>
          <w:i w:val="0"/>
        </w:rPr>
        <w:t>Table 22.</w:t>
      </w:r>
    </w:p>
    <w:p>
      <w:pPr>
        <w:keepNext/>
        <w:spacing w:line="240" w:lineRule="auto" w:after="0"/>
        <w:jc w:val="left"/>
      </w:pPr>
      <w:r>
        <w:rPr>
          <w:b w:val="0"/>
          <w:i/>
        </w:rPr>
        <w:t>Performance of the Multiple Linear Regression Models under LOOCV</w:t>
      </w:r>
    </w:p>
    <w:tbl>
      <w:tblPr>
        <w:tblW w:type="auto" w:w="0"/>
        <w:jc w:val="center"/>
        <w:tblLayout w:type="fixed"/>
        <w:tblLook w:firstColumn="1" w:firstRow="1" w:lastColumn="0" w:lastRow="0" w:noHBand="0" w:noVBand="1" w:val="04A0"/>
        <w:tblLayout w:type="fixed"/>
      </w:tblPr>
      <w:tblGrid>
        <w:gridCol w:w="4031"/>
        <w:gridCol w:w="2448"/>
        <w:gridCol w:w="2448"/>
      </w:tblGrid>
      <w:tr>
        <w:tc>
          <w:tcPr>
            <w:tcW w:type="dxa" w:w="4032"/>
            <w:tcBorders>
              <w:top w:val="single" w:sz="12" w:color="000000"/>
              <w:bottom w:val="single" w:sz="8" w:color="000000"/>
            </w:tcBorders>
          </w:tcPr>
          <w:p>
            <w:pPr>
              <w:spacing w:line="240" w:lineRule="auto" w:before="40" w:after="40"/>
              <w:jc w:val="center"/>
            </w:pPr>
            <w:r/>
            <w:r>
              <w:rPr>
                <w:b/>
                <w:i w:val="0"/>
                <w:sz w:val="20"/>
              </w:rPr>
              <w:t>METRIC (LOOCV)</w:t>
            </w:r>
          </w:p>
        </w:tc>
        <w:tc>
          <w:tcPr>
            <w:tcW w:type="dxa" w:w="2448"/>
            <w:tcBorders>
              <w:top w:val="single" w:sz="12" w:color="000000"/>
              <w:bottom w:val="single" w:sz="8" w:color="000000"/>
            </w:tcBorders>
          </w:tcPr>
          <w:p>
            <w:pPr>
              <w:spacing w:line="240" w:lineRule="auto" w:before="40" w:after="40"/>
              <w:jc w:val="center"/>
            </w:pPr>
            <w:r/>
            <w:r>
              <w:rPr>
                <w:b/>
                <w:i w:val="0"/>
                <w:sz w:val="20"/>
              </w:rPr>
              <w:t>BUILDINGS</w:t>
            </w:r>
          </w:p>
        </w:tc>
        <w:tc>
          <w:tcPr>
            <w:tcW w:type="dxa" w:w="2448"/>
            <w:tcBorders>
              <w:top w:val="single" w:sz="12" w:color="000000"/>
              <w:bottom w:val="single" w:sz="8" w:color="000000"/>
            </w:tcBorders>
          </w:tcPr>
          <w:p>
            <w:pPr>
              <w:spacing w:line="240" w:lineRule="auto" w:before="40" w:after="40"/>
              <w:jc w:val="center"/>
            </w:pPr>
            <w:r/>
            <w:r>
              <w:rPr>
                <w:b/>
                <w:i w:val="0"/>
                <w:sz w:val="20"/>
              </w:rPr>
              <w:t>BRIDGES</w:t>
            </w:r>
          </w:p>
        </w:tc>
      </w:tr>
      <w:tr>
        <w:tc>
          <w:tcPr>
            <w:tcW w:type="dxa" w:w="4032"/>
            <w:shd w:val="clear" w:color="auto" w:fill="EFEFEF"/>
          </w:tcPr>
          <w:p>
            <w:pPr>
              <w:spacing w:line="240" w:lineRule="auto" w:before="40" w:after="40"/>
              <w:jc w:val="left"/>
            </w:pPr>
            <w:r/>
            <w:r>
              <w:rPr>
                <w:b w:val="0"/>
                <w:i/>
                <w:sz w:val="20"/>
              </w:rPr>
              <w:t>R-squared</w:t>
            </w:r>
          </w:p>
        </w:tc>
        <w:tc>
          <w:tcPr>
            <w:tcW w:type="dxa" w:w="2448"/>
            <w:shd w:val="clear" w:color="auto" w:fill="EFEFEF"/>
          </w:tcPr>
          <w:p>
            <w:pPr>
              <w:spacing w:line="240" w:lineRule="auto" w:before="40" w:after="40"/>
              <w:jc w:val="center"/>
            </w:pPr>
            <w:r/>
            <w:r>
              <w:rPr>
                <w:b w:val="0"/>
                <w:i w:val="0"/>
                <w:sz w:val="20"/>
              </w:rPr>
              <w:t>0.8112</w:t>
            </w:r>
          </w:p>
        </w:tc>
        <w:tc>
          <w:tcPr>
            <w:tcW w:type="dxa" w:w="2448"/>
            <w:shd w:val="clear" w:color="auto" w:fill="EFEFEF"/>
          </w:tcPr>
          <w:p>
            <w:pPr>
              <w:spacing w:line="240" w:lineRule="auto" w:before="40" w:after="40"/>
              <w:jc w:val="center"/>
            </w:pPr>
            <w:r/>
            <w:r>
              <w:rPr>
                <w:b w:val="0"/>
                <w:i w:val="0"/>
                <w:sz w:val="20"/>
              </w:rPr>
              <w:t>0.8640</w:t>
            </w:r>
          </w:p>
        </w:tc>
      </w:tr>
      <w:tr>
        <w:tc>
          <w:tcPr>
            <w:tcW w:type="dxa" w:w="4032"/>
          </w:tcPr>
          <w:p>
            <w:pPr>
              <w:spacing w:line="240" w:lineRule="auto" w:before="40" w:after="40"/>
              <w:jc w:val="left"/>
            </w:pPr>
            <w:r/>
            <w:r>
              <w:rPr>
                <w:b w:val="0"/>
                <w:i/>
                <w:sz w:val="20"/>
              </w:rPr>
              <w:t>Root Mean Square Error</w:t>
            </w:r>
          </w:p>
        </w:tc>
        <w:tc>
          <w:tcPr>
            <w:tcW w:type="dxa" w:w="2448"/>
          </w:tcPr>
          <w:p>
            <w:pPr>
              <w:spacing w:line="240" w:lineRule="auto" w:before="40" w:after="40"/>
              <w:jc w:val="center"/>
            </w:pPr>
            <w:r/>
            <w:r>
              <w:rPr>
                <w:b w:val="0"/>
                <w:i w:val="0"/>
                <w:sz w:val="20"/>
              </w:rPr>
              <w:t>₱4,330,581</w:t>
            </w:r>
          </w:p>
        </w:tc>
        <w:tc>
          <w:tcPr>
            <w:tcW w:type="dxa" w:w="2448"/>
          </w:tcPr>
          <w:p>
            <w:pPr>
              <w:spacing w:line="240" w:lineRule="auto" w:before="40" w:after="40"/>
              <w:jc w:val="center"/>
            </w:pPr>
            <w:r/>
            <w:r>
              <w:rPr>
                <w:b w:val="0"/>
                <w:i w:val="0"/>
                <w:sz w:val="20"/>
              </w:rPr>
              <w:t>₱14,021,603</w:t>
            </w:r>
          </w:p>
        </w:tc>
      </w:tr>
      <w:tr>
        <w:tc>
          <w:tcPr>
            <w:tcW w:type="dxa" w:w="4032"/>
            <w:shd w:val="clear" w:color="auto" w:fill="EFEFEF"/>
            <w:tcBorders>
              <w:bottom w:val="single" w:sz="12" w:color="000000"/>
            </w:tcBorders>
          </w:tcPr>
          <w:p>
            <w:pPr>
              <w:spacing w:line="240" w:lineRule="auto" w:before="40" w:after="40"/>
              <w:jc w:val="left"/>
            </w:pPr>
            <w:r/>
            <w:r>
              <w:rPr>
                <w:b w:val="0"/>
                <w:i/>
                <w:sz w:val="20"/>
              </w:rPr>
              <w:t>Mean Absolute Percentage Error</w:t>
            </w:r>
          </w:p>
        </w:tc>
        <w:tc>
          <w:tcPr>
            <w:tcW w:type="dxa" w:w="2448"/>
            <w:shd w:val="clear" w:color="auto" w:fill="EFEFEF"/>
            <w:tcBorders>
              <w:bottom w:val="single" w:sz="12" w:color="000000"/>
            </w:tcBorders>
          </w:tcPr>
          <w:p>
            <w:pPr>
              <w:spacing w:line="240" w:lineRule="auto" w:before="40" w:after="40"/>
              <w:jc w:val="center"/>
            </w:pPr>
            <w:r/>
            <w:r>
              <w:rPr>
                <w:b w:val="0"/>
                <w:i w:val="0"/>
                <w:sz w:val="20"/>
              </w:rPr>
              <w:t>13.43%</w:t>
            </w:r>
          </w:p>
        </w:tc>
        <w:tc>
          <w:tcPr>
            <w:tcW w:type="dxa" w:w="2448"/>
            <w:shd w:val="clear" w:color="auto" w:fill="EFEFEF"/>
            <w:tcBorders>
              <w:bottom w:val="single" w:sz="12" w:color="000000"/>
            </w:tcBorders>
          </w:tcPr>
          <w:p>
            <w:pPr>
              <w:spacing w:line="240" w:lineRule="auto" w:before="40" w:after="40"/>
              <w:jc w:val="center"/>
            </w:pPr>
            <w:r/>
            <w:r>
              <w:rPr>
                <w:b w:val="0"/>
                <w:i w:val="0"/>
                <w:sz w:val="20"/>
              </w:rPr>
              <w:t>65.65%</w:t>
            </w:r>
          </w:p>
        </w:tc>
      </w:tr>
    </w:tbl>
    <w:p>
      <w:pPr>
        <w:spacing w:line="240" w:lineRule="auto" w:after="80"/>
      </w:pPr>
    </w:p>
    <w:p>
      <w:pPr>
        <w:spacing w:line="480" w:lineRule="auto" w:after="0"/>
        <w:ind w:firstLine="720"/>
        <w:jc w:val="both"/>
      </w:pPr>
      <w:r>
        <w:rPr>
          <w:b w:val="0"/>
          <w:i w:val="0"/>
        </w:rPr>
        <w:t>Under LOOCV (Table 22), the building model reached an R</w:t>
      </w:r>
      <w:r>
        <w:rPr>
          <w:b w:val="0"/>
          <w:i w:val="0"/>
          <w:vertAlign w:val="superscript"/>
        </w:rPr>
        <w:t>2</w:t>
      </w:r>
      <w:r>
        <w:rPr>
          <w:b w:val="0"/>
          <w:i w:val="0"/>
        </w:rPr>
        <w:t xml:space="preserve"> of 0.8112 with a MAPE of 13.43%, within the 13% to 31% range Mahamid (2011) reported for regression models of construction cost. The bridge model explained a similar share of variance (R</w:t>
      </w:r>
      <w:r>
        <w:rPr>
          <w:b w:val="0"/>
          <w:i w:val="0"/>
          <w:vertAlign w:val="superscript"/>
        </w:rPr>
        <w:t>2</w:t>
      </w:r>
      <w:r>
        <w:rPr>
          <w:b w:val="0"/>
          <w:i w:val="0"/>
        </w:rPr>
        <w:t xml:space="preserve"> = 0.8640) but its MAPE rose to 65.65%. The linear model fits the large bridges that dominate the variance but badly over-predicts small culverts, where a few million pesos of error is a large percentage; the negative intercept even pushes some small culverts toward zero or below. Linear regression is therefore a fair baseline for buildings but not for bridges.</w:t>
      </w:r>
    </w:p>
    <w:p>
      <w:pPr>
        <w:keepNext/>
        <w:spacing w:line="480" w:lineRule="auto" w:after="0"/>
        <w:ind w:left="720"/>
        <w:jc w:val="left"/>
      </w:pPr>
      <w:r>
        <w:rPr>
          <w:b/>
          <w:i w:val="0"/>
        </w:rPr>
        <w:t>b.) Extreme Gradient Boosting</w:t>
      </w:r>
    </w:p>
    <w:p>
      <w:pPr>
        <w:keepNext/>
        <w:spacing w:line="240" w:lineRule="auto" w:after="0" w:before="120"/>
        <w:jc w:val="left"/>
      </w:pPr>
      <w:r>
        <w:rPr>
          <w:b/>
          <w:i w:val="0"/>
        </w:rPr>
        <w:t>Table 23.</w:t>
      </w:r>
    </w:p>
    <w:p>
      <w:pPr>
        <w:keepNext/>
        <w:spacing w:line="240" w:lineRule="auto" w:after="0"/>
        <w:jc w:val="left"/>
      </w:pPr>
      <w:r>
        <w:rPr>
          <w:b w:val="0"/>
          <w:i/>
        </w:rPr>
        <w:t>XGBoost Feature Importance (Gain Share)</w:t>
      </w:r>
    </w:p>
    <w:tbl>
      <w:tblPr>
        <w:tblW w:type="auto" w:w="0"/>
        <w:jc w:val="center"/>
        <w:tblLayout w:type="fixed"/>
        <w:tblLook w:firstColumn="1" w:firstRow="1" w:lastColumn="0" w:lastRow="0" w:noHBand="0" w:noVBand="1" w:val="04A0"/>
        <w:tblLayout w:type="fixed"/>
      </w:tblPr>
      <w:tblGrid>
        <w:gridCol w:w="2448"/>
        <w:gridCol w:w="2015"/>
        <w:gridCol w:w="2592"/>
        <w:gridCol w:w="2015"/>
      </w:tblGrid>
      <w:tr>
        <w:tc>
          <w:tcPr>
            <w:tcW w:type="dxa" w:w="2448"/>
            <w:tcBorders>
              <w:top w:val="single" w:sz="12" w:color="000000"/>
              <w:bottom w:val="single" w:sz="8" w:color="000000"/>
            </w:tcBorders>
          </w:tcPr>
          <w:p>
            <w:pPr>
              <w:spacing w:line="240" w:lineRule="auto" w:before="40" w:after="40"/>
              <w:jc w:val="center"/>
            </w:pPr>
            <w:r/>
            <w:r>
              <w:rPr>
                <w:b/>
                <w:i w:val="0"/>
                <w:sz w:val="18"/>
              </w:rPr>
              <w:t>FEATURE</w:t>
            </w:r>
          </w:p>
        </w:tc>
        <w:tc>
          <w:tcPr>
            <w:tcW w:type="dxa" w:w="2016"/>
            <w:tcBorders>
              <w:top w:val="single" w:sz="12" w:color="000000"/>
              <w:bottom w:val="single" w:sz="8" w:color="000000"/>
            </w:tcBorders>
          </w:tcPr>
          <w:p>
            <w:pPr>
              <w:spacing w:line="240" w:lineRule="auto" w:before="40" w:after="40"/>
              <w:jc w:val="center"/>
            </w:pPr>
            <w:r/>
            <w:r>
              <w:rPr>
                <w:b/>
                <w:i w:val="0"/>
                <w:sz w:val="18"/>
              </w:rPr>
              <w:t>IMPORTANCE (BUILDINGS)</w:t>
            </w:r>
          </w:p>
        </w:tc>
        <w:tc>
          <w:tcPr>
            <w:tcW w:type="dxa" w:w="2592"/>
            <w:tcBorders>
              <w:top w:val="single" w:sz="12" w:color="000000"/>
              <w:bottom w:val="single" w:sz="8" w:color="000000"/>
            </w:tcBorders>
          </w:tcPr>
          <w:p>
            <w:pPr>
              <w:spacing w:line="240" w:lineRule="auto" w:before="40" w:after="40"/>
              <w:jc w:val="center"/>
            </w:pPr>
            <w:r/>
            <w:r>
              <w:rPr>
                <w:b/>
                <w:i w:val="0"/>
                <w:sz w:val="18"/>
              </w:rPr>
              <w:t>FEATURE</w:t>
            </w:r>
          </w:p>
        </w:tc>
        <w:tc>
          <w:tcPr>
            <w:tcW w:type="dxa" w:w="2016"/>
            <w:tcBorders>
              <w:top w:val="single" w:sz="12" w:color="000000"/>
              <w:bottom w:val="single" w:sz="8" w:color="000000"/>
            </w:tcBorders>
          </w:tcPr>
          <w:p>
            <w:pPr>
              <w:spacing w:line="240" w:lineRule="auto" w:before="40" w:after="40"/>
              <w:jc w:val="center"/>
            </w:pPr>
            <w:r/>
            <w:r>
              <w:rPr>
                <w:b/>
                <w:i w:val="0"/>
                <w:sz w:val="18"/>
              </w:rPr>
              <w:t>IMPORTANCE (BRIDGES)</w:t>
            </w:r>
          </w:p>
        </w:tc>
      </w:tr>
      <w:tr>
        <w:tc>
          <w:tcPr>
            <w:tcW w:type="dxa" w:w="2448"/>
            <w:shd w:val="clear" w:color="auto" w:fill="EFEFEF"/>
          </w:tcPr>
          <w:p>
            <w:pPr>
              <w:spacing w:line="240" w:lineRule="auto" w:before="40" w:after="40"/>
              <w:jc w:val="left"/>
            </w:pPr>
            <w:r/>
            <w:r>
              <w:rPr>
                <w:b w:val="0"/>
                <w:i/>
                <w:sz w:val="18"/>
              </w:rPr>
              <w:t>Gross Floor Area</w:t>
            </w:r>
          </w:p>
        </w:tc>
        <w:tc>
          <w:tcPr>
            <w:tcW w:type="dxa" w:w="2016"/>
            <w:shd w:val="clear" w:color="auto" w:fill="EFEFEF"/>
          </w:tcPr>
          <w:p>
            <w:pPr>
              <w:spacing w:line="240" w:lineRule="auto" w:before="40" w:after="40"/>
              <w:jc w:val="center"/>
            </w:pPr>
            <w:r/>
            <w:r>
              <w:rPr>
                <w:b w:val="0"/>
                <w:i w:val="0"/>
                <w:sz w:val="18"/>
              </w:rPr>
              <w:t>0.3937</w:t>
            </w:r>
          </w:p>
        </w:tc>
        <w:tc>
          <w:tcPr>
            <w:tcW w:type="dxa" w:w="2592"/>
            <w:shd w:val="clear" w:color="auto" w:fill="EFEFEF"/>
          </w:tcPr>
          <w:p>
            <w:pPr>
              <w:spacing w:line="240" w:lineRule="auto" w:before="40" w:after="40"/>
              <w:jc w:val="center"/>
            </w:pPr>
            <w:r/>
            <w:r>
              <w:rPr>
                <w:b w:val="0"/>
                <w:i w:val="0"/>
                <w:sz w:val="18"/>
              </w:rPr>
              <w:t>Superstructure Type Index</w:t>
            </w:r>
          </w:p>
        </w:tc>
        <w:tc>
          <w:tcPr>
            <w:tcW w:type="dxa" w:w="2016"/>
            <w:shd w:val="clear" w:color="auto" w:fill="EFEFEF"/>
          </w:tcPr>
          <w:p>
            <w:pPr>
              <w:spacing w:line="240" w:lineRule="auto" w:before="40" w:after="40"/>
              <w:jc w:val="center"/>
            </w:pPr>
            <w:r/>
            <w:r>
              <w:rPr>
                <w:b w:val="0"/>
                <w:i w:val="0"/>
                <w:sz w:val="18"/>
              </w:rPr>
              <w:t>0.8570</w:t>
            </w:r>
          </w:p>
        </w:tc>
      </w:tr>
      <w:tr>
        <w:tc>
          <w:tcPr>
            <w:tcW w:type="dxa" w:w="2448"/>
          </w:tcPr>
          <w:p>
            <w:pPr>
              <w:spacing w:line="240" w:lineRule="auto" w:before="40" w:after="40"/>
              <w:jc w:val="left"/>
            </w:pPr>
            <w:r/>
            <w:r>
              <w:rPr>
                <w:b w:val="0"/>
                <w:i/>
                <w:sz w:val="18"/>
              </w:rPr>
              <w:t>Number of Storeys</w:t>
            </w:r>
          </w:p>
        </w:tc>
        <w:tc>
          <w:tcPr>
            <w:tcW w:type="dxa" w:w="2016"/>
          </w:tcPr>
          <w:p>
            <w:pPr>
              <w:spacing w:line="240" w:lineRule="auto" w:before="40" w:after="40"/>
              <w:jc w:val="center"/>
            </w:pPr>
            <w:r/>
            <w:r>
              <w:rPr>
                <w:b w:val="0"/>
                <w:i w:val="0"/>
                <w:sz w:val="18"/>
              </w:rPr>
              <w:t>0.3848</w:t>
            </w:r>
          </w:p>
        </w:tc>
        <w:tc>
          <w:tcPr>
            <w:tcW w:type="dxa" w:w="2592"/>
          </w:tcPr>
          <w:p>
            <w:pPr>
              <w:spacing w:line="240" w:lineRule="auto" w:before="40" w:after="40"/>
              <w:jc w:val="center"/>
            </w:pPr>
            <w:r/>
            <w:r>
              <w:rPr>
                <w:b w:val="0"/>
                <w:i w:val="0"/>
                <w:sz w:val="18"/>
              </w:rPr>
              <w:t>Foundation Type Index</w:t>
            </w:r>
          </w:p>
        </w:tc>
        <w:tc>
          <w:tcPr>
            <w:tcW w:type="dxa" w:w="2016"/>
          </w:tcPr>
          <w:p>
            <w:pPr>
              <w:spacing w:line="240" w:lineRule="auto" w:before="40" w:after="40"/>
              <w:jc w:val="center"/>
            </w:pPr>
            <w:r/>
            <w:r>
              <w:rPr>
                <w:b w:val="0"/>
                <w:i w:val="0"/>
                <w:sz w:val="18"/>
              </w:rPr>
              <w:t>0.0428</w:t>
            </w:r>
          </w:p>
        </w:tc>
      </w:tr>
      <w:tr>
        <w:tc>
          <w:tcPr>
            <w:tcW w:type="dxa" w:w="2448"/>
            <w:shd w:val="clear" w:color="auto" w:fill="EFEFEF"/>
          </w:tcPr>
          <w:p>
            <w:pPr>
              <w:spacing w:line="240" w:lineRule="auto" w:before="40" w:after="40"/>
              <w:jc w:val="left"/>
            </w:pPr>
            <w:r/>
            <w:r>
              <w:rPr>
                <w:b w:val="0"/>
                <w:i/>
                <w:sz w:val="18"/>
              </w:rPr>
              <w:t>Footprint Area</w:t>
            </w:r>
          </w:p>
        </w:tc>
        <w:tc>
          <w:tcPr>
            <w:tcW w:type="dxa" w:w="2016"/>
            <w:shd w:val="clear" w:color="auto" w:fill="EFEFEF"/>
          </w:tcPr>
          <w:p>
            <w:pPr>
              <w:spacing w:line="240" w:lineRule="auto" w:before="40" w:after="40"/>
              <w:jc w:val="center"/>
            </w:pPr>
            <w:r/>
            <w:r>
              <w:rPr>
                <w:b w:val="0"/>
                <w:i w:val="0"/>
                <w:sz w:val="18"/>
              </w:rPr>
              <w:t>0.1010</w:t>
            </w:r>
          </w:p>
        </w:tc>
        <w:tc>
          <w:tcPr>
            <w:tcW w:type="dxa" w:w="2592"/>
            <w:shd w:val="clear" w:color="auto" w:fill="EFEFEF"/>
          </w:tcPr>
          <w:p>
            <w:pPr>
              <w:spacing w:line="240" w:lineRule="auto" w:before="40" w:after="40"/>
              <w:jc w:val="center"/>
            </w:pPr>
            <w:r/>
            <w:r>
              <w:rPr>
                <w:b w:val="0"/>
                <w:i w:val="0"/>
                <w:sz w:val="18"/>
              </w:rPr>
              <w:t>Total Length</w:t>
            </w:r>
          </w:p>
        </w:tc>
        <w:tc>
          <w:tcPr>
            <w:tcW w:type="dxa" w:w="2016"/>
            <w:shd w:val="clear" w:color="auto" w:fill="EFEFEF"/>
          </w:tcPr>
          <w:p>
            <w:pPr>
              <w:spacing w:line="240" w:lineRule="auto" w:before="40" w:after="40"/>
              <w:jc w:val="center"/>
            </w:pPr>
            <w:r/>
            <w:r>
              <w:rPr>
                <w:b w:val="0"/>
                <w:i w:val="0"/>
                <w:sz w:val="18"/>
              </w:rPr>
              <w:t>0.0383</w:t>
            </w:r>
          </w:p>
        </w:tc>
      </w:tr>
      <w:tr>
        <w:tc>
          <w:tcPr>
            <w:tcW w:type="dxa" w:w="2448"/>
          </w:tcPr>
          <w:p>
            <w:pPr>
              <w:spacing w:line="240" w:lineRule="auto" w:before="40" w:after="40"/>
              <w:jc w:val="left"/>
            </w:pPr>
            <w:r/>
            <w:r>
              <w:rPr>
                <w:b w:val="0"/>
                <w:i/>
                <w:sz w:val="18"/>
              </w:rPr>
              <w:t>Cost Index (Year)</w:t>
            </w:r>
          </w:p>
        </w:tc>
        <w:tc>
          <w:tcPr>
            <w:tcW w:type="dxa" w:w="2016"/>
          </w:tcPr>
          <w:p>
            <w:pPr>
              <w:spacing w:line="240" w:lineRule="auto" w:before="40" w:after="40"/>
              <w:jc w:val="center"/>
            </w:pPr>
            <w:r/>
            <w:r>
              <w:rPr>
                <w:b w:val="0"/>
                <w:i w:val="0"/>
                <w:sz w:val="18"/>
              </w:rPr>
              <w:t>0.0264</w:t>
            </w:r>
          </w:p>
        </w:tc>
        <w:tc>
          <w:tcPr>
            <w:tcW w:type="dxa" w:w="2592"/>
          </w:tcPr>
          <w:p>
            <w:pPr>
              <w:spacing w:line="240" w:lineRule="auto" w:before="40" w:after="40"/>
              <w:jc w:val="center"/>
            </w:pPr>
            <w:r/>
            <w:r>
              <w:rPr>
                <w:b w:val="0"/>
                <w:i w:val="0"/>
                <w:sz w:val="18"/>
              </w:rPr>
              <w:t>Pile Length</w:t>
            </w:r>
          </w:p>
        </w:tc>
        <w:tc>
          <w:tcPr>
            <w:tcW w:type="dxa" w:w="2016"/>
          </w:tcPr>
          <w:p>
            <w:pPr>
              <w:spacing w:line="240" w:lineRule="auto" w:before="40" w:after="40"/>
              <w:jc w:val="center"/>
            </w:pPr>
            <w:r/>
            <w:r>
              <w:rPr>
                <w:b w:val="0"/>
                <w:i w:val="0"/>
                <w:sz w:val="18"/>
              </w:rPr>
              <w:t>0.0232</w:t>
            </w:r>
          </w:p>
        </w:tc>
      </w:tr>
      <w:tr>
        <w:tc>
          <w:tcPr>
            <w:tcW w:type="dxa" w:w="2448"/>
            <w:shd w:val="clear" w:color="auto" w:fill="EFEFEF"/>
          </w:tcPr>
          <w:p>
            <w:pPr>
              <w:spacing w:line="240" w:lineRule="auto" w:before="40" w:after="40"/>
              <w:jc w:val="left"/>
            </w:pPr>
            <w:r/>
            <w:r>
              <w:rPr>
                <w:b w:val="0"/>
                <w:i/>
                <w:sz w:val="18"/>
              </w:rPr>
              <w:t>Location Factor</w:t>
            </w:r>
          </w:p>
        </w:tc>
        <w:tc>
          <w:tcPr>
            <w:tcW w:type="dxa" w:w="2016"/>
            <w:shd w:val="clear" w:color="auto" w:fill="EFEFEF"/>
          </w:tcPr>
          <w:p>
            <w:pPr>
              <w:spacing w:line="240" w:lineRule="auto" w:before="40" w:after="40"/>
              <w:jc w:val="center"/>
            </w:pPr>
            <w:r/>
            <w:r>
              <w:rPr>
                <w:b w:val="0"/>
                <w:i w:val="0"/>
                <w:sz w:val="18"/>
              </w:rPr>
              <w:t>0.0260</w:t>
            </w:r>
          </w:p>
        </w:tc>
        <w:tc>
          <w:tcPr>
            <w:tcW w:type="dxa" w:w="2592"/>
            <w:shd w:val="clear" w:color="auto" w:fill="EFEFEF"/>
          </w:tcPr>
          <w:p>
            <w:pPr>
              <w:spacing w:line="240" w:lineRule="auto" w:before="40" w:after="40"/>
              <w:jc w:val="center"/>
            </w:pPr>
            <w:r/>
            <w:r>
              <w:rPr>
                <w:b w:val="0"/>
                <w:i w:val="0"/>
                <w:sz w:val="18"/>
              </w:rPr>
              <w:t>Deck Area</w:t>
            </w:r>
          </w:p>
        </w:tc>
        <w:tc>
          <w:tcPr>
            <w:tcW w:type="dxa" w:w="2016"/>
            <w:shd w:val="clear" w:color="auto" w:fill="EFEFEF"/>
          </w:tcPr>
          <w:p>
            <w:pPr>
              <w:spacing w:line="240" w:lineRule="auto" w:before="40" w:after="40"/>
              <w:jc w:val="center"/>
            </w:pPr>
            <w:r/>
            <w:r>
              <w:rPr>
                <w:b w:val="0"/>
                <w:i w:val="0"/>
                <w:sz w:val="18"/>
              </w:rPr>
              <w:t>0.0171</w:t>
            </w:r>
          </w:p>
        </w:tc>
      </w:tr>
      <w:tr>
        <w:tc>
          <w:tcPr>
            <w:tcW w:type="dxa" w:w="2448"/>
          </w:tcPr>
          <w:p>
            <w:pPr>
              <w:spacing w:line="240" w:lineRule="auto" w:before="40" w:after="40"/>
              <w:jc w:val="left"/>
            </w:pPr>
            <w:r/>
            <w:r>
              <w:rPr>
                <w:b w:val="0"/>
                <w:i/>
                <w:sz w:val="18"/>
              </w:rPr>
              <w:t>Floor Height</w:t>
            </w:r>
          </w:p>
        </w:tc>
        <w:tc>
          <w:tcPr>
            <w:tcW w:type="dxa" w:w="2016"/>
          </w:tcPr>
          <w:p>
            <w:pPr>
              <w:spacing w:line="240" w:lineRule="auto" w:before="40" w:after="40"/>
              <w:jc w:val="center"/>
            </w:pPr>
            <w:r/>
            <w:r>
              <w:rPr>
                <w:b w:val="0"/>
                <w:i w:val="0"/>
                <w:sz w:val="18"/>
              </w:rPr>
              <w:t>0.0210</w:t>
            </w:r>
          </w:p>
        </w:tc>
        <w:tc>
          <w:tcPr>
            <w:tcW w:type="dxa" w:w="2592"/>
          </w:tcPr>
          <w:p>
            <w:pPr>
              <w:spacing w:line="240" w:lineRule="auto" w:before="40" w:after="40"/>
              <w:jc w:val="center"/>
            </w:pPr>
            <w:r/>
            <w:r>
              <w:rPr>
                <w:b w:val="0"/>
                <w:i w:val="0"/>
                <w:sz w:val="18"/>
              </w:rPr>
              <w:t>Span Length</w:t>
            </w:r>
          </w:p>
        </w:tc>
        <w:tc>
          <w:tcPr>
            <w:tcW w:type="dxa" w:w="2016"/>
          </w:tcPr>
          <w:p>
            <w:pPr>
              <w:spacing w:line="240" w:lineRule="auto" w:before="40" w:after="40"/>
              <w:jc w:val="center"/>
            </w:pPr>
            <w:r/>
            <w:r>
              <w:rPr>
                <w:b w:val="0"/>
                <w:i w:val="0"/>
                <w:sz w:val="18"/>
              </w:rPr>
              <w:t>0.0145</w:t>
            </w:r>
          </w:p>
        </w:tc>
      </w:tr>
      <w:tr>
        <w:tc>
          <w:tcPr>
            <w:tcW w:type="dxa" w:w="2448"/>
            <w:shd w:val="clear" w:color="auto" w:fill="EFEFEF"/>
          </w:tcPr>
          <w:p>
            <w:pPr>
              <w:spacing w:line="240" w:lineRule="auto" w:before="40" w:after="40"/>
              <w:jc w:val="left"/>
            </w:pPr>
            <w:r/>
            <w:r>
              <w:rPr>
                <w:b w:val="0"/>
                <w:i/>
                <w:sz w:val="18"/>
              </w:rPr>
              <w:t>Facility Type Index</w:t>
            </w:r>
          </w:p>
        </w:tc>
        <w:tc>
          <w:tcPr>
            <w:tcW w:type="dxa" w:w="2016"/>
            <w:shd w:val="clear" w:color="auto" w:fill="EFEFEF"/>
          </w:tcPr>
          <w:p>
            <w:pPr>
              <w:spacing w:line="240" w:lineRule="auto" w:before="40" w:after="40"/>
              <w:jc w:val="center"/>
            </w:pPr>
            <w:r/>
            <w:r>
              <w:rPr>
                <w:b w:val="0"/>
                <w:i w:val="0"/>
                <w:sz w:val="18"/>
              </w:rPr>
              <w:t>0.0189</w:t>
            </w:r>
          </w:p>
        </w:tc>
        <w:tc>
          <w:tcPr>
            <w:tcW w:type="dxa" w:w="2592"/>
            <w:shd w:val="clear" w:color="auto" w:fill="EFEFEF"/>
          </w:tcPr>
          <w:p>
            <w:pPr>
              <w:spacing w:line="240" w:lineRule="auto" w:before="40" w:after="40"/>
              <w:jc w:val="center"/>
            </w:pPr>
            <w:r/>
            <w:r>
              <w:rPr>
                <w:b w:val="0"/>
                <w:i w:val="0"/>
                <w:sz w:val="18"/>
              </w:rPr>
              <w:t>Deck Width</w:t>
            </w:r>
          </w:p>
        </w:tc>
        <w:tc>
          <w:tcPr>
            <w:tcW w:type="dxa" w:w="2016"/>
            <w:shd w:val="clear" w:color="auto" w:fill="EFEFEF"/>
          </w:tcPr>
          <w:p>
            <w:pPr>
              <w:spacing w:line="240" w:lineRule="auto" w:before="40" w:after="40"/>
              <w:jc w:val="center"/>
            </w:pPr>
            <w:r/>
            <w:r>
              <w:rPr>
                <w:b w:val="0"/>
                <w:i w:val="0"/>
                <w:sz w:val="18"/>
              </w:rPr>
              <w:t>0.0024</w:t>
            </w:r>
          </w:p>
        </w:tc>
      </w:tr>
      <w:tr>
        <w:tc>
          <w:tcPr>
            <w:tcW w:type="dxa" w:w="2448"/>
          </w:tcPr>
          <w:p>
            <w:pPr>
              <w:spacing w:line="240" w:lineRule="auto" w:before="40" w:after="40"/>
              <w:jc w:val="left"/>
            </w:pPr>
            <w:r/>
            <w:r>
              <w:rPr>
                <w:b w:val="0"/>
                <w:i/>
                <w:sz w:val="18"/>
              </w:rPr>
              <w:t>Structural Span</w:t>
            </w:r>
          </w:p>
        </w:tc>
        <w:tc>
          <w:tcPr>
            <w:tcW w:type="dxa" w:w="2016"/>
          </w:tcPr>
          <w:p>
            <w:pPr>
              <w:spacing w:line="240" w:lineRule="auto" w:before="40" w:after="40"/>
              <w:jc w:val="center"/>
            </w:pPr>
            <w:r/>
            <w:r>
              <w:rPr>
                <w:b w:val="0"/>
                <w:i w:val="0"/>
                <w:sz w:val="18"/>
              </w:rPr>
              <w:t>0.0175</w:t>
            </w:r>
          </w:p>
        </w:tc>
        <w:tc>
          <w:tcPr>
            <w:tcW w:type="dxa" w:w="2592"/>
          </w:tcPr>
          <w:p>
            <w:pPr>
              <w:spacing w:line="240" w:lineRule="auto" w:before="40" w:after="40"/>
              <w:jc w:val="center"/>
            </w:pPr>
            <w:r/>
            <w:r>
              <w:rPr>
                <w:b w:val="0"/>
                <w:i w:val="0"/>
                <w:sz w:val="18"/>
              </w:rPr>
              <w:t>Cost Index (Year)</w:t>
            </w:r>
          </w:p>
        </w:tc>
        <w:tc>
          <w:tcPr>
            <w:tcW w:type="dxa" w:w="2016"/>
          </w:tcPr>
          <w:p>
            <w:pPr>
              <w:spacing w:line="240" w:lineRule="auto" w:before="40" w:after="40"/>
              <w:jc w:val="center"/>
            </w:pPr>
            <w:r/>
            <w:r>
              <w:rPr>
                <w:b w:val="0"/>
                <w:i w:val="0"/>
                <w:sz w:val="18"/>
              </w:rPr>
              <w:t>0.0015</w:t>
            </w:r>
          </w:p>
        </w:tc>
      </w:tr>
      <w:tr>
        <w:tc>
          <w:tcPr>
            <w:tcW w:type="dxa" w:w="2448"/>
            <w:shd w:val="clear" w:color="auto" w:fill="EFEFEF"/>
          </w:tcPr>
          <w:p>
            <w:pPr>
              <w:spacing w:line="240" w:lineRule="auto" w:before="40" w:after="40"/>
              <w:jc w:val="left"/>
            </w:pPr>
            <w:r/>
            <w:r>
              <w:rPr>
                <w:b w:val="0"/>
                <w:i/>
                <w:sz w:val="18"/>
              </w:rPr>
              <w:t>RC Roof Deck</w:t>
            </w:r>
          </w:p>
        </w:tc>
        <w:tc>
          <w:tcPr>
            <w:tcW w:type="dxa" w:w="2016"/>
            <w:shd w:val="clear" w:color="auto" w:fill="EFEFEF"/>
          </w:tcPr>
          <w:p>
            <w:pPr>
              <w:spacing w:line="240" w:lineRule="auto" w:before="40" w:after="40"/>
              <w:jc w:val="center"/>
            </w:pPr>
            <w:r/>
            <w:r>
              <w:rPr>
                <w:b w:val="0"/>
                <w:i w:val="0"/>
                <w:sz w:val="18"/>
              </w:rPr>
              <w:t>0.0107</w:t>
            </w:r>
          </w:p>
        </w:tc>
        <w:tc>
          <w:tcPr>
            <w:tcW w:type="dxa" w:w="2592"/>
            <w:shd w:val="clear" w:color="auto" w:fill="EFEFEF"/>
          </w:tcPr>
          <w:p>
            <w:pPr>
              <w:spacing w:line="240" w:lineRule="auto" w:before="40" w:after="40"/>
              <w:jc w:val="center"/>
            </w:pPr>
            <w:r/>
            <w:r>
              <w:rPr>
                <w:b w:val="0"/>
                <w:i w:val="0"/>
                <w:sz w:val="18"/>
              </w:rPr>
              <w:t>Abutment Height</w:t>
            </w:r>
          </w:p>
        </w:tc>
        <w:tc>
          <w:tcPr>
            <w:tcW w:type="dxa" w:w="2016"/>
            <w:shd w:val="clear" w:color="auto" w:fill="EFEFEF"/>
          </w:tcPr>
          <w:p>
            <w:pPr>
              <w:spacing w:line="240" w:lineRule="auto" w:before="40" w:after="40"/>
              <w:jc w:val="center"/>
            </w:pPr>
            <w:r/>
            <w:r>
              <w:rPr>
                <w:b w:val="0"/>
                <w:i w:val="0"/>
                <w:sz w:val="18"/>
              </w:rPr>
              <w:t>0.0015</w:t>
            </w:r>
          </w:p>
        </w:tc>
      </w:tr>
      <w:tr>
        <w:tc>
          <w:tcPr>
            <w:tcW w:type="dxa" w:w="2448"/>
          </w:tcPr>
          <w:p>
            <w:pPr>
              <w:spacing w:line="240" w:lineRule="auto" w:before="40" w:after="40"/>
              <w:jc w:val="left"/>
            </w:pPr>
            <w:r/>
          </w:p>
        </w:tc>
        <w:tc>
          <w:tcPr>
            <w:tcW w:type="dxa" w:w="2016"/>
          </w:tcPr>
          <w:p>
            <w:pPr>
              <w:spacing w:line="240" w:lineRule="auto" w:before="40" w:after="40"/>
              <w:jc w:val="center"/>
            </w:pPr>
            <w:r/>
          </w:p>
        </w:tc>
        <w:tc>
          <w:tcPr>
            <w:tcW w:type="dxa" w:w="2592"/>
          </w:tcPr>
          <w:p>
            <w:pPr>
              <w:spacing w:line="240" w:lineRule="auto" w:before="40" w:after="40"/>
              <w:jc w:val="center"/>
            </w:pPr>
            <w:r/>
            <w:r>
              <w:rPr>
                <w:b w:val="0"/>
                <w:i w:val="0"/>
                <w:sz w:val="18"/>
              </w:rPr>
              <w:t>Location Factor</w:t>
            </w:r>
          </w:p>
        </w:tc>
        <w:tc>
          <w:tcPr>
            <w:tcW w:type="dxa" w:w="2016"/>
          </w:tcPr>
          <w:p>
            <w:pPr>
              <w:spacing w:line="240" w:lineRule="auto" w:before="40" w:after="40"/>
              <w:jc w:val="center"/>
            </w:pPr>
            <w:r/>
            <w:r>
              <w:rPr>
                <w:b w:val="0"/>
                <w:i w:val="0"/>
                <w:sz w:val="18"/>
              </w:rPr>
              <w:t>0.0009</w:t>
            </w:r>
          </w:p>
        </w:tc>
      </w:tr>
      <w:tr>
        <w:tc>
          <w:tcPr>
            <w:tcW w:type="dxa" w:w="2448"/>
            <w:shd w:val="clear" w:color="auto" w:fill="EFEFEF"/>
            <w:tcBorders>
              <w:bottom w:val="single" w:sz="12" w:color="000000"/>
            </w:tcBorders>
          </w:tcPr>
          <w:p>
            <w:pPr>
              <w:spacing w:line="240" w:lineRule="auto" w:before="40" w:after="40"/>
              <w:jc w:val="left"/>
            </w:pPr>
            <w:r/>
          </w:p>
        </w:tc>
        <w:tc>
          <w:tcPr>
            <w:tcW w:type="dxa" w:w="2016"/>
            <w:shd w:val="clear" w:color="auto" w:fill="EFEFEF"/>
            <w:tcBorders>
              <w:bottom w:val="single" w:sz="12" w:color="000000"/>
            </w:tcBorders>
          </w:tcPr>
          <w:p>
            <w:pPr>
              <w:spacing w:line="240" w:lineRule="auto" w:before="40" w:after="40"/>
              <w:jc w:val="center"/>
            </w:pPr>
            <w:r/>
          </w:p>
        </w:tc>
        <w:tc>
          <w:tcPr>
            <w:tcW w:type="dxa" w:w="2592"/>
            <w:shd w:val="clear" w:color="auto" w:fill="EFEFEF"/>
            <w:tcBorders>
              <w:bottom w:val="single" w:sz="12" w:color="000000"/>
            </w:tcBorders>
          </w:tcPr>
          <w:p>
            <w:pPr>
              <w:spacing w:line="240" w:lineRule="auto" w:before="40" w:after="40"/>
              <w:jc w:val="center"/>
            </w:pPr>
            <w:r/>
            <w:r>
              <w:rPr>
                <w:b w:val="0"/>
                <w:i w:val="0"/>
                <w:sz w:val="18"/>
              </w:rPr>
              <w:t>Pier Height</w:t>
            </w:r>
          </w:p>
        </w:tc>
        <w:tc>
          <w:tcPr>
            <w:tcW w:type="dxa" w:w="2016"/>
            <w:shd w:val="clear" w:color="auto" w:fill="EFEFEF"/>
            <w:tcBorders>
              <w:bottom w:val="single" w:sz="12" w:color="000000"/>
            </w:tcBorders>
          </w:tcPr>
          <w:p>
            <w:pPr>
              <w:spacing w:line="240" w:lineRule="auto" w:before="40" w:after="40"/>
              <w:jc w:val="center"/>
            </w:pPr>
            <w:r/>
            <w:r>
              <w:rPr>
                <w:b w:val="0"/>
                <w:i w:val="0"/>
                <w:sz w:val="18"/>
              </w:rPr>
              <w:t>0.0007</w:t>
            </w:r>
          </w:p>
        </w:tc>
      </w:tr>
    </w:tbl>
    <w:p>
      <w:pPr>
        <w:spacing w:line="240" w:lineRule="auto" w:after="80"/>
      </w:pPr>
    </w:p>
    <w:p>
      <w:pPr>
        <w:spacing w:line="480" w:lineRule="auto" w:after="0"/>
        <w:ind w:firstLine="720"/>
        <w:jc w:val="both"/>
      </w:pPr>
      <w:r>
        <w:rPr>
          <w:b w:val="0"/>
          <w:i w:val="0"/>
        </w:rPr>
        <w:t>Table 23 shows the share of total gain contributed by each feature. For buildings, gross floor area (0.3937) and storeys (0.3848) account for about 78% of the model's splitting gain. For bridges, superstructure type dominates (0.8570): once the tree knows whether a crossing is a culvert, an RCDG, a PSCG or a truss, most of the cost level is set, and length, foundation and pile length refine it. The tree model thus retains the superstructure type that the linear model had to drop because of collinearity.</w:t>
      </w:r>
    </w:p>
    <w:p>
      <w:pPr>
        <w:keepNext/>
        <w:spacing w:line="240" w:lineRule="auto" w:after="0" w:before="120"/>
        <w:jc w:val="left"/>
      </w:pPr>
      <w:r>
        <w:rPr>
          <w:b/>
          <w:i w:val="0"/>
        </w:rPr>
        <w:t>Table 24.</w:t>
      </w:r>
    </w:p>
    <w:p>
      <w:pPr>
        <w:keepNext/>
        <w:spacing w:line="240" w:lineRule="auto" w:after="0"/>
        <w:jc w:val="left"/>
      </w:pPr>
      <w:r>
        <w:rPr>
          <w:b w:val="0"/>
          <w:i/>
        </w:rPr>
        <w:t>Performance of the XGBoost Models under LOOCV</w:t>
      </w:r>
    </w:p>
    <w:tbl>
      <w:tblPr>
        <w:tblW w:type="auto" w:w="0"/>
        <w:jc w:val="center"/>
        <w:tblLayout w:type="fixed"/>
        <w:tblLook w:firstColumn="1" w:firstRow="1" w:lastColumn="0" w:lastRow="0" w:noHBand="0" w:noVBand="1" w:val="04A0"/>
        <w:tblLayout w:type="fixed"/>
      </w:tblPr>
      <w:tblGrid>
        <w:gridCol w:w="4031"/>
        <w:gridCol w:w="2448"/>
        <w:gridCol w:w="2448"/>
      </w:tblGrid>
      <w:tr>
        <w:tc>
          <w:tcPr>
            <w:tcW w:type="dxa" w:w="4032"/>
            <w:tcBorders>
              <w:top w:val="single" w:sz="12" w:color="000000"/>
              <w:bottom w:val="single" w:sz="8" w:color="000000"/>
            </w:tcBorders>
          </w:tcPr>
          <w:p>
            <w:pPr>
              <w:spacing w:line="240" w:lineRule="auto" w:before="40" w:after="40"/>
              <w:jc w:val="center"/>
            </w:pPr>
            <w:r/>
            <w:r>
              <w:rPr>
                <w:b/>
                <w:i w:val="0"/>
                <w:sz w:val="20"/>
              </w:rPr>
              <w:t>METRIC (LOOCV)</w:t>
            </w:r>
          </w:p>
        </w:tc>
        <w:tc>
          <w:tcPr>
            <w:tcW w:type="dxa" w:w="2448"/>
            <w:tcBorders>
              <w:top w:val="single" w:sz="12" w:color="000000"/>
              <w:bottom w:val="single" w:sz="8" w:color="000000"/>
            </w:tcBorders>
          </w:tcPr>
          <w:p>
            <w:pPr>
              <w:spacing w:line="240" w:lineRule="auto" w:before="40" w:after="40"/>
              <w:jc w:val="center"/>
            </w:pPr>
            <w:r/>
            <w:r>
              <w:rPr>
                <w:b/>
                <w:i w:val="0"/>
                <w:sz w:val="20"/>
              </w:rPr>
              <w:t>BUILDINGS</w:t>
            </w:r>
          </w:p>
        </w:tc>
        <w:tc>
          <w:tcPr>
            <w:tcW w:type="dxa" w:w="2448"/>
            <w:tcBorders>
              <w:top w:val="single" w:sz="12" w:color="000000"/>
              <w:bottom w:val="single" w:sz="8" w:color="000000"/>
            </w:tcBorders>
          </w:tcPr>
          <w:p>
            <w:pPr>
              <w:spacing w:line="240" w:lineRule="auto" w:before="40" w:after="40"/>
              <w:jc w:val="center"/>
            </w:pPr>
            <w:r/>
            <w:r>
              <w:rPr>
                <w:b/>
                <w:i w:val="0"/>
                <w:sz w:val="20"/>
              </w:rPr>
              <w:t>BRIDGES</w:t>
            </w:r>
          </w:p>
        </w:tc>
      </w:tr>
      <w:tr>
        <w:tc>
          <w:tcPr>
            <w:tcW w:type="dxa" w:w="4032"/>
            <w:shd w:val="clear" w:color="auto" w:fill="EFEFEF"/>
          </w:tcPr>
          <w:p>
            <w:pPr>
              <w:spacing w:line="240" w:lineRule="auto" w:before="40" w:after="40"/>
              <w:jc w:val="left"/>
            </w:pPr>
            <w:r/>
            <w:r>
              <w:rPr>
                <w:b w:val="0"/>
                <w:i/>
                <w:sz w:val="20"/>
              </w:rPr>
              <w:t>R-squared</w:t>
            </w:r>
          </w:p>
        </w:tc>
        <w:tc>
          <w:tcPr>
            <w:tcW w:type="dxa" w:w="2448"/>
            <w:shd w:val="clear" w:color="auto" w:fill="EFEFEF"/>
          </w:tcPr>
          <w:p>
            <w:pPr>
              <w:spacing w:line="240" w:lineRule="auto" w:before="40" w:after="40"/>
              <w:jc w:val="center"/>
            </w:pPr>
            <w:r/>
            <w:r>
              <w:rPr>
                <w:b w:val="0"/>
                <w:i w:val="0"/>
                <w:sz w:val="20"/>
              </w:rPr>
              <w:t>0.7874</w:t>
            </w:r>
          </w:p>
        </w:tc>
        <w:tc>
          <w:tcPr>
            <w:tcW w:type="dxa" w:w="2448"/>
            <w:shd w:val="clear" w:color="auto" w:fill="EFEFEF"/>
          </w:tcPr>
          <w:p>
            <w:pPr>
              <w:spacing w:line="240" w:lineRule="auto" w:before="40" w:after="40"/>
              <w:jc w:val="center"/>
            </w:pPr>
            <w:r/>
            <w:r>
              <w:rPr>
                <w:b w:val="0"/>
                <w:i w:val="0"/>
                <w:sz w:val="20"/>
              </w:rPr>
              <w:t>0.8630</w:t>
            </w:r>
          </w:p>
        </w:tc>
      </w:tr>
      <w:tr>
        <w:tc>
          <w:tcPr>
            <w:tcW w:type="dxa" w:w="4032"/>
          </w:tcPr>
          <w:p>
            <w:pPr>
              <w:spacing w:line="240" w:lineRule="auto" w:before="40" w:after="40"/>
              <w:jc w:val="left"/>
            </w:pPr>
            <w:r/>
            <w:r>
              <w:rPr>
                <w:b w:val="0"/>
                <w:i/>
                <w:sz w:val="20"/>
              </w:rPr>
              <w:t>Root Mean Square Error</w:t>
            </w:r>
          </w:p>
        </w:tc>
        <w:tc>
          <w:tcPr>
            <w:tcW w:type="dxa" w:w="2448"/>
          </w:tcPr>
          <w:p>
            <w:pPr>
              <w:spacing w:line="240" w:lineRule="auto" w:before="40" w:after="40"/>
              <w:jc w:val="center"/>
            </w:pPr>
            <w:r/>
            <w:r>
              <w:rPr>
                <w:b w:val="0"/>
                <w:i w:val="0"/>
                <w:sz w:val="20"/>
              </w:rPr>
              <w:t>₱4,594,791</w:t>
            </w:r>
          </w:p>
        </w:tc>
        <w:tc>
          <w:tcPr>
            <w:tcW w:type="dxa" w:w="2448"/>
          </w:tcPr>
          <w:p>
            <w:pPr>
              <w:spacing w:line="240" w:lineRule="auto" w:before="40" w:after="40"/>
              <w:jc w:val="center"/>
            </w:pPr>
            <w:r/>
            <w:r>
              <w:rPr>
                <w:b w:val="0"/>
                <w:i w:val="0"/>
                <w:sz w:val="20"/>
              </w:rPr>
              <w:t>₱14,070,696</w:t>
            </w:r>
          </w:p>
        </w:tc>
      </w:tr>
      <w:tr>
        <w:tc>
          <w:tcPr>
            <w:tcW w:type="dxa" w:w="4032"/>
            <w:shd w:val="clear" w:color="auto" w:fill="EFEFEF"/>
            <w:tcBorders>
              <w:bottom w:val="single" w:sz="12" w:color="000000"/>
            </w:tcBorders>
          </w:tcPr>
          <w:p>
            <w:pPr>
              <w:spacing w:line="240" w:lineRule="auto" w:before="40" w:after="40"/>
              <w:jc w:val="left"/>
            </w:pPr>
            <w:r/>
            <w:r>
              <w:rPr>
                <w:b w:val="0"/>
                <w:i/>
                <w:sz w:val="20"/>
              </w:rPr>
              <w:t>Mean Absolute Percentage Error</w:t>
            </w:r>
          </w:p>
        </w:tc>
        <w:tc>
          <w:tcPr>
            <w:tcW w:type="dxa" w:w="2448"/>
            <w:shd w:val="clear" w:color="auto" w:fill="EFEFEF"/>
            <w:tcBorders>
              <w:bottom w:val="single" w:sz="12" w:color="000000"/>
            </w:tcBorders>
          </w:tcPr>
          <w:p>
            <w:pPr>
              <w:spacing w:line="240" w:lineRule="auto" w:before="40" w:after="40"/>
              <w:jc w:val="center"/>
            </w:pPr>
            <w:r/>
            <w:r>
              <w:rPr>
                <w:b w:val="0"/>
                <w:i w:val="0"/>
                <w:sz w:val="20"/>
              </w:rPr>
              <w:t>13.94%</w:t>
            </w:r>
          </w:p>
        </w:tc>
        <w:tc>
          <w:tcPr>
            <w:tcW w:type="dxa" w:w="2448"/>
            <w:shd w:val="clear" w:color="auto" w:fill="EFEFEF"/>
            <w:tcBorders>
              <w:bottom w:val="single" w:sz="12" w:color="000000"/>
            </w:tcBorders>
          </w:tcPr>
          <w:p>
            <w:pPr>
              <w:spacing w:line="240" w:lineRule="auto" w:before="40" w:after="40"/>
              <w:jc w:val="center"/>
            </w:pPr>
            <w:r/>
            <w:r>
              <w:rPr>
                <w:b w:val="0"/>
                <w:i w:val="0"/>
                <w:sz w:val="20"/>
              </w:rPr>
              <w:t>19.18%</w:t>
            </w:r>
          </w:p>
        </w:tc>
      </w:tr>
    </w:tbl>
    <w:p>
      <w:pPr>
        <w:spacing w:line="240" w:lineRule="auto" w:after="80"/>
      </w:pPr>
    </w:p>
    <w:p>
      <w:pPr>
        <w:spacing w:line="480" w:lineRule="auto" w:after="0"/>
        <w:ind w:firstLine="720"/>
        <w:jc w:val="both"/>
      </w:pPr>
      <w:r>
        <w:rPr>
          <w:b w:val="0"/>
          <w:i w:val="0"/>
        </w:rPr>
        <w:t>Table 24 shows that XGBoost reduced the bridge MAPE from 65.65% to 19.18%, a 71% reduction, with a nearly identical R</w:t>
      </w:r>
      <w:r>
        <w:rPr>
          <w:b w:val="0"/>
          <w:i w:val="0"/>
          <w:vertAlign w:val="superscript"/>
        </w:rPr>
        <w:t>2</w:t>
      </w:r>
      <w:r>
        <w:rPr>
          <w:b w:val="0"/>
          <w:i w:val="0"/>
        </w:rPr>
        <w:t xml:space="preserve"> (0.8630). Training on log cost and splitting by superstructure type let it price culverts and long bridges on their own terms. For buildings, however, XGBoost (MAPE 13.94%, R</w:t>
      </w:r>
      <w:r>
        <w:rPr>
          <w:b w:val="0"/>
          <w:i w:val="0"/>
          <w:vertAlign w:val="superscript"/>
        </w:rPr>
        <w:t>2</w:t>
      </w:r>
      <w:r>
        <w:rPr>
          <w:b w:val="0"/>
          <w:i w:val="0"/>
        </w:rPr>
        <w:t xml:space="preserve"> = 0.7874) did slightly worse than linear regression, because building cost in this benchmark is close to linear in floor area and a tree ensemble approximates a straight line with steps. This differs from CORA, where XGBoost outperformed regression on every metric for roads (Buban, 2026), and it supports Elmousalami's (2020) observation that the best model depends on the cost structure of the asset.</w:t>
      </w:r>
    </w:p>
    <w:p>
      <w:pPr>
        <w:keepNext/>
        <w:spacing w:line="240" w:lineRule="auto" w:after="0" w:before="120"/>
        <w:jc w:val="left"/>
      </w:pPr>
      <w:r>
        <w:rPr>
          <w:b/>
          <w:i w:val="0"/>
        </w:rPr>
        <w:t>Table 25.</w:t>
      </w:r>
    </w:p>
    <w:p>
      <w:pPr>
        <w:keepNext/>
        <w:spacing w:line="240" w:lineRule="auto" w:after="0"/>
        <w:jc w:val="left"/>
      </w:pPr>
      <w:r>
        <w:rPr>
          <w:b w:val="0"/>
          <w:i/>
        </w:rPr>
        <w:t>Comparison of Multiple Linear Regression and XGBoost</w:t>
      </w:r>
    </w:p>
    <w:tbl>
      <w:tblPr>
        <w:tblW w:type="auto" w:w="0"/>
        <w:jc w:val="center"/>
        <w:tblLayout w:type="fixed"/>
        <w:tblLook w:firstColumn="1" w:firstRow="1" w:lastColumn="0" w:lastRow="0" w:noHBand="0" w:noVBand="1" w:val="04A0"/>
        <w:tblLayout w:type="fixed"/>
      </w:tblPr>
      <w:tblGrid>
        <w:gridCol w:w="2592"/>
        <w:gridCol w:w="3311"/>
        <w:gridCol w:w="3311"/>
      </w:tblGrid>
      <w:tr>
        <w:tc>
          <w:tcPr>
            <w:tcW w:type="dxa" w:w="2592"/>
            <w:tcBorders>
              <w:top w:val="single" w:sz="12" w:color="000000"/>
              <w:bottom w:val="single" w:sz="8" w:color="000000"/>
            </w:tcBorders>
          </w:tcPr>
          <w:p>
            <w:pPr>
              <w:spacing w:line="240" w:lineRule="auto" w:before="40" w:after="40"/>
              <w:jc w:val="center"/>
            </w:pPr>
            <w:r/>
            <w:r>
              <w:rPr>
                <w:b/>
                <w:i w:val="0"/>
                <w:sz w:val="19"/>
              </w:rPr>
              <w:t>ASPECT</w:t>
            </w:r>
          </w:p>
        </w:tc>
        <w:tc>
          <w:tcPr>
            <w:tcW w:type="dxa" w:w="3312"/>
            <w:tcBorders>
              <w:top w:val="single" w:sz="12" w:color="000000"/>
              <w:bottom w:val="single" w:sz="8" w:color="000000"/>
            </w:tcBorders>
          </w:tcPr>
          <w:p>
            <w:pPr>
              <w:spacing w:line="240" w:lineRule="auto" w:before="40" w:after="40"/>
              <w:jc w:val="center"/>
            </w:pPr>
            <w:r/>
            <w:r>
              <w:rPr>
                <w:b/>
                <w:i w:val="0"/>
                <w:sz w:val="19"/>
              </w:rPr>
              <w:t>MULTIPLE LINEAR REGRESSION</w:t>
            </w:r>
          </w:p>
        </w:tc>
        <w:tc>
          <w:tcPr>
            <w:tcW w:type="dxa" w:w="3312"/>
            <w:tcBorders>
              <w:top w:val="single" w:sz="12" w:color="000000"/>
              <w:bottom w:val="single" w:sz="8" w:color="000000"/>
            </w:tcBorders>
          </w:tcPr>
          <w:p>
            <w:pPr>
              <w:spacing w:line="240" w:lineRule="auto" w:before="40" w:after="40"/>
              <w:jc w:val="center"/>
            </w:pPr>
            <w:r/>
            <w:r>
              <w:rPr>
                <w:b/>
                <w:i w:val="0"/>
                <w:sz w:val="19"/>
              </w:rPr>
              <w:t>EXTREME GRADIENT BOOSTING</w:t>
            </w:r>
          </w:p>
        </w:tc>
      </w:tr>
      <w:tr>
        <w:tc>
          <w:tcPr>
            <w:tcW w:type="dxa" w:w="2592"/>
            <w:shd w:val="clear" w:color="auto" w:fill="EFEFEF"/>
          </w:tcPr>
          <w:p>
            <w:pPr>
              <w:spacing w:line="240" w:lineRule="auto" w:before="40" w:after="40"/>
              <w:jc w:val="left"/>
            </w:pPr>
            <w:r/>
            <w:r>
              <w:rPr>
                <w:b w:val="0"/>
                <w:i/>
                <w:sz w:val="19"/>
              </w:rPr>
              <w:t>Buildings: R² / MAPE</w:t>
            </w:r>
          </w:p>
        </w:tc>
        <w:tc>
          <w:tcPr>
            <w:tcW w:type="dxa" w:w="3312"/>
            <w:shd w:val="clear" w:color="auto" w:fill="EFEFEF"/>
          </w:tcPr>
          <w:p>
            <w:pPr>
              <w:spacing w:line="240" w:lineRule="auto" w:before="40" w:after="40"/>
              <w:jc w:val="center"/>
            </w:pPr>
            <w:r/>
            <w:r>
              <w:rPr>
                <w:b w:val="0"/>
                <w:i w:val="0"/>
                <w:sz w:val="19"/>
              </w:rPr>
              <w:t>0.8112 / 13.43%</w:t>
            </w:r>
          </w:p>
        </w:tc>
        <w:tc>
          <w:tcPr>
            <w:tcW w:type="dxa" w:w="3312"/>
            <w:shd w:val="clear" w:color="auto" w:fill="EFEFEF"/>
          </w:tcPr>
          <w:p>
            <w:pPr>
              <w:spacing w:line="240" w:lineRule="auto" w:before="40" w:after="40"/>
              <w:jc w:val="center"/>
            </w:pPr>
            <w:r/>
            <w:r>
              <w:rPr>
                <w:b w:val="0"/>
                <w:i w:val="0"/>
                <w:sz w:val="19"/>
              </w:rPr>
              <w:t>0.7874 / 13.94%</w:t>
            </w:r>
          </w:p>
        </w:tc>
      </w:tr>
      <w:tr>
        <w:tc>
          <w:tcPr>
            <w:tcW w:type="dxa" w:w="2592"/>
          </w:tcPr>
          <w:p>
            <w:pPr>
              <w:spacing w:line="240" w:lineRule="auto" w:before="40" w:after="40"/>
              <w:jc w:val="left"/>
            </w:pPr>
            <w:r/>
            <w:r>
              <w:rPr>
                <w:b w:val="0"/>
                <w:i/>
                <w:sz w:val="19"/>
              </w:rPr>
              <w:t>Bridges: R² / MAPE</w:t>
            </w:r>
          </w:p>
        </w:tc>
        <w:tc>
          <w:tcPr>
            <w:tcW w:type="dxa" w:w="3312"/>
          </w:tcPr>
          <w:p>
            <w:pPr>
              <w:spacing w:line="240" w:lineRule="auto" w:before="40" w:after="40"/>
              <w:jc w:val="center"/>
            </w:pPr>
            <w:r/>
            <w:r>
              <w:rPr>
                <w:b w:val="0"/>
                <w:i w:val="0"/>
                <w:sz w:val="19"/>
              </w:rPr>
              <w:t>0.8640 / 65.65%</w:t>
            </w:r>
          </w:p>
        </w:tc>
        <w:tc>
          <w:tcPr>
            <w:tcW w:type="dxa" w:w="3312"/>
          </w:tcPr>
          <w:p>
            <w:pPr>
              <w:spacing w:line="240" w:lineRule="auto" w:before="40" w:after="40"/>
              <w:jc w:val="center"/>
            </w:pPr>
            <w:r/>
            <w:r>
              <w:rPr>
                <w:b w:val="0"/>
                <w:i w:val="0"/>
                <w:sz w:val="19"/>
              </w:rPr>
              <w:t>0.8630 / 19.18%</w:t>
            </w:r>
          </w:p>
        </w:tc>
      </w:tr>
      <w:tr>
        <w:tc>
          <w:tcPr>
            <w:tcW w:type="dxa" w:w="2592"/>
            <w:shd w:val="clear" w:color="auto" w:fill="EFEFEF"/>
          </w:tcPr>
          <w:p>
            <w:pPr>
              <w:spacing w:line="240" w:lineRule="auto" w:before="40" w:after="40"/>
              <w:jc w:val="left"/>
            </w:pPr>
            <w:r/>
            <w:r>
              <w:rPr>
                <w:b w:val="0"/>
                <w:i/>
                <w:sz w:val="19"/>
              </w:rPr>
              <w:t>Collinear predictors</w:t>
            </w:r>
          </w:p>
        </w:tc>
        <w:tc>
          <w:tcPr>
            <w:tcW w:type="dxa" w:w="3312"/>
            <w:shd w:val="clear" w:color="auto" w:fill="EFEFEF"/>
          </w:tcPr>
          <w:p>
            <w:pPr>
              <w:spacing w:line="240" w:lineRule="auto" w:before="40" w:after="40"/>
              <w:jc w:val="center"/>
            </w:pPr>
            <w:r/>
            <w:r>
              <w:rPr>
                <w:b w:val="0"/>
                <w:i w:val="0"/>
                <w:sz w:val="19"/>
              </w:rPr>
              <w:t>Must be removed (deck area, superstructure)</w:t>
            </w:r>
          </w:p>
        </w:tc>
        <w:tc>
          <w:tcPr>
            <w:tcW w:type="dxa" w:w="3312"/>
            <w:shd w:val="clear" w:color="auto" w:fill="EFEFEF"/>
          </w:tcPr>
          <w:p>
            <w:pPr>
              <w:spacing w:line="240" w:lineRule="auto" w:before="40" w:after="40"/>
              <w:jc w:val="center"/>
            </w:pPr>
            <w:r/>
            <w:r>
              <w:rPr>
                <w:b w:val="0"/>
                <w:i w:val="0"/>
                <w:sz w:val="19"/>
              </w:rPr>
              <w:t>Retained</w:t>
            </w:r>
          </w:p>
        </w:tc>
      </w:tr>
      <w:tr>
        <w:tc>
          <w:tcPr>
            <w:tcW w:type="dxa" w:w="2592"/>
          </w:tcPr>
          <w:p>
            <w:pPr>
              <w:spacing w:line="240" w:lineRule="auto" w:before="40" w:after="40"/>
              <w:jc w:val="left"/>
            </w:pPr>
            <w:r/>
            <w:r>
              <w:rPr>
                <w:b w:val="0"/>
                <w:i/>
                <w:sz w:val="19"/>
              </w:rPr>
              <w:t>Small vs. large projects</w:t>
            </w:r>
          </w:p>
        </w:tc>
        <w:tc>
          <w:tcPr>
            <w:tcW w:type="dxa" w:w="3312"/>
          </w:tcPr>
          <w:p>
            <w:pPr>
              <w:spacing w:line="240" w:lineRule="auto" w:before="40" w:after="40"/>
              <w:jc w:val="center"/>
            </w:pPr>
            <w:r/>
            <w:r>
              <w:rPr>
                <w:b w:val="0"/>
                <w:i w:val="0"/>
                <w:sz w:val="19"/>
              </w:rPr>
              <w:t>Errors grow on small projects</w:t>
            </w:r>
          </w:p>
        </w:tc>
        <w:tc>
          <w:tcPr>
            <w:tcW w:type="dxa" w:w="3312"/>
          </w:tcPr>
          <w:p>
            <w:pPr>
              <w:spacing w:line="240" w:lineRule="auto" w:before="40" w:after="40"/>
              <w:jc w:val="center"/>
            </w:pPr>
            <w:r/>
            <w:r>
              <w:rPr>
                <w:b w:val="0"/>
                <w:i w:val="0"/>
                <w:sz w:val="19"/>
              </w:rPr>
              <w:t>Log target balances sizes</w:t>
            </w:r>
          </w:p>
        </w:tc>
      </w:tr>
      <w:tr>
        <w:tc>
          <w:tcPr>
            <w:tcW w:type="dxa" w:w="2592"/>
            <w:shd w:val="clear" w:color="auto" w:fill="EFEFEF"/>
          </w:tcPr>
          <w:p>
            <w:pPr>
              <w:spacing w:line="240" w:lineRule="auto" w:before="40" w:after="40"/>
              <w:jc w:val="left"/>
            </w:pPr>
            <w:r/>
            <w:r>
              <w:rPr>
                <w:b w:val="0"/>
                <w:i/>
                <w:sz w:val="19"/>
              </w:rPr>
              <w:t>Explanation</w:t>
            </w:r>
          </w:p>
        </w:tc>
        <w:tc>
          <w:tcPr>
            <w:tcW w:type="dxa" w:w="3312"/>
            <w:shd w:val="clear" w:color="auto" w:fill="EFEFEF"/>
          </w:tcPr>
          <w:p>
            <w:pPr>
              <w:spacing w:line="240" w:lineRule="auto" w:before="40" w:after="40"/>
              <w:jc w:val="center"/>
            </w:pPr>
            <w:r/>
            <w:r>
              <w:rPr>
                <w:b w:val="0"/>
                <w:i w:val="0"/>
                <w:sz w:val="19"/>
              </w:rPr>
              <w:t>Coefficients and p-values</w:t>
            </w:r>
          </w:p>
        </w:tc>
        <w:tc>
          <w:tcPr>
            <w:tcW w:type="dxa" w:w="3312"/>
            <w:shd w:val="clear" w:color="auto" w:fill="EFEFEF"/>
          </w:tcPr>
          <w:p>
            <w:pPr>
              <w:spacing w:line="240" w:lineRule="auto" w:before="40" w:after="40"/>
              <w:jc w:val="center"/>
            </w:pPr>
            <w:r/>
            <w:r>
              <w:rPr>
                <w:b w:val="0"/>
                <w:i w:val="0"/>
                <w:sz w:val="19"/>
              </w:rPr>
              <w:t>SHAP values per project</w:t>
            </w:r>
          </w:p>
        </w:tc>
      </w:tr>
      <w:tr>
        <w:tc>
          <w:tcPr>
            <w:tcW w:type="dxa" w:w="2592"/>
            <w:tcBorders>
              <w:bottom w:val="single" w:sz="12" w:color="000000"/>
            </w:tcBorders>
          </w:tcPr>
          <w:p>
            <w:pPr>
              <w:spacing w:line="240" w:lineRule="auto" w:before="40" w:after="40"/>
              <w:jc w:val="left"/>
            </w:pPr>
            <w:r/>
            <w:r>
              <w:rPr>
                <w:b w:val="0"/>
                <w:i/>
                <w:sz w:val="19"/>
              </w:rPr>
              <w:t>Role in BUHAY-AH</w:t>
            </w:r>
          </w:p>
        </w:tc>
        <w:tc>
          <w:tcPr>
            <w:tcW w:type="dxa" w:w="3312"/>
            <w:tcBorders>
              <w:bottom w:val="single" w:sz="12" w:color="000000"/>
            </w:tcBorders>
          </w:tcPr>
          <w:p>
            <w:pPr>
              <w:spacing w:line="240" w:lineRule="auto" w:before="40" w:after="40"/>
              <w:jc w:val="center"/>
            </w:pPr>
            <w:r/>
            <w:r>
              <w:rPr>
                <w:b w:val="0"/>
                <w:i w:val="0"/>
                <w:sz w:val="19"/>
              </w:rPr>
              <w:t>Interpretable baseline</w:t>
            </w:r>
          </w:p>
        </w:tc>
        <w:tc>
          <w:tcPr>
            <w:tcW w:type="dxa" w:w="3312"/>
            <w:tcBorders>
              <w:bottom w:val="single" w:sz="12" w:color="000000"/>
            </w:tcBorders>
          </w:tcPr>
          <w:p>
            <w:pPr>
              <w:spacing w:line="240" w:lineRule="auto" w:before="40" w:after="40"/>
              <w:jc w:val="center"/>
            </w:pPr>
            <w:r/>
            <w:r>
              <w:rPr>
                <w:b w:val="0"/>
                <w:i w:val="0"/>
                <w:sz w:val="19"/>
              </w:rPr>
              <w:t>Primary expected cost and residual</w:t>
            </w:r>
          </w:p>
        </w:tc>
      </w:tr>
    </w:tbl>
    <w:p>
      <w:pPr>
        <w:spacing w:line="240" w:lineRule="auto" w:after="80"/>
      </w:pPr>
    </w:p>
    <w:p>
      <w:pPr>
        <w:spacing w:line="480" w:lineRule="auto" w:after="0"/>
        <w:ind w:firstLine="720"/>
        <w:jc w:val="both"/>
      </w:pPr>
      <w:r>
        <w:rPr>
          <w:b w:val="0"/>
          <w:i w:val="0"/>
        </w:rPr>
        <w:t>Figures 14 and 15 show how each feature drives the XGBoost predictions. Each dot is one project; its position is the SHAP value on the log-cost scale and its color the feature value.</w:t>
      </w:r>
    </w:p>
    <w:p>
      <w:pPr>
        <w:keepNext/>
        <w:spacing w:line="240" w:lineRule="auto" w:after="0" w:before="120"/>
        <w:jc w:val="left"/>
      </w:pPr>
      <w:r>
        <w:rPr>
          <w:b/>
          <w:i w:val="0"/>
        </w:rPr>
        <w:t>Figure 14.</w:t>
      </w:r>
    </w:p>
    <w:p>
      <w:pPr>
        <w:keepNext/>
        <w:spacing w:line="240" w:lineRule="auto" w:after="0"/>
        <w:jc w:val="left"/>
      </w:pPr>
      <w:r>
        <w:rPr>
          <w:b w:val="0"/>
          <w:i/>
        </w:rPr>
        <w:t>Global SHAP Values of the XGBoost Building Model</w:t>
      </w:r>
    </w:p>
    <w:p>
      <w:pPr>
        <w:spacing w:line="240" w:lineRule="auto" w:after="200"/>
        <w:jc w:val="center"/>
      </w:pPr>
      <w:r>
        <w:drawing>
          <wp:inline xmlns:a="http://schemas.openxmlformats.org/drawingml/2006/main" xmlns:pic="http://schemas.openxmlformats.org/drawingml/2006/picture">
            <wp:extent cx="5120640" cy="3271520"/>
            <wp:docPr id="66" name="Picture 66"/>
            <wp:cNvGraphicFramePr>
              <a:graphicFrameLocks noChangeAspect="1"/>
            </wp:cNvGraphicFramePr>
            <a:graphic>
              <a:graphicData uri="http://schemas.openxmlformats.org/drawingml/2006/picture">
                <pic:pic>
                  <pic:nvPicPr>
                    <pic:cNvPr id="0" name="shap_building.png"/>
                    <pic:cNvPicPr/>
                  </pic:nvPicPr>
                  <pic:blipFill>
                    <a:blip r:embed="rId50"/>
                    <a:stretch>
                      <a:fillRect/>
                    </a:stretch>
                  </pic:blipFill>
                  <pic:spPr>
                    <a:xfrm>
                      <a:off x="0" y="0"/>
                      <a:ext cx="5120640" cy="3271520"/>
                    </a:xfrm>
                    <a:prstGeom prst="rect"/>
                  </pic:spPr>
                </pic:pic>
              </a:graphicData>
            </a:graphic>
          </wp:inline>
        </w:drawing>
      </w:r>
    </w:p>
    <w:p>
      <w:pPr>
        <w:keepNext/>
        <w:spacing w:line="240" w:lineRule="auto" w:after="0" w:before="120"/>
        <w:jc w:val="left"/>
      </w:pPr>
      <w:r>
        <w:rPr>
          <w:b/>
          <w:i w:val="0"/>
        </w:rPr>
        <w:t>Figure 15.</w:t>
      </w:r>
    </w:p>
    <w:p>
      <w:pPr>
        <w:keepNext/>
        <w:spacing w:line="240" w:lineRule="auto" w:after="0"/>
        <w:jc w:val="left"/>
      </w:pPr>
      <w:r>
        <w:rPr>
          <w:b w:val="0"/>
          <w:i/>
        </w:rPr>
        <w:t>Global SHAP Values of the XGBoost Bridge Model</w:t>
      </w:r>
    </w:p>
    <w:p>
      <w:pPr>
        <w:spacing w:line="240" w:lineRule="auto" w:after="200"/>
        <w:jc w:val="center"/>
      </w:pPr>
      <w:r>
        <w:drawing>
          <wp:inline xmlns:a="http://schemas.openxmlformats.org/drawingml/2006/main" xmlns:pic="http://schemas.openxmlformats.org/drawingml/2006/picture">
            <wp:extent cx="5120640" cy="3271520"/>
            <wp:docPr id="67" name="Picture 67"/>
            <wp:cNvGraphicFramePr>
              <a:graphicFrameLocks noChangeAspect="1"/>
            </wp:cNvGraphicFramePr>
            <a:graphic>
              <a:graphicData uri="http://schemas.openxmlformats.org/drawingml/2006/picture">
                <pic:pic>
                  <pic:nvPicPr>
                    <pic:cNvPr id="0" name="shap_bridge.png"/>
                    <pic:cNvPicPr/>
                  </pic:nvPicPr>
                  <pic:blipFill>
                    <a:blip r:embed="rId51"/>
                    <a:stretch>
                      <a:fillRect/>
                    </a:stretch>
                  </pic:blipFill>
                  <pic:spPr>
                    <a:xfrm>
                      <a:off x="0" y="0"/>
                      <a:ext cx="5120640" cy="3271520"/>
                    </a:xfrm>
                    <a:prstGeom prst="rect"/>
                  </pic:spPr>
                </pic:pic>
              </a:graphicData>
            </a:graphic>
          </wp:inline>
        </w:drawing>
      </w:r>
    </w:p>
    <w:p>
      <w:pPr>
        <w:spacing w:line="480" w:lineRule="auto" w:after="0"/>
        <w:ind w:firstLine="720"/>
        <w:jc w:val="both"/>
      </w:pPr>
      <w:r>
        <w:rPr>
          <w:b w:val="0"/>
          <w:i w:val="0"/>
        </w:rPr>
        <w:t>For buildings, gross floor area dominates (mean |SHAP| = 0.343 in log cost), far above storeys (0.058) and location (0.035); high floor areas push cost up and small ones pull it down. For bridges the picture is broader: deck area (0.301), pile length (0.257), total length (0.223) and foundation type (0.163) all matter. SHAP also reveals what gain importance hides: although superstructure type wins most splits, the per-project contributions are spread across size and foundation, which is exactly what an auditor needs to explain a single price. These explanations are shown for every checked project in the application.</w:t>
      </w:r>
    </w:p>
    <w:p>
      <w:pPr>
        <w:keepNext/>
        <w:spacing w:line="480" w:lineRule="auto" w:after="0"/>
        <w:jc w:val="left"/>
      </w:pPr>
      <w:r>
        <w:rPr>
          <w:b/>
          <w:i w:val="0"/>
        </w:rPr>
        <w:t>Detection of Over-Budgeted Contracts</w:t>
      </w:r>
    </w:p>
    <w:p>
      <w:pPr>
        <w:spacing w:line="480" w:lineRule="auto" w:after="0"/>
        <w:ind w:firstLine="720"/>
        <w:jc w:val="both"/>
      </w:pPr>
      <w:r>
        <w:rPr>
          <w:b w:val="0"/>
          <w:i w:val="0"/>
        </w:rPr>
        <w:t>The fifth research question measured how well each screening rule finds the 36 contracts with injected overpricing. Table 26 reports the results per asset class and for all 300 projects.</w:t>
      </w:r>
    </w:p>
    <w:p>
      <w:pPr>
        <w:keepNext/>
        <w:spacing w:line="240" w:lineRule="auto" w:after="0" w:before="120"/>
        <w:jc w:val="left"/>
      </w:pPr>
      <w:r>
        <w:rPr>
          <w:b/>
          <w:i w:val="0"/>
        </w:rPr>
        <w:t>Table 26.</w:t>
      </w:r>
    </w:p>
    <w:p>
      <w:pPr>
        <w:keepNext/>
        <w:spacing w:line="240" w:lineRule="auto" w:after="0"/>
        <w:jc w:val="left"/>
      </w:pPr>
      <w:r>
        <w:rPr>
          <w:b w:val="0"/>
          <w:i/>
        </w:rPr>
        <w:t>Detection Performance against Injected Overpricing</w:t>
      </w:r>
    </w:p>
    <w:tbl>
      <w:tblPr>
        <w:tblW w:type="auto" w:w="0"/>
        <w:jc w:val="center"/>
        <w:tblLayout w:type="fixed"/>
        <w:tblLook w:firstColumn="1" w:firstRow="1" w:lastColumn="0" w:lastRow="0" w:noHBand="0" w:noVBand="1" w:val="04A0"/>
        <w:tblLayout w:type="fixed"/>
      </w:tblPr>
      <w:tblGrid>
        <w:gridCol w:w="3744"/>
        <w:gridCol w:w="1152"/>
        <w:gridCol w:w="1007"/>
        <w:gridCol w:w="864"/>
        <w:gridCol w:w="864"/>
        <w:gridCol w:w="1440"/>
      </w:tblGrid>
      <w:tr>
        <w:tc>
          <w:tcPr>
            <w:tcW w:type="dxa" w:w="3744"/>
            <w:tcBorders>
              <w:top w:val="single" w:sz="12" w:color="000000"/>
              <w:bottom w:val="single" w:sz="8" w:color="000000"/>
            </w:tcBorders>
          </w:tcPr>
          <w:p>
            <w:pPr>
              <w:spacing w:line="240" w:lineRule="auto" w:before="40" w:after="40"/>
              <w:jc w:val="center"/>
            </w:pPr>
            <w:r/>
            <w:r>
              <w:rPr>
                <w:b/>
                <w:i w:val="0"/>
                <w:sz w:val="17"/>
              </w:rPr>
              <w:t>SCOPE AND RULE</w:t>
            </w:r>
          </w:p>
        </w:tc>
        <w:tc>
          <w:tcPr>
            <w:tcW w:type="dxa" w:w="1152"/>
            <w:tcBorders>
              <w:top w:val="single" w:sz="12" w:color="000000"/>
              <w:bottom w:val="single" w:sz="8" w:color="000000"/>
            </w:tcBorders>
          </w:tcPr>
          <w:p>
            <w:pPr>
              <w:spacing w:line="240" w:lineRule="auto" w:before="40" w:after="40"/>
              <w:jc w:val="center"/>
            </w:pPr>
            <w:r/>
            <w:r>
              <w:rPr>
                <w:b/>
                <w:i w:val="0"/>
                <w:sz w:val="17"/>
              </w:rPr>
              <w:t>PRECISION</w:t>
            </w:r>
          </w:p>
        </w:tc>
        <w:tc>
          <w:tcPr>
            <w:tcW w:type="dxa" w:w="1008"/>
            <w:tcBorders>
              <w:top w:val="single" w:sz="12" w:color="000000"/>
              <w:bottom w:val="single" w:sz="8" w:color="000000"/>
            </w:tcBorders>
          </w:tcPr>
          <w:p>
            <w:pPr>
              <w:spacing w:line="240" w:lineRule="auto" w:before="40" w:after="40"/>
              <w:jc w:val="center"/>
            </w:pPr>
            <w:r/>
            <w:r>
              <w:rPr>
                <w:b/>
                <w:i w:val="0"/>
                <w:sz w:val="17"/>
              </w:rPr>
              <w:t>RECALL</w:t>
            </w:r>
          </w:p>
        </w:tc>
        <w:tc>
          <w:tcPr>
            <w:tcW w:type="dxa" w:w="864"/>
            <w:tcBorders>
              <w:top w:val="single" w:sz="12" w:color="000000"/>
              <w:bottom w:val="single" w:sz="8" w:color="000000"/>
            </w:tcBorders>
          </w:tcPr>
          <w:p>
            <w:pPr>
              <w:spacing w:line="240" w:lineRule="auto" w:before="40" w:after="40"/>
              <w:jc w:val="center"/>
            </w:pPr>
            <w:r/>
            <w:r>
              <w:rPr>
                <w:b/>
                <w:i w:val="0"/>
                <w:sz w:val="17"/>
              </w:rPr>
              <w:t>F1</w:t>
            </w:r>
          </w:p>
        </w:tc>
        <w:tc>
          <w:tcPr>
            <w:tcW w:type="dxa" w:w="864"/>
            <w:tcBorders>
              <w:top w:val="single" w:sz="12" w:color="000000"/>
              <w:bottom w:val="single" w:sz="8" w:color="000000"/>
            </w:tcBorders>
          </w:tcPr>
          <w:p>
            <w:pPr>
              <w:spacing w:line="240" w:lineRule="auto" w:before="40" w:after="40"/>
              <w:jc w:val="center"/>
            </w:pPr>
            <w:r/>
            <w:r>
              <w:rPr>
                <w:b/>
                <w:i w:val="0"/>
                <w:sz w:val="17"/>
              </w:rPr>
              <w:t>AUC</w:t>
            </w:r>
          </w:p>
        </w:tc>
        <w:tc>
          <w:tcPr>
            <w:tcW w:type="dxa" w:w="1440"/>
            <w:tcBorders>
              <w:top w:val="single" w:sz="12" w:color="000000"/>
              <w:bottom w:val="single" w:sz="8" w:color="000000"/>
            </w:tcBorders>
          </w:tcPr>
          <w:p>
            <w:pPr>
              <w:spacing w:line="240" w:lineRule="auto" w:before="40" w:after="40"/>
              <w:jc w:val="center"/>
            </w:pPr>
            <w:r/>
            <w:r>
              <w:rPr>
                <w:b/>
                <w:i w:val="0"/>
                <w:sz w:val="17"/>
              </w:rPr>
              <w:t>TP / FP / FN</w:t>
            </w:r>
          </w:p>
        </w:tc>
      </w:tr>
      <w:tr>
        <w:tc>
          <w:tcPr>
            <w:tcW w:type="dxa" w:w="3744"/>
            <w:shd w:val="clear" w:color="auto" w:fill="EFEFEF"/>
          </w:tcPr>
          <w:p>
            <w:pPr>
              <w:spacing w:line="240" w:lineRule="auto" w:before="40" w:after="40"/>
              <w:jc w:val="left"/>
            </w:pPr>
            <w:r/>
            <w:r>
              <w:rPr>
                <w:b w:val="0"/>
                <w:i/>
                <w:sz w:val="17"/>
              </w:rPr>
              <w:t>Buildings: standards-based rule (above ceiling)</w:t>
            </w:r>
          </w:p>
        </w:tc>
        <w:tc>
          <w:tcPr>
            <w:tcW w:type="dxa" w:w="1152"/>
            <w:shd w:val="clear" w:color="auto" w:fill="EFEFEF"/>
          </w:tcPr>
          <w:p>
            <w:pPr>
              <w:spacing w:line="240" w:lineRule="auto" w:before="40" w:after="40"/>
              <w:jc w:val="center"/>
            </w:pPr>
            <w:r/>
            <w:r>
              <w:rPr>
                <w:b w:val="0"/>
                <w:i w:val="0"/>
                <w:sz w:val="17"/>
              </w:rPr>
              <w:t>1.000</w:t>
            </w:r>
          </w:p>
        </w:tc>
        <w:tc>
          <w:tcPr>
            <w:tcW w:type="dxa" w:w="1008"/>
            <w:shd w:val="clear" w:color="auto" w:fill="EFEFEF"/>
          </w:tcPr>
          <w:p>
            <w:pPr>
              <w:spacing w:line="240" w:lineRule="auto" w:before="40" w:after="40"/>
              <w:jc w:val="center"/>
            </w:pPr>
            <w:r/>
            <w:r>
              <w:rPr>
                <w:b w:val="0"/>
                <w:i w:val="0"/>
                <w:sz w:val="17"/>
              </w:rPr>
              <w:t>0.750</w:t>
            </w:r>
          </w:p>
        </w:tc>
        <w:tc>
          <w:tcPr>
            <w:tcW w:type="dxa" w:w="864"/>
            <w:shd w:val="clear" w:color="auto" w:fill="EFEFEF"/>
          </w:tcPr>
          <w:p>
            <w:pPr>
              <w:spacing w:line="240" w:lineRule="auto" w:before="40" w:after="40"/>
              <w:jc w:val="center"/>
            </w:pPr>
            <w:r/>
            <w:r>
              <w:rPr>
                <w:b w:val="0"/>
                <w:i w:val="0"/>
                <w:sz w:val="17"/>
              </w:rPr>
              <w:t>0.857</w:t>
            </w:r>
          </w:p>
        </w:tc>
        <w:tc>
          <w:tcPr>
            <w:tcW w:type="dxa" w:w="864"/>
            <w:shd w:val="clear" w:color="auto" w:fill="EFEFEF"/>
          </w:tcPr>
          <w:p>
            <w:pPr>
              <w:spacing w:line="240" w:lineRule="auto" w:before="40" w:after="40"/>
              <w:jc w:val="center"/>
            </w:pPr>
            <w:r/>
            <w:r>
              <w:rPr>
                <w:b w:val="0"/>
                <w:i w:val="0"/>
                <w:sz w:val="17"/>
              </w:rPr>
              <w:t>1.000</w:t>
            </w:r>
          </w:p>
        </w:tc>
        <w:tc>
          <w:tcPr>
            <w:tcW w:type="dxa" w:w="1440"/>
            <w:shd w:val="clear" w:color="auto" w:fill="EFEFEF"/>
          </w:tcPr>
          <w:p>
            <w:pPr>
              <w:spacing w:line="240" w:lineRule="auto" w:before="40" w:after="40"/>
              <w:jc w:val="center"/>
            </w:pPr>
            <w:r/>
            <w:r>
              <w:rPr>
                <w:b w:val="0"/>
                <w:i w:val="0"/>
                <w:sz w:val="17"/>
              </w:rPr>
              <w:t>15 / 0 / 5</w:t>
            </w:r>
          </w:p>
        </w:tc>
      </w:tr>
      <w:tr>
        <w:tc>
          <w:tcPr>
            <w:tcW w:type="dxa" w:w="3744"/>
          </w:tcPr>
          <w:p>
            <w:pPr>
              <w:spacing w:line="240" w:lineRule="auto" w:before="40" w:after="40"/>
              <w:jc w:val="left"/>
            </w:pPr>
            <w:r/>
            <w:r>
              <w:rPr>
                <w:b w:val="0"/>
                <w:i/>
                <w:sz w:val="17"/>
              </w:rPr>
              <w:t>Buildings: XGBoost residual (&gt; 1.25 × predicted)</w:t>
            </w:r>
          </w:p>
        </w:tc>
        <w:tc>
          <w:tcPr>
            <w:tcW w:type="dxa" w:w="1152"/>
          </w:tcPr>
          <w:p>
            <w:pPr>
              <w:spacing w:line="240" w:lineRule="auto" w:before="40" w:after="40"/>
              <w:jc w:val="center"/>
            </w:pPr>
            <w:r/>
            <w:r>
              <w:rPr>
                <w:b w:val="0"/>
                <w:i w:val="0"/>
                <w:sz w:val="17"/>
              </w:rPr>
              <w:t>0.929</w:t>
            </w:r>
          </w:p>
        </w:tc>
        <w:tc>
          <w:tcPr>
            <w:tcW w:type="dxa" w:w="1008"/>
          </w:tcPr>
          <w:p>
            <w:pPr>
              <w:spacing w:line="240" w:lineRule="auto" w:before="40" w:after="40"/>
              <w:jc w:val="center"/>
            </w:pPr>
            <w:r/>
            <w:r>
              <w:rPr>
                <w:b w:val="0"/>
                <w:i w:val="0"/>
                <w:sz w:val="17"/>
              </w:rPr>
              <w:t>0.650</w:t>
            </w:r>
          </w:p>
        </w:tc>
        <w:tc>
          <w:tcPr>
            <w:tcW w:type="dxa" w:w="864"/>
          </w:tcPr>
          <w:p>
            <w:pPr>
              <w:spacing w:line="240" w:lineRule="auto" w:before="40" w:after="40"/>
              <w:jc w:val="center"/>
            </w:pPr>
            <w:r/>
            <w:r>
              <w:rPr>
                <w:b w:val="0"/>
                <w:i w:val="0"/>
                <w:sz w:val="17"/>
              </w:rPr>
              <w:t>0.765</w:t>
            </w:r>
          </w:p>
        </w:tc>
        <w:tc>
          <w:tcPr>
            <w:tcW w:type="dxa" w:w="864"/>
          </w:tcPr>
          <w:p>
            <w:pPr>
              <w:spacing w:line="240" w:lineRule="auto" w:before="40" w:after="40"/>
              <w:jc w:val="center"/>
            </w:pPr>
            <w:r/>
            <w:r>
              <w:rPr>
                <w:b w:val="0"/>
                <w:i w:val="0"/>
                <w:sz w:val="17"/>
              </w:rPr>
              <w:t>0.972</w:t>
            </w:r>
          </w:p>
        </w:tc>
        <w:tc>
          <w:tcPr>
            <w:tcW w:type="dxa" w:w="1440"/>
          </w:tcPr>
          <w:p>
            <w:pPr>
              <w:spacing w:line="240" w:lineRule="auto" w:before="40" w:after="40"/>
              <w:jc w:val="center"/>
            </w:pPr>
            <w:r/>
            <w:r>
              <w:rPr>
                <w:b w:val="0"/>
                <w:i w:val="0"/>
                <w:sz w:val="17"/>
              </w:rPr>
              <w:t>13 / 1 / 7</w:t>
            </w:r>
          </w:p>
        </w:tc>
      </w:tr>
      <w:tr>
        <w:tc>
          <w:tcPr>
            <w:tcW w:type="dxa" w:w="3744"/>
            <w:shd w:val="clear" w:color="auto" w:fill="EFEFEF"/>
          </w:tcPr>
          <w:p>
            <w:pPr>
              <w:spacing w:line="240" w:lineRule="auto" w:before="40" w:after="40"/>
              <w:jc w:val="left"/>
            </w:pPr>
            <w:r/>
            <w:r>
              <w:rPr>
                <w:b w:val="0"/>
                <w:i/>
                <w:sz w:val="17"/>
              </w:rPr>
              <w:t>Buildings: Isolation Forest (CORA-style)</w:t>
            </w:r>
          </w:p>
        </w:tc>
        <w:tc>
          <w:tcPr>
            <w:tcW w:type="dxa" w:w="1152"/>
            <w:shd w:val="clear" w:color="auto" w:fill="EFEFEF"/>
          </w:tcPr>
          <w:p>
            <w:pPr>
              <w:spacing w:line="240" w:lineRule="auto" w:before="40" w:after="40"/>
              <w:jc w:val="center"/>
            </w:pPr>
            <w:r/>
            <w:r>
              <w:rPr>
                <w:b w:val="0"/>
                <w:i w:val="0"/>
                <w:sz w:val="17"/>
              </w:rPr>
              <w:t>0.750</w:t>
            </w:r>
          </w:p>
        </w:tc>
        <w:tc>
          <w:tcPr>
            <w:tcW w:type="dxa" w:w="1008"/>
            <w:shd w:val="clear" w:color="auto" w:fill="EFEFEF"/>
          </w:tcPr>
          <w:p>
            <w:pPr>
              <w:spacing w:line="240" w:lineRule="auto" w:before="40" w:after="40"/>
              <w:jc w:val="center"/>
            </w:pPr>
            <w:r/>
            <w:r>
              <w:rPr>
                <w:b w:val="0"/>
                <w:i w:val="0"/>
                <w:sz w:val="17"/>
              </w:rPr>
              <w:t>0.300</w:t>
            </w:r>
          </w:p>
        </w:tc>
        <w:tc>
          <w:tcPr>
            <w:tcW w:type="dxa" w:w="864"/>
            <w:shd w:val="clear" w:color="auto" w:fill="EFEFEF"/>
          </w:tcPr>
          <w:p>
            <w:pPr>
              <w:spacing w:line="240" w:lineRule="auto" w:before="40" w:after="40"/>
              <w:jc w:val="center"/>
            </w:pPr>
            <w:r/>
            <w:r>
              <w:rPr>
                <w:b w:val="0"/>
                <w:i w:val="0"/>
                <w:sz w:val="17"/>
              </w:rPr>
              <w:t>0.429</w:t>
            </w:r>
          </w:p>
        </w:tc>
        <w:tc>
          <w:tcPr>
            <w:tcW w:type="dxa" w:w="864"/>
            <w:shd w:val="clear" w:color="auto" w:fill="EFEFEF"/>
          </w:tcPr>
          <w:p>
            <w:pPr>
              <w:spacing w:line="240" w:lineRule="auto" w:before="40" w:after="40"/>
              <w:jc w:val="center"/>
            </w:pPr>
            <w:r/>
            <w:r>
              <w:rPr>
                <w:b w:val="0"/>
                <w:i w:val="0"/>
                <w:sz w:val="17"/>
              </w:rPr>
              <w:t>0.802</w:t>
            </w:r>
          </w:p>
        </w:tc>
        <w:tc>
          <w:tcPr>
            <w:tcW w:type="dxa" w:w="1440"/>
            <w:shd w:val="clear" w:color="auto" w:fill="EFEFEF"/>
          </w:tcPr>
          <w:p>
            <w:pPr>
              <w:spacing w:line="240" w:lineRule="auto" w:before="40" w:after="40"/>
              <w:jc w:val="center"/>
            </w:pPr>
            <w:r/>
            <w:r>
              <w:rPr>
                <w:b w:val="0"/>
                <w:i w:val="0"/>
                <w:sz w:val="17"/>
              </w:rPr>
              <w:t>6 / 2 / 14</w:t>
            </w:r>
          </w:p>
        </w:tc>
      </w:tr>
      <w:tr>
        <w:tc>
          <w:tcPr>
            <w:tcW w:type="dxa" w:w="3744"/>
          </w:tcPr>
          <w:p>
            <w:pPr>
              <w:spacing w:line="240" w:lineRule="auto" w:before="40" w:after="40"/>
              <w:jc w:val="left"/>
            </w:pPr>
            <w:r/>
            <w:r>
              <w:rPr>
                <w:b w:val="0"/>
                <w:i/>
                <w:sz w:val="17"/>
              </w:rPr>
              <w:t>Buildings: BUHAY-AH Risk Index (≥ 30)</w:t>
            </w:r>
          </w:p>
        </w:tc>
        <w:tc>
          <w:tcPr>
            <w:tcW w:type="dxa" w:w="1152"/>
          </w:tcPr>
          <w:p>
            <w:pPr>
              <w:spacing w:line="240" w:lineRule="auto" w:before="40" w:after="40"/>
              <w:jc w:val="center"/>
            </w:pPr>
            <w:r/>
            <w:r>
              <w:rPr>
                <w:b w:val="0"/>
                <w:i w:val="0"/>
                <w:sz w:val="17"/>
              </w:rPr>
              <w:t>0.905</w:t>
            </w:r>
          </w:p>
        </w:tc>
        <w:tc>
          <w:tcPr>
            <w:tcW w:type="dxa" w:w="1008"/>
          </w:tcPr>
          <w:p>
            <w:pPr>
              <w:spacing w:line="240" w:lineRule="auto" w:before="40" w:after="40"/>
              <w:jc w:val="center"/>
            </w:pPr>
            <w:r/>
            <w:r>
              <w:rPr>
                <w:b w:val="0"/>
                <w:i w:val="0"/>
                <w:sz w:val="17"/>
              </w:rPr>
              <w:t>0.950</w:t>
            </w:r>
          </w:p>
        </w:tc>
        <w:tc>
          <w:tcPr>
            <w:tcW w:type="dxa" w:w="864"/>
          </w:tcPr>
          <w:p>
            <w:pPr>
              <w:spacing w:line="240" w:lineRule="auto" w:before="40" w:after="40"/>
              <w:jc w:val="center"/>
            </w:pPr>
            <w:r/>
            <w:r>
              <w:rPr>
                <w:b w:val="0"/>
                <w:i w:val="0"/>
                <w:sz w:val="17"/>
              </w:rPr>
              <w:t>0.927</w:t>
            </w:r>
          </w:p>
        </w:tc>
        <w:tc>
          <w:tcPr>
            <w:tcW w:type="dxa" w:w="864"/>
          </w:tcPr>
          <w:p>
            <w:pPr>
              <w:spacing w:line="240" w:lineRule="auto" w:before="40" w:after="40"/>
              <w:jc w:val="center"/>
            </w:pPr>
            <w:r/>
            <w:r>
              <w:rPr>
                <w:b w:val="0"/>
                <w:i w:val="0"/>
                <w:sz w:val="17"/>
              </w:rPr>
              <w:t>0.999</w:t>
            </w:r>
          </w:p>
        </w:tc>
        <w:tc>
          <w:tcPr>
            <w:tcW w:type="dxa" w:w="1440"/>
          </w:tcPr>
          <w:p>
            <w:pPr>
              <w:spacing w:line="240" w:lineRule="auto" w:before="40" w:after="40"/>
              <w:jc w:val="center"/>
            </w:pPr>
            <w:r/>
            <w:r>
              <w:rPr>
                <w:b w:val="0"/>
                <w:i w:val="0"/>
                <w:sz w:val="17"/>
              </w:rPr>
              <w:t>19 / 2 / 1</w:t>
            </w:r>
          </w:p>
        </w:tc>
      </w:tr>
      <w:tr>
        <w:tc>
          <w:tcPr>
            <w:tcW w:type="dxa" w:w="3744"/>
            <w:shd w:val="clear" w:color="auto" w:fill="EFEFEF"/>
          </w:tcPr>
          <w:p>
            <w:pPr>
              <w:spacing w:line="240" w:lineRule="auto" w:before="40" w:after="40"/>
              <w:jc w:val="left"/>
            </w:pPr>
            <w:r/>
            <w:r>
              <w:rPr>
                <w:b w:val="0"/>
                <w:i/>
                <w:sz w:val="17"/>
              </w:rPr>
              <w:t>Bridges: standards-based rule (above ceiling)</w:t>
            </w:r>
          </w:p>
        </w:tc>
        <w:tc>
          <w:tcPr>
            <w:tcW w:type="dxa" w:w="1152"/>
            <w:shd w:val="clear" w:color="auto" w:fill="EFEFEF"/>
          </w:tcPr>
          <w:p>
            <w:pPr>
              <w:spacing w:line="240" w:lineRule="auto" w:before="40" w:after="40"/>
              <w:jc w:val="center"/>
            </w:pPr>
            <w:r/>
            <w:r>
              <w:rPr>
                <w:b w:val="0"/>
                <w:i w:val="0"/>
                <w:sz w:val="17"/>
              </w:rPr>
              <w:t>0.517</w:t>
            </w:r>
          </w:p>
        </w:tc>
        <w:tc>
          <w:tcPr>
            <w:tcW w:type="dxa" w:w="1008"/>
            <w:shd w:val="clear" w:color="auto" w:fill="EFEFEF"/>
          </w:tcPr>
          <w:p>
            <w:pPr>
              <w:spacing w:line="240" w:lineRule="auto" w:before="40" w:after="40"/>
              <w:jc w:val="center"/>
            </w:pPr>
            <w:r/>
            <w:r>
              <w:rPr>
                <w:b w:val="0"/>
                <w:i w:val="0"/>
                <w:sz w:val="17"/>
              </w:rPr>
              <w:t>0.938</w:t>
            </w:r>
          </w:p>
        </w:tc>
        <w:tc>
          <w:tcPr>
            <w:tcW w:type="dxa" w:w="864"/>
            <w:shd w:val="clear" w:color="auto" w:fill="EFEFEF"/>
          </w:tcPr>
          <w:p>
            <w:pPr>
              <w:spacing w:line="240" w:lineRule="auto" w:before="40" w:after="40"/>
              <w:jc w:val="center"/>
            </w:pPr>
            <w:r/>
            <w:r>
              <w:rPr>
                <w:b w:val="0"/>
                <w:i w:val="0"/>
                <w:sz w:val="17"/>
              </w:rPr>
              <w:t>0.667</w:t>
            </w:r>
          </w:p>
        </w:tc>
        <w:tc>
          <w:tcPr>
            <w:tcW w:type="dxa" w:w="864"/>
            <w:shd w:val="clear" w:color="auto" w:fill="EFEFEF"/>
          </w:tcPr>
          <w:p>
            <w:pPr>
              <w:spacing w:line="240" w:lineRule="auto" w:before="40" w:after="40"/>
              <w:jc w:val="center"/>
            </w:pPr>
            <w:r/>
            <w:r>
              <w:rPr>
                <w:b w:val="0"/>
                <w:i w:val="0"/>
                <w:sz w:val="17"/>
              </w:rPr>
              <w:t>0.982</w:t>
            </w:r>
          </w:p>
        </w:tc>
        <w:tc>
          <w:tcPr>
            <w:tcW w:type="dxa" w:w="1440"/>
            <w:shd w:val="clear" w:color="auto" w:fill="EFEFEF"/>
          </w:tcPr>
          <w:p>
            <w:pPr>
              <w:spacing w:line="240" w:lineRule="auto" w:before="40" w:after="40"/>
              <w:jc w:val="center"/>
            </w:pPr>
            <w:r/>
            <w:r>
              <w:rPr>
                <w:b w:val="0"/>
                <w:i w:val="0"/>
                <w:sz w:val="17"/>
              </w:rPr>
              <w:t>15 / 14 / 1</w:t>
            </w:r>
          </w:p>
        </w:tc>
      </w:tr>
      <w:tr>
        <w:tc>
          <w:tcPr>
            <w:tcW w:type="dxa" w:w="3744"/>
          </w:tcPr>
          <w:p>
            <w:pPr>
              <w:spacing w:line="240" w:lineRule="auto" w:before="40" w:after="40"/>
              <w:jc w:val="left"/>
            </w:pPr>
            <w:r/>
            <w:r>
              <w:rPr>
                <w:b w:val="0"/>
                <w:i/>
                <w:sz w:val="17"/>
              </w:rPr>
              <w:t>Bridges: XGBoost residual (&gt; 1.25 × predicted)</w:t>
            </w:r>
          </w:p>
        </w:tc>
        <w:tc>
          <w:tcPr>
            <w:tcW w:type="dxa" w:w="1152"/>
          </w:tcPr>
          <w:p>
            <w:pPr>
              <w:spacing w:line="240" w:lineRule="auto" w:before="40" w:after="40"/>
              <w:jc w:val="center"/>
            </w:pPr>
            <w:r/>
            <w:r>
              <w:rPr>
                <w:b w:val="0"/>
                <w:i w:val="0"/>
                <w:sz w:val="17"/>
              </w:rPr>
              <w:t>0.550</w:t>
            </w:r>
          </w:p>
        </w:tc>
        <w:tc>
          <w:tcPr>
            <w:tcW w:type="dxa" w:w="1008"/>
          </w:tcPr>
          <w:p>
            <w:pPr>
              <w:spacing w:line="240" w:lineRule="auto" w:before="40" w:after="40"/>
              <w:jc w:val="center"/>
            </w:pPr>
            <w:r/>
            <w:r>
              <w:rPr>
                <w:b w:val="0"/>
                <w:i w:val="0"/>
                <w:sz w:val="17"/>
              </w:rPr>
              <w:t>0.688</w:t>
            </w:r>
          </w:p>
        </w:tc>
        <w:tc>
          <w:tcPr>
            <w:tcW w:type="dxa" w:w="864"/>
          </w:tcPr>
          <w:p>
            <w:pPr>
              <w:spacing w:line="240" w:lineRule="auto" w:before="40" w:after="40"/>
              <w:jc w:val="center"/>
            </w:pPr>
            <w:r/>
            <w:r>
              <w:rPr>
                <w:b w:val="0"/>
                <w:i w:val="0"/>
                <w:sz w:val="17"/>
              </w:rPr>
              <w:t>0.611</w:t>
            </w:r>
          </w:p>
        </w:tc>
        <w:tc>
          <w:tcPr>
            <w:tcW w:type="dxa" w:w="864"/>
          </w:tcPr>
          <w:p>
            <w:pPr>
              <w:spacing w:line="240" w:lineRule="auto" w:before="40" w:after="40"/>
              <w:jc w:val="center"/>
            </w:pPr>
            <w:r/>
            <w:r>
              <w:rPr>
                <w:b w:val="0"/>
                <w:i w:val="0"/>
                <w:sz w:val="17"/>
              </w:rPr>
              <w:t>0.939</w:t>
            </w:r>
          </w:p>
        </w:tc>
        <w:tc>
          <w:tcPr>
            <w:tcW w:type="dxa" w:w="1440"/>
          </w:tcPr>
          <w:p>
            <w:pPr>
              <w:spacing w:line="240" w:lineRule="auto" w:before="40" w:after="40"/>
              <w:jc w:val="center"/>
            </w:pPr>
            <w:r/>
            <w:r>
              <w:rPr>
                <w:b w:val="0"/>
                <w:i w:val="0"/>
                <w:sz w:val="17"/>
              </w:rPr>
              <w:t>11 / 9 / 5</w:t>
            </w:r>
          </w:p>
        </w:tc>
      </w:tr>
      <w:tr>
        <w:tc>
          <w:tcPr>
            <w:tcW w:type="dxa" w:w="3744"/>
            <w:shd w:val="clear" w:color="auto" w:fill="EFEFEF"/>
          </w:tcPr>
          <w:p>
            <w:pPr>
              <w:spacing w:line="240" w:lineRule="auto" w:before="40" w:after="40"/>
              <w:jc w:val="left"/>
            </w:pPr>
            <w:r/>
            <w:r>
              <w:rPr>
                <w:b w:val="0"/>
                <w:i/>
                <w:sz w:val="17"/>
              </w:rPr>
              <w:t>Bridges: Isolation Forest (CORA-style)</w:t>
            </w:r>
          </w:p>
        </w:tc>
        <w:tc>
          <w:tcPr>
            <w:tcW w:type="dxa" w:w="1152"/>
            <w:shd w:val="clear" w:color="auto" w:fill="EFEFEF"/>
          </w:tcPr>
          <w:p>
            <w:pPr>
              <w:spacing w:line="240" w:lineRule="auto" w:before="40" w:after="40"/>
              <w:jc w:val="center"/>
            </w:pPr>
            <w:r/>
            <w:r>
              <w:rPr>
                <w:b w:val="0"/>
                <w:i w:val="0"/>
                <w:sz w:val="17"/>
              </w:rPr>
              <w:t>0.400</w:t>
            </w:r>
          </w:p>
        </w:tc>
        <w:tc>
          <w:tcPr>
            <w:tcW w:type="dxa" w:w="1008"/>
            <w:shd w:val="clear" w:color="auto" w:fill="EFEFEF"/>
          </w:tcPr>
          <w:p>
            <w:pPr>
              <w:spacing w:line="240" w:lineRule="auto" w:before="40" w:after="40"/>
              <w:jc w:val="center"/>
            </w:pPr>
            <w:r/>
            <w:r>
              <w:rPr>
                <w:b w:val="0"/>
                <w:i w:val="0"/>
                <w:sz w:val="17"/>
              </w:rPr>
              <w:t>0.250</w:t>
            </w:r>
          </w:p>
        </w:tc>
        <w:tc>
          <w:tcPr>
            <w:tcW w:type="dxa" w:w="864"/>
            <w:shd w:val="clear" w:color="auto" w:fill="EFEFEF"/>
          </w:tcPr>
          <w:p>
            <w:pPr>
              <w:spacing w:line="240" w:lineRule="auto" w:before="40" w:after="40"/>
              <w:jc w:val="center"/>
            </w:pPr>
            <w:r/>
            <w:r>
              <w:rPr>
                <w:b w:val="0"/>
                <w:i w:val="0"/>
                <w:sz w:val="17"/>
              </w:rPr>
              <w:t>0.308</w:t>
            </w:r>
          </w:p>
        </w:tc>
        <w:tc>
          <w:tcPr>
            <w:tcW w:type="dxa" w:w="864"/>
            <w:shd w:val="clear" w:color="auto" w:fill="EFEFEF"/>
          </w:tcPr>
          <w:p>
            <w:pPr>
              <w:spacing w:line="240" w:lineRule="auto" w:before="40" w:after="40"/>
              <w:jc w:val="center"/>
            </w:pPr>
            <w:r/>
            <w:r>
              <w:rPr>
                <w:b w:val="0"/>
                <w:i w:val="0"/>
                <w:sz w:val="17"/>
              </w:rPr>
              <w:t>0.646</w:t>
            </w:r>
          </w:p>
        </w:tc>
        <w:tc>
          <w:tcPr>
            <w:tcW w:type="dxa" w:w="1440"/>
            <w:shd w:val="clear" w:color="auto" w:fill="EFEFEF"/>
          </w:tcPr>
          <w:p>
            <w:pPr>
              <w:spacing w:line="240" w:lineRule="auto" w:before="40" w:after="40"/>
              <w:jc w:val="center"/>
            </w:pPr>
            <w:r/>
            <w:r>
              <w:rPr>
                <w:b w:val="0"/>
                <w:i w:val="0"/>
                <w:sz w:val="17"/>
              </w:rPr>
              <w:t>4 / 6 / 12</w:t>
            </w:r>
          </w:p>
        </w:tc>
      </w:tr>
      <w:tr>
        <w:tc>
          <w:tcPr>
            <w:tcW w:type="dxa" w:w="3744"/>
          </w:tcPr>
          <w:p>
            <w:pPr>
              <w:spacing w:line="240" w:lineRule="auto" w:before="40" w:after="40"/>
              <w:jc w:val="left"/>
            </w:pPr>
            <w:r/>
            <w:r>
              <w:rPr>
                <w:b w:val="0"/>
                <w:i/>
                <w:sz w:val="17"/>
              </w:rPr>
              <w:t>Bridges: BUHAY-AH Risk Index (≥ 30)</w:t>
            </w:r>
          </w:p>
        </w:tc>
        <w:tc>
          <w:tcPr>
            <w:tcW w:type="dxa" w:w="1152"/>
          </w:tcPr>
          <w:p>
            <w:pPr>
              <w:spacing w:line="240" w:lineRule="auto" w:before="40" w:after="40"/>
              <w:jc w:val="center"/>
            </w:pPr>
            <w:r/>
            <w:r>
              <w:rPr>
                <w:b w:val="0"/>
                <w:i w:val="0"/>
                <w:sz w:val="17"/>
              </w:rPr>
              <w:t>0.469</w:t>
            </w:r>
          </w:p>
        </w:tc>
        <w:tc>
          <w:tcPr>
            <w:tcW w:type="dxa" w:w="1008"/>
          </w:tcPr>
          <w:p>
            <w:pPr>
              <w:spacing w:line="240" w:lineRule="auto" w:before="40" w:after="40"/>
              <w:jc w:val="center"/>
            </w:pPr>
            <w:r/>
            <w:r>
              <w:rPr>
                <w:b w:val="0"/>
                <w:i w:val="0"/>
                <w:sz w:val="17"/>
              </w:rPr>
              <w:t>0.938</w:t>
            </w:r>
          </w:p>
        </w:tc>
        <w:tc>
          <w:tcPr>
            <w:tcW w:type="dxa" w:w="864"/>
          </w:tcPr>
          <w:p>
            <w:pPr>
              <w:spacing w:line="240" w:lineRule="auto" w:before="40" w:after="40"/>
              <w:jc w:val="center"/>
            </w:pPr>
            <w:r/>
            <w:r>
              <w:rPr>
                <w:b w:val="0"/>
                <w:i w:val="0"/>
                <w:sz w:val="17"/>
              </w:rPr>
              <w:t>0.625</w:t>
            </w:r>
          </w:p>
        </w:tc>
        <w:tc>
          <w:tcPr>
            <w:tcW w:type="dxa" w:w="864"/>
          </w:tcPr>
          <w:p>
            <w:pPr>
              <w:spacing w:line="240" w:lineRule="auto" w:before="40" w:after="40"/>
              <w:jc w:val="center"/>
            </w:pPr>
            <w:r/>
            <w:r>
              <w:rPr>
                <w:b w:val="0"/>
                <w:i w:val="0"/>
                <w:sz w:val="17"/>
              </w:rPr>
              <w:t>0.972</w:t>
            </w:r>
          </w:p>
        </w:tc>
        <w:tc>
          <w:tcPr>
            <w:tcW w:type="dxa" w:w="1440"/>
          </w:tcPr>
          <w:p>
            <w:pPr>
              <w:spacing w:line="240" w:lineRule="auto" w:before="40" w:after="40"/>
              <w:jc w:val="center"/>
            </w:pPr>
            <w:r/>
            <w:r>
              <w:rPr>
                <w:b w:val="0"/>
                <w:i w:val="0"/>
                <w:sz w:val="17"/>
              </w:rPr>
              <w:t>15 / 17 / 1</w:t>
            </w:r>
          </w:p>
        </w:tc>
      </w:tr>
      <w:tr>
        <w:tc>
          <w:tcPr>
            <w:tcW w:type="dxa" w:w="3744"/>
            <w:shd w:val="clear" w:color="auto" w:fill="EFEFEF"/>
          </w:tcPr>
          <w:p>
            <w:pPr>
              <w:spacing w:line="240" w:lineRule="auto" w:before="40" w:after="40"/>
              <w:jc w:val="left"/>
            </w:pPr>
            <w:r/>
            <w:r>
              <w:rPr>
                <w:b w:val="0"/>
                <w:i/>
                <w:sz w:val="17"/>
              </w:rPr>
              <w:t>All projects: standards-based rule (above ceiling)</w:t>
            </w:r>
          </w:p>
        </w:tc>
        <w:tc>
          <w:tcPr>
            <w:tcW w:type="dxa" w:w="1152"/>
            <w:shd w:val="clear" w:color="auto" w:fill="EFEFEF"/>
          </w:tcPr>
          <w:p>
            <w:pPr>
              <w:spacing w:line="240" w:lineRule="auto" w:before="40" w:after="40"/>
              <w:jc w:val="center"/>
            </w:pPr>
            <w:r/>
            <w:r>
              <w:rPr>
                <w:b w:val="0"/>
                <w:i w:val="0"/>
                <w:sz w:val="17"/>
              </w:rPr>
              <w:t>0.682</w:t>
            </w:r>
          </w:p>
        </w:tc>
        <w:tc>
          <w:tcPr>
            <w:tcW w:type="dxa" w:w="1008"/>
            <w:shd w:val="clear" w:color="auto" w:fill="EFEFEF"/>
          </w:tcPr>
          <w:p>
            <w:pPr>
              <w:spacing w:line="240" w:lineRule="auto" w:before="40" w:after="40"/>
              <w:jc w:val="center"/>
            </w:pPr>
            <w:r/>
            <w:r>
              <w:rPr>
                <w:b w:val="0"/>
                <w:i w:val="0"/>
                <w:sz w:val="17"/>
              </w:rPr>
              <w:t>0.833</w:t>
            </w:r>
          </w:p>
        </w:tc>
        <w:tc>
          <w:tcPr>
            <w:tcW w:type="dxa" w:w="864"/>
            <w:shd w:val="clear" w:color="auto" w:fill="EFEFEF"/>
          </w:tcPr>
          <w:p>
            <w:pPr>
              <w:spacing w:line="240" w:lineRule="auto" w:before="40" w:after="40"/>
              <w:jc w:val="center"/>
            </w:pPr>
            <w:r/>
            <w:r>
              <w:rPr>
                <w:b w:val="0"/>
                <w:i w:val="0"/>
                <w:sz w:val="17"/>
              </w:rPr>
              <w:t>0.750</w:t>
            </w:r>
          </w:p>
        </w:tc>
        <w:tc>
          <w:tcPr>
            <w:tcW w:type="dxa" w:w="864"/>
            <w:shd w:val="clear" w:color="auto" w:fill="EFEFEF"/>
          </w:tcPr>
          <w:p>
            <w:pPr>
              <w:spacing w:line="240" w:lineRule="auto" w:before="40" w:after="40"/>
              <w:jc w:val="center"/>
            </w:pPr>
            <w:r/>
            <w:r>
              <w:rPr>
                <w:b w:val="0"/>
                <w:i w:val="0"/>
                <w:sz w:val="17"/>
              </w:rPr>
              <w:t>0.994</w:t>
            </w:r>
          </w:p>
        </w:tc>
        <w:tc>
          <w:tcPr>
            <w:tcW w:type="dxa" w:w="1440"/>
            <w:shd w:val="clear" w:color="auto" w:fill="EFEFEF"/>
          </w:tcPr>
          <w:p>
            <w:pPr>
              <w:spacing w:line="240" w:lineRule="auto" w:before="40" w:after="40"/>
              <w:jc w:val="center"/>
            </w:pPr>
            <w:r/>
            <w:r>
              <w:rPr>
                <w:b w:val="0"/>
                <w:i w:val="0"/>
                <w:sz w:val="17"/>
              </w:rPr>
              <w:t>30 / 14 / 6</w:t>
            </w:r>
          </w:p>
        </w:tc>
      </w:tr>
      <w:tr>
        <w:tc>
          <w:tcPr>
            <w:tcW w:type="dxa" w:w="3744"/>
          </w:tcPr>
          <w:p>
            <w:pPr>
              <w:spacing w:line="240" w:lineRule="auto" w:before="40" w:after="40"/>
              <w:jc w:val="left"/>
            </w:pPr>
            <w:r/>
            <w:r>
              <w:rPr>
                <w:b w:val="0"/>
                <w:i/>
                <w:sz w:val="17"/>
              </w:rPr>
              <w:t>All projects: XGBoost residual (&gt; 1.25 × predicted)</w:t>
            </w:r>
          </w:p>
        </w:tc>
        <w:tc>
          <w:tcPr>
            <w:tcW w:type="dxa" w:w="1152"/>
          </w:tcPr>
          <w:p>
            <w:pPr>
              <w:spacing w:line="240" w:lineRule="auto" w:before="40" w:after="40"/>
              <w:jc w:val="center"/>
            </w:pPr>
            <w:r/>
            <w:r>
              <w:rPr>
                <w:b w:val="0"/>
                <w:i w:val="0"/>
                <w:sz w:val="17"/>
              </w:rPr>
              <w:t>0.706</w:t>
            </w:r>
          </w:p>
        </w:tc>
        <w:tc>
          <w:tcPr>
            <w:tcW w:type="dxa" w:w="1008"/>
          </w:tcPr>
          <w:p>
            <w:pPr>
              <w:spacing w:line="240" w:lineRule="auto" w:before="40" w:after="40"/>
              <w:jc w:val="center"/>
            </w:pPr>
            <w:r/>
            <w:r>
              <w:rPr>
                <w:b w:val="0"/>
                <w:i w:val="0"/>
                <w:sz w:val="17"/>
              </w:rPr>
              <w:t>0.667</w:t>
            </w:r>
          </w:p>
        </w:tc>
        <w:tc>
          <w:tcPr>
            <w:tcW w:type="dxa" w:w="864"/>
          </w:tcPr>
          <w:p>
            <w:pPr>
              <w:spacing w:line="240" w:lineRule="auto" w:before="40" w:after="40"/>
              <w:jc w:val="center"/>
            </w:pPr>
            <w:r/>
            <w:r>
              <w:rPr>
                <w:b w:val="0"/>
                <w:i w:val="0"/>
                <w:sz w:val="17"/>
              </w:rPr>
              <w:t>0.686</w:t>
            </w:r>
          </w:p>
        </w:tc>
        <w:tc>
          <w:tcPr>
            <w:tcW w:type="dxa" w:w="864"/>
          </w:tcPr>
          <w:p>
            <w:pPr>
              <w:spacing w:line="240" w:lineRule="auto" w:before="40" w:after="40"/>
              <w:jc w:val="center"/>
            </w:pPr>
            <w:r/>
            <w:r>
              <w:rPr>
                <w:b w:val="0"/>
                <w:i w:val="0"/>
                <w:sz w:val="17"/>
              </w:rPr>
              <w:t>0.955</w:t>
            </w:r>
          </w:p>
        </w:tc>
        <w:tc>
          <w:tcPr>
            <w:tcW w:type="dxa" w:w="1440"/>
          </w:tcPr>
          <w:p>
            <w:pPr>
              <w:spacing w:line="240" w:lineRule="auto" w:before="40" w:after="40"/>
              <w:jc w:val="center"/>
            </w:pPr>
            <w:r/>
            <w:r>
              <w:rPr>
                <w:b w:val="0"/>
                <w:i w:val="0"/>
                <w:sz w:val="17"/>
              </w:rPr>
              <w:t>24 / 10 / 12</w:t>
            </w:r>
          </w:p>
        </w:tc>
      </w:tr>
      <w:tr>
        <w:tc>
          <w:tcPr>
            <w:tcW w:type="dxa" w:w="3744"/>
            <w:shd w:val="clear" w:color="auto" w:fill="EFEFEF"/>
          </w:tcPr>
          <w:p>
            <w:pPr>
              <w:spacing w:line="240" w:lineRule="auto" w:before="40" w:after="40"/>
              <w:jc w:val="left"/>
            </w:pPr>
            <w:r/>
            <w:r>
              <w:rPr>
                <w:b w:val="0"/>
                <w:i/>
                <w:sz w:val="17"/>
              </w:rPr>
              <w:t>All projects: Isolation Forest (CORA-style)</w:t>
            </w:r>
          </w:p>
        </w:tc>
        <w:tc>
          <w:tcPr>
            <w:tcW w:type="dxa" w:w="1152"/>
            <w:shd w:val="clear" w:color="auto" w:fill="EFEFEF"/>
          </w:tcPr>
          <w:p>
            <w:pPr>
              <w:spacing w:line="240" w:lineRule="auto" w:before="40" w:after="40"/>
              <w:jc w:val="center"/>
            </w:pPr>
            <w:r/>
            <w:r>
              <w:rPr>
                <w:b w:val="0"/>
                <w:i w:val="0"/>
                <w:sz w:val="17"/>
              </w:rPr>
              <w:t>0.556</w:t>
            </w:r>
          </w:p>
        </w:tc>
        <w:tc>
          <w:tcPr>
            <w:tcW w:type="dxa" w:w="1008"/>
            <w:shd w:val="clear" w:color="auto" w:fill="EFEFEF"/>
          </w:tcPr>
          <w:p>
            <w:pPr>
              <w:spacing w:line="240" w:lineRule="auto" w:before="40" w:after="40"/>
              <w:jc w:val="center"/>
            </w:pPr>
            <w:r/>
            <w:r>
              <w:rPr>
                <w:b w:val="0"/>
                <w:i w:val="0"/>
                <w:sz w:val="17"/>
              </w:rPr>
              <w:t>0.278</w:t>
            </w:r>
          </w:p>
        </w:tc>
        <w:tc>
          <w:tcPr>
            <w:tcW w:type="dxa" w:w="864"/>
            <w:shd w:val="clear" w:color="auto" w:fill="EFEFEF"/>
          </w:tcPr>
          <w:p>
            <w:pPr>
              <w:spacing w:line="240" w:lineRule="auto" w:before="40" w:after="40"/>
              <w:jc w:val="center"/>
            </w:pPr>
            <w:r/>
            <w:r>
              <w:rPr>
                <w:b w:val="0"/>
                <w:i w:val="0"/>
                <w:sz w:val="17"/>
              </w:rPr>
              <w:t>0.370</w:t>
            </w:r>
          </w:p>
        </w:tc>
        <w:tc>
          <w:tcPr>
            <w:tcW w:type="dxa" w:w="864"/>
            <w:shd w:val="clear" w:color="auto" w:fill="EFEFEF"/>
          </w:tcPr>
          <w:p>
            <w:pPr>
              <w:spacing w:line="240" w:lineRule="auto" w:before="40" w:after="40"/>
              <w:jc w:val="center"/>
            </w:pPr>
            <w:r/>
            <w:r>
              <w:rPr>
                <w:b w:val="0"/>
                <w:i w:val="0"/>
                <w:sz w:val="17"/>
              </w:rPr>
              <w:t>0.731</w:t>
            </w:r>
          </w:p>
        </w:tc>
        <w:tc>
          <w:tcPr>
            <w:tcW w:type="dxa" w:w="1440"/>
            <w:shd w:val="clear" w:color="auto" w:fill="EFEFEF"/>
          </w:tcPr>
          <w:p>
            <w:pPr>
              <w:spacing w:line="240" w:lineRule="auto" w:before="40" w:after="40"/>
              <w:jc w:val="center"/>
            </w:pPr>
            <w:r/>
            <w:r>
              <w:rPr>
                <w:b w:val="0"/>
                <w:i w:val="0"/>
                <w:sz w:val="17"/>
              </w:rPr>
              <w:t>10 / 8 / 26</w:t>
            </w:r>
          </w:p>
        </w:tc>
      </w:tr>
      <w:tr>
        <w:tc>
          <w:tcPr>
            <w:tcW w:type="dxa" w:w="3744"/>
            <w:tcBorders>
              <w:bottom w:val="single" w:sz="12" w:color="000000"/>
            </w:tcBorders>
          </w:tcPr>
          <w:p>
            <w:pPr>
              <w:spacing w:line="240" w:lineRule="auto" w:before="40" w:after="40"/>
              <w:jc w:val="left"/>
            </w:pPr>
            <w:r/>
            <w:r>
              <w:rPr>
                <w:b w:val="0"/>
                <w:i/>
                <w:sz w:val="17"/>
              </w:rPr>
              <w:t>All projects: BUHAY-AH Risk Index (≥ 30)</w:t>
            </w:r>
          </w:p>
        </w:tc>
        <w:tc>
          <w:tcPr>
            <w:tcW w:type="dxa" w:w="1152"/>
            <w:tcBorders>
              <w:bottom w:val="single" w:sz="12" w:color="000000"/>
            </w:tcBorders>
          </w:tcPr>
          <w:p>
            <w:pPr>
              <w:spacing w:line="240" w:lineRule="auto" w:before="40" w:after="40"/>
              <w:jc w:val="center"/>
            </w:pPr>
            <w:r/>
            <w:r>
              <w:rPr>
                <w:b w:val="0"/>
                <w:i w:val="0"/>
                <w:sz w:val="17"/>
              </w:rPr>
              <w:t>0.642</w:t>
            </w:r>
          </w:p>
        </w:tc>
        <w:tc>
          <w:tcPr>
            <w:tcW w:type="dxa" w:w="1008"/>
            <w:tcBorders>
              <w:bottom w:val="single" w:sz="12" w:color="000000"/>
            </w:tcBorders>
          </w:tcPr>
          <w:p>
            <w:pPr>
              <w:spacing w:line="240" w:lineRule="auto" w:before="40" w:after="40"/>
              <w:jc w:val="center"/>
            </w:pPr>
            <w:r/>
            <w:r>
              <w:rPr>
                <w:b w:val="0"/>
                <w:i w:val="0"/>
                <w:sz w:val="17"/>
              </w:rPr>
              <w:t>0.944</w:t>
            </w:r>
          </w:p>
        </w:tc>
        <w:tc>
          <w:tcPr>
            <w:tcW w:type="dxa" w:w="864"/>
            <w:tcBorders>
              <w:bottom w:val="single" w:sz="12" w:color="000000"/>
            </w:tcBorders>
          </w:tcPr>
          <w:p>
            <w:pPr>
              <w:spacing w:line="240" w:lineRule="auto" w:before="40" w:after="40"/>
              <w:jc w:val="center"/>
            </w:pPr>
            <w:r/>
            <w:r>
              <w:rPr>
                <w:b w:val="0"/>
                <w:i w:val="0"/>
                <w:sz w:val="17"/>
              </w:rPr>
              <w:t>0.764</w:t>
            </w:r>
          </w:p>
        </w:tc>
        <w:tc>
          <w:tcPr>
            <w:tcW w:type="dxa" w:w="864"/>
            <w:tcBorders>
              <w:bottom w:val="single" w:sz="12" w:color="000000"/>
            </w:tcBorders>
          </w:tcPr>
          <w:p>
            <w:pPr>
              <w:spacing w:line="240" w:lineRule="auto" w:before="40" w:after="40"/>
              <w:jc w:val="center"/>
            </w:pPr>
            <w:r/>
            <w:r>
              <w:rPr>
                <w:b w:val="0"/>
                <w:i w:val="0"/>
                <w:sz w:val="17"/>
              </w:rPr>
              <w:t>0.987</w:t>
            </w:r>
          </w:p>
        </w:tc>
        <w:tc>
          <w:tcPr>
            <w:tcW w:type="dxa" w:w="1440"/>
            <w:tcBorders>
              <w:bottom w:val="single" w:sz="12" w:color="000000"/>
            </w:tcBorders>
          </w:tcPr>
          <w:p>
            <w:pPr>
              <w:spacing w:line="240" w:lineRule="auto" w:before="40" w:after="40"/>
              <w:jc w:val="center"/>
            </w:pPr>
            <w:r/>
            <w:r>
              <w:rPr>
                <w:b w:val="0"/>
                <w:i w:val="0"/>
                <w:sz w:val="17"/>
              </w:rPr>
              <w:t>34 / 19 / 2</w:t>
            </w:r>
          </w:p>
        </w:tc>
      </w:tr>
    </w:tbl>
    <w:p>
      <w:pPr>
        <w:spacing w:line="240" w:lineRule="auto" w:after="80"/>
      </w:pPr>
    </w:p>
    <w:p>
      <w:pPr>
        <w:spacing w:line="480" w:lineRule="auto" w:after="0"/>
        <w:ind w:firstLine="720"/>
        <w:jc w:val="both"/>
      </w:pPr>
      <w:r>
        <w:rPr>
          <w:b w:val="0"/>
          <w:i w:val="0"/>
        </w:rPr>
        <w:t>Across all projects, the BUHAY-AH Risk Index caught 34 of 36 padded contracts (recall 0.944) with 19 false alarms, for the highest F1-score (0.764). The standards-based rule alone was the strongest single signal: its continuous ratio reached the highest AUC (0.994) and its ceiling rule had good precision (0.682) but missed 6 contracts whose padding stayed under the ceiling. The XGBoost residual rule found 66.7% of the cases; because it learns from prices that include padding, part of the overpricing becomes "normal" to it. The CORA-style Isolation Forest found only 27.8% (AUC 0.731): a padded contract for an ordinary building is not unusual in its plan features, so isolation alone cannot see it. This answers the validation gap that CORA left open and shows why a standards-based reference is needed.</w:t>
      </w:r>
    </w:p>
    <w:p>
      <w:pPr>
        <w:spacing w:line="480" w:lineRule="auto" w:after="0"/>
        <w:ind w:firstLine="720"/>
        <w:jc w:val="both"/>
      </w:pPr>
      <w:r>
        <w:rPr>
          <w:b w:val="0"/>
          <w:i w:val="0"/>
        </w:rPr>
        <w:t>By asset class, buildings were screened almost perfectly (BRI F1 = 0.927, recall 0.950). Bridges kept a high recall (0.938) but lower precision (0.469), because fair bridges with deeper-than-planned piles look over budget against a plan-based estimate. A sensitivity check found that the F1-maximizing threshold is about 24 for buildings (F1 = 0.952) and 58 for bridges (F1 = 0.839), which suggests class-specific thresholds once real data are available. Recall was 90% for moderate and 100% for severe building cases, and 88% and 100% for bridges.</w:t>
      </w:r>
    </w:p>
    <w:p>
      <w:pPr>
        <w:keepNext/>
        <w:spacing w:line="240" w:lineRule="auto" w:after="0" w:before="120"/>
        <w:jc w:val="left"/>
      </w:pPr>
      <w:r>
        <w:rPr>
          <w:b/>
          <w:i w:val="0"/>
        </w:rPr>
        <w:t>Figure 16.</w:t>
      </w:r>
    </w:p>
    <w:p>
      <w:pPr>
        <w:keepNext/>
        <w:spacing w:line="240" w:lineRule="auto" w:after="0"/>
        <w:jc w:val="left"/>
      </w:pPr>
      <w:r>
        <w:rPr>
          <w:b w:val="0"/>
          <w:i/>
        </w:rPr>
        <w:t>ROC Curves of the Screening Signals, All 300 Projects</w:t>
      </w:r>
    </w:p>
    <w:p>
      <w:pPr>
        <w:spacing w:line="240" w:lineRule="auto" w:after="200"/>
        <w:jc w:val="center"/>
      </w:pPr>
      <w:r>
        <w:drawing>
          <wp:inline xmlns:a="http://schemas.openxmlformats.org/drawingml/2006/main" xmlns:pic="http://schemas.openxmlformats.org/drawingml/2006/picture">
            <wp:extent cx="4572000" cy="3783724"/>
            <wp:docPr id="68" name="Picture 68"/>
            <wp:cNvGraphicFramePr>
              <a:graphicFrameLocks noChangeAspect="1"/>
            </wp:cNvGraphicFramePr>
            <a:graphic>
              <a:graphicData uri="http://schemas.openxmlformats.org/drawingml/2006/picture">
                <pic:pic>
                  <pic:nvPicPr>
                    <pic:cNvPr id="0" name="roc_pooled.png"/>
                    <pic:cNvPicPr/>
                  </pic:nvPicPr>
                  <pic:blipFill>
                    <a:blip r:embed="rId52"/>
                    <a:stretch>
                      <a:fillRect/>
                    </a:stretch>
                  </pic:blipFill>
                  <pic:spPr>
                    <a:xfrm>
                      <a:off x="0" y="0"/>
                      <a:ext cx="4572000" cy="3783724"/>
                    </a:xfrm>
                    <a:prstGeom prst="rect"/>
                  </pic:spPr>
                </pic:pic>
              </a:graphicData>
            </a:graphic>
          </wp:inline>
        </w:drawing>
      </w:r>
    </w:p>
    <w:p>
      <w:pPr>
        <w:keepNext/>
        <w:spacing w:line="240" w:lineRule="auto" w:after="0" w:before="120"/>
        <w:jc w:val="left"/>
      </w:pPr>
      <w:r>
        <w:rPr>
          <w:b/>
          <w:i w:val="0"/>
        </w:rPr>
        <w:t>Table 27.</w:t>
      </w:r>
    </w:p>
    <w:p>
      <w:pPr>
        <w:keepNext/>
        <w:spacing w:line="240" w:lineRule="auto" w:after="0"/>
        <w:jc w:val="left"/>
      </w:pPr>
      <w:r>
        <w:rPr>
          <w:b w:val="0"/>
          <w:i/>
        </w:rPr>
        <w:t>Highest-Risk Contracts Flagged by BUHAY-AH</w:t>
      </w:r>
    </w:p>
    <w:tbl>
      <w:tblPr>
        <w:tblW w:type="auto" w:w="0"/>
        <w:jc w:val="center"/>
        <w:tblLayout w:type="fixed"/>
        <w:tblLook w:firstColumn="1" w:firstRow="1" w:lastColumn="0" w:lastRow="0" w:noHBand="0" w:noVBand="1" w:val="04A0"/>
        <w:tblLayout w:type="fixed"/>
      </w:tblPr>
      <w:tblGrid>
        <w:gridCol w:w="1152"/>
        <w:gridCol w:w="2448"/>
        <w:gridCol w:w="1080"/>
        <w:gridCol w:w="720"/>
        <w:gridCol w:w="720"/>
        <w:gridCol w:w="2304"/>
        <w:gridCol w:w="936"/>
      </w:tblGrid>
      <w:tr>
        <w:tc>
          <w:tcPr>
            <w:tcW w:type="dxa" w:w="1152"/>
            <w:tcBorders>
              <w:top w:val="single" w:sz="12" w:color="000000"/>
              <w:bottom w:val="single" w:sz="8" w:color="000000"/>
            </w:tcBorders>
          </w:tcPr>
          <w:p>
            <w:pPr>
              <w:spacing w:line="240" w:lineRule="auto" w:before="40" w:after="40"/>
              <w:jc w:val="center"/>
            </w:pPr>
            <w:r/>
            <w:r>
              <w:rPr>
                <w:b/>
                <w:i w:val="0"/>
                <w:sz w:val="16"/>
              </w:rPr>
              <w:t>ID</w:t>
            </w:r>
          </w:p>
        </w:tc>
        <w:tc>
          <w:tcPr>
            <w:tcW w:type="dxa" w:w="2448"/>
            <w:tcBorders>
              <w:top w:val="single" w:sz="12" w:color="000000"/>
              <w:bottom w:val="single" w:sz="8" w:color="000000"/>
            </w:tcBorders>
          </w:tcPr>
          <w:p>
            <w:pPr>
              <w:spacing w:line="240" w:lineRule="auto" w:before="40" w:after="40"/>
              <w:jc w:val="center"/>
            </w:pPr>
            <w:r/>
            <w:r>
              <w:rPr>
                <w:b/>
                <w:i w:val="0"/>
                <w:sz w:val="16"/>
              </w:rPr>
              <w:t>PROJECT</w:t>
            </w:r>
          </w:p>
        </w:tc>
        <w:tc>
          <w:tcPr>
            <w:tcW w:type="dxa" w:w="1080"/>
            <w:tcBorders>
              <w:top w:val="single" w:sz="12" w:color="000000"/>
              <w:bottom w:val="single" w:sz="8" w:color="000000"/>
            </w:tcBorders>
          </w:tcPr>
          <w:p>
            <w:pPr>
              <w:spacing w:line="240" w:lineRule="auto" w:before="40" w:after="40"/>
              <w:jc w:val="center"/>
            </w:pPr>
            <w:r/>
            <w:r>
              <w:rPr>
                <w:b/>
                <w:i w:val="0"/>
                <w:sz w:val="16"/>
              </w:rPr>
              <w:t>AWARDED</w:t>
            </w:r>
          </w:p>
        </w:tc>
        <w:tc>
          <w:tcPr>
            <w:tcW w:type="dxa" w:w="720"/>
            <w:tcBorders>
              <w:top w:val="single" w:sz="12" w:color="000000"/>
              <w:bottom w:val="single" w:sz="8" w:color="000000"/>
            </w:tcBorders>
          </w:tcPr>
          <w:p>
            <w:pPr>
              <w:spacing w:line="240" w:lineRule="auto" w:before="40" w:after="40"/>
              <w:jc w:val="center"/>
            </w:pPr>
            <w:r/>
            <w:r>
              <w:rPr>
                <w:b/>
                <w:i w:val="0"/>
                <w:sz w:val="16"/>
              </w:rPr>
              <w:t>OBR</w:t>
            </w:r>
          </w:p>
        </w:tc>
        <w:tc>
          <w:tcPr>
            <w:tcW w:type="dxa" w:w="720"/>
            <w:tcBorders>
              <w:top w:val="single" w:sz="12" w:color="000000"/>
              <w:bottom w:val="single" w:sz="8" w:color="000000"/>
            </w:tcBorders>
          </w:tcPr>
          <w:p>
            <w:pPr>
              <w:spacing w:line="240" w:lineRule="auto" w:before="40" w:after="40"/>
              <w:jc w:val="center"/>
            </w:pPr>
            <w:r/>
            <w:r>
              <w:rPr>
                <w:b/>
                <w:i w:val="0"/>
                <w:sz w:val="16"/>
              </w:rPr>
              <w:t>BRI</w:t>
            </w:r>
          </w:p>
        </w:tc>
        <w:tc>
          <w:tcPr>
            <w:tcW w:type="dxa" w:w="2304"/>
            <w:tcBorders>
              <w:top w:val="single" w:sz="12" w:color="000000"/>
              <w:bottom w:val="single" w:sz="8" w:color="000000"/>
            </w:tcBorders>
          </w:tcPr>
          <w:p>
            <w:pPr>
              <w:spacing w:line="240" w:lineRule="auto" w:before="40" w:after="40"/>
              <w:jc w:val="center"/>
            </w:pPr>
            <w:r/>
            <w:r>
              <w:rPr>
                <w:b/>
                <w:i w:val="0"/>
                <w:sz w:val="16"/>
              </w:rPr>
              <w:t>PRIMARY DRIVER</w:t>
            </w:r>
          </w:p>
        </w:tc>
        <w:tc>
          <w:tcPr>
            <w:tcW w:type="dxa" w:w="936"/>
            <w:tcBorders>
              <w:top w:val="single" w:sz="12" w:color="000000"/>
              <w:bottom w:val="single" w:sz="8" w:color="000000"/>
            </w:tcBorders>
          </w:tcPr>
          <w:p>
            <w:pPr>
              <w:spacing w:line="240" w:lineRule="auto" w:before="40" w:after="40"/>
              <w:jc w:val="center"/>
            </w:pPr>
            <w:r/>
            <w:r>
              <w:rPr>
                <w:b/>
                <w:i w:val="0"/>
                <w:sz w:val="16"/>
              </w:rPr>
              <w:t>INJECTED</w:t>
            </w:r>
          </w:p>
        </w:tc>
      </w:tr>
      <w:tr>
        <w:tc>
          <w:tcPr>
            <w:tcW w:type="dxa" w:w="1152"/>
            <w:shd w:val="clear" w:color="auto" w:fill="EFEFEF"/>
          </w:tcPr>
          <w:p>
            <w:pPr>
              <w:spacing w:line="240" w:lineRule="auto" w:before="40" w:after="40"/>
              <w:jc w:val="left"/>
            </w:pPr>
            <w:r/>
            <w:r>
              <w:rPr>
                <w:b w:val="0"/>
                <w:i w:val="0"/>
                <w:sz w:val="16"/>
              </w:rPr>
              <w:t>SIM-B-143</w:t>
            </w:r>
          </w:p>
        </w:tc>
        <w:tc>
          <w:tcPr>
            <w:tcW w:type="dxa" w:w="2448"/>
            <w:shd w:val="clear" w:color="auto" w:fill="EFEFEF"/>
          </w:tcPr>
          <w:p>
            <w:pPr>
              <w:spacing w:line="240" w:lineRule="auto" w:before="40" w:after="40"/>
              <w:jc w:val="center"/>
            </w:pPr>
            <w:r/>
            <w:r>
              <w:rPr>
                <w:b w:val="0"/>
                <w:i w:val="0"/>
                <w:sz w:val="16"/>
              </w:rPr>
              <w:t>3-storey government office building</w:t>
            </w:r>
          </w:p>
        </w:tc>
        <w:tc>
          <w:tcPr>
            <w:tcW w:type="dxa" w:w="1080"/>
            <w:shd w:val="clear" w:color="auto" w:fill="EFEFEF"/>
          </w:tcPr>
          <w:p>
            <w:pPr>
              <w:spacing w:line="240" w:lineRule="auto" w:before="40" w:after="40"/>
              <w:jc w:val="center"/>
            </w:pPr>
            <w:r/>
            <w:r>
              <w:rPr>
                <w:b w:val="0"/>
                <w:i w:val="0"/>
                <w:sz w:val="16"/>
              </w:rPr>
              <w:t>₱56.77M</w:t>
            </w:r>
          </w:p>
        </w:tc>
        <w:tc>
          <w:tcPr>
            <w:tcW w:type="dxa" w:w="720"/>
            <w:shd w:val="clear" w:color="auto" w:fill="EFEFEF"/>
          </w:tcPr>
          <w:p>
            <w:pPr>
              <w:spacing w:line="240" w:lineRule="auto" w:before="40" w:after="40"/>
              <w:jc w:val="center"/>
            </w:pPr>
            <w:r/>
            <w:r>
              <w:rPr>
                <w:b w:val="0"/>
                <w:i w:val="0"/>
                <w:sz w:val="16"/>
              </w:rPr>
              <w:t>1.89</w:t>
            </w:r>
          </w:p>
        </w:tc>
        <w:tc>
          <w:tcPr>
            <w:tcW w:type="dxa" w:w="720"/>
            <w:shd w:val="clear" w:color="auto" w:fill="EFEFEF"/>
          </w:tcPr>
          <w:p>
            <w:pPr>
              <w:spacing w:line="240" w:lineRule="auto" w:before="40" w:after="40"/>
              <w:jc w:val="center"/>
            </w:pPr>
            <w:r/>
            <w:r>
              <w:rPr>
                <w:b w:val="0"/>
                <w:i w:val="0"/>
                <w:sz w:val="16"/>
              </w:rPr>
              <w:t>97.4</w:t>
            </w:r>
          </w:p>
        </w:tc>
        <w:tc>
          <w:tcPr>
            <w:tcW w:type="dxa" w:w="2304"/>
            <w:shd w:val="clear" w:color="auto" w:fill="EFEFEF"/>
          </w:tcPr>
          <w:p>
            <w:pPr>
              <w:spacing w:line="240" w:lineRule="auto" w:before="40" w:after="40"/>
              <w:jc w:val="center"/>
            </w:pPr>
            <w:r/>
            <w:r>
              <w:rPr>
                <w:b w:val="0"/>
                <w:i w:val="0"/>
                <w:sz w:val="16"/>
              </w:rPr>
              <w:t>RC Roof Deck (0/1)</w:t>
            </w:r>
          </w:p>
        </w:tc>
        <w:tc>
          <w:tcPr>
            <w:tcW w:type="dxa" w:w="936"/>
            <w:shd w:val="clear" w:color="auto" w:fill="EFEFEF"/>
          </w:tcPr>
          <w:p>
            <w:pPr>
              <w:spacing w:line="240" w:lineRule="auto" w:before="40" w:after="40"/>
              <w:jc w:val="center"/>
            </w:pPr>
            <w:r/>
            <w:r>
              <w:rPr>
                <w:b w:val="0"/>
                <w:i w:val="0"/>
                <w:sz w:val="16"/>
              </w:rPr>
              <w:t>Yes</w:t>
            </w:r>
          </w:p>
        </w:tc>
      </w:tr>
      <w:tr>
        <w:tc>
          <w:tcPr>
            <w:tcW w:type="dxa" w:w="1152"/>
          </w:tcPr>
          <w:p>
            <w:pPr>
              <w:spacing w:line="240" w:lineRule="auto" w:before="40" w:after="40"/>
              <w:jc w:val="left"/>
            </w:pPr>
            <w:r/>
            <w:r>
              <w:rPr>
                <w:b w:val="0"/>
                <w:i w:val="0"/>
                <w:sz w:val="16"/>
              </w:rPr>
              <w:t>SIM-B-024</w:t>
            </w:r>
          </w:p>
        </w:tc>
        <w:tc>
          <w:tcPr>
            <w:tcW w:type="dxa" w:w="2448"/>
          </w:tcPr>
          <w:p>
            <w:pPr>
              <w:spacing w:line="240" w:lineRule="auto" w:before="40" w:after="40"/>
              <w:jc w:val="center"/>
            </w:pPr>
            <w:r/>
            <w:r>
              <w:rPr>
                <w:b w:val="0"/>
                <w:i w:val="0"/>
                <w:sz w:val="16"/>
              </w:rPr>
              <w:t>1-storey public market</w:t>
            </w:r>
          </w:p>
        </w:tc>
        <w:tc>
          <w:tcPr>
            <w:tcW w:type="dxa" w:w="1080"/>
          </w:tcPr>
          <w:p>
            <w:pPr>
              <w:spacing w:line="240" w:lineRule="auto" w:before="40" w:after="40"/>
              <w:jc w:val="center"/>
            </w:pPr>
            <w:r/>
            <w:r>
              <w:rPr>
                <w:b w:val="0"/>
                <w:i w:val="0"/>
                <w:sz w:val="16"/>
              </w:rPr>
              <w:t>₱48.81M</w:t>
            </w:r>
          </w:p>
        </w:tc>
        <w:tc>
          <w:tcPr>
            <w:tcW w:type="dxa" w:w="720"/>
          </w:tcPr>
          <w:p>
            <w:pPr>
              <w:spacing w:line="240" w:lineRule="auto" w:before="40" w:after="40"/>
              <w:jc w:val="center"/>
            </w:pPr>
            <w:r/>
            <w:r>
              <w:rPr>
                <w:b w:val="0"/>
                <w:i w:val="0"/>
                <w:sz w:val="16"/>
              </w:rPr>
              <w:t>1.59</w:t>
            </w:r>
          </w:p>
        </w:tc>
        <w:tc>
          <w:tcPr>
            <w:tcW w:type="dxa" w:w="720"/>
          </w:tcPr>
          <w:p>
            <w:pPr>
              <w:spacing w:line="240" w:lineRule="auto" w:before="40" w:after="40"/>
              <w:jc w:val="center"/>
            </w:pPr>
            <w:r/>
            <w:r>
              <w:rPr>
                <w:b w:val="0"/>
                <w:i w:val="0"/>
                <w:sz w:val="16"/>
              </w:rPr>
              <w:t>97.3</w:t>
            </w:r>
          </w:p>
        </w:tc>
        <w:tc>
          <w:tcPr>
            <w:tcW w:type="dxa" w:w="2304"/>
          </w:tcPr>
          <w:p>
            <w:pPr>
              <w:spacing w:line="240" w:lineRule="auto" w:before="40" w:after="40"/>
              <w:jc w:val="center"/>
            </w:pPr>
            <w:r/>
            <w:r>
              <w:rPr>
                <w:b w:val="0"/>
                <w:i w:val="0"/>
                <w:sz w:val="16"/>
              </w:rPr>
              <w:t>Footprint Area (m²)</w:t>
            </w:r>
          </w:p>
        </w:tc>
        <w:tc>
          <w:tcPr>
            <w:tcW w:type="dxa" w:w="936"/>
          </w:tcPr>
          <w:p>
            <w:pPr>
              <w:spacing w:line="240" w:lineRule="auto" w:before="40" w:after="40"/>
              <w:jc w:val="center"/>
            </w:pPr>
            <w:r/>
            <w:r>
              <w:rPr>
                <w:b w:val="0"/>
                <w:i w:val="0"/>
                <w:sz w:val="16"/>
              </w:rPr>
              <w:t>Yes</w:t>
            </w:r>
          </w:p>
        </w:tc>
      </w:tr>
      <w:tr>
        <w:tc>
          <w:tcPr>
            <w:tcW w:type="dxa" w:w="1152"/>
            <w:shd w:val="clear" w:color="auto" w:fill="EFEFEF"/>
          </w:tcPr>
          <w:p>
            <w:pPr>
              <w:spacing w:line="240" w:lineRule="auto" w:before="40" w:after="40"/>
              <w:jc w:val="left"/>
            </w:pPr>
            <w:r/>
            <w:r>
              <w:rPr>
                <w:b w:val="0"/>
                <w:i w:val="0"/>
                <w:sz w:val="16"/>
              </w:rPr>
              <w:t>SIM-B-110</w:t>
            </w:r>
          </w:p>
        </w:tc>
        <w:tc>
          <w:tcPr>
            <w:tcW w:type="dxa" w:w="2448"/>
            <w:shd w:val="clear" w:color="auto" w:fill="EFEFEF"/>
          </w:tcPr>
          <w:p>
            <w:pPr>
              <w:spacing w:line="240" w:lineRule="auto" w:before="40" w:after="40"/>
              <w:jc w:val="center"/>
            </w:pPr>
            <w:r/>
            <w:r>
              <w:rPr>
                <w:b w:val="0"/>
                <w:i w:val="0"/>
                <w:sz w:val="16"/>
              </w:rPr>
              <w:t>2-storey dormitory</w:t>
            </w:r>
          </w:p>
        </w:tc>
        <w:tc>
          <w:tcPr>
            <w:tcW w:type="dxa" w:w="1080"/>
            <w:shd w:val="clear" w:color="auto" w:fill="EFEFEF"/>
          </w:tcPr>
          <w:p>
            <w:pPr>
              <w:spacing w:line="240" w:lineRule="auto" w:before="40" w:after="40"/>
              <w:jc w:val="center"/>
            </w:pPr>
            <w:r/>
            <w:r>
              <w:rPr>
                <w:b w:val="0"/>
                <w:i w:val="0"/>
                <w:sz w:val="16"/>
              </w:rPr>
              <w:t>₱24.65M</w:t>
            </w:r>
          </w:p>
        </w:tc>
        <w:tc>
          <w:tcPr>
            <w:tcW w:type="dxa" w:w="720"/>
            <w:shd w:val="clear" w:color="auto" w:fill="EFEFEF"/>
          </w:tcPr>
          <w:p>
            <w:pPr>
              <w:spacing w:line="240" w:lineRule="auto" w:before="40" w:after="40"/>
              <w:jc w:val="center"/>
            </w:pPr>
            <w:r/>
            <w:r>
              <w:rPr>
                <w:b w:val="0"/>
                <w:i w:val="0"/>
                <w:sz w:val="16"/>
              </w:rPr>
              <w:t>1.80</w:t>
            </w:r>
          </w:p>
        </w:tc>
        <w:tc>
          <w:tcPr>
            <w:tcW w:type="dxa" w:w="720"/>
            <w:shd w:val="clear" w:color="auto" w:fill="EFEFEF"/>
          </w:tcPr>
          <w:p>
            <w:pPr>
              <w:spacing w:line="240" w:lineRule="auto" w:before="40" w:after="40"/>
              <w:jc w:val="center"/>
            </w:pPr>
            <w:r/>
            <w:r>
              <w:rPr>
                <w:b w:val="0"/>
                <w:i w:val="0"/>
                <w:sz w:val="16"/>
              </w:rPr>
              <w:t>93.4</w:t>
            </w:r>
          </w:p>
        </w:tc>
        <w:tc>
          <w:tcPr>
            <w:tcW w:type="dxa" w:w="2304"/>
            <w:shd w:val="clear" w:color="auto" w:fill="EFEFEF"/>
          </w:tcPr>
          <w:p>
            <w:pPr>
              <w:spacing w:line="240" w:lineRule="auto" w:before="40" w:after="40"/>
              <w:jc w:val="center"/>
            </w:pPr>
            <w:r/>
            <w:r>
              <w:rPr>
                <w:b w:val="0"/>
                <w:i w:val="0"/>
                <w:sz w:val="16"/>
              </w:rPr>
              <w:t>Over-Budget Ratio (vs. QTO)</w:t>
            </w:r>
          </w:p>
        </w:tc>
        <w:tc>
          <w:tcPr>
            <w:tcW w:type="dxa" w:w="936"/>
            <w:shd w:val="clear" w:color="auto" w:fill="EFEFEF"/>
          </w:tcPr>
          <w:p>
            <w:pPr>
              <w:spacing w:line="240" w:lineRule="auto" w:before="40" w:after="40"/>
              <w:jc w:val="center"/>
            </w:pPr>
            <w:r/>
            <w:r>
              <w:rPr>
                <w:b w:val="0"/>
                <w:i w:val="0"/>
                <w:sz w:val="16"/>
              </w:rPr>
              <w:t>Yes</w:t>
            </w:r>
          </w:p>
        </w:tc>
      </w:tr>
      <w:tr>
        <w:tc>
          <w:tcPr>
            <w:tcW w:type="dxa" w:w="1152"/>
          </w:tcPr>
          <w:p>
            <w:pPr>
              <w:spacing w:line="240" w:lineRule="auto" w:before="40" w:after="40"/>
              <w:jc w:val="left"/>
            </w:pPr>
            <w:r/>
            <w:r>
              <w:rPr>
                <w:b w:val="0"/>
                <w:i w:val="0"/>
                <w:sz w:val="16"/>
              </w:rPr>
              <w:t>SIM-B-035</w:t>
            </w:r>
          </w:p>
        </w:tc>
        <w:tc>
          <w:tcPr>
            <w:tcW w:type="dxa" w:w="2448"/>
          </w:tcPr>
          <w:p>
            <w:pPr>
              <w:spacing w:line="240" w:lineRule="auto" w:before="40" w:after="40"/>
              <w:jc w:val="center"/>
            </w:pPr>
            <w:r/>
            <w:r>
              <w:rPr>
                <w:b w:val="0"/>
                <w:i w:val="0"/>
                <w:sz w:val="16"/>
              </w:rPr>
              <w:t>2-storey multi-purpose / evacuation center</w:t>
            </w:r>
          </w:p>
        </w:tc>
        <w:tc>
          <w:tcPr>
            <w:tcW w:type="dxa" w:w="1080"/>
          </w:tcPr>
          <w:p>
            <w:pPr>
              <w:spacing w:line="240" w:lineRule="auto" w:before="40" w:after="40"/>
              <w:jc w:val="center"/>
            </w:pPr>
            <w:r/>
            <w:r>
              <w:rPr>
                <w:b w:val="0"/>
                <w:i w:val="0"/>
                <w:sz w:val="16"/>
              </w:rPr>
              <w:t>₱46.62M</w:t>
            </w:r>
          </w:p>
        </w:tc>
        <w:tc>
          <w:tcPr>
            <w:tcW w:type="dxa" w:w="720"/>
          </w:tcPr>
          <w:p>
            <w:pPr>
              <w:spacing w:line="240" w:lineRule="auto" w:before="40" w:after="40"/>
              <w:jc w:val="center"/>
            </w:pPr>
            <w:r/>
            <w:r>
              <w:rPr>
                <w:b w:val="0"/>
                <w:i w:val="0"/>
                <w:sz w:val="16"/>
              </w:rPr>
              <w:t>1.49</w:t>
            </w:r>
          </w:p>
        </w:tc>
        <w:tc>
          <w:tcPr>
            <w:tcW w:type="dxa" w:w="720"/>
          </w:tcPr>
          <w:p>
            <w:pPr>
              <w:spacing w:line="240" w:lineRule="auto" w:before="40" w:after="40"/>
              <w:jc w:val="center"/>
            </w:pPr>
            <w:r/>
            <w:r>
              <w:rPr>
                <w:b w:val="0"/>
                <w:i w:val="0"/>
                <w:sz w:val="16"/>
              </w:rPr>
              <w:t>91.2</w:t>
            </w:r>
          </w:p>
        </w:tc>
        <w:tc>
          <w:tcPr>
            <w:tcW w:type="dxa" w:w="2304"/>
          </w:tcPr>
          <w:p>
            <w:pPr>
              <w:spacing w:line="240" w:lineRule="auto" w:before="40" w:after="40"/>
              <w:jc w:val="center"/>
            </w:pPr>
            <w:r/>
            <w:r>
              <w:rPr>
                <w:b w:val="0"/>
                <w:i w:val="0"/>
                <w:sz w:val="16"/>
              </w:rPr>
              <w:t>Floor-to-Floor Height (m)</w:t>
            </w:r>
          </w:p>
        </w:tc>
        <w:tc>
          <w:tcPr>
            <w:tcW w:type="dxa" w:w="936"/>
          </w:tcPr>
          <w:p>
            <w:pPr>
              <w:spacing w:line="240" w:lineRule="auto" w:before="40" w:after="40"/>
              <w:jc w:val="center"/>
            </w:pPr>
            <w:r/>
            <w:r>
              <w:rPr>
                <w:b w:val="0"/>
                <w:i w:val="0"/>
                <w:sz w:val="16"/>
              </w:rPr>
              <w:t>Yes</w:t>
            </w:r>
          </w:p>
        </w:tc>
      </w:tr>
      <w:tr>
        <w:tc>
          <w:tcPr>
            <w:tcW w:type="dxa" w:w="1152"/>
            <w:shd w:val="clear" w:color="auto" w:fill="EFEFEF"/>
          </w:tcPr>
          <w:p>
            <w:pPr>
              <w:spacing w:line="240" w:lineRule="auto" w:before="40" w:after="40"/>
              <w:jc w:val="left"/>
            </w:pPr>
            <w:r/>
            <w:r>
              <w:rPr>
                <w:b w:val="0"/>
                <w:i w:val="0"/>
                <w:sz w:val="16"/>
              </w:rPr>
              <w:t>SIM-B-044</w:t>
            </w:r>
          </w:p>
        </w:tc>
        <w:tc>
          <w:tcPr>
            <w:tcW w:type="dxa" w:w="2448"/>
            <w:shd w:val="clear" w:color="auto" w:fill="EFEFEF"/>
          </w:tcPr>
          <w:p>
            <w:pPr>
              <w:spacing w:line="240" w:lineRule="auto" w:before="40" w:after="40"/>
              <w:jc w:val="center"/>
            </w:pPr>
            <w:r/>
            <w:r>
              <w:rPr>
                <w:b w:val="0"/>
                <w:i w:val="0"/>
                <w:sz w:val="16"/>
              </w:rPr>
              <w:t>1-storey school building</w:t>
            </w:r>
          </w:p>
        </w:tc>
        <w:tc>
          <w:tcPr>
            <w:tcW w:type="dxa" w:w="1080"/>
            <w:shd w:val="clear" w:color="auto" w:fill="EFEFEF"/>
          </w:tcPr>
          <w:p>
            <w:pPr>
              <w:spacing w:line="240" w:lineRule="auto" w:before="40" w:after="40"/>
              <w:jc w:val="center"/>
            </w:pPr>
            <w:r/>
            <w:r>
              <w:rPr>
                <w:b w:val="0"/>
                <w:i w:val="0"/>
                <w:sz w:val="16"/>
              </w:rPr>
              <w:t>₱11.04M</w:t>
            </w:r>
          </w:p>
        </w:tc>
        <w:tc>
          <w:tcPr>
            <w:tcW w:type="dxa" w:w="720"/>
            <w:shd w:val="clear" w:color="auto" w:fill="EFEFEF"/>
          </w:tcPr>
          <w:p>
            <w:pPr>
              <w:spacing w:line="240" w:lineRule="auto" w:before="40" w:after="40"/>
              <w:jc w:val="center"/>
            </w:pPr>
            <w:r/>
            <w:r>
              <w:rPr>
                <w:b w:val="0"/>
                <w:i w:val="0"/>
                <w:sz w:val="16"/>
              </w:rPr>
              <w:t>2.00</w:t>
            </w:r>
          </w:p>
        </w:tc>
        <w:tc>
          <w:tcPr>
            <w:tcW w:type="dxa" w:w="720"/>
            <w:shd w:val="clear" w:color="auto" w:fill="EFEFEF"/>
          </w:tcPr>
          <w:p>
            <w:pPr>
              <w:spacing w:line="240" w:lineRule="auto" w:before="40" w:after="40"/>
              <w:jc w:val="center"/>
            </w:pPr>
            <w:r/>
            <w:r>
              <w:rPr>
                <w:b w:val="0"/>
                <w:i w:val="0"/>
                <w:sz w:val="16"/>
              </w:rPr>
              <w:t>91.1</w:t>
            </w:r>
          </w:p>
        </w:tc>
        <w:tc>
          <w:tcPr>
            <w:tcW w:type="dxa" w:w="2304"/>
            <w:shd w:val="clear" w:color="auto" w:fill="EFEFEF"/>
          </w:tcPr>
          <w:p>
            <w:pPr>
              <w:spacing w:line="240" w:lineRule="auto" w:before="40" w:after="40"/>
              <w:jc w:val="center"/>
            </w:pPr>
            <w:r/>
            <w:r>
              <w:rPr>
                <w:b w:val="0"/>
                <w:i w:val="0"/>
                <w:sz w:val="16"/>
              </w:rPr>
              <w:t>Over-Budget Ratio (vs. QTO)</w:t>
            </w:r>
          </w:p>
        </w:tc>
        <w:tc>
          <w:tcPr>
            <w:tcW w:type="dxa" w:w="936"/>
            <w:shd w:val="clear" w:color="auto" w:fill="EFEFEF"/>
          </w:tcPr>
          <w:p>
            <w:pPr>
              <w:spacing w:line="240" w:lineRule="auto" w:before="40" w:after="40"/>
              <w:jc w:val="center"/>
            </w:pPr>
            <w:r/>
            <w:r>
              <w:rPr>
                <w:b w:val="0"/>
                <w:i w:val="0"/>
                <w:sz w:val="16"/>
              </w:rPr>
              <w:t>Yes</w:t>
            </w:r>
          </w:p>
        </w:tc>
      </w:tr>
      <w:tr>
        <w:tc>
          <w:tcPr>
            <w:tcW w:type="dxa" w:w="1152"/>
          </w:tcPr>
          <w:p>
            <w:pPr>
              <w:spacing w:line="240" w:lineRule="auto" w:before="40" w:after="40"/>
              <w:jc w:val="left"/>
            </w:pPr>
            <w:r/>
            <w:r>
              <w:rPr>
                <w:b w:val="0"/>
                <w:i w:val="0"/>
                <w:sz w:val="16"/>
              </w:rPr>
              <w:t>SIM-R-032</w:t>
            </w:r>
          </w:p>
        </w:tc>
        <w:tc>
          <w:tcPr>
            <w:tcW w:type="dxa" w:w="2448"/>
          </w:tcPr>
          <w:p>
            <w:pPr>
              <w:spacing w:line="240" w:lineRule="auto" w:before="40" w:after="40"/>
              <w:jc w:val="center"/>
            </w:pPr>
            <w:r/>
            <w:r>
              <w:rPr>
                <w:b w:val="0"/>
                <w:i w:val="0"/>
                <w:sz w:val="16"/>
              </w:rPr>
              <w:t>RCDG bridge, 8.4 m (1 span)</w:t>
            </w:r>
          </w:p>
        </w:tc>
        <w:tc>
          <w:tcPr>
            <w:tcW w:type="dxa" w:w="1080"/>
          </w:tcPr>
          <w:p>
            <w:pPr>
              <w:spacing w:line="240" w:lineRule="auto" w:before="40" w:after="40"/>
              <w:jc w:val="center"/>
            </w:pPr>
            <w:r/>
            <w:r>
              <w:rPr>
                <w:b w:val="0"/>
                <w:i w:val="0"/>
                <w:sz w:val="16"/>
              </w:rPr>
              <w:t>₱16.58M</w:t>
            </w:r>
          </w:p>
        </w:tc>
        <w:tc>
          <w:tcPr>
            <w:tcW w:type="dxa" w:w="720"/>
          </w:tcPr>
          <w:p>
            <w:pPr>
              <w:spacing w:line="240" w:lineRule="auto" w:before="40" w:after="40"/>
              <w:jc w:val="center"/>
            </w:pPr>
            <w:r/>
            <w:r>
              <w:rPr>
                <w:b w:val="0"/>
                <w:i w:val="0"/>
                <w:sz w:val="16"/>
              </w:rPr>
              <w:t>1.97</w:t>
            </w:r>
          </w:p>
        </w:tc>
        <w:tc>
          <w:tcPr>
            <w:tcW w:type="dxa" w:w="720"/>
          </w:tcPr>
          <w:p>
            <w:pPr>
              <w:spacing w:line="240" w:lineRule="auto" w:before="40" w:after="40"/>
              <w:jc w:val="center"/>
            </w:pPr>
            <w:r/>
            <w:r>
              <w:rPr>
                <w:b w:val="0"/>
                <w:i w:val="0"/>
                <w:sz w:val="16"/>
              </w:rPr>
              <w:t>95.3</w:t>
            </w:r>
          </w:p>
        </w:tc>
        <w:tc>
          <w:tcPr>
            <w:tcW w:type="dxa" w:w="2304"/>
          </w:tcPr>
          <w:p>
            <w:pPr>
              <w:spacing w:line="240" w:lineRule="auto" w:before="40" w:after="40"/>
              <w:jc w:val="center"/>
            </w:pPr>
            <w:r/>
            <w:r>
              <w:rPr>
                <w:b w:val="0"/>
                <w:i w:val="0"/>
                <w:sz w:val="16"/>
              </w:rPr>
              <w:t>XGBoost Cost Residual</w:t>
            </w:r>
          </w:p>
        </w:tc>
        <w:tc>
          <w:tcPr>
            <w:tcW w:type="dxa" w:w="936"/>
          </w:tcPr>
          <w:p>
            <w:pPr>
              <w:spacing w:line="240" w:lineRule="auto" w:before="40" w:after="40"/>
              <w:jc w:val="center"/>
            </w:pPr>
            <w:r/>
            <w:r>
              <w:rPr>
                <w:b w:val="0"/>
                <w:i w:val="0"/>
                <w:sz w:val="16"/>
              </w:rPr>
              <w:t>Yes</w:t>
            </w:r>
          </w:p>
        </w:tc>
      </w:tr>
      <w:tr>
        <w:tc>
          <w:tcPr>
            <w:tcW w:type="dxa" w:w="1152"/>
            <w:shd w:val="clear" w:color="auto" w:fill="EFEFEF"/>
          </w:tcPr>
          <w:p>
            <w:pPr>
              <w:spacing w:line="240" w:lineRule="auto" w:before="40" w:after="40"/>
              <w:jc w:val="left"/>
            </w:pPr>
            <w:r/>
            <w:r>
              <w:rPr>
                <w:b w:val="0"/>
                <w:i w:val="0"/>
                <w:sz w:val="16"/>
              </w:rPr>
              <w:t>SIM-R-129</w:t>
            </w:r>
          </w:p>
        </w:tc>
        <w:tc>
          <w:tcPr>
            <w:tcW w:type="dxa" w:w="2448"/>
            <w:shd w:val="clear" w:color="auto" w:fill="EFEFEF"/>
          </w:tcPr>
          <w:p>
            <w:pPr>
              <w:spacing w:line="240" w:lineRule="auto" w:before="40" w:after="40"/>
              <w:jc w:val="center"/>
            </w:pPr>
            <w:r/>
            <w:r>
              <w:rPr>
                <w:b w:val="0"/>
                <w:i w:val="0"/>
                <w:sz w:val="16"/>
              </w:rPr>
              <w:t>RCDG bridge, 41.9 m (2 spans)</w:t>
            </w:r>
          </w:p>
        </w:tc>
        <w:tc>
          <w:tcPr>
            <w:tcW w:type="dxa" w:w="1080"/>
            <w:shd w:val="clear" w:color="auto" w:fill="EFEFEF"/>
          </w:tcPr>
          <w:p>
            <w:pPr>
              <w:spacing w:line="240" w:lineRule="auto" w:before="40" w:after="40"/>
              <w:jc w:val="center"/>
            </w:pPr>
            <w:r/>
            <w:r>
              <w:rPr>
                <w:b w:val="0"/>
                <w:i w:val="0"/>
                <w:sz w:val="16"/>
              </w:rPr>
              <w:t>₱59.43M</w:t>
            </w:r>
          </w:p>
        </w:tc>
        <w:tc>
          <w:tcPr>
            <w:tcW w:type="dxa" w:w="720"/>
            <w:shd w:val="clear" w:color="auto" w:fill="EFEFEF"/>
          </w:tcPr>
          <w:p>
            <w:pPr>
              <w:spacing w:line="240" w:lineRule="auto" w:before="40" w:after="40"/>
              <w:jc w:val="center"/>
            </w:pPr>
            <w:r/>
            <w:r>
              <w:rPr>
                <w:b w:val="0"/>
                <w:i w:val="0"/>
                <w:sz w:val="16"/>
              </w:rPr>
              <w:t>2.20</w:t>
            </w:r>
          </w:p>
        </w:tc>
        <w:tc>
          <w:tcPr>
            <w:tcW w:type="dxa" w:w="720"/>
            <w:shd w:val="clear" w:color="auto" w:fill="EFEFEF"/>
          </w:tcPr>
          <w:p>
            <w:pPr>
              <w:spacing w:line="240" w:lineRule="auto" w:before="40" w:after="40"/>
              <w:jc w:val="center"/>
            </w:pPr>
            <w:r/>
            <w:r>
              <w:rPr>
                <w:b w:val="0"/>
                <w:i w:val="0"/>
                <w:sz w:val="16"/>
              </w:rPr>
              <w:t>93.8</w:t>
            </w:r>
          </w:p>
        </w:tc>
        <w:tc>
          <w:tcPr>
            <w:tcW w:type="dxa" w:w="2304"/>
            <w:shd w:val="clear" w:color="auto" w:fill="EFEFEF"/>
          </w:tcPr>
          <w:p>
            <w:pPr>
              <w:spacing w:line="240" w:lineRule="auto" w:before="40" w:after="40"/>
              <w:jc w:val="center"/>
            </w:pPr>
            <w:r/>
            <w:r>
              <w:rPr>
                <w:b w:val="0"/>
                <w:i w:val="0"/>
                <w:sz w:val="16"/>
              </w:rPr>
              <w:t>Over-Budget Ratio (vs. QTO)</w:t>
            </w:r>
          </w:p>
        </w:tc>
        <w:tc>
          <w:tcPr>
            <w:tcW w:type="dxa" w:w="936"/>
            <w:shd w:val="clear" w:color="auto" w:fill="EFEFEF"/>
          </w:tcPr>
          <w:p>
            <w:pPr>
              <w:spacing w:line="240" w:lineRule="auto" w:before="40" w:after="40"/>
              <w:jc w:val="center"/>
            </w:pPr>
            <w:r/>
            <w:r>
              <w:rPr>
                <w:b w:val="0"/>
                <w:i w:val="0"/>
                <w:sz w:val="16"/>
              </w:rPr>
              <w:t>Yes</w:t>
            </w:r>
          </w:p>
        </w:tc>
      </w:tr>
      <w:tr>
        <w:tc>
          <w:tcPr>
            <w:tcW w:type="dxa" w:w="1152"/>
          </w:tcPr>
          <w:p>
            <w:pPr>
              <w:spacing w:line="240" w:lineRule="auto" w:before="40" w:after="40"/>
              <w:jc w:val="left"/>
            </w:pPr>
            <w:r/>
            <w:r>
              <w:rPr>
                <w:b w:val="0"/>
                <w:i w:val="0"/>
                <w:sz w:val="16"/>
              </w:rPr>
              <w:t>SIM-R-049</w:t>
            </w:r>
          </w:p>
        </w:tc>
        <w:tc>
          <w:tcPr>
            <w:tcW w:type="dxa" w:w="2448"/>
          </w:tcPr>
          <w:p>
            <w:pPr>
              <w:spacing w:line="240" w:lineRule="auto" w:before="40" w:after="40"/>
              <w:jc w:val="center"/>
            </w:pPr>
            <w:r/>
            <w:r>
              <w:rPr>
                <w:b w:val="0"/>
                <w:i w:val="0"/>
                <w:sz w:val="16"/>
              </w:rPr>
              <w:t>RCDG bridge, 12.6 m (1 span)</w:t>
            </w:r>
          </w:p>
        </w:tc>
        <w:tc>
          <w:tcPr>
            <w:tcW w:type="dxa" w:w="1080"/>
          </w:tcPr>
          <w:p>
            <w:pPr>
              <w:spacing w:line="240" w:lineRule="auto" w:before="40" w:after="40"/>
              <w:jc w:val="center"/>
            </w:pPr>
            <w:r/>
            <w:r>
              <w:rPr>
                <w:b w:val="0"/>
                <w:i w:val="0"/>
                <w:sz w:val="16"/>
              </w:rPr>
              <w:t>₱64.28M</w:t>
            </w:r>
          </w:p>
        </w:tc>
        <w:tc>
          <w:tcPr>
            <w:tcW w:type="dxa" w:w="720"/>
          </w:tcPr>
          <w:p>
            <w:pPr>
              <w:spacing w:line="240" w:lineRule="auto" w:before="40" w:after="40"/>
              <w:jc w:val="center"/>
            </w:pPr>
            <w:r/>
            <w:r>
              <w:rPr>
                <w:b w:val="0"/>
                <w:i w:val="0"/>
                <w:sz w:val="16"/>
              </w:rPr>
              <w:t>1.99</w:t>
            </w:r>
          </w:p>
        </w:tc>
        <w:tc>
          <w:tcPr>
            <w:tcW w:type="dxa" w:w="720"/>
          </w:tcPr>
          <w:p>
            <w:pPr>
              <w:spacing w:line="240" w:lineRule="auto" w:before="40" w:after="40"/>
              <w:jc w:val="center"/>
            </w:pPr>
            <w:r/>
            <w:r>
              <w:rPr>
                <w:b w:val="0"/>
                <w:i w:val="0"/>
                <w:sz w:val="16"/>
              </w:rPr>
              <w:t>90.6</w:t>
            </w:r>
          </w:p>
        </w:tc>
        <w:tc>
          <w:tcPr>
            <w:tcW w:type="dxa" w:w="2304"/>
          </w:tcPr>
          <w:p>
            <w:pPr>
              <w:spacing w:line="240" w:lineRule="auto" w:before="40" w:after="40"/>
              <w:jc w:val="center"/>
            </w:pPr>
            <w:r/>
            <w:r>
              <w:rPr>
                <w:b w:val="0"/>
                <w:i w:val="0"/>
                <w:sz w:val="16"/>
              </w:rPr>
              <w:t>Over-Budget Ratio (vs. QTO)</w:t>
            </w:r>
          </w:p>
        </w:tc>
        <w:tc>
          <w:tcPr>
            <w:tcW w:type="dxa" w:w="936"/>
          </w:tcPr>
          <w:p>
            <w:pPr>
              <w:spacing w:line="240" w:lineRule="auto" w:before="40" w:after="40"/>
              <w:jc w:val="center"/>
            </w:pPr>
            <w:r/>
            <w:r>
              <w:rPr>
                <w:b w:val="0"/>
                <w:i w:val="0"/>
                <w:sz w:val="16"/>
              </w:rPr>
              <w:t>Yes</w:t>
            </w:r>
          </w:p>
        </w:tc>
      </w:tr>
      <w:tr>
        <w:tc>
          <w:tcPr>
            <w:tcW w:type="dxa" w:w="1152"/>
            <w:shd w:val="clear" w:color="auto" w:fill="EFEFEF"/>
          </w:tcPr>
          <w:p>
            <w:pPr>
              <w:spacing w:line="240" w:lineRule="auto" w:before="40" w:after="40"/>
              <w:jc w:val="left"/>
            </w:pPr>
            <w:r/>
            <w:r>
              <w:rPr>
                <w:b w:val="0"/>
                <w:i w:val="0"/>
                <w:sz w:val="16"/>
              </w:rPr>
              <w:t>SIM-R-125</w:t>
            </w:r>
          </w:p>
        </w:tc>
        <w:tc>
          <w:tcPr>
            <w:tcW w:type="dxa" w:w="2448"/>
            <w:shd w:val="clear" w:color="auto" w:fill="EFEFEF"/>
          </w:tcPr>
          <w:p>
            <w:pPr>
              <w:spacing w:line="240" w:lineRule="auto" w:before="40" w:after="40"/>
              <w:jc w:val="center"/>
            </w:pPr>
            <w:r/>
            <w:r>
              <w:rPr>
                <w:b w:val="0"/>
                <w:i w:val="0"/>
                <w:sz w:val="16"/>
              </w:rPr>
              <w:t>RCDG bridge, 63.9 m (3 spans)</w:t>
            </w:r>
          </w:p>
        </w:tc>
        <w:tc>
          <w:tcPr>
            <w:tcW w:type="dxa" w:w="1080"/>
            <w:shd w:val="clear" w:color="auto" w:fill="EFEFEF"/>
          </w:tcPr>
          <w:p>
            <w:pPr>
              <w:spacing w:line="240" w:lineRule="auto" w:before="40" w:after="40"/>
              <w:jc w:val="center"/>
            </w:pPr>
            <w:r/>
            <w:r>
              <w:rPr>
                <w:b w:val="0"/>
                <w:i w:val="0"/>
                <w:sz w:val="16"/>
              </w:rPr>
              <w:t>₱119.10M</w:t>
            </w:r>
          </w:p>
        </w:tc>
        <w:tc>
          <w:tcPr>
            <w:tcW w:type="dxa" w:w="720"/>
            <w:shd w:val="clear" w:color="auto" w:fill="EFEFEF"/>
          </w:tcPr>
          <w:p>
            <w:pPr>
              <w:spacing w:line="240" w:lineRule="auto" w:before="40" w:after="40"/>
              <w:jc w:val="center"/>
            </w:pPr>
            <w:r/>
            <w:r>
              <w:rPr>
                <w:b w:val="0"/>
                <w:i w:val="0"/>
                <w:sz w:val="16"/>
              </w:rPr>
              <w:t>1.95</w:t>
            </w:r>
          </w:p>
        </w:tc>
        <w:tc>
          <w:tcPr>
            <w:tcW w:type="dxa" w:w="720"/>
            <w:shd w:val="clear" w:color="auto" w:fill="EFEFEF"/>
          </w:tcPr>
          <w:p>
            <w:pPr>
              <w:spacing w:line="240" w:lineRule="auto" w:before="40" w:after="40"/>
              <w:jc w:val="center"/>
            </w:pPr>
            <w:r/>
            <w:r>
              <w:rPr>
                <w:b w:val="0"/>
                <w:i w:val="0"/>
                <w:sz w:val="16"/>
              </w:rPr>
              <w:t>90.2</w:t>
            </w:r>
          </w:p>
        </w:tc>
        <w:tc>
          <w:tcPr>
            <w:tcW w:type="dxa" w:w="2304"/>
            <w:shd w:val="clear" w:color="auto" w:fill="EFEFEF"/>
          </w:tcPr>
          <w:p>
            <w:pPr>
              <w:spacing w:line="240" w:lineRule="auto" w:before="40" w:after="40"/>
              <w:jc w:val="center"/>
            </w:pPr>
            <w:r/>
            <w:r>
              <w:rPr>
                <w:b w:val="0"/>
                <w:i w:val="0"/>
                <w:sz w:val="16"/>
              </w:rPr>
              <w:t>Over-Budget Ratio (vs. QTO)</w:t>
            </w:r>
          </w:p>
        </w:tc>
        <w:tc>
          <w:tcPr>
            <w:tcW w:type="dxa" w:w="936"/>
            <w:shd w:val="clear" w:color="auto" w:fill="EFEFEF"/>
          </w:tcPr>
          <w:p>
            <w:pPr>
              <w:spacing w:line="240" w:lineRule="auto" w:before="40" w:after="40"/>
              <w:jc w:val="center"/>
            </w:pPr>
            <w:r/>
            <w:r>
              <w:rPr>
                <w:b w:val="0"/>
                <w:i w:val="0"/>
                <w:sz w:val="16"/>
              </w:rPr>
              <w:t>Yes</w:t>
            </w:r>
          </w:p>
        </w:tc>
      </w:tr>
      <w:tr>
        <w:tc>
          <w:tcPr>
            <w:tcW w:type="dxa" w:w="1152"/>
            <w:tcBorders>
              <w:bottom w:val="single" w:sz="12" w:color="000000"/>
            </w:tcBorders>
          </w:tcPr>
          <w:p>
            <w:pPr>
              <w:spacing w:line="240" w:lineRule="auto" w:before="40" w:after="40"/>
              <w:jc w:val="left"/>
            </w:pPr>
            <w:r/>
            <w:r>
              <w:rPr>
                <w:b w:val="0"/>
                <w:i w:val="0"/>
                <w:sz w:val="16"/>
              </w:rPr>
              <w:t>SIM-R-030</w:t>
            </w:r>
          </w:p>
        </w:tc>
        <w:tc>
          <w:tcPr>
            <w:tcW w:type="dxa" w:w="2448"/>
            <w:tcBorders>
              <w:bottom w:val="single" w:sz="12" w:color="000000"/>
            </w:tcBorders>
          </w:tcPr>
          <w:p>
            <w:pPr>
              <w:spacing w:line="240" w:lineRule="auto" w:before="40" w:after="40"/>
              <w:jc w:val="center"/>
            </w:pPr>
            <w:r/>
            <w:r>
              <w:rPr>
                <w:b w:val="0"/>
                <w:i w:val="0"/>
                <w:sz w:val="16"/>
              </w:rPr>
              <w:t>RCDG bridge, 17.8 m (1 span)</w:t>
            </w:r>
          </w:p>
        </w:tc>
        <w:tc>
          <w:tcPr>
            <w:tcW w:type="dxa" w:w="1080"/>
            <w:tcBorders>
              <w:bottom w:val="single" w:sz="12" w:color="000000"/>
            </w:tcBorders>
          </w:tcPr>
          <w:p>
            <w:pPr>
              <w:spacing w:line="240" w:lineRule="auto" w:before="40" w:after="40"/>
              <w:jc w:val="center"/>
            </w:pPr>
            <w:r/>
            <w:r>
              <w:rPr>
                <w:b w:val="0"/>
                <w:i w:val="0"/>
                <w:sz w:val="16"/>
              </w:rPr>
              <w:t>₱49.07M</w:t>
            </w:r>
          </w:p>
        </w:tc>
        <w:tc>
          <w:tcPr>
            <w:tcW w:type="dxa" w:w="720"/>
            <w:tcBorders>
              <w:bottom w:val="single" w:sz="12" w:color="000000"/>
            </w:tcBorders>
          </w:tcPr>
          <w:p>
            <w:pPr>
              <w:spacing w:line="240" w:lineRule="auto" w:before="40" w:after="40"/>
              <w:jc w:val="center"/>
            </w:pPr>
            <w:r/>
            <w:r>
              <w:rPr>
                <w:b w:val="0"/>
                <w:i w:val="0"/>
                <w:sz w:val="16"/>
              </w:rPr>
              <w:t>1.97</w:t>
            </w:r>
          </w:p>
        </w:tc>
        <w:tc>
          <w:tcPr>
            <w:tcW w:type="dxa" w:w="720"/>
            <w:tcBorders>
              <w:bottom w:val="single" w:sz="12" w:color="000000"/>
            </w:tcBorders>
          </w:tcPr>
          <w:p>
            <w:pPr>
              <w:spacing w:line="240" w:lineRule="auto" w:before="40" w:after="40"/>
              <w:jc w:val="center"/>
            </w:pPr>
            <w:r/>
            <w:r>
              <w:rPr>
                <w:b w:val="0"/>
                <w:i w:val="0"/>
                <w:sz w:val="16"/>
              </w:rPr>
              <w:t>88.1</w:t>
            </w:r>
          </w:p>
        </w:tc>
        <w:tc>
          <w:tcPr>
            <w:tcW w:type="dxa" w:w="2304"/>
            <w:tcBorders>
              <w:bottom w:val="single" w:sz="12" w:color="000000"/>
            </w:tcBorders>
          </w:tcPr>
          <w:p>
            <w:pPr>
              <w:spacing w:line="240" w:lineRule="auto" w:before="40" w:after="40"/>
              <w:jc w:val="center"/>
            </w:pPr>
            <w:r/>
            <w:r>
              <w:rPr>
                <w:b w:val="0"/>
                <w:i w:val="0"/>
                <w:sz w:val="16"/>
              </w:rPr>
              <w:t>Over-Budget Ratio (vs. QTO)</w:t>
            </w:r>
          </w:p>
        </w:tc>
        <w:tc>
          <w:tcPr>
            <w:tcW w:type="dxa" w:w="936"/>
            <w:tcBorders>
              <w:bottom w:val="single" w:sz="12" w:color="000000"/>
            </w:tcBorders>
          </w:tcPr>
          <w:p>
            <w:pPr>
              <w:spacing w:line="240" w:lineRule="auto" w:before="40" w:after="40"/>
              <w:jc w:val="center"/>
            </w:pPr>
            <w:r/>
            <w:r>
              <w:rPr>
                <w:b w:val="0"/>
                <w:i w:val="0"/>
                <w:sz w:val="16"/>
              </w:rPr>
              <w:t>Yes</w:t>
            </w:r>
          </w:p>
        </w:tc>
      </w:tr>
    </w:tbl>
    <w:p>
      <w:pPr>
        <w:spacing w:line="240" w:lineRule="auto" w:after="80"/>
      </w:pPr>
    </w:p>
    <w:p>
      <w:pPr>
        <w:spacing w:line="480" w:lineRule="auto" w:after="0"/>
        <w:ind w:firstLine="720"/>
        <w:jc w:val="both"/>
      </w:pPr>
      <w:r>
        <w:rPr>
          <w:b w:val="0"/>
          <w:i w:val="0"/>
        </w:rPr>
        <w:t>Table 27 lists the five highest-risk buildings and bridges. All were injected cases, with over-budget ratios from about 1.5 to 2.2. The primary driver, the input with the largest standardized deviation, was most often the over-budget ratio itself or the XGBoost residual, and occasionally an unusual plan feature such as a reinforced concrete roof deck or a large footprint, which tells a reviewer where to look first. In pesos, the flagged contracts exceeded their ceilings by ₱339.62 million and their standard estimates by ₱656.05 million, against ₱517.25 million of padding injected in total. These amounts illustrate the scale a screening tool can bring to attention; they are not findings about any real contract.</w:t>
      </w:r>
    </w:p>
    <w:p>
      <w:pPr>
        <w:keepNext/>
        <w:spacing w:line="480" w:lineRule="auto" w:after="0"/>
        <w:jc w:val="left"/>
      </w:pPr>
      <w:r>
        <w:rPr>
          <w:b/>
          <w:i w:val="0"/>
        </w:rPr>
        <w:t>Extension to Hospitals, Transport Terminals, Airfields and Ports</w:t>
      </w:r>
    </w:p>
    <w:p>
      <w:pPr>
        <w:spacing w:line="480" w:lineRule="auto" w:after="0"/>
        <w:ind w:firstLine="720"/>
        <w:jc w:val="both"/>
      </w:pPr>
      <w:r>
        <w:rPr>
          <w:b w:val="0"/>
          <w:i w:val="0"/>
        </w:rPr>
        <w:t>The sixth research question tested whether the same engine and generator extend to the largest public facilities.</w:t>
      </w:r>
    </w:p>
    <w:p>
      <w:pPr>
        <w:keepNext/>
        <w:spacing w:line="480" w:lineRule="auto" w:after="0"/>
        <w:ind w:left="720"/>
        <w:jc w:val="left"/>
      </w:pPr>
      <w:r>
        <w:rPr>
          <w:b/>
          <w:i w:val="0"/>
        </w:rPr>
        <w:t>a.) Design Templates and Space Standards</w:t>
      </w:r>
    </w:p>
    <w:p>
      <w:pPr>
        <w:keepNext/>
        <w:spacing w:line="240" w:lineRule="auto" w:after="0" w:before="120"/>
        <w:jc w:val="left"/>
      </w:pPr>
      <w:r>
        <w:rPr>
          <w:b/>
          <w:i w:val="0"/>
        </w:rPr>
        <w:t>Table 28.</w:t>
      </w:r>
    </w:p>
    <w:p>
      <w:pPr>
        <w:keepNext/>
        <w:spacing w:line="240" w:lineRule="auto" w:after="0"/>
        <w:jc w:val="left"/>
      </w:pPr>
      <w:r>
        <w:rPr>
          <w:b w:val="0"/>
          <w:i/>
        </w:rPr>
        <w:t>Extension Design Templates (Albay, 2025 Prices)</w:t>
      </w:r>
    </w:p>
    <w:tbl>
      <w:tblPr>
        <w:tblW w:type="auto" w:w="0"/>
        <w:jc w:val="center"/>
        <w:tblLayout w:type="fixed"/>
        <w:tblLook w:firstColumn="1" w:firstRow="1" w:lastColumn="0" w:lastRow="0" w:noHBand="0" w:noVBand="1" w:val="04A0"/>
        <w:tblLayout w:type="fixed"/>
      </w:tblPr>
      <w:tblGrid>
        <w:gridCol w:w="3744"/>
        <w:gridCol w:w="576"/>
        <w:gridCol w:w="1296"/>
        <w:gridCol w:w="1728"/>
        <w:gridCol w:w="1080"/>
        <w:gridCol w:w="1080"/>
      </w:tblGrid>
      <w:tr>
        <w:tc>
          <w:tcPr>
            <w:tcW w:type="dxa" w:w="3744"/>
            <w:tcBorders>
              <w:top w:val="single" w:sz="12" w:color="000000"/>
              <w:bottom w:val="single" w:sz="8" w:color="000000"/>
            </w:tcBorders>
          </w:tcPr>
          <w:p>
            <w:pPr>
              <w:spacing w:line="240" w:lineRule="auto" w:before="40" w:after="40"/>
              <w:jc w:val="center"/>
            </w:pPr>
            <w:r/>
            <w:r>
              <w:rPr>
                <w:b/>
                <w:i w:val="0"/>
                <w:sz w:val="16"/>
              </w:rPr>
              <w:t>DESIGN</w:t>
            </w:r>
          </w:p>
        </w:tc>
        <w:tc>
          <w:tcPr>
            <w:tcW w:type="dxa" w:w="576"/>
            <w:tcBorders>
              <w:top w:val="single" w:sz="12" w:color="000000"/>
              <w:bottom w:val="single" w:sz="8" w:color="000000"/>
            </w:tcBorders>
          </w:tcPr>
          <w:p>
            <w:pPr>
              <w:spacing w:line="240" w:lineRule="auto" w:before="40" w:after="40"/>
              <w:jc w:val="center"/>
            </w:pPr>
            <w:r/>
            <w:r>
              <w:rPr>
                <w:b/>
                <w:i w:val="0"/>
                <w:sz w:val="16"/>
              </w:rPr>
              <w:t>ST.</w:t>
            </w:r>
          </w:p>
        </w:tc>
        <w:tc>
          <w:tcPr>
            <w:tcW w:type="dxa" w:w="1296"/>
            <w:tcBorders>
              <w:top w:val="single" w:sz="12" w:color="000000"/>
              <w:bottom w:val="single" w:sz="8" w:color="000000"/>
            </w:tcBorders>
          </w:tcPr>
          <w:p>
            <w:pPr>
              <w:spacing w:line="240" w:lineRule="auto" w:before="40" w:after="40"/>
              <w:jc w:val="center"/>
            </w:pPr>
            <w:r/>
            <w:r>
              <w:rPr>
                <w:b/>
                <w:i w:val="0"/>
                <w:sz w:val="16"/>
              </w:rPr>
              <w:t>L × W (m)</w:t>
            </w:r>
          </w:p>
        </w:tc>
        <w:tc>
          <w:tcPr>
            <w:tcW w:type="dxa" w:w="1728"/>
            <w:tcBorders>
              <w:top w:val="single" w:sz="12" w:color="000000"/>
              <w:bottom w:val="single" w:sz="8" w:color="000000"/>
            </w:tcBorders>
          </w:tcPr>
          <w:p>
            <w:pPr>
              <w:spacing w:line="240" w:lineRule="auto" w:before="40" w:after="40"/>
              <w:jc w:val="center"/>
            </w:pPr>
            <w:r/>
            <w:r>
              <w:rPr>
                <w:b/>
                <w:i w:val="0"/>
                <w:sz w:val="16"/>
              </w:rPr>
              <w:t>CAPACITY</w:t>
            </w:r>
          </w:p>
        </w:tc>
        <w:tc>
          <w:tcPr>
            <w:tcW w:type="dxa" w:w="1080"/>
            <w:tcBorders>
              <w:top w:val="single" w:sz="12" w:color="000000"/>
              <w:bottom w:val="single" w:sz="8" w:color="000000"/>
            </w:tcBorders>
          </w:tcPr>
          <w:p>
            <w:pPr>
              <w:spacing w:line="240" w:lineRule="auto" w:before="40" w:after="40"/>
              <w:jc w:val="center"/>
            </w:pPr>
            <w:r/>
            <w:r>
              <w:rPr>
                <w:b/>
                <w:i w:val="0"/>
                <w:sz w:val="16"/>
              </w:rPr>
              <w:t>START</w:t>
            </w:r>
          </w:p>
        </w:tc>
        <w:tc>
          <w:tcPr>
            <w:tcW w:type="dxa" w:w="1080"/>
            <w:tcBorders>
              <w:top w:val="single" w:sz="12" w:color="000000"/>
              <w:bottom w:val="single" w:sz="8" w:color="000000"/>
            </w:tcBorders>
          </w:tcPr>
          <w:p>
            <w:pPr>
              <w:spacing w:line="240" w:lineRule="auto" w:before="40" w:after="40"/>
              <w:jc w:val="center"/>
            </w:pPr>
            <w:r/>
            <w:r>
              <w:rPr>
                <w:b/>
                <w:i w:val="0"/>
                <w:sz w:val="16"/>
              </w:rPr>
              <w:t>STANDARD</w:t>
            </w:r>
          </w:p>
        </w:tc>
      </w:tr>
      <w:tr>
        <w:tc>
          <w:tcPr>
            <w:tcW w:type="dxa" w:w="3744"/>
            <w:shd w:val="clear" w:color="auto" w:fill="EFEFEF"/>
          </w:tcPr>
          <w:p>
            <w:pPr>
              <w:spacing w:line="240" w:lineRule="auto" w:before="40" w:after="40"/>
              <w:jc w:val="left"/>
            </w:pPr>
            <w:r/>
            <w:r>
              <w:rPr>
                <w:b w:val="0"/>
                <w:i w:val="0"/>
                <w:sz w:val="16"/>
              </w:rPr>
              <w:t>Level 1 hospital, 25 beds (2-storey)</w:t>
            </w:r>
          </w:p>
        </w:tc>
        <w:tc>
          <w:tcPr>
            <w:tcW w:type="dxa" w:w="576"/>
            <w:shd w:val="clear" w:color="auto" w:fill="EFEFEF"/>
          </w:tcPr>
          <w:p>
            <w:pPr>
              <w:spacing w:line="240" w:lineRule="auto" w:before="40" w:after="40"/>
              <w:jc w:val="center"/>
            </w:pPr>
            <w:r/>
            <w:r>
              <w:rPr>
                <w:b w:val="0"/>
                <w:i w:val="0"/>
                <w:sz w:val="16"/>
              </w:rPr>
              <w:t>2</w:t>
            </w:r>
          </w:p>
        </w:tc>
        <w:tc>
          <w:tcPr>
            <w:tcW w:type="dxa" w:w="1296"/>
            <w:shd w:val="clear" w:color="auto" w:fill="EFEFEF"/>
          </w:tcPr>
          <w:p>
            <w:pPr>
              <w:spacing w:line="240" w:lineRule="auto" w:before="40" w:after="40"/>
              <w:jc w:val="center"/>
            </w:pPr>
            <w:r/>
            <w:r>
              <w:rPr>
                <w:b w:val="0"/>
                <w:i w:val="0"/>
                <w:sz w:val="16"/>
              </w:rPr>
              <w:t>51.5 × 14.4</w:t>
            </w:r>
          </w:p>
        </w:tc>
        <w:tc>
          <w:tcPr>
            <w:tcW w:type="dxa" w:w="1728"/>
            <w:shd w:val="clear" w:color="auto" w:fill="EFEFEF"/>
          </w:tcPr>
          <w:p>
            <w:pPr>
              <w:spacing w:line="240" w:lineRule="auto" w:before="40" w:after="40"/>
              <w:jc w:val="center"/>
            </w:pPr>
            <w:r/>
            <w:r>
              <w:rPr>
                <w:b w:val="0"/>
                <w:i w:val="0"/>
                <w:sz w:val="16"/>
              </w:rPr>
              <w:t>25 beds</w:t>
            </w:r>
          </w:p>
        </w:tc>
        <w:tc>
          <w:tcPr>
            <w:tcW w:type="dxa" w:w="1080"/>
            <w:shd w:val="clear" w:color="auto" w:fill="EFEFEF"/>
          </w:tcPr>
          <w:p>
            <w:pPr>
              <w:spacing w:line="240" w:lineRule="auto" w:before="40" w:after="40"/>
              <w:jc w:val="center"/>
            </w:pPr>
            <w:r/>
            <w:r>
              <w:rPr>
                <w:b w:val="0"/>
                <w:i w:val="0"/>
                <w:sz w:val="16"/>
              </w:rPr>
              <w:t>₱51.01M</w:t>
            </w:r>
          </w:p>
        </w:tc>
        <w:tc>
          <w:tcPr>
            <w:tcW w:type="dxa" w:w="1080"/>
            <w:shd w:val="clear" w:color="auto" w:fill="EFEFEF"/>
          </w:tcPr>
          <w:p>
            <w:pPr>
              <w:spacing w:line="240" w:lineRule="auto" w:before="40" w:after="40"/>
              <w:jc w:val="center"/>
            </w:pPr>
            <w:r/>
            <w:r>
              <w:rPr>
                <w:b w:val="0"/>
                <w:i w:val="0"/>
                <w:sz w:val="16"/>
              </w:rPr>
              <w:t>₱64.21M</w:t>
            </w:r>
          </w:p>
        </w:tc>
      </w:tr>
      <w:tr>
        <w:tc>
          <w:tcPr>
            <w:tcW w:type="dxa" w:w="3744"/>
          </w:tcPr>
          <w:p>
            <w:pPr>
              <w:spacing w:line="240" w:lineRule="auto" w:before="40" w:after="40"/>
              <w:jc w:val="left"/>
            </w:pPr>
            <w:r/>
            <w:r>
              <w:rPr>
                <w:b w:val="0"/>
                <w:i w:val="0"/>
                <w:sz w:val="16"/>
              </w:rPr>
              <w:t>Level 1 hospital, 50 beds (3-storey)</w:t>
            </w:r>
          </w:p>
        </w:tc>
        <w:tc>
          <w:tcPr>
            <w:tcW w:type="dxa" w:w="576"/>
          </w:tcPr>
          <w:p>
            <w:pPr>
              <w:spacing w:line="240" w:lineRule="auto" w:before="40" w:after="40"/>
              <w:jc w:val="center"/>
            </w:pPr>
            <w:r/>
            <w:r>
              <w:rPr>
                <w:b w:val="0"/>
                <w:i w:val="0"/>
                <w:sz w:val="16"/>
              </w:rPr>
              <w:t>3</w:t>
            </w:r>
          </w:p>
        </w:tc>
        <w:tc>
          <w:tcPr>
            <w:tcW w:type="dxa" w:w="1296"/>
          </w:tcPr>
          <w:p>
            <w:pPr>
              <w:spacing w:line="240" w:lineRule="auto" w:before="40" w:after="40"/>
              <w:jc w:val="center"/>
            </w:pPr>
            <w:r/>
            <w:r>
              <w:rPr>
                <w:b w:val="0"/>
                <w:i w:val="0"/>
                <w:sz w:val="16"/>
              </w:rPr>
              <w:t>50.5 × 14.4</w:t>
            </w:r>
          </w:p>
        </w:tc>
        <w:tc>
          <w:tcPr>
            <w:tcW w:type="dxa" w:w="1728"/>
          </w:tcPr>
          <w:p>
            <w:pPr>
              <w:spacing w:line="240" w:lineRule="auto" w:before="40" w:after="40"/>
              <w:jc w:val="center"/>
            </w:pPr>
            <w:r/>
            <w:r>
              <w:rPr>
                <w:b w:val="0"/>
                <w:i w:val="0"/>
                <w:sz w:val="16"/>
              </w:rPr>
              <w:t>50 beds</w:t>
            </w:r>
          </w:p>
        </w:tc>
        <w:tc>
          <w:tcPr>
            <w:tcW w:type="dxa" w:w="1080"/>
          </w:tcPr>
          <w:p>
            <w:pPr>
              <w:spacing w:line="240" w:lineRule="auto" w:before="40" w:after="40"/>
              <w:jc w:val="center"/>
            </w:pPr>
            <w:r/>
            <w:r>
              <w:rPr>
                <w:b w:val="0"/>
                <w:i w:val="0"/>
                <w:sz w:val="16"/>
              </w:rPr>
              <w:t>₱68.47M</w:t>
            </w:r>
          </w:p>
        </w:tc>
        <w:tc>
          <w:tcPr>
            <w:tcW w:type="dxa" w:w="1080"/>
          </w:tcPr>
          <w:p>
            <w:pPr>
              <w:spacing w:line="240" w:lineRule="auto" w:before="40" w:after="40"/>
              <w:jc w:val="center"/>
            </w:pPr>
            <w:r/>
            <w:r>
              <w:rPr>
                <w:b w:val="0"/>
                <w:i w:val="0"/>
                <w:sz w:val="16"/>
              </w:rPr>
              <w:t>₱88.57M</w:t>
            </w:r>
          </w:p>
        </w:tc>
      </w:tr>
      <w:tr>
        <w:tc>
          <w:tcPr>
            <w:tcW w:type="dxa" w:w="3744"/>
            <w:shd w:val="clear" w:color="auto" w:fill="EFEFEF"/>
          </w:tcPr>
          <w:p>
            <w:pPr>
              <w:spacing w:line="240" w:lineRule="auto" w:before="40" w:after="40"/>
              <w:jc w:val="left"/>
            </w:pPr>
            <w:r/>
            <w:r>
              <w:rPr>
                <w:b w:val="0"/>
                <w:i w:val="0"/>
                <w:sz w:val="16"/>
              </w:rPr>
              <w:t>Level 2 hospital, 100 beds (4-storey)</w:t>
            </w:r>
          </w:p>
        </w:tc>
        <w:tc>
          <w:tcPr>
            <w:tcW w:type="dxa" w:w="576"/>
            <w:shd w:val="clear" w:color="auto" w:fill="EFEFEF"/>
          </w:tcPr>
          <w:p>
            <w:pPr>
              <w:spacing w:line="240" w:lineRule="auto" w:before="40" w:after="40"/>
              <w:jc w:val="center"/>
            </w:pPr>
            <w:r/>
            <w:r>
              <w:rPr>
                <w:b w:val="0"/>
                <w:i w:val="0"/>
                <w:sz w:val="16"/>
              </w:rPr>
              <w:t>4</w:t>
            </w:r>
          </w:p>
        </w:tc>
        <w:tc>
          <w:tcPr>
            <w:tcW w:type="dxa" w:w="1296"/>
            <w:shd w:val="clear" w:color="auto" w:fill="EFEFEF"/>
          </w:tcPr>
          <w:p>
            <w:pPr>
              <w:spacing w:line="240" w:lineRule="auto" w:before="40" w:after="40"/>
              <w:jc w:val="center"/>
            </w:pPr>
            <w:r/>
            <w:r>
              <w:rPr>
                <w:b w:val="0"/>
                <w:i w:val="0"/>
                <w:sz w:val="16"/>
              </w:rPr>
              <w:t>62.5 × 14.4</w:t>
            </w:r>
          </w:p>
        </w:tc>
        <w:tc>
          <w:tcPr>
            <w:tcW w:type="dxa" w:w="1728"/>
            <w:shd w:val="clear" w:color="auto" w:fill="EFEFEF"/>
          </w:tcPr>
          <w:p>
            <w:pPr>
              <w:spacing w:line="240" w:lineRule="auto" w:before="40" w:after="40"/>
              <w:jc w:val="center"/>
            </w:pPr>
            <w:r/>
            <w:r>
              <w:rPr>
                <w:b w:val="0"/>
                <w:i w:val="0"/>
                <w:sz w:val="16"/>
              </w:rPr>
              <w:t>100 beds</w:t>
            </w:r>
          </w:p>
        </w:tc>
        <w:tc>
          <w:tcPr>
            <w:tcW w:type="dxa" w:w="1080"/>
            <w:shd w:val="clear" w:color="auto" w:fill="EFEFEF"/>
          </w:tcPr>
          <w:p>
            <w:pPr>
              <w:spacing w:line="240" w:lineRule="auto" w:before="40" w:after="40"/>
              <w:jc w:val="center"/>
            </w:pPr>
            <w:r/>
            <w:r>
              <w:rPr>
                <w:b w:val="0"/>
                <w:i w:val="0"/>
                <w:sz w:val="16"/>
              </w:rPr>
              <w:t>₱112.68M</w:t>
            </w:r>
          </w:p>
        </w:tc>
        <w:tc>
          <w:tcPr>
            <w:tcW w:type="dxa" w:w="1080"/>
            <w:shd w:val="clear" w:color="auto" w:fill="EFEFEF"/>
          </w:tcPr>
          <w:p>
            <w:pPr>
              <w:spacing w:line="240" w:lineRule="auto" w:before="40" w:after="40"/>
              <w:jc w:val="center"/>
            </w:pPr>
            <w:r/>
            <w:r>
              <w:rPr>
                <w:b w:val="0"/>
                <w:i w:val="0"/>
                <w:sz w:val="16"/>
              </w:rPr>
              <w:t>₱145.94M</w:t>
            </w:r>
          </w:p>
        </w:tc>
      </w:tr>
      <w:tr>
        <w:tc>
          <w:tcPr>
            <w:tcW w:type="dxa" w:w="3744"/>
          </w:tcPr>
          <w:p>
            <w:pPr>
              <w:spacing w:line="240" w:lineRule="auto" w:before="40" w:after="40"/>
              <w:jc w:val="left"/>
            </w:pPr>
            <w:r/>
            <w:r>
              <w:rPr>
                <w:b w:val="0"/>
                <w:i w:val="0"/>
                <w:sz w:val="16"/>
              </w:rPr>
              <w:t>Level 3 hospital, 200 beds (5-storey)</w:t>
            </w:r>
          </w:p>
        </w:tc>
        <w:tc>
          <w:tcPr>
            <w:tcW w:type="dxa" w:w="576"/>
          </w:tcPr>
          <w:p>
            <w:pPr>
              <w:spacing w:line="240" w:lineRule="auto" w:before="40" w:after="40"/>
              <w:jc w:val="center"/>
            </w:pPr>
            <w:r/>
            <w:r>
              <w:rPr>
                <w:b w:val="0"/>
                <w:i w:val="0"/>
                <w:sz w:val="16"/>
              </w:rPr>
              <w:t>5</w:t>
            </w:r>
          </w:p>
        </w:tc>
        <w:tc>
          <w:tcPr>
            <w:tcW w:type="dxa" w:w="1296"/>
          </w:tcPr>
          <w:p>
            <w:pPr>
              <w:spacing w:line="240" w:lineRule="auto" w:before="40" w:after="40"/>
              <w:jc w:val="center"/>
            </w:pPr>
            <w:r/>
            <w:r>
              <w:rPr>
                <w:b w:val="0"/>
                <w:i w:val="0"/>
                <w:sz w:val="16"/>
              </w:rPr>
              <w:t>74.5 × 14.4</w:t>
            </w:r>
          </w:p>
        </w:tc>
        <w:tc>
          <w:tcPr>
            <w:tcW w:type="dxa" w:w="1728"/>
          </w:tcPr>
          <w:p>
            <w:pPr>
              <w:spacing w:line="240" w:lineRule="auto" w:before="40" w:after="40"/>
              <w:jc w:val="center"/>
            </w:pPr>
            <w:r/>
            <w:r>
              <w:rPr>
                <w:b w:val="0"/>
                <w:i w:val="0"/>
                <w:sz w:val="16"/>
              </w:rPr>
              <w:t>200 beds</w:t>
            </w:r>
          </w:p>
        </w:tc>
        <w:tc>
          <w:tcPr>
            <w:tcW w:type="dxa" w:w="1080"/>
          </w:tcPr>
          <w:p>
            <w:pPr>
              <w:spacing w:line="240" w:lineRule="auto" w:before="40" w:after="40"/>
              <w:jc w:val="center"/>
            </w:pPr>
            <w:r/>
            <w:r>
              <w:rPr>
                <w:b w:val="0"/>
                <w:i w:val="0"/>
                <w:sz w:val="16"/>
              </w:rPr>
              <w:t>₱165.27M</w:t>
            </w:r>
          </w:p>
        </w:tc>
        <w:tc>
          <w:tcPr>
            <w:tcW w:type="dxa" w:w="1080"/>
          </w:tcPr>
          <w:p>
            <w:pPr>
              <w:spacing w:line="240" w:lineRule="auto" w:before="40" w:after="40"/>
              <w:jc w:val="center"/>
            </w:pPr>
            <w:r/>
            <w:r>
              <w:rPr>
                <w:b w:val="0"/>
                <w:i w:val="0"/>
                <w:sz w:val="16"/>
              </w:rPr>
              <w:t>₱210.96M</w:t>
            </w:r>
          </w:p>
        </w:tc>
      </w:tr>
      <w:tr>
        <w:tc>
          <w:tcPr>
            <w:tcW w:type="dxa" w:w="3744"/>
            <w:shd w:val="clear" w:color="auto" w:fill="EFEFEF"/>
          </w:tcPr>
          <w:p>
            <w:pPr>
              <w:spacing w:line="240" w:lineRule="auto" w:before="40" w:after="40"/>
              <w:jc w:val="left"/>
            </w:pPr>
            <w:r/>
            <w:r>
              <w:rPr>
                <w:b w:val="0"/>
                <w:i w:val="0"/>
                <w:sz w:val="16"/>
              </w:rPr>
              <w:t>Community airport terminal, 150 peak-hour passengers</w:t>
            </w:r>
          </w:p>
        </w:tc>
        <w:tc>
          <w:tcPr>
            <w:tcW w:type="dxa" w:w="576"/>
            <w:shd w:val="clear" w:color="auto" w:fill="EFEFEF"/>
          </w:tcPr>
          <w:p>
            <w:pPr>
              <w:spacing w:line="240" w:lineRule="auto" w:before="40" w:after="40"/>
              <w:jc w:val="center"/>
            </w:pPr>
            <w:r/>
            <w:r>
              <w:rPr>
                <w:b w:val="0"/>
                <w:i w:val="0"/>
                <w:sz w:val="16"/>
              </w:rPr>
              <w:t>1</w:t>
            </w:r>
          </w:p>
        </w:tc>
        <w:tc>
          <w:tcPr>
            <w:tcW w:type="dxa" w:w="1296"/>
            <w:shd w:val="clear" w:color="auto" w:fill="EFEFEF"/>
          </w:tcPr>
          <w:p>
            <w:pPr>
              <w:spacing w:line="240" w:lineRule="auto" w:before="40" w:after="40"/>
              <w:jc w:val="center"/>
            </w:pPr>
            <w:r/>
            <w:r>
              <w:rPr>
                <w:b w:val="0"/>
                <w:i w:val="0"/>
                <w:sz w:val="16"/>
              </w:rPr>
              <w:t>41.0 × 80.0</w:t>
            </w:r>
          </w:p>
        </w:tc>
        <w:tc>
          <w:tcPr>
            <w:tcW w:type="dxa" w:w="1728"/>
            <w:shd w:val="clear" w:color="auto" w:fill="EFEFEF"/>
          </w:tcPr>
          <w:p>
            <w:pPr>
              <w:spacing w:line="240" w:lineRule="auto" w:before="40" w:after="40"/>
              <w:jc w:val="center"/>
            </w:pPr>
            <w:r/>
            <w:r>
              <w:rPr>
                <w:b w:val="0"/>
                <w:i w:val="0"/>
                <w:sz w:val="16"/>
              </w:rPr>
              <w:t>160 pax</w:t>
            </w:r>
          </w:p>
        </w:tc>
        <w:tc>
          <w:tcPr>
            <w:tcW w:type="dxa" w:w="1080"/>
            <w:shd w:val="clear" w:color="auto" w:fill="EFEFEF"/>
          </w:tcPr>
          <w:p>
            <w:pPr>
              <w:spacing w:line="240" w:lineRule="auto" w:before="40" w:after="40"/>
              <w:jc w:val="center"/>
            </w:pPr>
            <w:r/>
            <w:r>
              <w:rPr>
                <w:b w:val="0"/>
                <w:i w:val="0"/>
                <w:sz w:val="16"/>
              </w:rPr>
              <w:t>₱115.64M</w:t>
            </w:r>
          </w:p>
        </w:tc>
        <w:tc>
          <w:tcPr>
            <w:tcW w:type="dxa" w:w="1080"/>
            <w:shd w:val="clear" w:color="auto" w:fill="EFEFEF"/>
          </w:tcPr>
          <w:p>
            <w:pPr>
              <w:spacing w:line="240" w:lineRule="auto" w:before="40" w:after="40"/>
              <w:jc w:val="center"/>
            </w:pPr>
            <w:r/>
            <w:r>
              <w:rPr>
                <w:b w:val="0"/>
                <w:i w:val="0"/>
                <w:sz w:val="16"/>
              </w:rPr>
              <w:t>₱145.76M</w:t>
            </w:r>
          </w:p>
        </w:tc>
      </w:tr>
      <w:tr>
        <w:tc>
          <w:tcPr>
            <w:tcW w:type="dxa" w:w="3744"/>
          </w:tcPr>
          <w:p>
            <w:pPr>
              <w:spacing w:line="240" w:lineRule="auto" w:before="40" w:after="40"/>
              <w:jc w:val="left"/>
            </w:pPr>
            <w:r/>
            <w:r>
              <w:rPr>
                <w:b w:val="0"/>
                <w:i w:val="0"/>
                <w:sz w:val="16"/>
              </w:rPr>
              <w:t>Principal airport terminal, 400 peak-hour passengers (2-storey)</w:t>
            </w:r>
          </w:p>
        </w:tc>
        <w:tc>
          <w:tcPr>
            <w:tcW w:type="dxa" w:w="576"/>
          </w:tcPr>
          <w:p>
            <w:pPr>
              <w:spacing w:line="240" w:lineRule="auto" w:before="40" w:after="40"/>
              <w:jc w:val="center"/>
            </w:pPr>
            <w:r/>
            <w:r>
              <w:rPr>
                <w:b w:val="0"/>
                <w:i w:val="0"/>
                <w:sz w:val="16"/>
              </w:rPr>
              <w:t>2</w:t>
            </w:r>
          </w:p>
        </w:tc>
        <w:tc>
          <w:tcPr>
            <w:tcW w:type="dxa" w:w="1296"/>
          </w:tcPr>
          <w:p>
            <w:pPr>
              <w:spacing w:line="240" w:lineRule="auto" w:before="40" w:after="40"/>
              <w:jc w:val="center"/>
            </w:pPr>
            <w:r/>
            <w:r>
              <w:rPr>
                <w:b w:val="0"/>
                <w:i w:val="0"/>
                <w:sz w:val="16"/>
              </w:rPr>
              <w:t>43.5 × 80.0</w:t>
            </w:r>
          </w:p>
        </w:tc>
        <w:tc>
          <w:tcPr>
            <w:tcW w:type="dxa" w:w="1728"/>
          </w:tcPr>
          <w:p>
            <w:pPr>
              <w:spacing w:line="240" w:lineRule="auto" w:before="40" w:after="40"/>
              <w:jc w:val="center"/>
            </w:pPr>
            <w:r/>
            <w:r>
              <w:rPr>
                <w:b w:val="0"/>
                <w:i w:val="0"/>
                <w:sz w:val="16"/>
              </w:rPr>
              <w:t>400 pax</w:t>
            </w:r>
          </w:p>
        </w:tc>
        <w:tc>
          <w:tcPr>
            <w:tcW w:type="dxa" w:w="1080"/>
          </w:tcPr>
          <w:p>
            <w:pPr>
              <w:spacing w:line="240" w:lineRule="auto" w:before="40" w:after="40"/>
              <w:jc w:val="center"/>
            </w:pPr>
            <w:r/>
            <w:r>
              <w:rPr>
                <w:b w:val="0"/>
                <w:i w:val="0"/>
                <w:sz w:val="16"/>
              </w:rPr>
              <w:t>₱235.14M</w:t>
            </w:r>
          </w:p>
        </w:tc>
        <w:tc>
          <w:tcPr>
            <w:tcW w:type="dxa" w:w="1080"/>
          </w:tcPr>
          <w:p>
            <w:pPr>
              <w:spacing w:line="240" w:lineRule="auto" w:before="40" w:after="40"/>
              <w:jc w:val="center"/>
            </w:pPr>
            <w:r/>
            <w:r>
              <w:rPr>
                <w:b w:val="0"/>
                <w:i w:val="0"/>
                <w:sz w:val="16"/>
              </w:rPr>
              <w:t>₱298.31M</w:t>
            </w:r>
          </w:p>
        </w:tc>
      </w:tr>
      <w:tr>
        <w:tc>
          <w:tcPr>
            <w:tcW w:type="dxa" w:w="3744"/>
            <w:shd w:val="clear" w:color="auto" w:fill="EFEFEF"/>
          </w:tcPr>
          <w:p>
            <w:pPr>
              <w:spacing w:line="240" w:lineRule="auto" w:before="40" w:after="40"/>
              <w:jc w:val="left"/>
            </w:pPr>
            <w:r/>
            <w:r>
              <w:rPr>
                <w:b w:val="0"/>
                <w:i w:val="0"/>
                <w:sz w:val="16"/>
              </w:rPr>
              <w:t>International airport terminal, 1,000 peak-hour passengers (2-storey)</w:t>
            </w:r>
          </w:p>
        </w:tc>
        <w:tc>
          <w:tcPr>
            <w:tcW w:type="dxa" w:w="576"/>
            <w:shd w:val="clear" w:color="auto" w:fill="EFEFEF"/>
          </w:tcPr>
          <w:p>
            <w:pPr>
              <w:spacing w:line="240" w:lineRule="auto" w:before="40" w:after="40"/>
              <w:jc w:val="center"/>
            </w:pPr>
            <w:r/>
            <w:r>
              <w:rPr>
                <w:b w:val="0"/>
                <w:i w:val="0"/>
                <w:sz w:val="16"/>
              </w:rPr>
              <w:t>2</w:t>
            </w:r>
          </w:p>
        </w:tc>
        <w:tc>
          <w:tcPr>
            <w:tcW w:type="dxa" w:w="1296"/>
            <w:shd w:val="clear" w:color="auto" w:fill="EFEFEF"/>
          </w:tcPr>
          <w:p>
            <w:pPr>
              <w:spacing w:line="240" w:lineRule="auto" w:before="40" w:after="40"/>
              <w:jc w:val="center"/>
            </w:pPr>
            <w:r/>
            <w:r>
              <w:rPr>
                <w:b w:val="0"/>
                <w:i w:val="0"/>
                <w:sz w:val="16"/>
              </w:rPr>
              <w:t>92.5 × 80.0</w:t>
            </w:r>
          </w:p>
        </w:tc>
        <w:tc>
          <w:tcPr>
            <w:tcW w:type="dxa" w:w="1728"/>
            <w:shd w:val="clear" w:color="auto" w:fill="EFEFEF"/>
          </w:tcPr>
          <w:p>
            <w:pPr>
              <w:spacing w:line="240" w:lineRule="auto" w:before="40" w:after="40"/>
              <w:jc w:val="center"/>
            </w:pPr>
            <w:r/>
            <w:r>
              <w:rPr>
                <w:b w:val="0"/>
                <w:i w:val="0"/>
                <w:sz w:val="16"/>
              </w:rPr>
              <w:t>1040 pax</w:t>
            </w:r>
          </w:p>
        </w:tc>
        <w:tc>
          <w:tcPr>
            <w:tcW w:type="dxa" w:w="1080"/>
            <w:shd w:val="clear" w:color="auto" w:fill="EFEFEF"/>
          </w:tcPr>
          <w:p>
            <w:pPr>
              <w:spacing w:line="240" w:lineRule="auto" w:before="40" w:after="40"/>
              <w:jc w:val="center"/>
            </w:pPr>
            <w:r/>
            <w:r>
              <w:rPr>
                <w:b w:val="0"/>
                <w:i w:val="0"/>
                <w:sz w:val="16"/>
              </w:rPr>
              <w:t>₱502.32M</w:t>
            </w:r>
          </w:p>
        </w:tc>
        <w:tc>
          <w:tcPr>
            <w:tcW w:type="dxa" w:w="1080"/>
            <w:shd w:val="clear" w:color="auto" w:fill="EFEFEF"/>
          </w:tcPr>
          <w:p>
            <w:pPr>
              <w:spacing w:line="240" w:lineRule="auto" w:before="40" w:after="40"/>
              <w:jc w:val="center"/>
            </w:pPr>
            <w:r/>
            <w:r>
              <w:rPr>
                <w:b w:val="0"/>
                <w:i w:val="0"/>
                <w:sz w:val="16"/>
              </w:rPr>
              <w:t>₱635.39M</w:t>
            </w:r>
          </w:p>
        </w:tc>
      </w:tr>
      <w:tr>
        <w:tc>
          <w:tcPr>
            <w:tcW w:type="dxa" w:w="3744"/>
          </w:tcPr>
          <w:p>
            <w:pPr>
              <w:spacing w:line="240" w:lineRule="auto" w:before="40" w:after="40"/>
              <w:jc w:val="left"/>
            </w:pPr>
            <w:r/>
            <w:r>
              <w:rPr>
                <w:b w:val="0"/>
                <w:i w:val="0"/>
                <w:sz w:val="16"/>
              </w:rPr>
              <w:t>Seaport passenger terminal, 120 passengers</w:t>
            </w:r>
          </w:p>
        </w:tc>
        <w:tc>
          <w:tcPr>
            <w:tcW w:type="dxa" w:w="576"/>
          </w:tcPr>
          <w:p>
            <w:pPr>
              <w:spacing w:line="240" w:lineRule="auto" w:before="40" w:after="40"/>
              <w:jc w:val="center"/>
            </w:pPr>
            <w:r/>
            <w:r>
              <w:rPr>
                <w:b w:val="0"/>
                <w:i w:val="0"/>
                <w:sz w:val="16"/>
              </w:rPr>
              <w:t>1</w:t>
            </w:r>
          </w:p>
        </w:tc>
        <w:tc>
          <w:tcPr>
            <w:tcW w:type="dxa" w:w="1296"/>
          </w:tcPr>
          <w:p>
            <w:pPr>
              <w:spacing w:line="240" w:lineRule="auto" w:before="40" w:after="40"/>
              <w:jc w:val="center"/>
            </w:pPr>
            <w:r/>
            <w:r>
              <w:rPr>
                <w:b w:val="0"/>
                <w:i w:val="0"/>
                <w:sz w:val="16"/>
              </w:rPr>
              <w:t>31.0 × 30.0</w:t>
            </w:r>
          </w:p>
        </w:tc>
        <w:tc>
          <w:tcPr>
            <w:tcW w:type="dxa" w:w="1728"/>
          </w:tcPr>
          <w:p>
            <w:pPr>
              <w:spacing w:line="240" w:lineRule="auto" w:before="40" w:after="40"/>
              <w:jc w:val="center"/>
            </w:pPr>
            <w:r/>
            <w:r>
              <w:rPr>
                <w:b w:val="0"/>
                <w:i w:val="0"/>
                <w:sz w:val="16"/>
              </w:rPr>
              <w:t>120 pax</w:t>
            </w:r>
          </w:p>
        </w:tc>
        <w:tc>
          <w:tcPr>
            <w:tcW w:type="dxa" w:w="1080"/>
          </w:tcPr>
          <w:p>
            <w:pPr>
              <w:spacing w:line="240" w:lineRule="auto" w:before="40" w:after="40"/>
              <w:jc w:val="center"/>
            </w:pPr>
            <w:r/>
            <w:r>
              <w:rPr>
                <w:b w:val="0"/>
                <w:i w:val="0"/>
                <w:sz w:val="16"/>
              </w:rPr>
              <w:t>₱28.65M</w:t>
            </w:r>
          </w:p>
        </w:tc>
        <w:tc>
          <w:tcPr>
            <w:tcW w:type="dxa" w:w="1080"/>
          </w:tcPr>
          <w:p>
            <w:pPr>
              <w:spacing w:line="240" w:lineRule="auto" w:before="40" w:after="40"/>
              <w:jc w:val="center"/>
            </w:pPr>
            <w:r/>
            <w:r>
              <w:rPr>
                <w:b w:val="0"/>
                <w:i w:val="0"/>
                <w:sz w:val="16"/>
              </w:rPr>
              <w:t>₱35.10M</w:t>
            </w:r>
          </w:p>
        </w:tc>
      </w:tr>
      <w:tr>
        <w:tc>
          <w:tcPr>
            <w:tcW w:type="dxa" w:w="3744"/>
            <w:shd w:val="clear" w:color="auto" w:fill="EFEFEF"/>
          </w:tcPr>
          <w:p>
            <w:pPr>
              <w:spacing w:line="240" w:lineRule="auto" w:before="40" w:after="40"/>
              <w:jc w:val="left"/>
            </w:pPr>
            <w:r/>
            <w:r>
              <w:rPr>
                <w:b w:val="0"/>
                <w:i w:val="0"/>
                <w:sz w:val="16"/>
              </w:rPr>
              <w:t>Seaport passenger terminal, 360 passengers</w:t>
            </w:r>
          </w:p>
        </w:tc>
        <w:tc>
          <w:tcPr>
            <w:tcW w:type="dxa" w:w="576"/>
            <w:shd w:val="clear" w:color="auto" w:fill="EFEFEF"/>
          </w:tcPr>
          <w:p>
            <w:pPr>
              <w:spacing w:line="240" w:lineRule="auto" w:before="40" w:after="40"/>
              <w:jc w:val="center"/>
            </w:pPr>
            <w:r/>
            <w:r>
              <w:rPr>
                <w:b w:val="0"/>
                <w:i w:val="0"/>
                <w:sz w:val="16"/>
              </w:rPr>
              <w:t>1</w:t>
            </w:r>
          </w:p>
        </w:tc>
        <w:tc>
          <w:tcPr>
            <w:tcW w:type="dxa" w:w="1296"/>
            <w:shd w:val="clear" w:color="auto" w:fill="EFEFEF"/>
          </w:tcPr>
          <w:p>
            <w:pPr>
              <w:spacing w:line="240" w:lineRule="auto" w:before="40" w:after="40"/>
              <w:jc w:val="center"/>
            </w:pPr>
            <w:r/>
            <w:r>
              <w:rPr>
                <w:b w:val="0"/>
                <w:i w:val="0"/>
                <w:sz w:val="16"/>
              </w:rPr>
              <w:t>48.0 × 30.0</w:t>
            </w:r>
          </w:p>
        </w:tc>
        <w:tc>
          <w:tcPr>
            <w:tcW w:type="dxa" w:w="1728"/>
            <w:shd w:val="clear" w:color="auto" w:fill="EFEFEF"/>
          </w:tcPr>
          <w:p>
            <w:pPr>
              <w:spacing w:line="240" w:lineRule="auto" w:before="40" w:after="40"/>
              <w:jc w:val="center"/>
            </w:pPr>
            <w:r/>
            <w:r>
              <w:rPr>
                <w:b w:val="0"/>
                <w:i w:val="0"/>
                <w:sz w:val="16"/>
              </w:rPr>
              <w:t>360 pax</w:t>
            </w:r>
          </w:p>
        </w:tc>
        <w:tc>
          <w:tcPr>
            <w:tcW w:type="dxa" w:w="1080"/>
            <w:shd w:val="clear" w:color="auto" w:fill="EFEFEF"/>
          </w:tcPr>
          <w:p>
            <w:pPr>
              <w:spacing w:line="240" w:lineRule="auto" w:before="40" w:after="40"/>
              <w:jc w:val="center"/>
            </w:pPr>
            <w:r/>
            <w:r>
              <w:rPr>
                <w:b w:val="0"/>
                <w:i w:val="0"/>
                <w:sz w:val="16"/>
              </w:rPr>
              <w:t>₱45.49M</w:t>
            </w:r>
          </w:p>
        </w:tc>
        <w:tc>
          <w:tcPr>
            <w:tcW w:type="dxa" w:w="1080"/>
            <w:shd w:val="clear" w:color="auto" w:fill="EFEFEF"/>
          </w:tcPr>
          <w:p>
            <w:pPr>
              <w:spacing w:line="240" w:lineRule="auto" w:before="40" w:after="40"/>
              <w:jc w:val="center"/>
            </w:pPr>
            <w:r/>
            <w:r>
              <w:rPr>
                <w:b w:val="0"/>
                <w:i w:val="0"/>
                <w:sz w:val="16"/>
              </w:rPr>
              <w:t>₱55.42M</w:t>
            </w:r>
          </w:p>
        </w:tc>
      </w:tr>
      <w:tr>
        <w:tc>
          <w:tcPr>
            <w:tcW w:type="dxa" w:w="3744"/>
          </w:tcPr>
          <w:p>
            <w:pPr>
              <w:spacing w:line="240" w:lineRule="auto" w:before="40" w:after="40"/>
              <w:jc w:val="left"/>
            </w:pPr>
            <w:r/>
            <w:r>
              <w:rPr>
                <w:b w:val="0"/>
                <w:i w:val="0"/>
                <w:sz w:val="16"/>
              </w:rPr>
              <w:t>Seaport passenger terminal, 900 passengers (2-storey)</w:t>
            </w:r>
          </w:p>
        </w:tc>
        <w:tc>
          <w:tcPr>
            <w:tcW w:type="dxa" w:w="576"/>
          </w:tcPr>
          <w:p>
            <w:pPr>
              <w:spacing w:line="240" w:lineRule="auto" w:before="40" w:after="40"/>
              <w:jc w:val="center"/>
            </w:pPr>
            <w:r/>
            <w:r>
              <w:rPr>
                <w:b w:val="0"/>
                <w:i w:val="0"/>
                <w:sz w:val="16"/>
              </w:rPr>
              <w:t>2</w:t>
            </w:r>
          </w:p>
        </w:tc>
        <w:tc>
          <w:tcPr>
            <w:tcW w:type="dxa" w:w="1296"/>
          </w:tcPr>
          <w:p>
            <w:pPr>
              <w:spacing w:line="240" w:lineRule="auto" w:before="40" w:after="40"/>
              <w:jc w:val="center"/>
            </w:pPr>
            <w:r/>
            <w:r>
              <w:rPr>
                <w:b w:val="0"/>
                <w:i w:val="0"/>
                <w:sz w:val="16"/>
              </w:rPr>
              <w:t>59.5 × 30.0</w:t>
            </w:r>
          </w:p>
        </w:tc>
        <w:tc>
          <w:tcPr>
            <w:tcW w:type="dxa" w:w="1728"/>
          </w:tcPr>
          <w:p>
            <w:pPr>
              <w:spacing w:line="240" w:lineRule="auto" w:before="40" w:after="40"/>
              <w:jc w:val="center"/>
            </w:pPr>
            <w:r/>
            <w:r>
              <w:rPr>
                <w:b w:val="0"/>
                <w:i w:val="0"/>
                <w:sz w:val="16"/>
              </w:rPr>
              <w:t>960 pax</w:t>
            </w:r>
          </w:p>
        </w:tc>
        <w:tc>
          <w:tcPr>
            <w:tcW w:type="dxa" w:w="1080"/>
          </w:tcPr>
          <w:p>
            <w:pPr>
              <w:spacing w:line="240" w:lineRule="auto" w:before="40" w:after="40"/>
              <w:jc w:val="center"/>
            </w:pPr>
            <w:r/>
            <w:r>
              <w:rPr>
                <w:b w:val="0"/>
                <w:i w:val="0"/>
                <w:sz w:val="16"/>
              </w:rPr>
              <w:t>₱103.18M</w:t>
            </w:r>
          </w:p>
        </w:tc>
        <w:tc>
          <w:tcPr>
            <w:tcW w:type="dxa" w:w="1080"/>
          </w:tcPr>
          <w:p>
            <w:pPr>
              <w:spacing w:line="240" w:lineRule="auto" w:before="40" w:after="40"/>
              <w:jc w:val="center"/>
            </w:pPr>
            <w:r/>
            <w:r>
              <w:rPr>
                <w:b w:val="0"/>
                <w:i w:val="0"/>
                <w:sz w:val="16"/>
              </w:rPr>
              <w:t>₱126.67M</w:t>
            </w:r>
          </w:p>
        </w:tc>
      </w:tr>
      <w:tr>
        <w:tc>
          <w:tcPr>
            <w:tcW w:type="dxa" w:w="3744"/>
            <w:shd w:val="clear" w:color="auto" w:fill="EFEFEF"/>
          </w:tcPr>
          <w:p>
            <w:pPr>
              <w:spacing w:line="240" w:lineRule="auto" w:before="40" w:after="40"/>
              <w:jc w:val="left"/>
            </w:pPr>
            <w:r/>
            <w:r>
              <w:rPr>
                <w:b w:val="0"/>
                <w:i w:val="0"/>
                <w:sz w:val="16"/>
              </w:rPr>
              <w:t>Jeepney terminal, 20 loading bays</w:t>
            </w:r>
          </w:p>
        </w:tc>
        <w:tc>
          <w:tcPr>
            <w:tcW w:type="dxa" w:w="576"/>
            <w:shd w:val="clear" w:color="auto" w:fill="EFEFEF"/>
          </w:tcPr>
          <w:p>
            <w:pPr>
              <w:spacing w:line="240" w:lineRule="auto" w:before="40" w:after="40"/>
              <w:jc w:val="center"/>
            </w:pPr>
            <w:r/>
            <w:r>
              <w:rPr>
                <w:b w:val="0"/>
                <w:i w:val="0"/>
                <w:sz w:val="16"/>
              </w:rPr>
              <w:t>1</w:t>
            </w:r>
          </w:p>
        </w:tc>
        <w:tc>
          <w:tcPr>
            <w:tcW w:type="dxa" w:w="1296"/>
            <w:shd w:val="clear" w:color="auto" w:fill="EFEFEF"/>
          </w:tcPr>
          <w:p>
            <w:pPr>
              <w:spacing w:line="240" w:lineRule="auto" w:before="40" w:after="40"/>
              <w:jc w:val="center"/>
            </w:pPr>
            <w:r/>
            <w:r>
              <w:rPr>
                <w:b w:val="0"/>
                <w:i w:val="0"/>
                <w:sz w:val="16"/>
              </w:rPr>
              <w:t>35.0 × 20.0</w:t>
            </w:r>
          </w:p>
        </w:tc>
        <w:tc>
          <w:tcPr>
            <w:tcW w:type="dxa" w:w="1728"/>
            <w:shd w:val="clear" w:color="auto" w:fill="EFEFEF"/>
          </w:tcPr>
          <w:p>
            <w:pPr>
              <w:spacing w:line="240" w:lineRule="auto" w:before="40" w:after="40"/>
              <w:jc w:val="center"/>
            </w:pPr>
            <w:r/>
            <w:r>
              <w:rPr>
                <w:b w:val="0"/>
                <w:i w:val="0"/>
                <w:sz w:val="16"/>
              </w:rPr>
              <w:t>20 bays</w:t>
            </w:r>
          </w:p>
        </w:tc>
        <w:tc>
          <w:tcPr>
            <w:tcW w:type="dxa" w:w="1080"/>
            <w:shd w:val="clear" w:color="auto" w:fill="EFEFEF"/>
          </w:tcPr>
          <w:p>
            <w:pPr>
              <w:spacing w:line="240" w:lineRule="auto" w:before="40" w:after="40"/>
              <w:jc w:val="center"/>
            </w:pPr>
            <w:r/>
            <w:r>
              <w:rPr>
                <w:b w:val="0"/>
                <w:i w:val="0"/>
                <w:sz w:val="16"/>
              </w:rPr>
              <w:t>₱28.08M</w:t>
            </w:r>
          </w:p>
        </w:tc>
        <w:tc>
          <w:tcPr>
            <w:tcW w:type="dxa" w:w="1080"/>
            <w:shd w:val="clear" w:color="auto" w:fill="EFEFEF"/>
          </w:tcPr>
          <w:p>
            <w:pPr>
              <w:spacing w:line="240" w:lineRule="auto" w:before="40" w:after="40"/>
              <w:jc w:val="center"/>
            </w:pPr>
            <w:r/>
            <w:r>
              <w:rPr>
                <w:b w:val="0"/>
                <w:i w:val="0"/>
                <w:sz w:val="16"/>
              </w:rPr>
              <w:t>₱31.14M</w:t>
            </w:r>
          </w:p>
        </w:tc>
      </w:tr>
      <w:tr>
        <w:tc>
          <w:tcPr>
            <w:tcW w:type="dxa" w:w="3744"/>
          </w:tcPr>
          <w:p>
            <w:pPr>
              <w:spacing w:line="240" w:lineRule="auto" w:before="40" w:after="40"/>
              <w:jc w:val="left"/>
            </w:pPr>
            <w:r/>
            <w:r>
              <w:rPr>
                <w:b w:val="0"/>
                <w:i w:val="0"/>
                <w:sz w:val="16"/>
              </w:rPr>
              <w:t>UV Express terminal, 15 loading bays</w:t>
            </w:r>
          </w:p>
        </w:tc>
        <w:tc>
          <w:tcPr>
            <w:tcW w:type="dxa" w:w="576"/>
          </w:tcPr>
          <w:p>
            <w:pPr>
              <w:spacing w:line="240" w:lineRule="auto" w:before="40" w:after="40"/>
              <w:jc w:val="center"/>
            </w:pPr>
            <w:r/>
            <w:r>
              <w:rPr>
                <w:b w:val="0"/>
                <w:i w:val="0"/>
                <w:sz w:val="16"/>
              </w:rPr>
              <w:t>1</w:t>
            </w:r>
          </w:p>
        </w:tc>
        <w:tc>
          <w:tcPr>
            <w:tcW w:type="dxa" w:w="1296"/>
          </w:tcPr>
          <w:p>
            <w:pPr>
              <w:spacing w:line="240" w:lineRule="auto" w:before="40" w:after="40"/>
              <w:jc w:val="center"/>
            </w:pPr>
            <w:r/>
            <w:r>
              <w:rPr>
                <w:b w:val="0"/>
                <w:i w:val="0"/>
                <w:sz w:val="16"/>
              </w:rPr>
              <w:t>31.0 × 20.0</w:t>
            </w:r>
          </w:p>
        </w:tc>
        <w:tc>
          <w:tcPr>
            <w:tcW w:type="dxa" w:w="1728"/>
          </w:tcPr>
          <w:p>
            <w:pPr>
              <w:spacing w:line="240" w:lineRule="auto" w:before="40" w:after="40"/>
              <w:jc w:val="center"/>
            </w:pPr>
            <w:r/>
            <w:r>
              <w:rPr>
                <w:b w:val="0"/>
                <w:i w:val="0"/>
                <w:sz w:val="16"/>
              </w:rPr>
              <w:t>15 bays</w:t>
            </w:r>
          </w:p>
        </w:tc>
        <w:tc>
          <w:tcPr>
            <w:tcW w:type="dxa" w:w="1080"/>
          </w:tcPr>
          <w:p>
            <w:pPr>
              <w:spacing w:line="240" w:lineRule="auto" w:before="40" w:after="40"/>
              <w:jc w:val="center"/>
            </w:pPr>
            <w:r/>
            <w:r>
              <w:rPr>
                <w:b w:val="0"/>
                <w:i w:val="0"/>
                <w:sz w:val="16"/>
              </w:rPr>
              <w:t>₱20.45M</w:t>
            </w:r>
          </w:p>
        </w:tc>
        <w:tc>
          <w:tcPr>
            <w:tcW w:type="dxa" w:w="1080"/>
          </w:tcPr>
          <w:p>
            <w:pPr>
              <w:spacing w:line="240" w:lineRule="auto" w:before="40" w:after="40"/>
              <w:jc w:val="center"/>
            </w:pPr>
            <w:r/>
            <w:r>
              <w:rPr>
                <w:b w:val="0"/>
                <w:i w:val="0"/>
                <w:sz w:val="16"/>
              </w:rPr>
              <w:t>₱22.98M</w:t>
            </w:r>
          </w:p>
        </w:tc>
      </w:tr>
      <w:tr>
        <w:tc>
          <w:tcPr>
            <w:tcW w:type="dxa" w:w="3744"/>
            <w:shd w:val="clear" w:color="auto" w:fill="EFEFEF"/>
          </w:tcPr>
          <w:p>
            <w:pPr>
              <w:spacing w:line="240" w:lineRule="auto" w:before="40" w:after="40"/>
              <w:jc w:val="left"/>
            </w:pPr>
            <w:r/>
            <w:r>
              <w:rPr>
                <w:b w:val="0"/>
                <w:i w:val="0"/>
                <w:sz w:val="16"/>
              </w:rPr>
              <w:t>Bus terminal, 12 sawtooth bays</w:t>
            </w:r>
          </w:p>
        </w:tc>
        <w:tc>
          <w:tcPr>
            <w:tcW w:type="dxa" w:w="576"/>
            <w:shd w:val="clear" w:color="auto" w:fill="EFEFEF"/>
          </w:tcPr>
          <w:p>
            <w:pPr>
              <w:spacing w:line="240" w:lineRule="auto" w:before="40" w:after="40"/>
              <w:jc w:val="center"/>
            </w:pPr>
            <w:r/>
            <w:r>
              <w:rPr>
                <w:b w:val="0"/>
                <w:i w:val="0"/>
                <w:sz w:val="16"/>
              </w:rPr>
              <w:t>1</w:t>
            </w:r>
          </w:p>
        </w:tc>
        <w:tc>
          <w:tcPr>
            <w:tcW w:type="dxa" w:w="1296"/>
            <w:shd w:val="clear" w:color="auto" w:fill="EFEFEF"/>
          </w:tcPr>
          <w:p>
            <w:pPr>
              <w:spacing w:line="240" w:lineRule="auto" w:before="40" w:after="40"/>
              <w:jc w:val="center"/>
            </w:pPr>
            <w:r/>
            <w:r>
              <w:rPr>
                <w:b w:val="0"/>
                <w:i w:val="0"/>
                <w:sz w:val="16"/>
              </w:rPr>
              <w:t>55.0 × 20.0</w:t>
            </w:r>
          </w:p>
        </w:tc>
        <w:tc>
          <w:tcPr>
            <w:tcW w:type="dxa" w:w="1728"/>
            <w:shd w:val="clear" w:color="auto" w:fill="EFEFEF"/>
          </w:tcPr>
          <w:p>
            <w:pPr>
              <w:spacing w:line="240" w:lineRule="auto" w:before="40" w:after="40"/>
              <w:jc w:val="center"/>
            </w:pPr>
            <w:r/>
            <w:r>
              <w:rPr>
                <w:b w:val="0"/>
                <w:i w:val="0"/>
                <w:sz w:val="16"/>
              </w:rPr>
              <w:t>12 bays</w:t>
            </w:r>
          </w:p>
        </w:tc>
        <w:tc>
          <w:tcPr>
            <w:tcW w:type="dxa" w:w="1080"/>
            <w:shd w:val="clear" w:color="auto" w:fill="EFEFEF"/>
          </w:tcPr>
          <w:p>
            <w:pPr>
              <w:spacing w:line="240" w:lineRule="auto" w:before="40" w:after="40"/>
              <w:jc w:val="center"/>
            </w:pPr>
            <w:r/>
            <w:r>
              <w:rPr>
                <w:b w:val="0"/>
                <w:i w:val="0"/>
                <w:sz w:val="16"/>
              </w:rPr>
              <w:t>₱37.12M</w:t>
            </w:r>
          </w:p>
        </w:tc>
        <w:tc>
          <w:tcPr>
            <w:tcW w:type="dxa" w:w="1080"/>
            <w:shd w:val="clear" w:color="auto" w:fill="EFEFEF"/>
          </w:tcPr>
          <w:p>
            <w:pPr>
              <w:spacing w:line="240" w:lineRule="auto" w:before="40" w:after="40"/>
              <w:jc w:val="center"/>
            </w:pPr>
            <w:r/>
            <w:r>
              <w:rPr>
                <w:b w:val="0"/>
                <w:i w:val="0"/>
                <w:sz w:val="16"/>
              </w:rPr>
              <w:t>₱41.47M</w:t>
            </w:r>
          </w:p>
        </w:tc>
      </w:tr>
      <w:tr>
        <w:tc>
          <w:tcPr>
            <w:tcW w:type="dxa" w:w="3744"/>
            <w:tcBorders>
              <w:bottom w:val="single" w:sz="12" w:color="000000"/>
            </w:tcBorders>
          </w:tcPr>
          <w:p>
            <w:pPr>
              <w:spacing w:line="240" w:lineRule="auto" w:before="40" w:after="40"/>
              <w:jc w:val="left"/>
            </w:pPr>
            <w:r/>
            <w:r>
              <w:rPr>
                <w:b w:val="0"/>
                <w:i w:val="0"/>
                <w:sz w:val="16"/>
              </w:rPr>
              <w:t>Integrated land transport terminal: 8 bus + 16 jeepney + 12 UV Express bays (2-storey)</w:t>
            </w:r>
          </w:p>
        </w:tc>
        <w:tc>
          <w:tcPr>
            <w:tcW w:type="dxa" w:w="576"/>
            <w:tcBorders>
              <w:bottom w:val="single" w:sz="12" w:color="000000"/>
            </w:tcBorders>
          </w:tcPr>
          <w:p>
            <w:pPr>
              <w:spacing w:line="240" w:lineRule="auto" w:before="40" w:after="40"/>
              <w:jc w:val="center"/>
            </w:pPr>
            <w:r/>
            <w:r>
              <w:rPr>
                <w:b w:val="0"/>
                <w:i w:val="0"/>
                <w:sz w:val="16"/>
              </w:rPr>
              <w:t>2</w:t>
            </w:r>
          </w:p>
        </w:tc>
        <w:tc>
          <w:tcPr>
            <w:tcW w:type="dxa" w:w="1296"/>
            <w:tcBorders>
              <w:bottom w:val="single" w:sz="12" w:color="000000"/>
            </w:tcBorders>
          </w:tcPr>
          <w:p>
            <w:pPr>
              <w:spacing w:line="240" w:lineRule="auto" w:before="40" w:after="40"/>
              <w:jc w:val="center"/>
            </w:pPr>
            <w:r/>
            <w:r>
              <w:rPr>
                <w:b w:val="0"/>
                <w:i w:val="0"/>
                <w:sz w:val="16"/>
              </w:rPr>
              <w:t>56.5 × 20.0</w:t>
            </w:r>
          </w:p>
        </w:tc>
        <w:tc>
          <w:tcPr>
            <w:tcW w:type="dxa" w:w="1728"/>
            <w:tcBorders>
              <w:bottom w:val="single" w:sz="12" w:color="000000"/>
            </w:tcBorders>
          </w:tcPr>
          <w:p>
            <w:pPr>
              <w:spacing w:line="240" w:lineRule="auto" w:before="40" w:after="40"/>
              <w:jc w:val="center"/>
            </w:pPr>
            <w:r/>
            <w:r>
              <w:rPr>
                <w:b w:val="0"/>
                <w:i w:val="0"/>
                <w:sz w:val="16"/>
              </w:rPr>
              <w:t>36 bays</w:t>
            </w:r>
          </w:p>
        </w:tc>
        <w:tc>
          <w:tcPr>
            <w:tcW w:type="dxa" w:w="1080"/>
            <w:tcBorders>
              <w:bottom w:val="single" w:sz="12" w:color="000000"/>
            </w:tcBorders>
          </w:tcPr>
          <w:p>
            <w:pPr>
              <w:spacing w:line="240" w:lineRule="auto" w:before="40" w:after="40"/>
              <w:jc w:val="center"/>
            </w:pPr>
            <w:r/>
            <w:r>
              <w:rPr>
                <w:b w:val="0"/>
                <w:i w:val="0"/>
                <w:sz w:val="16"/>
              </w:rPr>
              <w:t>₱64.62M</w:t>
            </w:r>
          </w:p>
        </w:tc>
        <w:tc>
          <w:tcPr>
            <w:tcW w:type="dxa" w:w="1080"/>
            <w:tcBorders>
              <w:bottom w:val="single" w:sz="12" w:color="000000"/>
            </w:tcBorders>
          </w:tcPr>
          <w:p>
            <w:pPr>
              <w:spacing w:line="240" w:lineRule="auto" w:before="40" w:after="40"/>
              <w:jc w:val="center"/>
            </w:pPr>
            <w:r/>
            <w:r>
              <w:rPr>
                <w:b w:val="0"/>
                <w:i w:val="0"/>
                <w:sz w:val="16"/>
              </w:rPr>
              <w:t>₱72.68M</w:t>
            </w:r>
          </w:p>
        </w:tc>
      </w:tr>
    </w:tbl>
    <w:p>
      <w:pPr>
        <w:spacing w:line="240" w:lineRule="auto" w:after="80"/>
      </w:pPr>
    </w:p>
    <w:p>
      <w:pPr>
        <w:spacing w:line="480" w:lineRule="auto" w:after="0"/>
        <w:ind w:firstLine="720"/>
        <w:jc w:val="both"/>
      </w:pPr>
      <w:r>
        <w:rPr>
          <w:b w:val="0"/>
          <w:i w:val="0"/>
        </w:rPr>
        <w:t>Table 28 lists the 14 new building templates; all 58 of their 58 checks passed, bringing the library to 55 building, 13 bridge, 7 airfield and 5 port designs with 210 of 210 checks passed. A 100-bed Level 2 hospital came to about ₱40,000 per m², airport terminals to about ₱44,000 per m², and a 20-bay jeepney terminal to about ₱1.6 million per bay.</w:t>
      </w:r>
    </w:p>
    <w:p>
      <w:pPr>
        <w:keepNext/>
        <w:spacing w:line="240" w:lineRule="auto" w:after="0" w:before="120"/>
        <w:jc w:val="left"/>
      </w:pPr>
      <w:r>
        <w:rPr>
          <w:b/>
          <w:i w:val="0"/>
        </w:rPr>
        <w:t>Figure 17.</w:t>
      </w:r>
    </w:p>
    <w:p>
      <w:pPr>
        <w:keepNext/>
        <w:spacing w:line="240" w:lineRule="auto" w:after="0"/>
        <w:jc w:val="left"/>
      </w:pPr>
      <w:r>
        <w:rPr>
          <w:b w:val="0"/>
          <w:i/>
        </w:rPr>
        <w:t>Generated Ground Floor of a 100-Bed Level 2 Hospital</w:t>
      </w:r>
    </w:p>
    <w:p>
      <w:pPr>
        <w:spacing w:line="240" w:lineRule="auto" w:after="200"/>
        <w:jc w:val="center"/>
      </w:pPr>
      <w:r>
        <w:drawing>
          <wp:inline xmlns:a="http://schemas.openxmlformats.org/drawingml/2006/main" xmlns:pic="http://schemas.openxmlformats.org/drawingml/2006/picture">
            <wp:extent cx="5760720" cy="1903253"/>
            <wp:docPr id="69" name="Picture 69"/>
            <wp:cNvGraphicFramePr>
              <a:graphicFrameLocks noChangeAspect="1"/>
            </wp:cNvGraphicFramePr>
            <a:graphic>
              <a:graphicData uri="http://schemas.openxmlformats.org/drawingml/2006/picture">
                <pic:pic>
                  <pic:nvPicPr>
                    <pic:cNvPr id="0" name="plan_hospital_l2.png"/>
                    <pic:cNvPicPr/>
                  </pic:nvPicPr>
                  <pic:blipFill>
                    <a:blip r:embed="rId53"/>
                    <a:stretch>
                      <a:fillRect/>
                    </a:stretch>
                  </pic:blipFill>
                  <pic:spPr>
                    <a:xfrm>
                      <a:off x="0" y="0"/>
                      <a:ext cx="5760720" cy="1903253"/>
                    </a:xfrm>
                    <a:prstGeom prst="rect"/>
                  </pic:spPr>
                </pic:pic>
              </a:graphicData>
            </a:graphic>
          </wp:inline>
        </w:drawing>
      </w:r>
    </w:p>
    <w:p>
      <w:pPr>
        <w:keepNext/>
        <w:spacing w:line="240" w:lineRule="auto" w:after="0" w:before="120"/>
        <w:jc w:val="left"/>
      </w:pPr>
      <w:r>
        <w:rPr>
          <w:b/>
          <w:i w:val="0"/>
        </w:rPr>
        <w:t>Figure 18.</w:t>
      </w:r>
    </w:p>
    <w:p>
      <w:pPr>
        <w:keepNext/>
        <w:spacing w:line="240" w:lineRule="auto" w:after="0"/>
        <w:jc w:val="left"/>
      </w:pPr>
      <w:r>
        <w:rPr>
          <w:b w:val="0"/>
          <w:i/>
        </w:rPr>
        <w:t>Integrated Land Transport Terminal with Jeepney, UV Express and Bus Bays</w:t>
      </w:r>
    </w:p>
    <w:p>
      <w:pPr>
        <w:spacing w:line="240" w:lineRule="auto" w:after="200"/>
        <w:jc w:val="center"/>
      </w:pPr>
      <w:r>
        <w:drawing>
          <wp:inline xmlns:a="http://schemas.openxmlformats.org/drawingml/2006/main" xmlns:pic="http://schemas.openxmlformats.org/drawingml/2006/picture">
            <wp:extent cx="4206240" cy="6327156"/>
            <wp:docPr id="70" name="Picture 70"/>
            <wp:cNvGraphicFramePr>
              <a:graphicFrameLocks noChangeAspect="1"/>
            </wp:cNvGraphicFramePr>
            <a:graphic>
              <a:graphicData uri="http://schemas.openxmlformats.org/drawingml/2006/picture">
                <pic:pic>
                  <pic:nvPicPr>
                    <pic:cNvPr id="0" name="plan_terminal.png"/>
                    <pic:cNvPicPr/>
                  </pic:nvPicPr>
                  <pic:blipFill>
                    <a:blip r:embed="rId54"/>
                    <a:stretch>
                      <a:fillRect/>
                    </a:stretch>
                  </pic:blipFill>
                  <pic:spPr>
                    <a:xfrm>
                      <a:off x="0" y="0"/>
                      <a:ext cx="4206240" cy="6327156"/>
                    </a:xfrm>
                    <a:prstGeom prst="rect"/>
                  </pic:spPr>
                </pic:pic>
              </a:graphicData>
            </a:graphic>
          </wp:inline>
        </w:drawing>
      </w:r>
    </w:p>
    <w:p>
      <w:pPr>
        <w:keepNext/>
        <w:spacing w:line="240" w:lineRule="auto" w:after="0" w:before="120"/>
        <w:jc w:val="left"/>
      </w:pPr>
      <w:r>
        <w:rPr>
          <w:b/>
          <w:i w:val="0"/>
        </w:rPr>
        <w:t>Figure 19.</w:t>
      </w:r>
    </w:p>
    <w:p>
      <w:pPr>
        <w:keepNext/>
        <w:spacing w:line="240" w:lineRule="auto" w:after="0"/>
        <w:jc w:val="left"/>
      </w:pPr>
      <w:r>
        <w:rPr>
          <w:b w:val="0"/>
          <w:i/>
        </w:rPr>
        <w:t>Generated Plan of a 1,200 × 30 m Turboprop Runway</w:t>
      </w:r>
    </w:p>
    <w:p>
      <w:pPr>
        <w:spacing w:line="240" w:lineRule="auto" w:after="200"/>
        <w:jc w:val="center"/>
      </w:pPr>
      <w:r>
        <w:drawing>
          <wp:inline xmlns:a="http://schemas.openxmlformats.org/drawingml/2006/main" xmlns:pic="http://schemas.openxmlformats.org/drawingml/2006/picture">
            <wp:extent cx="5760720" cy="1717138"/>
            <wp:docPr id="71" name="Picture 71"/>
            <wp:cNvGraphicFramePr>
              <a:graphicFrameLocks noChangeAspect="1"/>
            </wp:cNvGraphicFramePr>
            <a:graphic>
              <a:graphicData uri="http://schemas.openxmlformats.org/drawingml/2006/picture">
                <pic:pic>
                  <pic:nvPicPr>
                    <pic:cNvPr id="0" name="airfield_runway.png"/>
                    <pic:cNvPicPr/>
                  </pic:nvPicPr>
                  <pic:blipFill>
                    <a:blip r:embed="rId55"/>
                    <a:stretch>
                      <a:fillRect/>
                    </a:stretch>
                  </pic:blipFill>
                  <pic:spPr>
                    <a:xfrm>
                      <a:off x="0" y="0"/>
                      <a:ext cx="5760720" cy="1717138"/>
                    </a:xfrm>
                    <a:prstGeom prst="rect"/>
                  </pic:spPr>
                </pic:pic>
              </a:graphicData>
            </a:graphic>
          </wp:inline>
        </w:drawing>
      </w:r>
    </w:p>
    <w:p>
      <w:pPr>
        <w:keepNext/>
        <w:spacing w:line="240" w:lineRule="auto" w:after="0" w:before="120"/>
        <w:jc w:val="left"/>
      </w:pPr>
      <w:r>
        <w:rPr>
          <w:b/>
          <w:i w:val="0"/>
        </w:rPr>
        <w:t>Figure 20.</w:t>
      </w:r>
    </w:p>
    <w:p>
      <w:pPr>
        <w:keepNext/>
        <w:spacing w:line="240" w:lineRule="auto" w:after="0"/>
        <w:jc w:val="left"/>
      </w:pPr>
      <w:r>
        <w:rPr>
          <w:b w:val="0"/>
          <w:i/>
        </w:rPr>
        <w:t>Generated Section of a 60 × 15 m RoRo Pier on PC Spun Piles</w:t>
      </w:r>
    </w:p>
    <w:p>
      <w:pPr>
        <w:spacing w:line="240" w:lineRule="auto" w:after="200"/>
        <w:jc w:val="center"/>
      </w:pPr>
      <w:r>
        <w:drawing>
          <wp:inline xmlns:a="http://schemas.openxmlformats.org/drawingml/2006/main" xmlns:pic="http://schemas.openxmlformats.org/drawingml/2006/picture">
            <wp:extent cx="5760720" cy="2587893"/>
            <wp:docPr id="72" name="Picture 72"/>
            <wp:cNvGraphicFramePr>
              <a:graphicFrameLocks noChangeAspect="1"/>
            </wp:cNvGraphicFramePr>
            <a:graphic>
              <a:graphicData uri="http://schemas.openxmlformats.org/drawingml/2006/picture">
                <pic:pic>
                  <pic:nvPicPr>
                    <pic:cNvPr id="0" name="port_roro.png"/>
                    <pic:cNvPicPr/>
                  </pic:nvPicPr>
                  <pic:blipFill>
                    <a:blip r:embed="rId56"/>
                    <a:stretch>
                      <a:fillRect/>
                    </a:stretch>
                  </pic:blipFill>
                  <pic:spPr>
                    <a:xfrm>
                      <a:off x="0" y="0"/>
                      <a:ext cx="5760720" cy="2587893"/>
                    </a:xfrm>
                    <a:prstGeom prst="rect"/>
                  </pic:spPr>
                </pic:pic>
              </a:graphicData>
            </a:graphic>
          </wp:inline>
        </w:drawing>
      </w:r>
    </w:p>
    <w:p>
      <w:pPr>
        <w:keepNext/>
        <w:spacing w:line="240" w:lineRule="auto" w:after="0" w:before="120"/>
        <w:jc w:val="left"/>
      </w:pPr>
      <w:r>
        <w:rPr>
          <w:b/>
          <w:i w:val="0"/>
        </w:rPr>
        <w:t>Table 29.</w:t>
      </w:r>
    </w:p>
    <w:p>
      <w:pPr>
        <w:keepNext/>
        <w:spacing w:line="240" w:lineRule="auto" w:after="0"/>
        <w:jc w:val="left"/>
      </w:pPr>
      <w:r>
        <w:rPr>
          <w:b w:val="0"/>
          <w:i/>
        </w:rPr>
        <w:t>Airfield and Port Templates</w:t>
      </w:r>
    </w:p>
    <w:tbl>
      <w:tblPr>
        <w:tblW w:type="auto" w:w="0"/>
        <w:jc w:val="center"/>
        <w:tblLayout w:type="fixed"/>
        <w:tblLook w:firstColumn="1" w:firstRow="1" w:lastColumn="0" w:lastRow="0" w:noHBand="0" w:noVBand="1" w:val="04A0"/>
        <w:tblLayout w:type="fixed"/>
      </w:tblPr>
      <w:tblGrid>
        <w:gridCol w:w="3888"/>
        <w:gridCol w:w="1152"/>
        <w:gridCol w:w="1152"/>
        <w:gridCol w:w="1152"/>
        <w:gridCol w:w="2015"/>
      </w:tblGrid>
      <w:tr>
        <w:tc>
          <w:tcPr>
            <w:tcW w:type="dxa" w:w="3888"/>
            <w:tcBorders>
              <w:top w:val="single" w:sz="12" w:color="000000"/>
              <w:bottom w:val="single" w:sz="8" w:color="000000"/>
            </w:tcBorders>
          </w:tcPr>
          <w:p>
            <w:pPr>
              <w:spacing w:line="240" w:lineRule="auto" w:before="40" w:after="40"/>
              <w:jc w:val="center"/>
            </w:pPr>
            <w:r/>
            <w:r>
              <w:rPr>
                <w:b/>
                <w:i w:val="0"/>
                <w:sz w:val="16"/>
              </w:rPr>
              <w:t>DESIGN</w:t>
            </w:r>
          </w:p>
        </w:tc>
        <w:tc>
          <w:tcPr>
            <w:tcW w:type="dxa" w:w="1152"/>
            <w:tcBorders>
              <w:top w:val="single" w:sz="12" w:color="000000"/>
              <w:bottom w:val="single" w:sz="8" w:color="000000"/>
            </w:tcBorders>
          </w:tcPr>
          <w:p>
            <w:pPr>
              <w:spacing w:line="240" w:lineRule="auto" w:before="40" w:after="40"/>
              <w:jc w:val="center"/>
            </w:pPr>
            <w:r/>
            <w:r>
              <w:rPr>
                <w:b/>
                <w:i w:val="0"/>
                <w:sz w:val="16"/>
              </w:rPr>
              <w:t>START</w:t>
            </w:r>
          </w:p>
        </w:tc>
        <w:tc>
          <w:tcPr>
            <w:tcW w:type="dxa" w:w="1152"/>
            <w:tcBorders>
              <w:top w:val="single" w:sz="12" w:color="000000"/>
              <w:bottom w:val="single" w:sz="8" w:color="000000"/>
            </w:tcBorders>
          </w:tcPr>
          <w:p>
            <w:pPr>
              <w:spacing w:line="240" w:lineRule="auto" w:before="40" w:after="40"/>
              <w:jc w:val="center"/>
            </w:pPr>
            <w:r/>
            <w:r>
              <w:rPr>
                <w:b/>
                <w:i w:val="0"/>
                <w:sz w:val="16"/>
              </w:rPr>
              <w:t>STANDARD</w:t>
            </w:r>
          </w:p>
        </w:tc>
        <w:tc>
          <w:tcPr>
            <w:tcW w:type="dxa" w:w="1152"/>
            <w:tcBorders>
              <w:top w:val="single" w:sz="12" w:color="000000"/>
              <w:bottom w:val="single" w:sz="8" w:color="000000"/>
            </w:tcBorders>
          </w:tcPr>
          <w:p>
            <w:pPr>
              <w:spacing w:line="240" w:lineRule="auto" w:before="40" w:after="40"/>
              <w:jc w:val="center"/>
            </w:pPr>
            <w:r/>
            <w:r>
              <w:rPr>
                <w:b/>
                <w:i w:val="0"/>
                <w:sz w:val="16"/>
              </w:rPr>
              <w:t>CEILING</w:t>
            </w:r>
          </w:p>
        </w:tc>
        <w:tc>
          <w:tcPr>
            <w:tcW w:type="dxa" w:w="2016"/>
            <w:tcBorders>
              <w:top w:val="single" w:sz="12" w:color="000000"/>
              <w:bottom w:val="single" w:sz="8" w:color="000000"/>
            </w:tcBorders>
          </w:tcPr>
          <w:p>
            <w:pPr>
              <w:spacing w:line="240" w:lineRule="auto" w:before="40" w:after="40"/>
              <w:jc w:val="center"/>
            </w:pPr>
            <w:r/>
            <w:r>
              <w:rPr>
                <w:b/>
                <w:i w:val="0"/>
                <w:sz w:val="16"/>
              </w:rPr>
              <w:t>PER UNIT</w:t>
            </w:r>
          </w:p>
        </w:tc>
      </w:tr>
      <w:tr>
        <w:tc>
          <w:tcPr>
            <w:tcW w:type="dxa" w:w="3888"/>
            <w:shd w:val="clear" w:color="auto" w:fill="EFEFEF"/>
          </w:tcPr>
          <w:p>
            <w:pPr>
              <w:spacing w:line="240" w:lineRule="auto" w:before="40" w:after="40"/>
              <w:jc w:val="left"/>
            </w:pPr>
            <w:r/>
            <w:r>
              <w:rPr>
                <w:b w:val="0"/>
                <w:i w:val="0"/>
                <w:sz w:val="16"/>
              </w:rPr>
              <w:t>Runway 800 × 23 m (small aircraft, PCC)</w:t>
            </w:r>
          </w:p>
        </w:tc>
        <w:tc>
          <w:tcPr>
            <w:tcW w:type="dxa" w:w="1152"/>
            <w:shd w:val="clear" w:color="auto" w:fill="EFEFEF"/>
          </w:tcPr>
          <w:p>
            <w:pPr>
              <w:spacing w:line="240" w:lineRule="auto" w:before="40" w:after="40"/>
              <w:jc w:val="center"/>
            </w:pPr>
            <w:r/>
            <w:r>
              <w:rPr>
                <w:b w:val="0"/>
                <w:i w:val="0"/>
                <w:sz w:val="16"/>
              </w:rPr>
              <w:t>₱111.87M</w:t>
            </w:r>
          </w:p>
        </w:tc>
        <w:tc>
          <w:tcPr>
            <w:tcW w:type="dxa" w:w="1152"/>
            <w:shd w:val="clear" w:color="auto" w:fill="EFEFEF"/>
          </w:tcPr>
          <w:p>
            <w:pPr>
              <w:spacing w:line="240" w:lineRule="auto" w:before="40" w:after="40"/>
              <w:jc w:val="center"/>
            </w:pPr>
            <w:r/>
            <w:r>
              <w:rPr>
                <w:b w:val="0"/>
                <w:i w:val="0"/>
                <w:sz w:val="16"/>
              </w:rPr>
              <w:t>₱117.12M</w:t>
            </w:r>
          </w:p>
        </w:tc>
        <w:tc>
          <w:tcPr>
            <w:tcW w:type="dxa" w:w="1152"/>
            <w:shd w:val="clear" w:color="auto" w:fill="EFEFEF"/>
          </w:tcPr>
          <w:p>
            <w:pPr>
              <w:spacing w:line="240" w:lineRule="auto" w:before="40" w:after="40"/>
              <w:jc w:val="center"/>
            </w:pPr>
            <w:r/>
            <w:r>
              <w:rPr>
                <w:b w:val="0"/>
                <w:i w:val="0"/>
                <w:sz w:val="16"/>
              </w:rPr>
              <w:t>₱134.89M</w:t>
            </w:r>
          </w:p>
        </w:tc>
        <w:tc>
          <w:tcPr>
            <w:tcW w:type="dxa" w:w="2016"/>
            <w:shd w:val="clear" w:color="auto" w:fill="EFEFEF"/>
          </w:tcPr>
          <w:p>
            <w:pPr>
              <w:spacing w:line="240" w:lineRule="auto" w:before="40" w:after="40"/>
              <w:jc w:val="center"/>
            </w:pPr>
            <w:r/>
            <w:r>
              <w:rPr>
                <w:b w:val="0"/>
                <w:i w:val="0"/>
                <w:sz w:val="16"/>
              </w:rPr>
              <w:t>₱6,365 / m² pavement</w:t>
            </w:r>
          </w:p>
        </w:tc>
      </w:tr>
      <w:tr>
        <w:tc>
          <w:tcPr>
            <w:tcW w:type="dxa" w:w="3888"/>
          </w:tcPr>
          <w:p>
            <w:pPr>
              <w:spacing w:line="240" w:lineRule="auto" w:before="40" w:after="40"/>
              <w:jc w:val="left"/>
            </w:pPr>
            <w:r/>
            <w:r>
              <w:rPr>
                <w:b w:val="0"/>
                <w:i w:val="0"/>
                <w:sz w:val="16"/>
              </w:rPr>
              <w:t>Runway 1,200 × 30 m (turboprop, PCC)</w:t>
            </w:r>
          </w:p>
        </w:tc>
        <w:tc>
          <w:tcPr>
            <w:tcW w:type="dxa" w:w="1152"/>
          </w:tcPr>
          <w:p>
            <w:pPr>
              <w:spacing w:line="240" w:lineRule="auto" w:before="40" w:after="40"/>
              <w:jc w:val="center"/>
            </w:pPr>
            <w:r/>
            <w:r>
              <w:rPr>
                <w:b w:val="0"/>
                <w:i w:val="0"/>
                <w:sz w:val="16"/>
              </w:rPr>
              <w:t>₱240.15M</w:t>
            </w:r>
          </w:p>
        </w:tc>
        <w:tc>
          <w:tcPr>
            <w:tcW w:type="dxa" w:w="1152"/>
          </w:tcPr>
          <w:p>
            <w:pPr>
              <w:spacing w:line="240" w:lineRule="auto" w:before="40" w:after="40"/>
              <w:jc w:val="center"/>
            </w:pPr>
            <w:r/>
            <w:r>
              <w:rPr>
                <w:b w:val="0"/>
                <w:i w:val="0"/>
                <w:sz w:val="16"/>
              </w:rPr>
              <w:t>₱249.30M</w:t>
            </w:r>
          </w:p>
        </w:tc>
        <w:tc>
          <w:tcPr>
            <w:tcW w:type="dxa" w:w="1152"/>
          </w:tcPr>
          <w:p>
            <w:pPr>
              <w:spacing w:line="240" w:lineRule="auto" w:before="40" w:after="40"/>
              <w:jc w:val="center"/>
            </w:pPr>
            <w:r/>
            <w:r>
              <w:rPr>
                <w:b w:val="0"/>
                <w:i w:val="0"/>
                <w:sz w:val="16"/>
              </w:rPr>
              <w:t>₱283.25M</w:t>
            </w:r>
          </w:p>
        </w:tc>
        <w:tc>
          <w:tcPr>
            <w:tcW w:type="dxa" w:w="2016"/>
          </w:tcPr>
          <w:p>
            <w:pPr>
              <w:spacing w:line="240" w:lineRule="auto" w:before="40" w:after="40"/>
              <w:jc w:val="center"/>
            </w:pPr>
            <w:r/>
            <w:r>
              <w:rPr>
                <w:b w:val="0"/>
                <w:i w:val="0"/>
                <w:sz w:val="16"/>
              </w:rPr>
              <w:t>₱6,925 / m² pavement</w:t>
            </w:r>
          </w:p>
        </w:tc>
      </w:tr>
      <w:tr>
        <w:tc>
          <w:tcPr>
            <w:tcW w:type="dxa" w:w="3888"/>
            <w:shd w:val="clear" w:color="auto" w:fill="EFEFEF"/>
          </w:tcPr>
          <w:p>
            <w:pPr>
              <w:spacing w:line="240" w:lineRule="auto" w:before="40" w:after="40"/>
              <w:jc w:val="left"/>
            </w:pPr>
            <w:r/>
            <w:r>
              <w:rPr>
                <w:b w:val="0"/>
                <w:i w:val="0"/>
                <w:sz w:val="16"/>
              </w:rPr>
              <w:t>Runway extension 400 × 30 m (turboprop)</w:t>
            </w:r>
          </w:p>
        </w:tc>
        <w:tc>
          <w:tcPr>
            <w:tcW w:type="dxa" w:w="1152"/>
            <w:shd w:val="clear" w:color="auto" w:fill="EFEFEF"/>
          </w:tcPr>
          <w:p>
            <w:pPr>
              <w:spacing w:line="240" w:lineRule="auto" w:before="40" w:after="40"/>
              <w:jc w:val="center"/>
            </w:pPr>
            <w:r/>
            <w:r>
              <w:rPr>
                <w:b w:val="0"/>
                <w:i w:val="0"/>
                <w:sz w:val="16"/>
              </w:rPr>
              <w:t>₱86.32M</w:t>
            </w:r>
          </w:p>
        </w:tc>
        <w:tc>
          <w:tcPr>
            <w:tcW w:type="dxa" w:w="1152"/>
            <w:shd w:val="clear" w:color="auto" w:fill="EFEFEF"/>
          </w:tcPr>
          <w:p>
            <w:pPr>
              <w:spacing w:line="240" w:lineRule="auto" w:before="40" w:after="40"/>
              <w:jc w:val="center"/>
            </w:pPr>
            <w:r/>
            <w:r>
              <w:rPr>
                <w:b w:val="0"/>
                <w:i w:val="0"/>
                <w:sz w:val="16"/>
              </w:rPr>
              <w:t>₱90.32M</w:t>
            </w:r>
          </w:p>
        </w:tc>
        <w:tc>
          <w:tcPr>
            <w:tcW w:type="dxa" w:w="1152"/>
            <w:shd w:val="clear" w:color="auto" w:fill="EFEFEF"/>
          </w:tcPr>
          <w:p>
            <w:pPr>
              <w:spacing w:line="240" w:lineRule="auto" w:before="40" w:after="40"/>
              <w:jc w:val="center"/>
            </w:pPr>
            <w:r/>
            <w:r>
              <w:rPr>
                <w:b w:val="0"/>
                <w:i w:val="0"/>
                <w:sz w:val="16"/>
              </w:rPr>
              <w:t>₱103.91M</w:t>
            </w:r>
          </w:p>
        </w:tc>
        <w:tc>
          <w:tcPr>
            <w:tcW w:type="dxa" w:w="2016"/>
            <w:shd w:val="clear" w:color="auto" w:fill="EFEFEF"/>
          </w:tcPr>
          <w:p>
            <w:pPr>
              <w:spacing w:line="240" w:lineRule="auto" w:before="40" w:after="40"/>
              <w:jc w:val="center"/>
            </w:pPr>
            <w:r/>
            <w:r>
              <w:rPr>
                <w:b w:val="0"/>
                <w:i w:val="0"/>
                <w:sz w:val="16"/>
              </w:rPr>
              <w:t>₱7,526 / m² pavement</w:t>
            </w:r>
          </w:p>
        </w:tc>
      </w:tr>
      <w:tr>
        <w:tc>
          <w:tcPr>
            <w:tcW w:type="dxa" w:w="3888"/>
          </w:tcPr>
          <w:p>
            <w:pPr>
              <w:spacing w:line="240" w:lineRule="auto" w:before="40" w:after="40"/>
              <w:jc w:val="left"/>
            </w:pPr>
            <w:r/>
            <w:r>
              <w:rPr>
                <w:b w:val="0"/>
                <w:i w:val="0"/>
                <w:sz w:val="16"/>
              </w:rPr>
              <w:t>Runway 2,100 × 45 m (A320 / B737, PCC)</w:t>
            </w:r>
          </w:p>
        </w:tc>
        <w:tc>
          <w:tcPr>
            <w:tcW w:type="dxa" w:w="1152"/>
          </w:tcPr>
          <w:p>
            <w:pPr>
              <w:spacing w:line="240" w:lineRule="auto" w:before="40" w:after="40"/>
              <w:jc w:val="center"/>
            </w:pPr>
            <w:r/>
            <w:r>
              <w:rPr>
                <w:b w:val="0"/>
                <w:i w:val="0"/>
                <w:sz w:val="16"/>
              </w:rPr>
              <w:t>₱755.51M</w:t>
            </w:r>
          </w:p>
        </w:tc>
        <w:tc>
          <w:tcPr>
            <w:tcW w:type="dxa" w:w="1152"/>
          </w:tcPr>
          <w:p>
            <w:pPr>
              <w:spacing w:line="240" w:lineRule="auto" w:before="40" w:after="40"/>
              <w:jc w:val="center"/>
            </w:pPr>
            <w:r/>
            <w:r>
              <w:rPr>
                <w:b w:val="0"/>
                <w:i w:val="0"/>
                <w:sz w:val="16"/>
              </w:rPr>
              <w:t>₱778.63M</w:t>
            </w:r>
          </w:p>
        </w:tc>
        <w:tc>
          <w:tcPr>
            <w:tcW w:type="dxa" w:w="1152"/>
          </w:tcPr>
          <w:p>
            <w:pPr>
              <w:spacing w:line="240" w:lineRule="auto" w:before="40" w:after="40"/>
              <w:jc w:val="center"/>
            </w:pPr>
            <w:r/>
            <w:r>
              <w:rPr>
                <w:b w:val="0"/>
                <w:i w:val="0"/>
                <w:sz w:val="16"/>
              </w:rPr>
              <w:t>₱874.56M</w:t>
            </w:r>
          </w:p>
        </w:tc>
        <w:tc>
          <w:tcPr>
            <w:tcW w:type="dxa" w:w="2016"/>
          </w:tcPr>
          <w:p>
            <w:pPr>
              <w:spacing w:line="240" w:lineRule="auto" w:before="40" w:after="40"/>
              <w:jc w:val="center"/>
            </w:pPr>
            <w:r/>
            <w:r>
              <w:rPr>
                <w:b w:val="0"/>
                <w:i w:val="0"/>
                <w:sz w:val="16"/>
              </w:rPr>
              <w:t>₱8,240 / m² pavement</w:t>
            </w:r>
          </w:p>
        </w:tc>
      </w:tr>
      <w:tr>
        <w:tc>
          <w:tcPr>
            <w:tcW w:type="dxa" w:w="3888"/>
            <w:shd w:val="clear" w:color="auto" w:fill="EFEFEF"/>
          </w:tcPr>
          <w:p>
            <w:pPr>
              <w:spacing w:line="240" w:lineRule="auto" w:before="40" w:after="40"/>
              <w:jc w:val="left"/>
            </w:pPr>
            <w:r/>
            <w:r>
              <w:rPr>
                <w:b w:val="0"/>
                <w:i w:val="0"/>
                <w:sz w:val="16"/>
              </w:rPr>
              <w:t>Parallel taxiway 600 × 15 m (turboprop)</w:t>
            </w:r>
          </w:p>
        </w:tc>
        <w:tc>
          <w:tcPr>
            <w:tcW w:type="dxa" w:w="1152"/>
            <w:shd w:val="clear" w:color="auto" w:fill="EFEFEF"/>
          </w:tcPr>
          <w:p>
            <w:pPr>
              <w:spacing w:line="240" w:lineRule="auto" w:before="40" w:after="40"/>
              <w:jc w:val="center"/>
            </w:pPr>
            <w:r/>
            <w:r>
              <w:rPr>
                <w:b w:val="0"/>
                <w:i w:val="0"/>
                <w:sz w:val="16"/>
              </w:rPr>
              <w:t>₱73.57M</w:t>
            </w:r>
          </w:p>
        </w:tc>
        <w:tc>
          <w:tcPr>
            <w:tcW w:type="dxa" w:w="1152"/>
            <w:shd w:val="clear" w:color="auto" w:fill="EFEFEF"/>
          </w:tcPr>
          <w:p>
            <w:pPr>
              <w:spacing w:line="240" w:lineRule="auto" w:before="40" w:after="40"/>
              <w:jc w:val="center"/>
            </w:pPr>
            <w:r/>
            <w:r>
              <w:rPr>
                <w:b w:val="0"/>
                <w:i w:val="0"/>
                <w:sz w:val="16"/>
              </w:rPr>
              <w:t>₱77.22M</w:t>
            </w:r>
          </w:p>
        </w:tc>
        <w:tc>
          <w:tcPr>
            <w:tcW w:type="dxa" w:w="1152"/>
            <w:shd w:val="clear" w:color="auto" w:fill="EFEFEF"/>
          </w:tcPr>
          <w:p>
            <w:pPr>
              <w:spacing w:line="240" w:lineRule="auto" w:before="40" w:after="40"/>
              <w:jc w:val="center"/>
            </w:pPr>
            <w:r/>
            <w:r>
              <w:rPr>
                <w:b w:val="0"/>
                <w:i w:val="0"/>
                <w:sz w:val="16"/>
              </w:rPr>
              <w:t>₱89.26M</w:t>
            </w:r>
          </w:p>
        </w:tc>
        <w:tc>
          <w:tcPr>
            <w:tcW w:type="dxa" w:w="2016"/>
            <w:shd w:val="clear" w:color="auto" w:fill="EFEFEF"/>
          </w:tcPr>
          <w:p>
            <w:pPr>
              <w:spacing w:line="240" w:lineRule="auto" w:before="40" w:after="40"/>
              <w:jc w:val="center"/>
            </w:pPr>
            <w:r/>
            <w:r>
              <w:rPr>
                <w:b w:val="0"/>
                <w:i w:val="0"/>
                <w:sz w:val="16"/>
              </w:rPr>
              <w:t>₱8,579 / m² pavement</w:t>
            </w:r>
          </w:p>
        </w:tc>
      </w:tr>
      <w:tr>
        <w:tc>
          <w:tcPr>
            <w:tcW w:type="dxa" w:w="3888"/>
          </w:tcPr>
          <w:p>
            <w:pPr>
              <w:spacing w:line="240" w:lineRule="auto" w:before="40" w:after="40"/>
              <w:jc w:val="left"/>
            </w:pPr>
            <w:r/>
            <w:r>
              <w:rPr>
                <w:b w:val="0"/>
                <w:i w:val="0"/>
                <w:sz w:val="16"/>
              </w:rPr>
              <w:t>Apron, 4 turboprop stands (120 × 80 m)</w:t>
            </w:r>
          </w:p>
        </w:tc>
        <w:tc>
          <w:tcPr>
            <w:tcW w:type="dxa" w:w="1152"/>
          </w:tcPr>
          <w:p>
            <w:pPr>
              <w:spacing w:line="240" w:lineRule="auto" w:before="40" w:after="40"/>
              <w:jc w:val="center"/>
            </w:pPr>
            <w:r/>
            <w:r>
              <w:rPr>
                <w:b w:val="0"/>
                <w:i w:val="0"/>
                <w:sz w:val="16"/>
              </w:rPr>
              <w:t>₱61.74M</w:t>
            </w:r>
          </w:p>
        </w:tc>
        <w:tc>
          <w:tcPr>
            <w:tcW w:type="dxa" w:w="1152"/>
          </w:tcPr>
          <w:p>
            <w:pPr>
              <w:spacing w:line="240" w:lineRule="auto" w:before="40" w:after="40"/>
              <w:jc w:val="center"/>
            </w:pPr>
            <w:r/>
            <w:r>
              <w:rPr>
                <w:b w:val="0"/>
                <w:i w:val="0"/>
                <w:sz w:val="16"/>
              </w:rPr>
              <w:t>₱63.60M</w:t>
            </w:r>
          </w:p>
        </w:tc>
        <w:tc>
          <w:tcPr>
            <w:tcW w:type="dxa" w:w="1152"/>
          </w:tcPr>
          <w:p>
            <w:pPr>
              <w:spacing w:line="240" w:lineRule="auto" w:before="40" w:after="40"/>
              <w:jc w:val="center"/>
            </w:pPr>
            <w:r/>
            <w:r>
              <w:rPr>
                <w:b w:val="0"/>
                <w:i w:val="0"/>
                <w:sz w:val="16"/>
              </w:rPr>
              <w:t>₱73.27M</w:t>
            </w:r>
          </w:p>
        </w:tc>
        <w:tc>
          <w:tcPr>
            <w:tcW w:type="dxa" w:w="2016"/>
          </w:tcPr>
          <w:p>
            <w:pPr>
              <w:spacing w:line="240" w:lineRule="auto" w:before="40" w:after="40"/>
              <w:jc w:val="center"/>
            </w:pPr>
            <w:r/>
            <w:r>
              <w:rPr>
                <w:b w:val="0"/>
                <w:i w:val="0"/>
                <w:sz w:val="16"/>
              </w:rPr>
              <w:t>₱6,625 / m² pavement</w:t>
            </w:r>
          </w:p>
        </w:tc>
      </w:tr>
      <w:tr>
        <w:tc>
          <w:tcPr>
            <w:tcW w:type="dxa" w:w="3888"/>
            <w:shd w:val="clear" w:color="auto" w:fill="EFEFEF"/>
          </w:tcPr>
          <w:p>
            <w:pPr>
              <w:spacing w:line="240" w:lineRule="auto" w:before="40" w:after="40"/>
              <w:jc w:val="left"/>
            </w:pPr>
            <w:r/>
            <w:r>
              <w:rPr>
                <w:b w:val="0"/>
                <w:i w:val="0"/>
                <w:sz w:val="16"/>
              </w:rPr>
              <w:t>Apron, 3 jet stands (150 × 90 m)</w:t>
            </w:r>
          </w:p>
        </w:tc>
        <w:tc>
          <w:tcPr>
            <w:tcW w:type="dxa" w:w="1152"/>
            <w:shd w:val="clear" w:color="auto" w:fill="EFEFEF"/>
          </w:tcPr>
          <w:p>
            <w:pPr>
              <w:spacing w:line="240" w:lineRule="auto" w:before="40" w:after="40"/>
              <w:jc w:val="center"/>
            </w:pPr>
            <w:r/>
            <w:r>
              <w:rPr>
                <w:b w:val="0"/>
                <w:i w:val="0"/>
                <w:sz w:val="16"/>
              </w:rPr>
              <w:t>₱103.38M</w:t>
            </w:r>
          </w:p>
        </w:tc>
        <w:tc>
          <w:tcPr>
            <w:tcW w:type="dxa" w:w="1152"/>
            <w:shd w:val="clear" w:color="auto" w:fill="EFEFEF"/>
          </w:tcPr>
          <w:p>
            <w:pPr>
              <w:spacing w:line="240" w:lineRule="auto" w:before="40" w:after="40"/>
              <w:jc w:val="center"/>
            </w:pPr>
            <w:r/>
            <w:r>
              <w:rPr>
                <w:b w:val="0"/>
                <w:i w:val="0"/>
                <w:sz w:val="16"/>
              </w:rPr>
              <w:t>₱107.71M</w:t>
            </w:r>
          </w:p>
        </w:tc>
        <w:tc>
          <w:tcPr>
            <w:tcW w:type="dxa" w:w="1152"/>
            <w:shd w:val="clear" w:color="auto" w:fill="EFEFEF"/>
          </w:tcPr>
          <w:p>
            <w:pPr>
              <w:spacing w:line="240" w:lineRule="auto" w:before="40" w:after="40"/>
              <w:jc w:val="center"/>
            </w:pPr>
            <w:r/>
            <w:r>
              <w:rPr>
                <w:b w:val="0"/>
                <w:i w:val="0"/>
                <w:sz w:val="16"/>
              </w:rPr>
              <w:t>₱123.00M</w:t>
            </w:r>
          </w:p>
        </w:tc>
        <w:tc>
          <w:tcPr>
            <w:tcW w:type="dxa" w:w="2016"/>
            <w:shd w:val="clear" w:color="auto" w:fill="EFEFEF"/>
          </w:tcPr>
          <w:p>
            <w:pPr>
              <w:spacing w:line="240" w:lineRule="auto" w:before="40" w:after="40"/>
              <w:jc w:val="center"/>
            </w:pPr>
            <w:r/>
            <w:r>
              <w:rPr>
                <w:b w:val="0"/>
                <w:i w:val="0"/>
                <w:sz w:val="16"/>
              </w:rPr>
              <w:t>₱7,978 / m² pavement</w:t>
            </w:r>
          </w:p>
        </w:tc>
      </w:tr>
      <w:tr>
        <w:tc>
          <w:tcPr>
            <w:tcW w:type="dxa" w:w="3888"/>
          </w:tcPr>
          <w:p>
            <w:pPr>
              <w:spacing w:line="240" w:lineRule="auto" w:before="40" w:after="40"/>
              <w:jc w:val="left"/>
            </w:pPr>
            <w:r/>
            <w:r>
              <w:rPr>
                <w:b w:val="0"/>
                <w:i w:val="0"/>
                <w:sz w:val="16"/>
              </w:rPr>
              <w:t>Passenger jetty 30 × 6 m (PC spun piles)</w:t>
            </w:r>
          </w:p>
        </w:tc>
        <w:tc>
          <w:tcPr>
            <w:tcW w:type="dxa" w:w="1152"/>
          </w:tcPr>
          <w:p>
            <w:pPr>
              <w:spacing w:line="240" w:lineRule="auto" w:before="40" w:after="40"/>
              <w:jc w:val="center"/>
            </w:pPr>
            <w:r/>
            <w:r>
              <w:rPr>
                <w:b w:val="0"/>
                <w:i w:val="0"/>
                <w:sz w:val="16"/>
              </w:rPr>
              <w:t>₱27.53M</w:t>
            </w:r>
          </w:p>
        </w:tc>
        <w:tc>
          <w:tcPr>
            <w:tcW w:type="dxa" w:w="1152"/>
          </w:tcPr>
          <w:p>
            <w:pPr>
              <w:spacing w:line="240" w:lineRule="auto" w:before="40" w:after="40"/>
              <w:jc w:val="center"/>
            </w:pPr>
            <w:r/>
            <w:r>
              <w:rPr>
                <w:b w:val="0"/>
                <w:i w:val="0"/>
                <w:sz w:val="16"/>
              </w:rPr>
              <w:t>₱30.40M</w:t>
            </w:r>
          </w:p>
        </w:tc>
        <w:tc>
          <w:tcPr>
            <w:tcW w:type="dxa" w:w="1152"/>
          </w:tcPr>
          <w:p>
            <w:pPr>
              <w:spacing w:line="240" w:lineRule="auto" w:before="40" w:after="40"/>
              <w:jc w:val="center"/>
            </w:pPr>
            <w:r/>
            <w:r>
              <w:rPr>
                <w:b w:val="0"/>
                <w:i w:val="0"/>
                <w:sz w:val="16"/>
              </w:rPr>
              <w:t>₱37.30M</w:t>
            </w:r>
          </w:p>
        </w:tc>
        <w:tc>
          <w:tcPr>
            <w:tcW w:type="dxa" w:w="2016"/>
          </w:tcPr>
          <w:p>
            <w:pPr>
              <w:spacing w:line="240" w:lineRule="auto" w:before="40" w:after="40"/>
              <w:jc w:val="center"/>
            </w:pPr>
            <w:r/>
            <w:r>
              <w:rPr>
                <w:b w:val="0"/>
                <w:i w:val="0"/>
                <w:sz w:val="16"/>
              </w:rPr>
              <w:t>₱168,902 / m² deck</w:t>
            </w:r>
          </w:p>
        </w:tc>
      </w:tr>
      <w:tr>
        <w:tc>
          <w:tcPr>
            <w:tcW w:type="dxa" w:w="3888"/>
            <w:shd w:val="clear" w:color="auto" w:fill="EFEFEF"/>
          </w:tcPr>
          <w:p>
            <w:pPr>
              <w:spacing w:line="240" w:lineRule="auto" w:before="40" w:after="40"/>
              <w:jc w:val="left"/>
            </w:pPr>
            <w:r/>
            <w:r>
              <w:rPr>
                <w:b w:val="0"/>
                <w:i w:val="0"/>
                <w:sz w:val="16"/>
              </w:rPr>
              <w:t>Fishport pier 40 × 8 m with 80 m causeway</w:t>
            </w:r>
          </w:p>
        </w:tc>
        <w:tc>
          <w:tcPr>
            <w:tcW w:type="dxa" w:w="1152"/>
            <w:shd w:val="clear" w:color="auto" w:fill="EFEFEF"/>
          </w:tcPr>
          <w:p>
            <w:pPr>
              <w:spacing w:line="240" w:lineRule="auto" w:before="40" w:after="40"/>
              <w:jc w:val="center"/>
            </w:pPr>
            <w:r/>
            <w:r>
              <w:rPr>
                <w:b w:val="0"/>
                <w:i w:val="0"/>
                <w:sz w:val="16"/>
              </w:rPr>
              <w:t>₱65.73M</w:t>
            </w:r>
          </w:p>
        </w:tc>
        <w:tc>
          <w:tcPr>
            <w:tcW w:type="dxa" w:w="1152"/>
            <w:shd w:val="clear" w:color="auto" w:fill="EFEFEF"/>
          </w:tcPr>
          <w:p>
            <w:pPr>
              <w:spacing w:line="240" w:lineRule="auto" w:before="40" w:after="40"/>
              <w:jc w:val="center"/>
            </w:pPr>
            <w:r/>
            <w:r>
              <w:rPr>
                <w:b w:val="0"/>
                <w:i w:val="0"/>
                <w:sz w:val="16"/>
              </w:rPr>
              <w:t>₱70.01M</w:t>
            </w:r>
          </w:p>
        </w:tc>
        <w:tc>
          <w:tcPr>
            <w:tcW w:type="dxa" w:w="1152"/>
            <w:shd w:val="clear" w:color="auto" w:fill="EFEFEF"/>
          </w:tcPr>
          <w:p>
            <w:pPr>
              <w:spacing w:line="240" w:lineRule="auto" w:before="40" w:after="40"/>
              <w:jc w:val="center"/>
            </w:pPr>
            <w:r/>
            <w:r>
              <w:rPr>
                <w:b w:val="0"/>
                <w:i w:val="0"/>
                <w:sz w:val="16"/>
              </w:rPr>
              <w:t>₱82.20M</w:t>
            </w:r>
          </w:p>
        </w:tc>
        <w:tc>
          <w:tcPr>
            <w:tcW w:type="dxa" w:w="2016"/>
            <w:shd w:val="clear" w:color="auto" w:fill="EFEFEF"/>
          </w:tcPr>
          <w:p>
            <w:pPr>
              <w:spacing w:line="240" w:lineRule="auto" w:before="40" w:after="40"/>
              <w:jc w:val="center"/>
            </w:pPr>
            <w:r/>
            <w:r>
              <w:rPr>
                <w:b w:val="0"/>
                <w:i w:val="0"/>
                <w:sz w:val="16"/>
              </w:rPr>
              <w:t>₱218,791 / m² deck</w:t>
            </w:r>
          </w:p>
        </w:tc>
      </w:tr>
      <w:tr>
        <w:tc>
          <w:tcPr>
            <w:tcW w:type="dxa" w:w="3888"/>
          </w:tcPr>
          <w:p>
            <w:pPr>
              <w:spacing w:line="240" w:lineRule="auto" w:before="40" w:after="40"/>
              <w:jc w:val="left"/>
            </w:pPr>
            <w:r/>
            <w:r>
              <w:rPr>
                <w:b w:val="0"/>
                <w:i w:val="0"/>
                <w:sz w:val="16"/>
              </w:rPr>
              <w:t>RoRo pier 60 × 15 m with ramp (PC spun piles)</w:t>
            </w:r>
          </w:p>
        </w:tc>
        <w:tc>
          <w:tcPr>
            <w:tcW w:type="dxa" w:w="1152"/>
          </w:tcPr>
          <w:p>
            <w:pPr>
              <w:spacing w:line="240" w:lineRule="auto" w:before="40" w:after="40"/>
              <w:jc w:val="center"/>
            </w:pPr>
            <w:r/>
            <w:r>
              <w:rPr>
                <w:b w:val="0"/>
                <w:i w:val="0"/>
                <w:sz w:val="16"/>
              </w:rPr>
              <w:t>₱108.31M</w:t>
            </w:r>
          </w:p>
        </w:tc>
        <w:tc>
          <w:tcPr>
            <w:tcW w:type="dxa" w:w="1152"/>
          </w:tcPr>
          <w:p>
            <w:pPr>
              <w:spacing w:line="240" w:lineRule="auto" w:before="40" w:after="40"/>
              <w:jc w:val="center"/>
            </w:pPr>
            <w:r/>
            <w:r>
              <w:rPr>
                <w:b w:val="0"/>
                <w:i w:val="0"/>
                <w:sz w:val="16"/>
              </w:rPr>
              <w:t>₱116.14M</w:t>
            </w:r>
          </w:p>
        </w:tc>
        <w:tc>
          <w:tcPr>
            <w:tcW w:type="dxa" w:w="1152"/>
          </w:tcPr>
          <w:p>
            <w:pPr>
              <w:spacing w:line="240" w:lineRule="auto" w:before="40" w:after="40"/>
              <w:jc w:val="center"/>
            </w:pPr>
            <w:r/>
            <w:r>
              <w:rPr>
                <w:b w:val="0"/>
                <w:i w:val="0"/>
                <w:sz w:val="16"/>
              </w:rPr>
              <w:t>₱136.92M</w:t>
            </w:r>
          </w:p>
        </w:tc>
        <w:tc>
          <w:tcPr>
            <w:tcW w:type="dxa" w:w="2016"/>
          </w:tcPr>
          <w:p>
            <w:pPr>
              <w:spacing w:line="240" w:lineRule="auto" w:before="40" w:after="40"/>
              <w:jc w:val="center"/>
            </w:pPr>
            <w:r/>
            <w:r>
              <w:rPr>
                <w:b w:val="0"/>
                <w:i w:val="0"/>
                <w:sz w:val="16"/>
              </w:rPr>
              <w:t>₱129,042 / m² deck</w:t>
            </w:r>
          </w:p>
        </w:tc>
      </w:tr>
      <w:tr>
        <w:tc>
          <w:tcPr>
            <w:tcW w:type="dxa" w:w="3888"/>
            <w:shd w:val="clear" w:color="auto" w:fill="EFEFEF"/>
          </w:tcPr>
          <w:p>
            <w:pPr>
              <w:spacing w:line="240" w:lineRule="auto" w:before="40" w:after="40"/>
              <w:jc w:val="left"/>
            </w:pPr>
            <w:r/>
            <w:r>
              <w:rPr>
                <w:b w:val="0"/>
                <w:i w:val="0"/>
                <w:sz w:val="16"/>
              </w:rPr>
              <w:t>Marginal wharf 100 × 20 m (steel pipe piles)</w:t>
            </w:r>
          </w:p>
        </w:tc>
        <w:tc>
          <w:tcPr>
            <w:tcW w:type="dxa" w:w="1152"/>
            <w:shd w:val="clear" w:color="auto" w:fill="EFEFEF"/>
          </w:tcPr>
          <w:p>
            <w:pPr>
              <w:spacing w:line="240" w:lineRule="auto" w:before="40" w:after="40"/>
              <w:jc w:val="center"/>
            </w:pPr>
            <w:r/>
            <w:r>
              <w:rPr>
                <w:b w:val="0"/>
                <w:i w:val="0"/>
                <w:sz w:val="16"/>
              </w:rPr>
              <w:t>₱302.48M</w:t>
            </w:r>
          </w:p>
        </w:tc>
        <w:tc>
          <w:tcPr>
            <w:tcW w:type="dxa" w:w="1152"/>
            <w:shd w:val="clear" w:color="auto" w:fill="EFEFEF"/>
          </w:tcPr>
          <w:p>
            <w:pPr>
              <w:spacing w:line="240" w:lineRule="auto" w:before="40" w:after="40"/>
              <w:jc w:val="center"/>
            </w:pPr>
            <w:r/>
            <w:r>
              <w:rPr>
                <w:b w:val="0"/>
                <w:i w:val="0"/>
                <w:sz w:val="16"/>
              </w:rPr>
              <w:t>₱315.00M</w:t>
            </w:r>
          </w:p>
        </w:tc>
        <w:tc>
          <w:tcPr>
            <w:tcW w:type="dxa" w:w="1152"/>
            <w:shd w:val="clear" w:color="auto" w:fill="EFEFEF"/>
          </w:tcPr>
          <w:p>
            <w:pPr>
              <w:spacing w:line="240" w:lineRule="auto" w:before="40" w:after="40"/>
              <w:jc w:val="center"/>
            </w:pPr>
            <w:r/>
            <w:r>
              <w:rPr>
                <w:b w:val="0"/>
                <w:i w:val="0"/>
                <w:sz w:val="16"/>
              </w:rPr>
              <w:t>₱357.79M</w:t>
            </w:r>
          </w:p>
        </w:tc>
        <w:tc>
          <w:tcPr>
            <w:tcW w:type="dxa" w:w="2016"/>
            <w:shd w:val="clear" w:color="auto" w:fill="EFEFEF"/>
          </w:tcPr>
          <w:p>
            <w:pPr>
              <w:spacing w:line="240" w:lineRule="auto" w:before="40" w:after="40"/>
              <w:jc w:val="center"/>
            </w:pPr>
            <w:r/>
            <w:r>
              <w:rPr>
                <w:b w:val="0"/>
                <w:i w:val="0"/>
                <w:sz w:val="16"/>
              </w:rPr>
              <w:t>₱157,498 / m² deck</w:t>
            </w:r>
          </w:p>
        </w:tc>
      </w:tr>
      <w:tr>
        <w:tc>
          <w:tcPr>
            <w:tcW w:type="dxa" w:w="3888"/>
            <w:tcBorders>
              <w:bottom w:val="single" w:sz="12" w:color="000000"/>
            </w:tcBorders>
          </w:tcPr>
          <w:p>
            <w:pPr>
              <w:spacing w:line="240" w:lineRule="auto" w:before="40" w:after="40"/>
              <w:jc w:val="left"/>
            </w:pPr>
            <w:r/>
            <w:r>
              <w:rPr>
                <w:b w:val="0"/>
                <w:i w:val="0"/>
                <w:sz w:val="16"/>
              </w:rPr>
              <w:t>Wharf extension 50 × 20 m (steel pipe piles)</w:t>
            </w:r>
          </w:p>
        </w:tc>
        <w:tc>
          <w:tcPr>
            <w:tcW w:type="dxa" w:w="1152"/>
            <w:tcBorders>
              <w:bottom w:val="single" w:sz="12" w:color="000000"/>
            </w:tcBorders>
          </w:tcPr>
          <w:p>
            <w:pPr>
              <w:spacing w:line="240" w:lineRule="auto" w:before="40" w:after="40"/>
              <w:jc w:val="center"/>
            </w:pPr>
            <w:r/>
            <w:r>
              <w:rPr>
                <w:b w:val="0"/>
                <w:i w:val="0"/>
                <w:sz w:val="16"/>
              </w:rPr>
              <w:t>₱160.83M</w:t>
            </w:r>
          </w:p>
        </w:tc>
        <w:tc>
          <w:tcPr>
            <w:tcW w:type="dxa" w:w="1152"/>
            <w:tcBorders>
              <w:bottom w:val="single" w:sz="12" w:color="000000"/>
            </w:tcBorders>
          </w:tcPr>
          <w:p>
            <w:pPr>
              <w:spacing w:line="240" w:lineRule="auto" w:before="40" w:after="40"/>
              <w:jc w:val="center"/>
            </w:pPr>
            <w:r/>
            <w:r>
              <w:rPr>
                <w:b w:val="0"/>
                <w:i w:val="0"/>
                <w:sz w:val="16"/>
              </w:rPr>
              <w:t>₱167.56M</w:t>
            </w:r>
          </w:p>
        </w:tc>
        <w:tc>
          <w:tcPr>
            <w:tcW w:type="dxa" w:w="1152"/>
            <w:tcBorders>
              <w:bottom w:val="single" w:sz="12" w:color="000000"/>
            </w:tcBorders>
          </w:tcPr>
          <w:p>
            <w:pPr>
              <w:spacing w:line="240" w:lineRule="auto" w:before="40" w:after="40"/>
              <w:jc w:val="center"/>
            </w:pPr>
            <w:r/>
            <w:r>
              <w:rPr>
                <w:b w:val="0"/>
                <w:i w:val="0"/>
                <w:sz w:val="16"/>
              </w:rPr>
              <w:t>₱187.15M</w:t>
            </w:r>
          </w:p>
        </w:tc>
        <w:tc>
          <w:tcPr>
            <w:tcW w:type="dxa" w:w="2016"/>
            <w:tcBorders>
              <w:bottom w:val="single" w:sz="12" w:color="000000"/>
            </w:tcBorders>
          </w:tcPr>
          <w:p>
            <w:pPr>
              <w:spacing w:line="240" w:lineRule="auto" w:before="40" w:after="40"/>
              <w:jc w:val="center"/>
            </w:pPr>
            <w:r/>
            <w:r>
              <w:rPr>
                <w:b w:val="0"/>
                <w:i w:val="0"/>
                <w:sz w:val="16"/>
              </w:rPr>
              <w:t>₱167,557 / m² deck</w:t>
            </w:r>
          </w:p>
        </w:tc>
      </w:tr>
    </w:tbl>
    <w:p>
      <w:pPr>
        <w:spacing w:line="240" w:lineRule="auto" w:after="80"/>
      </w:pPr>
    </w:p>
    <w:p>
      <w:pPr>
        <w:spacing w:line="480" w:lineRule="auto" w:after="0"/>
        <w:ind w:firstLine="720"/>
        <w:jc w:val="both"/>
      </w:pPr>
      <w:r>
        <w:rPr>
          <w:b w:val="0"/>
          <w:i w:val="0"/>
        </w:rPr>
        <w:t>Budget-to-design also works for the new usages: ₱150 million buys a 185-beds hospital (doh level 1–3) in 4 storeys; ₱300 million buys a 300-beds hospital (doh level 1–3) in 5 storeys; ₱300 million buys a 500-passengers airport passenger terminal in 2 storeys; ₱60 million buys a 480-passengers seaport passenger terminal in 1 storey; ₱40 million buys a 12-bus bays bus terminal in 1 storey. Each search took a median of 2.9 ms.</w:t>
      </w:r>
    </w:p>
    <w:p>
      <w:pPr>
        <w:keepNext/>
        <w:spacing w:line="480" w:lineRule="auto" w:after="0"/>
        <w:ind w:left="720"/>
        <w:jc w:val="left"/>
      </w:pPr>
      <w:r>
        <w:rPr>
          <w:b/>
          <w:i w:val="0"/>
        </w:rPr>
        <w:t>b.) Accuracy of the Standard Estimate</w:t>
      </w:r>
    </w:p>
    <w:p>
      <w:pPr>
        <w:keepNext/>
        <w:spacing w:line="240" w:lineRule="auto" w:after="0" w:before="120"/>
        <w:jc w:val="left"/>
      </w:pPr>
      <w:r>
        <w:rPr>
          <w:b/>
          <w:i w:val="0"/>
        </w:rPr>
        <w:t>Table 30.</w:t>
      </w:r>
    </w:p>
    <w:p>
      <w:pPr>
        <w:keepNext/>
        <w:spacing w:line="240" w:lineRule="auto" w:after="0"/>
        <w:jc w:val="left"/>
      </w:pPr>
      <w:r>
        <w:rPr>
          <w:b w:val="0"/>
          <w:i/>
        </w:rPr>
        <w:t>Accuracy and Standards-Based Detection on SBD-EXT</w:t>
      </w:r>
    </w:p>
    <w:tbl>
      <w:tblPr>
        <w:tblW w:type="auto" w:w="0"/>
        <w:jc w:val="center"/>
        <w:tblLayout w:type="fixed"/>
        <w:tblLook w:firstColumn="1" w:firstRow="1" w:lastColumn="0" w:lastRow="0" w:noHBand="0" w:noVBand="1" w:val="04A0"/>
        <w:tblLayout w:type="fixed"/>
      </w:tblPr>
      <w:tblGrid>
        <w:gridCol w:w="2520"/>
        <w:gridCol w:w="503"/>
        <w:gridCol w:w="864"/>
        <w:gridCol w:w="864"/>
        <w:gridCol w:w="1080"/>
        <w:gridCol w:w="1080"/>
        <w:gridCol w:w="720"/>
        <w:gridCol w:w="792"/>
        <w:gridCol w:w="648"/>
      </w:tblGrid>
      <w:tr>
        <w:tc>
          <w:tcPr>
            <w:tcW w:type="dxa" w:w="2520"/>
            <w:tcBorders>
              <w:top w:val="single" w:sz="12" w:color="000000"/>
              <w:bottom w:val="single" w:sz="8" w:color="000000"/>
            </w:tcBorders>
          </w:tcPr>
          <w:p>
            <w:pPr>
              <w:spacing w:line="240" w:lineRule="auto" w:before="40" w:after="40"/>
              <w:jc w:val="center"/>
            </w:pPr>
            <w:r/>
            <w:r>
              <w:rPr>
                <w:b/>
                <w:i w:val="0"/>
                <w:sz w:val="16"/>
              </w:rPr>
              <w:t>CLASS</w:t>
            </w:r>
          </w:p>
        </w:tc>
        <w:tc>
          <w:tcPr>
            <w:tcW w:type="dxa" w:w="504"/>
            <w:tcBorders>
              <w:top w:val="single" w:sz="12" w:color="000000"/>
              <w:bottom w:val="single" w:sz="8" w:color="000000"/>
            </w:tcBorders>
          </w:tcPr>
          <w:p>
            <w:pPr>
              <w:spacing w:line="240" w:lineRule="auto" w:before="40" w:after="40"/>
              <w:jc w:val="center"/>
            </w:pPr>
            <w:r/>
            <w:r>
              <w:rPr>
                <w:b/>
                <w:i w:val="0"/>
                <w:sz w:val="16"/>
              </w:rPr>
              <w:t>n</w:t>
            </w:r>
          </w:p>
        </w:tc>
        <w:tc>
          <w:tcPr>
            <w:tcW w:type="dxa" w:w="864"/>
            <w:tcBorders>
              <w:top w:val="single" w:sz="12" w:color="000000"/>
              <w:bottom w:val="single" w:sz="8" w:color="000000"/>
            </w:tcBorders>
          </w:tcPr>
          <w:p>
            <w:pPr>
              <w:spacing w:line="240" w:lineRule="auto" w:before="40" w:after="40"/>
              <w:jc w:val="center"/>
            </w:pPr>
            <w:r/>
            <w:r>
              <w:rPr>
                <w:b/>
                <w:i w:val="0"/>
                <w:sz w:val="16"/>
              </w:rPr>
              <w:t>MAPE</w:t>
            </w:r>
          </w:p>
        </w:tc>
        <w:tc>
          <w:tcPr>
            <w:tcW w:type="dxa" w:w="864"/>
            <w:tcBorders>
              <w:top w:val="single" w:sz="12" w:color="000000"/>
              <w:bottom w:val="single" w:sz="8" w:color="000000"/>
            </w:tcBorders>
          </w:tcPr>
          <w:p>
            <w:pPr>
              <w:spacing w:line="240" w:lineRule="auto" w:before="40" w:after="40"/>
              <w:jc w:val="center"/>
            </w:pPr>
            <w:r/>
            <w:r>
              <w:rPr>
                <w:b/>
                <w:i w:val="0"/>
                <w:sz w:val="16"/>
              </w:rPr>
              <w:t>R²</w:t>
            </w:r>
          </w:p>
        </w:tc>
        <w:tc>
          <w:tcPr>
            <w:tcW w:type="dxa" w:w="1080"/>
            <w:tcBorders>
              <w:top w:val="single" w:sz="12" w:color="000000"/>
              <w:bottom w:val="single" w:sz="8" w:color="000000"/>
            </w:tcBorders>
          </w:tcPr>
          <w:p>
            <w:pPr>
              <w:spacing w:line="240" w:lineRule="auto" w:before="40" w:after="40"/>
              <w:jc w:val="center"/>
            </w:pPr>
            <w:r/>
            <w:r>
              <w:rPr>
                <w:b/>
                <w:i w:val="0"/>
                <w:sz w:val="16"/>
              </w:rPr>
              <w:t>LEAN ≤ AWARD</w:t>
            </w:r>
          </w:p>
        </w:tc>
        <w:tc>
          <w:tcPr>
            <w:tcW w:type="dxa" w:w="1080"/>
            <w:tcBorders>
              <w:top w:val="single" w:sz="12" w:color="000000"/>
              <w:bottom w:val="single" w:sz="8" w:color="000000"/>
            </w:tcBorders>
          </w:tcPr>
          <w:p>
            <w:pPr>
              <w:spacing w:line="240" w:lineRule="auto" w:before="40" w:after="40"/>
              <w:jc w:val="center"/>
            </w:pPr>
            <w:r/>
            <w:r>
              <w:rPr>
                <w:b/>
                <w:i w:val="0"/>
                <w:sz w:val="16"/>
              </w:rPr>
              <w:t>CEILING COVERS</w:t>
            </w:r>
          </w:p>
        </w:tc>
        <w:tc>
          <w:tcPr>
            <w:tcW w:type="dxa" w:w="720"/>
            <w:tcBorders>
              <w:top w:val="single" w:sz="12" w:color="000000"/>
              <w:bottom w:val="single" w:sz="8" w:color="000000"/>
            </w:tcBorders>
          </w:tcPr>
          <w:p>
            <w:pPr>
              <w:spacing w:line="240" w:lineRule="auto" w:before="40" w:after="40"/>
              <w:jc w:val="center"/>
            </w:pPr>
            <w:r/>
            <w:r>
              <w:rPr>
                <w:b/>
                <w:i w:val="0"/>
                <w:sz w:val="16"/>
              </w:rPr>
              <w:t>PREC.</w:t>
            </w:r>
          </w:p>
        </w:tc>
        <w:tc>
          <w:tcPr>
            <w:tcW w:type="dxa" w:w="792"/>
            <w:tcBorders>
              <w:top w:val="single" w:sz="12" w:color="000000"/>
              <w:bottom w:val="single" w:sz="8" w:color="000000"/>
            </w:tcBorders>
          </w:tcPr>
          <w:p>
            <w:pPr>
              <w:spacing w:line="240" w:lineRule="auto" w:before="40" w:after="40"/>
              <w:jc w:val="center"/>
            </w:pPr>
            <w:r/>
            <w:r>
              <w:rPr>
                <w:b/>
                <w:i w:val="0"/>
                <w:sz w:val="16"/>
              </w:rPr>
              <w:t>RECALL</w:t>
            </w:r>
          </w:p>
        </w:tc>
        <w:tc>
          <w:tcPr>
            <w:tcW w:type="dxa" w:w="648"/>
            <w:tcBorders>
              <w:top w:val="single" w:sz="12" w:color="000000"/>
              <w:bottom w:val="single" w:sz="8" w:color="000000"/>
            </w:tcBorders>
          </w:tcPr>
          <w:p>
            <w:pPr>
              <w:spacing w:line="240" w:lineRule="auto" w:before="40" w:after="40"/>
              <w:jc w:val="center"/>
            </w:pPr>
            <w:r/>
            <w:r>
              <w:rPr>
                <w:b/>
                <w:i w:val="0"/>
                <w:sz w:val="16"/>
              </w:rPr>
              <w:t>F1</w:t>
            </w:r>
          </w:p>
        </w:tc>
      </w:tr>
      <w:tr>
        <w:tc>
          <w:tcPr>
            <w:tcW w:type="dxa" w:w="2520"/>
            <w:shd w:val="clear" w:color="auto" w:fill="EFEFEF"/>
          </w:tcPr>
          <w:p>
            <w:pPr>
              <w:spacing w:line="240" w:lineRule="auto" w:before="40" w:after="40"/>
              <w:jc w:val="left"/>
            </w:pPr>
            <w:r/>
            <w:r>
              <w:rPr>
                <w:b w:val="0"/>
                <w:i/>
                <w:sz w:val="16"/>
              </w:rPr>
              <w:t>Hospitals</w:t>
            </w:r>
          </w:p>
        </w:tc>
        <w:tc>
          <w:tcPr>
            <w:tcW w:type="dxa" w:w="504"/>
            <w:shd w:val="clear" w:color="auto" w:fill="EFEFEF"/>
          </w:tcPr>
          <w:p>
            <w:pPr>
              <w:spacing w:line="240" w:lineRule="auto" w:before="40" w:after="40"/>
              <w:jc w:val="center"/>
            </w:pPr>
            <w:r/>
            <w:r>
              <w:rPr>
                <w:b w:val="0"/>
                <w:i w:val="0"/>
                <w:sz w:val="16"/>
              </w:rPr>
              <w:t>30</w:t>
            </w:r>
          </w:p>
        </w:tc>
        <w:tc>
          <w:tcPr>
            <w:tcW w:type="dxa" w:w="864"/>
            <w:shd w:val="clear" w:color="auto" w:fill="EFEFEF"/>
          </w:tcPr>
          <w:p>
            <w:pPr>
              <w:spacing w:line="240" w:lineRule="auto" w:before="40" w:after="40"/>
              <w:jc w:val="center"/>
            </w:pPr>
            <w:r/>
            <w:r>
              <w:rPr>
                <w:b w:val="0"/>
                <w:i w:val="0"/>
                <w:sz w:val="16"/>
              </w:rPr>
              <w:t>8.30%</w:t>
            </w:r>
          </w:p>
        </w:tc>
        <w:tc>
          <w:tcPr>
            <w:tcW w:type="dxa" w:w="864"/>
            <w:shd w:val="clear" w:color="auto" w:fill="EFEFEF"/>
          </w:tcPr>
          <w:p>
            <w:pPr>
              <w:spacing w:line="240" w:lineRule="auto" w:before="40" w:after="40"/>
              <w:jc w:val="center"/>
            </w:pPr>
            <w:r/>
            <w:r>
              <w:rPr>
                <w:b w:val="0"/>
                <w:i w:val="0"/>
                <w:sz w:val="16"/>
              </w:rPr>
              <w:t>0.8992</w:t>
            </w:r>
          </w:p>
        </w:tc>
        <w:tc>
          <w:tcPr>
            <w:tcW w:type="dxa" w:w="1080"/>
            <w:shd w:val="clear" w:color="auto" w:fill="EFEFEF"/>
          </w:tcPr>
          <w:p>
            <w:pPr>
              <w:spacing w:line="240" w:lineRule="auto" w:before="40" w:after="40"/>
              <w:jc w:val="center"/>
            </w:pPr>
            <w:r/>
            <w:r>
              <w:rPr>
                <w:b w:val="0"/>
                <w:i w:val="0"/>
                <w:sz w:val="16"/>
              </w:rPr>
              <w:t>100.0%</w:t>
            </w:r>
          </w:p>
        </w:tc>
        <w:tc>
          <w:tcPr>
            <w:tcW w:type="dxa" w:w="1080"/>
            <w:shd w:val="clear" w:color="auto" w:fill="EFEFEF"/>
          </w:tcPr>
          <w:p>
            <w:pPr>
              <w:spacing w:line="240" w:lineRule="auto" w:before="40" w:after="40"/>
              <w:jc w:val="center"/>
            </w:pPr>
            <w:r/>
            <w:r>
              <w:rPr>
                <w:b w:val="0"/>
                <w:i w:val="0"/>
                <w:sz w:val="16"/>
              </w:rPr>
              <w:t>100.0%</w:t>
            </w:r>
          </w:p>
        </w:tc>
        <w:tc>
          <w:tcPr>
            <w:tcW w:type="dxa" w:w="720"/>
            <w:shd w:val="clear" w:color="auto" w:fill="EFEFEF"/>
          </w:tcPr>
          <w:p>
            <w:pPr>
              <w:spacing w:line="240" w:lineRule="auto" w:before="40" w:after="40"/>
              <w:jc w:val="center"/>
            </w:pPr>
            <w:r/>
            <w:r>
              <w:rPr>
                <w:b w:val="0"/>
                <w:i w:val="0"/>
                <w:sz w:val="16"/>
              </w:rPr>
              <w:t>1.000</w:t>
            </w:r>
          </w:p>
        </w:tc>
        <w:tc>
          <w:tcPr>
            <w:tcW w:type="dxa" w:w="792"/>
            <w:shd w:val="clear" w:color="auto" w:fill="EFEFEF"/>
          </w:tcPr>
          <w:p>
            <w:pPr>
              <w:spacing w:line="240" w:lineRule="auto" w:before="40" w:after="40"/>
              <w:jc w:val="center"/>
            </w:pPr>
            <w:r/>
            <w:r>
              <w:rPr>
                <w:b w:val="0"/>
                <w:i w:val="0"/>
                <w:sz w:val="16"/>
              </w:rPr>
              <w:t>1.000</w:t>
            </w:r>
          </w:p>
        </w:tc>
        <w:tc>
          <w:tcPr>
            <w:tcW w:type="dxa" w:w="648"/>
            <w:shd w:val="clear" w:color="auto" w:fill="EFEFEF"/>
          </w:tcPr>
          <w:p>
            <w:pPr>
              <w:spacing w:line="240" w:lineRule="auto" w:before="40" w:after="40"/>
              <w:jc w:val="center"/>
            </w:pPr>
            <w:r/>
            <w:r>
              <w:rPr>
                <w:b w:val="0"/>
                <w:i w:val="0"/>
                <w:sz w:val="16"/>
              </w:rPr>
              <w:t>1.000</w:t>
            </w:r>
          </w:p>
        </w:tc>
      </w:tr>
      <w:tr>
        <w:tc>
          <w:tcPr>
            <w:tcW w:type="dxa" w:w="2520"/>
          </w:tcPr>
          <w:p>
            <w:pPr>
              <w:spacing w:line="240" w:lineRule="auto" w:before="40" w:after="40"/>
              <w:jc w:val="left"/>
            </w:pPr>
            <w:r/>
            <w:r>
              <w:rPr>
                <w:b w:val="0"/>
                <w:i/>
                <w:sz w:val="16"/>
              </w:rPr>
              <w:t>Airport terminals</w:t>
            </w:r>
          </w:p>
        </w:tc>
        <w:tc>
          <w:tcPr>
            <w:tcW w:type="dxa" w:w="504"/>
          </w:tcPr>
          <w:p>
            <w:pPr>
              <w:spacing w:line="240" w:lineRule="auto" w:before="40" w:after="40"/>
              <w:jc w:val="center"/>
            </w:pPr>
            <w:r/>
            <w:r>
              <w:rPr>
                <w:b w:val="0"/>
                <w:i w:val="0"/>
                <w:sz w:val="16"/>
              </w:rPr>
              <w:t>20</w:t>
            </w:r>
          </w:p>
        </w:tc>
        <w:tc>
          <w:tcPr>
            <w:tcW w:type="dxa" w:w="864"/>
          </w:tcPr>
          <w:p>
            <w:pPr>
              <w:spacing w:line="240" w:lineRule="auto" w:before="40" w:after="40"/>
              <w:jc w:val="center"/>
            </w:pPr>
            <w:r/>
            <w:r>
              <w:rPr>
                <w:b w:val="0"/>
                <w:i w:val="0"/>
                <w:sz w:val="16"/>
              </w:rPr>
              <w:t>6.17%</w:t>
            </w:r>
          </w:p>
        </w:tc>
        <w:tc>
          <w:tcPr>
            <w:tcW w:type="dxa" w:w="864"/>
          </w:tcPr>
          <w:p>
            <w:pPr>
              <w:spacing w:line="240" w:lineRule="auto" w:before="40" w:after="40"/>
              <w:jc w:val="center"/>
            </w:pPr>
            <w:r/>
            <w:r>
              <w:rPr>
                <w:b w:val="0"/>
                <w:i w:val="0"/>
                <w:sz w:val="16"/>
              </w:rPr>
              <w:t>0.9748</w:t>
            </w:r>
          </w:p>
        </w:tc>
        <w:tc>
          <w:tcPr>
            <w:tcW w:type="dxa" w:w="1080"/>
          </w:tcPr>
          <w:p>
            <w:pPr>
              <w:spacing w:line="240" w:lineRule="auto" w:before="40" w:after="40"/>
              <w:jc w:val="center"/>
            </w:pPr>
            <w:r/>
            <w:r>
              <w:rPr>
                <w:b w:val="0"/>
                <w:i w:val="0"/>
                <w:sz w:val="16"/>
              </w:rPr>
              <w:t>100.0%</w:t>
            </w:r>
          </w:p>
        </w:tc>
        <w:tc>
          <w:tcPr>
            <w:tcW w:type="dxa" w:w="1080"/>
          </w:tcPr>
          <w:p>
            <w:pPr>
              <w:spacing w:line="240" w:lineRule="auto" w:before="40" w:after="40"/>
              <w:jc w:val="center"/>
            </w:pPr>
            <w:r/>
            <w:r>
              <w:rPr>
                <w:b w:val="0"/>
                <w:i w:val="0"/>
                <w:sz w:val="16"/>
              </w:rPr>
              <w:t>100.0%</w:t>
            </w:r>
          </w:p>
        </w:tc>
        <w:tc>
          <w:tcPr>
            <w:tcW w:type="dxa" w:w="720"/>
          </w:tcPr>
          <w:p>
            <w:pPr>
              <w:spacing w:line="240" w:lineRule="auto" w:before="40" w:after="40"/>
              <w:jc w:val="center"/>
            </w:pPr>
            <w:r/>
            <w:r>
              <w:rPr>
                <w:b w:val="0"/>
                <w:i w:val="0"/>
                <w:sz w:val="16"/>
              </w:rPr>
              <w:t>1.000</w:t>
            </w:r>
          </w:p>
        </w:tc>
        <w:tc>
          <w:tcPr>
            <w:tcW w:type="dxa" w:w="792"/>
          </w:tcPr>
          <w:p>
            <w:pPr>
              <w:spacing w:line="240" w:lineRule="auto" w:before="40" w:after="40"/>
              <w:jc w:val="center"/>
            </w:pPr>
            <w:r/>
            <w:r>
              <w:rPr>
                <w:b w:val="0"/>
                <w:i w:val="0"/>
                <w:sz w:val="16"/>
              </w:rPr>
              <w:t>1.000</w:t>
            </w:r>
          </w:p>
        </w:tc>
        <w:tc>
          <w:tcPr>
            <w:tcW w:type="dxa" w:w="648"/>
          </w:tcPr>
          <w:p>
            <w:pPr>
              <w:spacing w:line="240" w:lineRule="auto" w:before="40" w:after="40"/>
              <w:jc w:val="center"/>
            </w:pPr>
            <w:r/>
            <w:r>
              <w:rPr>
                <w:b w:val="0"/>
                <w:i w:val="0"/>
                <w:sz w:val="16"/>
              </w:rPr>
              <w:t>1.000</w:t>
            </w:r>
          </w:p>
        </w:tc>
      </w:tr>
      <w:tr>
        <w:tc>
          <w:tcPr>
            <w:tcW w:type="dxa" w:w="2520"/>
            <w:shd w:val="clear" w:color="auto" w:fill="EFEFEF"/>
          </w:tcPr>
          <w:p>
            <w:pPr>
              <w:spacing w:line="240" w:lineRule="auto" w:before="40" w:after="40"/>
              <w:jc w:val="left"/>
            </w:pPr>
            <w:r/>
            <w:r>
              <w:rPr>
                <w:b w:val="0"/>
                <w:i/>
                <w:sz w:val="16"/>
              </w:rPr>
              <w:t>Seaport terminals</w:t>
            </w:r>
          </w:p>
        </w:tc>
        <w:tc>
          <w:tcPr>
            <w:tcW w:type="dxa" w:w="504"/>
            <w:shd w:val="clear" w:color="auto" w:fill="EFEFEF"/>
          </w:tcPr>
          <w:p>
            <w:pPr>
              <w:spacing w:line="240" w:lineRule="auto" w:before="40" w:after="40"/>
              <w:jc w:val="center"/>
            </w:pPr>
            <w:r/>
            <w:r>
              <w:rPr>
                <w:b w:val="0"/>
                <w:i w:val="0"/>
                <w:sz w:val="16"/>
              </w:rPr>
              <w:t>20</w:t>
            </w:r>
          </w:p>
        </w:tc>
        <w:tc>
          <w:tcPr>
            <w:tcW w:type="dxa" w:w="864"/>
            <w:shd w:val="clear" w:color="auto" w:fill="EFEFEF"/>
          </w:tcPr>
          <w:p>
            <w:pPr>
              <w:spacing w:line="240" w:lineRule="auto" w:before="40" w:after="40"/>
              <w:jc w:val="center"/>
            </w:pPr>
            <w:r/>
            <w:r>
              <w:rPr>
                <w:b w:val="0"/>
                <w:i w:val="0"/>
                <w:sz w:val="16"/>
              </w:rPr>
              <w:t>7.09%</w:t>
            </w:r>
          </w:p>
        </w:tc>
        <w:tc>
          <w:tcPr>
            <w:tcW w:type="dxa" w:w="864"/>
            <w:shd w:val="clear" w:color="auto" w:fill="EFEFEF"/>
          </w:tcPr>
          <w:p>
            <w:pPr>
              <w:spacing w:line="240" w:lineRule="auto" w:before="40" w:after="40"/>
              <w:jc w:val="center"/>
            </w:pPr>
            <w:r/>
            <w:r>
              <w:rPr>
                <w:b w:val="0"/>
                <w:i w:val="0"/>
                <w:sz w:val="16"/>
              </w:rPr>
              <w:t>0.9216</w:t>
            </w:r>
          </w:p>
        </w:tc>
        <w:tc>
          <w:tcPr>
            <w:tcW w:type="dxa" w:w="1080"/>
            <w:shd w:val="clear" w:color="auto" w:fill="EFEFEF"/>
          </w:tcPr>
          <w:p>
            <w:pPr>
              <w:spacing w:line="240" w:lineRule="auto" w:before="40" w:after="40"/>
              <w:jc w:val="center"/>
            </w:pPr>
            <w:r/>
            <w:r>
              <w:rPr>
                <w:b w:val="0"/>
                <w:i w:val="0"/>
                <w:sz w:val="16"/>
              </w:rPr>
              <w:t>94.4%</w:t>
            </w:r>
          </w:p>
        </w:tc>
        <w:tc>
          <w:tcPr>
            <w:tcW w:type="dxa" w:w="1080"/>
            <w:shd w:val="clear" w:color="auto" w:fill="EFEFEF"/>
          </w:tcPr>
          <w:p>
            <w:pPr>
              <w:spacing w:line="240" w:lineRule="auto" w:before="40" w:after="40"/>
              <w:jc w:val="center"/>
            </w:pPr>
            <w:r/>
            <w:r>
              <w:rPr>
                <w:b w:val="0"/>
                <w:i w:val="0"/>
                <w:sz w:val="16"/>
              </w:rPr>
              <w:t>100.0%</w:t>
            </w:r>
          </w:p>
        </w:tc>
        <w:tc>
          <w:tcPr>
            <w:tcW w:type="dxa" w:w="720"/>
            <w:shd w:val="clear" w:color="auto" w:fill="EFEFEF"/>
          </w:tcPr>
          <w:p>
            <w:pPr>
              <w:spacing w:line="240" w:lineRule="auto" w:before="40" w:after="40"/>
              <w:jc w:val="center"/>
            </w:pPr>
            <w:r/>
            <w:r>
              <w:rPr>
                <w:b w:val="0"/>
                <w:i w:val="0"/>
                <w:sz w:val="16"/>
              </w:rPr>
              <w:t>1.000</w:t>
            </w:r>
          </w:p>
        </w:tc>
        <w:tc>
          <w:tcPr>
            <w:tcW w:type="dxa" w:w="792"/>
            <w:shd w:val="clear" w:color="auto" w:fill="EFEFEF"/>
          </w:tcPr>
          <w:p>
            <w:pPr>
              <w:spacing w:line="240" w:lineRule="auto" w:before="40" w:after="40"/>
              <w:jc w:val="center"/>
            </w:pPr>
            <w:r/>
            <w:r>
              <w:rPr>
                <w:b w:val="0"/>
                <w:i w:val="0"/>
                <w:sz w:val="16"/>
              </w:rPr>
              <w:t>1.000</w:t>
            </w:r>
          </w:p>
        </w:tc>
        <w:tc>
          <w:tcPr>
            <w:tcW w:type="dxa" w:w="648"/>
            <w:shd w:val="clear" w:color="auto" w:fill="EFEFEF"/>
          </w:tcPr>
          <w:p>
            <w:pPr>
              <w:spacing w:line="240" w:lineRule="auto" w:before="40" w:after="40"/>
              <w:jc w:val="center"/>
            </w:pPr>
            <w:r/>
            <w:r>
              <w:rPr>
                <w:b w:val="0"/>
                <w:i w:val="0"/>
                <w:sz w:val="16"/>
              </w:rPr>
              <w:t>1.000</w:t>
            </w:r>
          </w:p>
        </w:tc>
      </w:tr>
      <w:tr>
        <w:tc>
          <w:tcPr>
            <w:tcW w:type="dxa" w:w="2520"/>
          </w:tcPr>
          <w:p>
            <w:pPr>
              <w:spacing w:line="240" w:lineRule="auto" w:before="40" w:after="40"/>
              <w:jc w:val="left"/>
            </w:pPr>
            <w:r/>
            <w:r>
              <w:rPr>
                <w:b w:val="0"/>
                <w:i/>
                <w:sz w:val="16"/>
              </w:rPr>
              <w:t>Land transport terminals</w:t>
            </w:r>
          </w:p>
        </w:tc>
        <w:tc>
          <w:tcPr>
            <w:tcW w:type="dxa" w:w="504"/>
          </w:tcPr>
          <w:p>
            <w:pPr>
              <w:spacing w:line="240" w:lineRule="auto" w:before="40" w:after="40"/>
              <w:jc w:val="center"/>
            </w:pPr>
            <w:r/>
            <w:r>
              <w:rPr>
                <w:b w:val="0"/>
                <w:i w:val="0"/>
                <w:sz w:val="16"/>
              </w:rPr>
              <w:t>40</w:t>
            </w:r>
          </w:p>
        </w:tc>
        <w:tc>
          <w:tcPr>
            <w:tcW w:type="dxa" w:w="864"/>
          </w:tcPr>
          <w:p>
            <w:pPr>
              <w:spacing w:line="240" w:lineRule="auto" w:before="40" w:after="40"/>
              <w:jc w:val="center"/>
            </w:pPr>
            <w:r/>
            <w:r>
              <w:rPr>
                <w:b w:val="0"/>
                <w:i w:val="0"/>
                <w:sz w:val="16"/>
              </w:rPr>
              <w:t>4.50%</w:t>
            </w:r>
          </w:p>
        </w:tc>
        <w:tc>
          <w:tcPr>
            <w:tcW w:type="dxa" w:w="864"/>
          </w:tcPr>
          <w:p>
            <w:pPr>
              <w:spacing w:line="240" w:lineRule="auto" w:before="40" w:after="40"/>
              <w:jc w:val="center"/>
            </w:pPr>
            <w:r/>
            <w:r>
              <w:rPr>
                <w:b w:val="0"/>
                <w:i w:val="0"/>
                <w:sz w:val="16"/>
              </w:rPr>
              <w:t>0.9733</w:t>
            </w:r>
          </w:p>
        </w:tc>
        <w:tc>
          <w:tcPr>
            <w:tcW w:type="dxa" w:w="1080"/>
          </w:tcPr>
          <w:p>
            <w:pPr>
              <w:spacing w:line="240" w:lineRule="auto" w:before="40" w:after="40"/>
              <w:jc w:val="center"/>
            </w:pPr>
            <w:r/>
            <w:r>
              <w:rPr>
                <w:b w:val="0"/>
                <w:i w:val="0"/>
                <w:sz w:val="16"/>
              </w:rPr>
              <w:t>100.0%</w:t>
            </w:r>
          </w:p>
        </w:tc>
        <w:tc>
          <w:tcPr>
            <w:tcW w:type="dxa" w:w="1080"/>
          </w:tcPr>
          <w:p>
            <w:pPr>
              <w:spacing w:line="240" w:lineRule="auto" w:before="40" w:after="40"/>
              <w:jc w:val="center"/>
            </w:pPr>
            <w:r/>
            <w:r>
              <w:rPr>
                <w:b w:val="0"/>
                <w:i w:val="0"/>
                <w:sz w:val="16"/>
              </w:rPr>
              <w:t>100.0%</w:t>
            </w:r>
          </w:p>
        </w:tc>
        <w:tc>
          <w:tcPr>
            <w:tcW w:type="dxa" w:w="720"/>
          </w:tcPr>
          <w:p>
            <w:pPr>
              <w:spacing w:line="240" w:lineRule="auto" w:before="40" w:after="40"/>
              <w:jc w:val="center"/>
            </w:pPr>
            <w:r/>
            <w:r>
              <w:rPr>
                <w:b w:val="0"/>
                <w:i w:val="0"/>
                <w:sz w:val="16"/>
              </w:rPr>
              <w:t>1.000</w:t>
            </w:r>
          </w:p>
        </w:tc>
        <w:tc>
          <w:tcPr>
            <w:tcW w:type="dxa" w:w="792"/>
          </w:tcPr>
          <w:p>
            <w:pPr>
              <w:spacing w:line="240" w:lineRule="auto" w:before="40" w:after="40"/>
              <w:jc w:val="center"/>
            </w:pPr>
            <w:r/>
            <w:r>
              <w:rPr>
                <w:b w:val="0"/>
                <w:i w:val="0"/>
                <w:sz w:val="16"/>
              </w:rPr>
              <w:t>0.833</w:t>
            </w:r>
          </w:p>
        </w:tc>
        <w:tc>
          <w:tcPr>
            <w:tcW w:type="dxa" w:w="648"/>
          </w:tcPr>
          <w:p>
            <w:pPr>
              <w:spacing w:line="240" w:lineRule="auto" w:before="40" w:after="40"/>
              <w:jc w:val="center"/>
            </w:pPr>
            <w:r/>
            <w:r>
              <w:rPr>
                <w:b w:val="0"/>
                <w:i w:val="0"/>
                <w:sz w:val="16"/>
              </w:rPr>
              <w:t>0.909</w:t>
            </w:r>
          </w:p>
        </w:tc>
      </w:tr>
      <w:tr>
        <w:tc>
          <w:tcPr>
            <w:tcW w:type="dxa" w:w="2520"/>
            <w:shd w:val="clear" w:color="auto" w:fill="EFEFEF"/>
          </w:tcPr>
          <w:p>
            <w:pPr>
              <w:spacing w:line="240" w:lineRule="auto" w:before="40" w:after="40"/>
              <w:jc w:val="left"/>
            </w:pPr>
            <w:r/>
            <w:r>
              <w:rPr>
                <w:b w:val="0"/>
                <w:i/>
                <w:sz w:val="16"/>
              </w:rPr>
              <w:t>Airfield pavements</w:t>
            </w:r>
          </w:p>
        </w:tc>
        <w:tc>
          <w:tcPr>
            <w:tcW w:type="dxa" w:w="504"/>
            <w:shd w:val="clear" w:color="auto" w:fill="EFEFEF"/>
          </w:tcPr>
          <w:p>
            <w:pPr>
              <w:spacing w:line="240" w:lineRule="auto" w:before="40" w:after="40"/>
              <w:jc w:val="center"/>
            </w:pPr>
            <w:r/>
            <w:r>
              <w:rPr>
                <w:b w:val="0"/>
                <w:i w:val="0"/>
                <w:sz w:val="16"/>
              </w:rPr>
              <w:t>35</w:t>
            </w:r>
          </w:p>
        </w:tc>
        <w:tc>
          <w:tcPr>
            <w:tcW w:type="dxa" w:w="864"/>
            <w:shd w:val="clear" w:color="auto" w:fill="EFEFEF"/>
          </w:tcPr>
          <w:p>
            <w:pPr>
              <w:spacing w:line="240" w:lineRule="auto" w:before="40" w:after="40"/>
              <w:jc w:val="center"/>
            </w:pPr>
            <w:r/>
            <w:r>
              <w:rPr>
                <w:b w:val="0"/>
                <w:i w:val="0"/>
                <w:sz w:val="16"/>
              </w:rPr>
              <w:t>5.43%</w:t>
            </w:r>
          </w:p>
        </w:tc>
        <w:tc>
          <w:tcPr>
            <w:tcW w:type="dxa" w:w="864"/>
            <w:shd w:val="clear" w:color="auto" w:fill="EFEFEF"/>
          </w:tcPr>
          <w:p>
            <w:pPr>
              <w:spacing w:line="240" w:lineRule="auto" w:before="40" w:after="40"/>
              <w:jc w:val="center"/>
            </w:pPr>
            <w:r/>
            <w:r>
              <w:rPr>
                <w:b w:val="0"/>
                <w:i w:val="0"/>
                <w:sz w:val="16"/>
              </w:rPr>
              <w:t>0.9858</w:t>
            </w:r>
          </w:p>
        </w:tc>
        <w:tc>
          <w:tcPr>
            <w:tcW w:type="dxa" w:w="1080"/>
            <w:shd w:val="clear" w:color="auto" w:fill="EFEFEF"/>
          </w:tcPr>
          <w:p>
            <w:pPr>
              <w:spacing w:line="240" w:lineRule="auto" w:before="40" w:after="40"/>
              <w:jc w:val="center"/>
            </w:pPr>
            <w:r/>
            <w:r>
              <w:rPr>
                <w:b w:val="0"/>
                <w:i w:val="0"/>
                <w:sz w:val="16"/>
              </w:rPr>
              <w:t>62.1%</w:t>
            </w:r>
          </w:p>
        </w:tc>
        <w:tc>
          <w:tcPr>
            <w:tcW w:type="dxa" w:w="1080"/>
            <w:shd w:val="clear" w:color="auto" w:fill="EFEFEF"/>
          </w:tcPr>
          <w:p>
            <w:pPr>
              <w:spacing w:line="240" w:lineRule="auto" w:before="40" w:after="40"/>
              <w:jc w:val="center"/>
            </w:pPr>
            <w:r/>
            <w:r>
              <w:rPr>
                <w:b w:val="0"/>
                <w:i w:val="0"/>
                <w:sz w:val="16"/>
              </w:rPr>
              <w:t>96.6%</w:t>
            </w:r>
          </w:p>
        </w:tc>
        <w:tc>
          <w:tcPr>
            <w:tcW w:type="dxa" w:w="720"/>
            <w:shd w:val="clear" w:color="auto" w:fill="EFEFEF"/>
          </w:tcPr>
          <w:p>
            <w:pPr>
              <w:spacing w:line="240" w:lineRule="auto" w:before="40" w:after="40"/>
              <w:jc w:val="center"/>
            </w:pPr>
            <w:r/>
            <w:r>
              <w:rPr>
                <w:b w:val="0"/>
                <w:i w:val="0"/>
                <w:sz w:val="16"/>
              </w:rPr>
              <w:t>0.857</w:t>
            </w:r>
          </w:p>
        </w:tc>
        <w:tc>
          <w:tcPr>
            <w:tcW w:type="dxa" w:w="792"/>
            <w:shd w:val="clear" w:color="auto" w:fill="EFEFEF"/>
          </w:tcPr>
          <w:p>
            <w:pPr>
              <w:spacing w:line="240" w:lineRule="auto" w:before="40" w:after="40"/>
              <w:jc w:val="center"/>
            </w:pPr>
            <w:r/>
            <w:r>
              <w:rPr>
                <w:b w:val="0"/>
                <w:i w:val="0"/>
                <w:sz w:val="16"/>
              </w:rPr>
              <w:t>1.000</w:t>
            </w:r>
          </w:p>
        </w:tc>
        <w:tc>
          <w:tcPr>
            <w:tcW w:type="dxa" w:w="648"/>
            <w:shd w:val="clear" w:color="auto" w:fill="EFEFEF"/>
          </w:tcPr>
          <w:p>
            <w:pPr>
              <w:spacing w:line="240" w:lineRule="auto" w:before="40" w:after="40"/>
              <w:jc w:val="center"/>
            </w:pPr>
            <w:r/>
            <w:r>
              <w:rPr>
                <w:b w:val="0"/>
                <w:i w:val="0"/>
                <w:sz w:val="16"/>
              </w:rPr>
              <w:t>0.923</w:t>
            </w:r>
          </w:p>
        </w:tc>
      </w:tr>
      <w:tr>
        <w:tc>
          <w:tcPr>
            <w:tcW w:type="dxa" w:w="2520"/>
          </w:tcPr>
          <w:p>
            <w:pPr>
              <w:spacing w:line="240" w:lineRule="auto" w:before="40" w:after="40"/>
              <w:jc w:val="left"/>
            </w:pPr>
            <w:r/>
            <w:r>
              <w:rPr>
                <w:b w:val="0"/>
                <w:i/>
                <w:sz w:val="16"/>
              </w:rPr>
              <w:t>Port structures</w:t>
            </w:r>
          </w:p>
        </w:tc>
        <w:tc>
          <w:tcPr>
            <w:tcW w:type="dxa" w:w="504"/>
          </w:tcPr>
          <w:p>
            <w:pPr>
              <w:spacing w:line="240" w:lineRule="auto" w:before="40" w:after="40"/>
              <w:jc w:val="center"/>
            </w:pPr>
            <w:r/>
            <w:r>
              <w:rPr>
                <w:b w:val="0"/>
                <w:i w:val="0"/>
                <w:sz w:val="16"/>
              </w:rPr>
              <w:t>35</w:t>
            </w:r>
          </w:p>
        </w:tc>
        <w:tc>
          <w:tcPr>
            <w:tcW w:type="dxa" w:w="864"/>
          </w:tcPr>
          <w:p>
            <w:pPr>
              <w:spacing w:line="240" w:lineRule="auto" w:before="40" w:after="40"/>
              <w:jc w:val="center"/>
            </w:pPr>
            <w:r/>
            <w:r>
              <w:rPr>
                <w:b w:val="0"/>
                <w:i w:val="0"/>
                <w:sz w:val="16"/>
              </w:rPr>
              <w:t>7.50%</w:t>
            </w:r>
          </w:p>
        </w:tc>
        <w:tc>
          <w:tcPr>
            <w:tcW w:type="dxa" w:w="864"/>
          </w:tcPr>
          <w:p>
            <w:pPr>
              <w:spacing w:line="240" w:lineRule="auto" w:before="40" w:after="40"/>
              <w:jc w:val="center"/>
            </w:pPr>
            <w:r/>
            <w:r>
              <w:rPr>
                <w:b w:val="0"/>
                <w:i w:val="0"/>
                <w:sz w:val="16"/>
              </w:rPr>
              <w:t>0.9527</w:t>
            </w:r>
          </w:p>
        </w:tc>
        <w:tc>
          <w:tcPr>
            <w:tcW w:type="dxa" w:w="1080"/>
          </w:tcPr>
          <w:p>
            <w:pPr>
              <w:spacing w:line="240" w:lineRule="auto" w:before="40" w:after="40"/>
              <w:jc w:val="center"/>
            </w:pPr>
            <w:r/>
            <w:r>
              <w:rPr>
                <w:b w:val="0"/>
                <w:i w:val="0"/>
                <w:sz w:val="16"/>
              </w:rPr>
              <w:t>87.5%</w:t>
            </w:r>
          </w:p>
        </w:tc>
        <w:tc>
          <w:tcPr>
            <w:tcW w:type="dxa" w:w="1080"/>
          </w:tcPr>
          <w:p>
            <w:pPr>
              <w:spacing w:line="240" w:lineRule="auto" w:before="40" w:after="40"/>
              <w:jc w:val="center"/>
            </w:pPr>
            <w:r/>
            <w:r>
              <w:rPr>
                <w:b w:val="0"/>
                <w:i w:val="0"/>
                <w:sz w:val="16"/>
              </w:rPr>
              <w:t>81.2%</w:t>
            </w:r>
          </w:p>
        </w:tc>
        <w:tc>
          <w:tcPr>
            <w:tcW w:type="dxa" w:w="720"/>
          </w:tcPr>
          <w:p>
            <w:pPr>
              <w:spacing w:line="240" w:lineRule="auto" w:before="40" w:after="40"/>
              <w:jc w:val="center"/>
            </w:pPr>
            <w:r/>
            <w:r>
              <w:rPr>
                <w:b w:val="0"/>
                <w:i w:val="0"/>
                <w:sz w:val="16"/>
              </w:rPr>
              <w:t>0.333</w:t>
            </w:r>
          </w:p>
        </w:tc>
        <w:tc>
          <w:tcPr>
            <w:tcW w:type="dxa" w:w="792"/>
          </w:tcPr>
          <w:p>
            <w:pPr>
              <w:spacing w:line="240" w:lineRule="auto" w:before="40" w:after="40"/>
              <w:jc w:val="center"/>
            </w:pPr>
            <w:r/>
            <w:r>
              <w:rPr>
                <w:b w:val="0"/>
                <w:i w:val="0"/>
                <w:sz w:val="16"/>
              </w:rPr>
              <w:t>1.000</w:t>
            </w:r>
          </w:p>
        </w:tc>
        <w:tc>
          <w:tcPr>
            <w:tcW w:type="dxa" w:w="648"/>
          </w:tcPr>
          <w:p>
            <w:pPr>
              <w:spacing w:line="240" w:lineRule="auto" w:before="40" w:after="40"/>
              <w:jc w:val="center"/>
            </w:pPr>
            <w:r/>
            <w:r>
              <w:rPr>
                <w:b w:val="0"/>
                <w:i w:val="0"/>
                <w:sz w:val="16"/>
              </w:rPr>
              <w:t>0.500</w:t>
            </w:r>
          </w:p>
        </w:tc>
      </w:tr>
      <w:tr>
        <w:tc>
          <w:tcPr>
            <w:tcW w:type="dxa" w:w="2520"/>
            <w:shd w:val="clear" w:color="auto" w:fill="EFEFEF"/>
            <w:tcBorders>
              <w:bottom w:val="single" w:sz="12" w:color="000000"/>
            </w:tcBorders>
          </w:tcPr>
          <w:p>
            <w:pPr>
              <w:spacing w:line="240" w:lineRule="auto" w:before="40" w:after="40"/>
              <w:jc w:val="left"/>
            </w:pPr>
            <w:r/>
            <w:r>
              <w:rPr>
                <w:b w:val="0"/>
                <w:i/>
                <w:sz w:val="16"/>
              </w:rPr>
              <w:t>All extension projects</w:t>
            </w:r>
          </w:p>
        </w:tc>
        <w:tc>
          <w:tcPr>
            <w:tcW w:type="dxa" w:w="504"/>
            <w:shd w:val="clear" w:color="auto" w:fill="EFEFEF"/>
            <w:tcBorders>
              <w:bottom w:val="single" w:sz="12" w:color="000000"/>
            </w:tcBorders>
          </w:tcPr>
          <w:p>
            <w:pPr>
              <w:spacing w:line="240" w:lineRule="auto" w:before="40" w:after="40"/>
              <w:jc w:val="center"/>
            </w:pPr>
            <w:r/>
            <w:r>
              <w:rPr>
                <w:b w:val="0"/>
                <w:i w:val="0"/>
                <w:sz w:val="16"/>
              </w:rPr>
              <w:t>180</w:t>
            </w:r>
          </w:p>
        </w:tc>
        <w:tc>
          <w:tcPr>
            <w:tcW w:type="dxa" w:w="864"/>
            <w:shd w:val="clear" w:color="auto" w:fill="EFEFEF"/>
            <w:tcBorders>
              <w:bottom w:val="single" w:sz="12" w:color="000000"/>
            </w:tcBorders>
          </w:tcPr>
          <w:p>
            <w:pPr>
              <w:spacing w:line="240" w:lineRule="auto" w:before="40" w:after="40"/>
              <w:jc w:val="center"/>
            </w:pPr>
            <w:r/>
            <w:r>
              <w:rPr>
                <w:b w:val="0"/>
                <w:i w:val="0"/>
                <w:sz w:val="16"/>
              </w:rPr>
              <w:t>6.40%</w:t>
            </w:r>
          </w:p>
        </w:tc>
        <w:tc>
          <w:tcPr>
            <w:tcW w:type="dxa" w:w="864"/>
            <w:shd w:val="clear" w:color="auto" w:fill="EFEFEF"/>
            <w:tcBorders>
              <w:bottom w:val="single" w:sz="12" w:color="000000"/>
            </w:tcBorders>
          </w:tcPr>
          <w:p>
            <w:pPr>
              <w:spacing w:line="240" w:lineRule="auto" w:before="40" w:after="40"/>
              <w:jc w:val="center"/>
            </w:pPr>
            <w:r/>
            <w:r>
              <w:rPr>
                <w:b w:val="0"/>
                <w:i w:val="0"/>
                <w:sz w:val="16"/>
              </w:rPr>
              <w:t>0.9863</w:t>
            </w:r>
          </w:p>
        </w:tc>
        <w:tc>
          <w:tcPr>
            <w:tcW w:type="dxa" w:w="1080"/>
            <w:shd w:val="clear" w:color="auto" w:fill="EFEFEF"/>
            <w:tcBorders>
              <w:bottom w:val="single" w:sz="12" w:color="000000"/>
            </w:tcBorders>
          </w:tcPr>
          <w:p>
            <w:pPr>
              <w:spacing w:line="240" w:lineRule="auto" w:before="40" w:after="40"/>
              <w:jc w:val="center"/>
            </w:pPr>
            <w:r/>
            <w:r>
              <w:rPr>
                <w:b w:val="0"/>
                <w:i w:val="0"/>
                <w:sz w:val="16"/>
              </w:rPr>
              <w:t>89.9%</w:t>
            </w:r>
          </w:p>
        </w:tc>
        <w:tc>
          <w:tcPr>
            <w:tcW w:type="dxa" w:w="1080"/>
            <w:shd w:val="clear" w:color="auto" w:fill="EFEFEF"/>
            <w:tcBorders>
              <w:bottom w:val="single" w:sz="12" w:color="000000"/>
            </w:tcBorders>
          </w:tcPr>
          <w:p>
            <w:pPr>
              <w:spacing w:line="240" w:lineRule="auto" w:before="40" w:after="40"/>
              <w:jc w:val="center"/>
            </w:pPr>
            <w:r/>
            <w:r>
              <w:rPr>
                <w:b w:val="0"/>
                <w:i w:val="0"/>
                <w:sz w:val="16"/>
              </w:rPr>
              <w:t>95.6%</w:t>
            </w:r>
          </w:p>
        </w:tc>
        <w:tc>
          <w:tcPr>
            <w:tcW w:type="dxa" w:w="720"/>
            <w:shd w:val="clear" w:color="auto" w:fill="EFEFEF"/>
            <w:tcBorders>
              <w:bottom w:val="single" w:sz="12" w:color="000000"/>
            </w:tcBorders>
          </w:tcPr>
          <w:p>
            <w:pPr>
              <w:spacing w:line="240" w:lineRule="auto" w:before="40" w:after="40"/>
              <w:jc w:val="center"/>
            </w:pPr>
            <w:r/>
            <w:r>
              <w:rPr>
                <w:b w:val="0"/>
                <w:i w:val="0"/>
                <w:sz w:val="16"/>
              </w:rPr>
              <w:t>0.750</w:t>
            </w:r>
          </w:p>
        </w:tc>
        <w:tc>
          <w:tcPr>
            <w:tcW w:type="dxa" w:w="792"/>
            <w:shd w:val="clear" w:color="auto" w:fill="EFEFEF"/>
            <w:tcBorders>
              <w:bottom w:val="single" w:sz="12" w:color="000000"/>
            </w:tcBorders>
          </w:tcPr>
          <w:p>
            <w:pPr>
              <w:spacing w:line="240" w:lineRule="auto" w:before="40" w:after="40"/>
              <w:jc w:val="center"/>
            </w:pPr>
            <w:r/>
            <w:r>
              <w:rPr>
                <w:b w:val="0"/>
                <w:i w:val="0"/>
                <w:sz w:val="16"/>
              </w:rPr>
              <w:t>0.955</w:t>
            </w:r>
          </w:p>
        </w:tc>
        <w:tc>
          <w:tcPr>
            <w:tcW w:type="dxa" w:w="648"/>
            <w:shd w:val="clear" w:color="auto" w:fill="EFEFEF"/>
            <w:tcBorders>
              <w:bottom w:val="single" w:sz="12" w:color="000000"/>
            </w:tcBorders>
          </w:tcPr>
          <w:p>
            <w:pPr>
              <w:spacing w:line="240" w:lineRule="auto" w:before="40" w:after="40"/>
              <w:jc w:val="center"/>
            </w:pPr>
            <w:r/>
            <w:r>
              <w:rPr>
                <w:b w:val="0"/>
                <w:i w:val="0"/>
                <w:sz w:val="16"/>
              </w:rPr>
              <w:t>0.840</w:t>
            </w:r>
          </w:p>
        </w:tc>
      </w:tr>
    </w:tbl>
    <w:p>
      <w:pPr>
        <w:spacing w:line="240" w:lineRule="auto" w:after="80"/>
      </w:pPr>
    </w:p>
    <w:p>
      <w:pPr>
        <w:spacing w:line="480" w:lineRule="auto" w:after="0"/>
        <w:ind w:firstLine="720"/>
        <w:jc w:val="both"/>
      </w:pPr>
      <w:r>
        <w:rPr>
          <w:b w:val="0"/>
          <w:i w:val="0"/>
        </w:rPr>
        <w:t>Against fair awarded costs, the standard estimate reached a MAPE of 6.40% and R</w:t>
      </w:r>
      <w:r>
        <w:rPr>
          <w:b w:val="0"/>
          <w:i w:val="0"/>
          <w:vertAlign w:val="superscript"/>
        </w:rPr>
        <w:t>2</w:t>
      </w:r>
      <w:r>
        <w:rPr>
          <w:b w:val="0"/>
          <w:i w:val="0"/>
        </w:rPr>
        <w:t xml:space="preserve"> = 0.9863 across the extension, from 4.50% for land transport terminals to 8.30% for hospitals, whose mechanical and medical systems vary most. The lean start quotation was at or below the fair award in 89.9% of projects and the ceiling covered 95.6%.</w:t>
      </w:r>
    </w:p>
    <w:p>
      <w:pPr>
        <w:keepNext/>
        <w:spacing w:line="480" w:lineRule="auto" w:after="0"/>
        <w:ind w:left="720"/>
        <w:jc w:val="left"/>
      </w:pPr>
      <w:r>
        <w:rPr>
          <w:b/>
          <w:i w:val="0"/>
        </w:rPr>
        <w:t>c.) Detection by the Standards-Based Rule</w:t>
      </w:r>
    </w:p>
    <w:p>
      <w:pPr>
        <w:spacing w:line="480" w:lineRule="auto" w:after="0"/>
        <w:ind w:firstLine="720"/>
        <w:jc w:val="both"/>
      </w:pPr>
      <w:r>
        <w:rPr>
          <w:b w:val="0"/>
          <w:i w:val="0"/>
        </w:rPr>
        <w:t>The rule caught 21 of 22 padded contracts (recall 0.955, precision 0.750, AUC 0.998); the extension risk index at 30 caught all 22 with precision 0.733. Most false alarms were port structures, where unseen pile penetration raises the true cost, the same pattern as bridge piles in SBD-300.</w:t>
      </w:r>
    </w:p>
    <w:p>
      <w:pPr>
        <w:keepNext/>
        <w:spacing w:line="240" w:lineRule="auto" w:after="0" w:before="120"/>
        <w:jc w:val="left"/>
      </w:pPr>
      <w:r>
        <w:rPr>
          <w:b/>
          <w:i w:val="0"/>
        </w:rPr>
        <w:t>Figure 21.</w:t>
      </w:r>
    </w:p>
    <w:p>
      <w:pPr>
        <w:keepNext/>
        <w:spacing w:line="240" w:lineRule="auto" w:after="0"/>
        <w:jc w:val="left"/>
      </w:pPr>
      <w:r>
        <w:rPr>
          <w:b w:val="0"/>
          <w:i/>
        </w:rPr>
        <w:t>Accuracy and Detection by Extension Class (SBD-EXT)</w:t>
      </w:r>
    </w:p>
    <w:p>
      <w:pPr>
        <w:spacing w:line="240" w:lineRule="auto" w:after="200"/>
        <w:jc w:val="center"/>
      </w:pPr>
      <w:r>
        <w:drawing>
          <wp:inline xmlns:a="http://schemas.openxmlformats.org/drawingml/2006/main" xmlns:pic="http://schemas.openxmlformats.org/drawingml/2006/picture">
            <wp:extent cx="5760720" cy="2229956"/>
            <wp:docPr id="73" name="Picture 73"/>
            <wp:cNvGraphicFramePr>
              <a:graphicFrameLocks noChangeAspect="1"/>
            </wp:cNvGraphicFramePr>
            <a:graphic>
              <a:graphicData uri="http://schemas.openxmlformats.org/drawingml/2006/picture">
                <pic:pic>
                  <pic:nvPicPr>
                    <pic:cNvPr id="0" name="ext_results.png"/>
                    <pic:cNvPicPr/>
                  </pic:nvPicPr>
                  <pic:blipFill>
                    <a:blip r:embed="rId57"/>
                    <a:stretch>
                      <a:fillRect/>
                    </a:stretch>
                  </pic:blipFill>
                  <pic:spPr>
                    <a:xfrm>
                      <a:off x="0" y="0"/>
                      <a:ext cx="5760720" cy="2229956"/>
                    </a:xfrm>
                    <a:prstGeom prst="rect"/>
                  </pic:spPr>
                </pic:pic>
              </a:graphicData>
            </a:graphic>
          </wp:inline>
        </w:drawing>
      </w:r>
    </w:p>
    <w:p>
      <w:pPr>
        <w:keepNext/>
        <w:spacing w:line="480" w:lineRule="auto" w:after="0"/>
        <w:jc w:val="left"/>
      </w:pPr>
      <w:r>
        <w:rPr>
          <w:b/>
          <w:i w:val="0"/>
        </w:rPr>
        <w:t>Deployment of BUHAY-AH as a Mobile Application and Download Website</w:t>
      </w:r>
    </w:p>
    <w:p>
      <w:pPr>
        <w:spacing w:line="480" w:lineRule="auto" w:after="0"/>
        <w:ind w:firstLine="720"/>
        <w:jc w:val="both"/>
      </w:pPr>
      <w:r>
        <w:rPr>
          <w:b w:val="0"/>
          <w:i w:val="0"/>
        </w:rPr>
        <w:t>The seventh research question concerned how the system reaches its users. BUHAY-AH was deployed as an installable mobile application with five screens (Home, Design, Quote, Check and Library), an Android package, an offline ZIP package and a download website.</w:t>
      </w:r>
    </w:p>
    <w:p>
      <w:pPr>
        <w:keepNext/>
        <w:spacing w:line="480" w:lineRule="auto" w:after="0"/>
        <w:ind w:left="720"/>
        <w:jc w:val="left"/>
      </w:pPr>
      <w:r>
        <w:rPr>
          <w:b/>
          <w:i w:val="0"/>
        </w:rPr>
        <w:t>a.) Mobile Application with Design Studio</w:t>
      </w:r>
    </w:p>
    <w:p>
      <w:pPr>
        <w:keepNext/>
        <w:spacing w:line="240" w:lineRule="auto" w:after="0" w:before="120"/>
        <w:jc w:val="left"/>
      </w:pPr>
      <w:r>
        <w:rPr>
          <w:b/>
          <w:i w:val="0"/>
        </w:rPr>
        <w:t>Figure 22.</w:t>
      </w:r>
    </w:p>
    <w:p>
      <w:pPr>
        <w:keepNext/>
        <w:spacing w:line="240" w:lineRule="auto" w:after="0"/>
        <w:jc w:val="left"/>
      </w:pPr>
      <w:r>
        <w:rPr>
          <w:b w:val="0"/>
          <w:i/>
        </w:rPr>
        <w:t>Home Screen of the BUHAY-AH Application</w:t>
      </w:r>
    </w:p>
    <w:p>
      <w:pPr>
        <w:spacing w:line="240" w:lineRule="auto" w:after="200"/>
        <w:jc w:val="center"/>
      </w:pPr>
      <w:r>
        <w:drawing>
          <wp:inline xmlns:a="http://schemas.openxmlformats.org/drawingml/2006/main" xmlns:pic="http://schemas.openxmlformats.org/drawingml/2006/picture">
            <wp:extent cx="5669280" cy="3569239"/>
            <wp:docPr id="74" name="Picture 74"/>
            <wp:cNvGraphicFramePr>
              <a:graphicFrameLocks noChangeAspect="1"/>
            </wp:cNvGraphicFramePr>
            <a:graphic>
              <a:graphicData uri="http://schemas.openxmlformats.org/drawingml/2006/picture">
                <pic:pic>
                  <pic:nvPicPr>
                    <pic:cNvPr id="0" name="app_home.png"/>
                    <pic:cNvPicPr/>
                  </pic:nvPicPr>
                  <pic:blipFill>
                    <a:blip r:embed="rId58"/>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home screen shows the current plan as a 3D model with its start quotation and standard estimate and offers four actions: design from a budget, open the design templates, quote a plan and check a contract. A strip of templates from the design library invites users who have no blueprint yet.</w:t>
      </w:r>
    </w:p>
    <w:p>
      <w:pPr>
        <w:keepNext/>
        <w:spacing w:line="240" w:lineRule="auto" w:after="0" w:before="120"/>
        <w:jc w:val="left"/>
      </w:pPr>
      <w:r>
        <w:rPr>
          <w:b/>
          <w:i w:val="0"/>
        </w:rPr>
        <w:t>Figure 23.</w:t>
      </w:r>
    </w:p>
    <w:p>
      <w:pPr>
        <w:keepNext/>
        <w:spacing w:line="240" w:lineRule="auto" w:after="0"/>
        <w:jc w:val="left"/>
      </w:pPr>
      <w:r>
        <w:rPr>
          <w:b w:val="0"/>
          <w:i/>
        </w:rPr>
        <w:t>Design Studio with the Template Library</w:t>
      </w:r>
    </w:p>
    <w:p>
      <w:pPr>
        <w:spacing w:line="240" w:lineRule="auto" w:after="200"/>
        <w:jc w:val="center"/>
      </w:pPr>
      <w:r>
        <w:drawing>
          <wp:inline xmlns:a="http://schemas.openxmlformats.org/drawingml/2006/main" xmlns:pic="http://schemas.openxmlformats.org/drawingml/2006/picture">
            <wp:extent cx="5669280" cy="3569239"/>
            <wp:docPr id="75" name="Picture 75"/>
            <wp:cNvGraphicFramePr>
              <a:graphicFrameLocks noChangeAspect="1"/>
            </wp:cNvGraphicFramePr>
            <a:graphic>
              <a:graphicData uri="http://schemas.openxmlformats.org/drawingml/2006/picture">
                <pic:pic>
                  <pic:nvPicPr>
                    <pic:cNvPr id="0" name="app_design_templates.png"/>
                    <pic:cNvPicPr/>
                  </pic:nvPicPr>
                  <pic:blipFill>
                    <a:blip r:embed="rId59"/>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Design screen opens on the template library. Filter chips narrow the 80 designs by facility type, including hospitals, transport terminals, airfields and ports, and each card shows a floor-plan thumbnail, the capacity, storeys, dimensions, floor area and both quotations.</w:t>
      </w:r>
    </w:p>
    <w:p>
      <w:pPr>
        <w:keepNext/>
        <w:spacing w:line="240" w:lineRule="auto" w:after="0" w:before="120"/>
        <w:jc w:val="left"/>
      </w:pPr>
      <w:r>
        <w:rPr>
          <w:b/>
          <w:i w:val="0"/>
        </w:rPr>
        <w:t>Figure 24.</w:t>
      </w:r>
    </w:p>
    <w:p>
      <w:pPr>
        <w:keepNext/>
        <w:spacing w:line="240" w:lineRule="auto" w:after="0"/>
        <w:jc w:val="left"/>
      </w:pPr>
      <w:r>
        <w:rPr>
          <w:b w:val="0"/>
          <w:i/>
        </w:rPr>
        <w:t>Design Editor with Floor Plan, Spaces, Standards Checks and 3D Model</w:t>
      </w:r>
    </w:p>
    <w:p>
      <w:pPr>
        <w:spacing w:line="240" w:lineRule="auto" w:after="200"/>
        <w:jc w:val="center"/>
      </w:pPr>
      <w:r>
        <w:drawing>
          <wp:inline xmlns:a="http://schemas.openxmlformats.org/drawingml/2006/main" xmlns:pic="http://schemas.openxmlformats.org/drawingml/2006/picture">
            <wp:extent cx="5669280" cy="3569239"/>
            <wp:docPr id="76" name="Picture 76"/>
            <wp:cNvGraphicFramePr>
              <a:graphicFrameLocks noChangeAspect="1"/>
            </wp:cNvGraphicFramePr>
            <a:graphic>
              <a:graphicData uri="http://schemas.openxmlformats.org/drawingml/2006/picture">
                <pic:pic>
                  <pic:nvPicPr>
                    <pic:cNvPr id="0" name="app_design_editor.png"/>
                    <pic:cNvPicPr/>
                  </pic:nvPicPr>
                  <pic:blipFill>
                    <a:blip r:embed="rId60"/>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 xml:space="preserve">Opening a design shows the editor. The user renames the design, switches floors, adds or removes spaces with plus and minus buttons, adds any library space, adds a whole template or saved design as a wing, and changes storeys, layout, corridor width and roof. The plan, capacity, quotations, standards checks and 3D model update on every change. </w:t>
      </w:r>
      <w:r>
        <w:rPr>
          <w:b w:val="0"/>
          <w:i/>
        </w:rPr>
        <w:t>Quote this design</w:t>
      </w:r>
      <w:r>
        <w:rPr>
          <w:b w:val="0"/>
          <w:i w:val="0"/>
        </w:rPr>
        <w:t xml:space="preserve"> sends the plan variables to the Quote screen, </w:t>
      </w:r>
      <w:r>
        <w:rPr>
          <w:b w:val="0"/>
          <w:i/>
        </w:rPr>
        <w:t>Save design</w:t>
      </w:r>
      <w:r>
        <w:rPr>
          <w:b w:val="0"/>
          <w:i w:val="0"/>
        </w:rPr>
        <w:t xml:space="preserve"> stores it for reuse, and the floor plan can be exported as an SVG drawing.</w:t>
      </w:r>
    </w:p>
    <w:p>
      <w:pPr>
        <w:keepNext/>
        <w:spacing w:line="240" w:lineRule="auto" w:after="0" w:before="120"/>
        <w:jc w:val="left"/>
      </w:pPr>
      <w:r>
        <w:rPr>
          <w:b/>
          <w:i w:val="0"/>
        </w:rPr>
        <w:t>Figure 25.</w:t>
      </w:r>
    </w:p>
    <w:p>
      <w:pPr>
        <w:keepNext/>
        <w:spacing w:line="240" w:lineRule="auto" w:after="0"/>
        <w:jc w:val="left"/>
      </w:pPr>
      <w:r>
        <w:rPr>
          <w:b w:val="0"/>
          <w:i/>
        </w:rPr>
        <w:t>Design from a Budget</w:t>
      </w:r>
    </w:p>
    <w:p>
      <w:pPr>
        <w:spacing w:line="240" w:lineRule="auto" w:after="200"/>
        <w:jc w:val="center"/>
      </w:pPr>
      <w:r>
        <w:drawing>
          <wp:inline xmlns:a="http://schemas.openxmlformats.org/drawingml/2006/main" xmlns:pic="http://schemas.openxmlformats.org/drawingml/2006/picture">
            <wp:extent cx="5669280" cy="3569239"/>
            <wp:docPr id="77" name="Picture 77"/>
            <wp:cNvGraphicFramePr>
              <a:graphicFrameLocks noChangeAspect="1"/>
            </wp:cNvGraphicFramePr>
            <a:graphic>
              <a:graphicData uri="http://schemas.openxmlformats.org/drawingml/2006/picture">
                <pic:pic>
                  <pic:nvPicPr>
                    <pic:cNvPr id="0" name="app_design_budget.png"/>
                    <pic:cNvPicPr/>
                  </pic:nvPicPr>
                  <pic:blipFill>
                    <a:blip r:embed="rId61"/>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In Budget mode the user enters the facility, the money available, the price basis, the storey limit and the longest building the lot allows. The Pareto-efficient designs appear as cards with their capacity, cost, share of the budget and cost per classroom, bed, staff, person or stall; the largest design is highlighted.</w:t>
      </w:r>
    </w:p>
    <w:p>
      <w:pPr>
        <w:keepNext/>
        <w:spacing w:line="240" w:lineRule="auto" w:after="0" w:before="120"/>
        <w:jc w:val="left"/>
      </w:pPr>
      <w:r>
        <w:rPr>
          <w:b/>
          <w:i w:val="0"/>
        </w:rPr>
        <w:t>Figure 26.</w:t>
      </w:r>
    </w:p>
    <w:p>
      <w:pPr>
        <w:keepNext/>
        <w:spacing w:line="240" w:lineRule="auto" w:after="0"/>
        <w:jc w:val="left"/>
      </w:pPr>
      <w:r>
        <w:rPr>
          <w:b w:val="0"/>
          <w:i/>
        </w:rPr>
        <w:t>Bridge Designer Comparing Superstructures for a 45 m Gap</w:t>
      </w:r>
    </w:p>
    <w:p>
      <w:pPr>
        <w:spacing w:line="240" w:lineRule="auto" w:after="200"/>
        <w:jc w:val="center"/>
      </w:pPr>
      <w:r>
        <w:drawing>
          <wp:inline xmlns:a="http://schemas.openxmlformats.org/drawingml/2006/main" xmlns:pic="http://schemas.openxmlformats.org/drawingml/2006/picture">
            <wp:extent cx="5669280" cy="3569239"/>
            <wp:docPr id="78" name="Picture 78"/>
            <wp:cNvGraphicFramePr>
              <a:graphicFrameLocks noChangeAspect="1"/>
            </wp:cNvGraphicFramePr>
            <a:graphic>
              <a:graphicData uri="http://schemas.openxmlformats.org/drawingml/2006/picture">
                <pic:pic>
                  <pic:nvPicPr>
                    <pic:cNvPr id="0" name="app_design_bridge.png"/>
                    <pic:cNvPicPr/>
                  </pic:nvPicPr>
                  <pic:blipFill>
                    <a:blip r:embed="rId62"/>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bridge designer takes the gap, traffic lanes, pier and abutment heights, pile length and an optional budget, draws the elevation of the lowest-cost design and lists every option with its start and standard prices per meter.</w:t>
      </w:r>
    </w:p>
    <w:p>
      <w:pPr>
        <w:keepNext/>
        <w:spacing w:line="240" w:lineRule="auto" w:after="0" w:before="120"/>
        <w:jc w:val="left"/>
      </w:pPr>
      <w:r>
        <w:rPr>
          <w:b/>
          <w:i w:val="0"/>
        </w:rPr>
        <w:t>Figure 27.</w:t>
      </w:r>
    </w:p>
    <w:p>
      <w:pPr>
        <w:keepNext/>
        <w:spacing w:line="240" w:lineRule="auto" w:after="0"/>
        <w:jc w:val="left"/>
      </w:pPr>
      <w:r>
        <w:rPr>
          <w:b w:val="0"/>
          <w:i/>
        </w:rPr>
        <w:t>Quote Screen with the Three Quotation Tiers and the ABC</w:t>
      </w:r>
    </w:p>
    <w:p>
      <w:pPr>
        <w:spacing w:line="240" w:lineRule="auto" w:after="200"/>
        <w:jc w:val="center"/>
      </w:pPr>
      <w:r>
        <w:drawing>
          <wp:inline xmlns:a="http://schemas.openxmlformats.org/drawingml/2006/main" xmlns:pic="http://schemas.openxmlformats.org/drawingml/2006/picture">
            <wp:extent cx="5669280" cy="3569239"/>
            <wp:docPr id="79" name="Picture 79"/>
            <wp:cNvGraphicFramePr>
              <a:graphicFrameLocks noChangeAspect="1"/>
            </wp:cNvGraphicFramePr>
            <a:graphic>
              <a:graphicData uri="http://schemas.openxmlformats.org/drawingml/2006/picture">
                <pic:pic>
                  <pic:nvPicPr>
                    <pic:cNvPr id="0" name="app_quote.png"/>
                    <pic:cNvPicPr/>
                  </pic:nvPicPr>
                  <pic:blipFill>
                    <a:blip r:embed="rId63"/>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On the Quote screen, the user picks a reference or saved plan, imports a DXF or plan file, or types the plan variables. The three tiers update as the user types, with the lean start quotation highlighted. Beside the 3D model, the ABC is broken down into estimated direct cost, OCM, profit and VAT, and the XGBoost expectation with its 80% band is shown as a second opinion.</w:t>
      </w:r>
    </w:p>
    <w:p>
      <w:pPr>
        <w:keepNext/>
        <w:spacing w:line="240" w:lineRule="auto" w:after="0" w:before="120"/>
        <w:jc w:val="left"/>
      </w:pPr>
      <w:r>
        <w:rPr>
          <w:b/>
          <w:i w:val="0"/>
        </w:rPr>
        <w:t>Figure 28.</w:t>
      </w:r>
    </w:p>
    <w:p>
      <w:pPr>
        <w:keepNext/>
        <w:spacing w:line="240" w:lineRule="auto" w:after="0"/>
        <w:jc w:val="left"/>
      </w:pPr>
      <w:r>
        <w:rPr>
          <w:b w:val="0"/>
          <w:i/>
        </w:rPr>
        <w:t>Bill of Quantities Generated from the Plan</w:t>
      </w:r>
    </w:p>
    <w:p>
      <w:pPr>
        <w:spacing w:line="240" w:lineRule="auto" w:after="200"/>
        <w:jc w:val="center"/>
      </w:pPr>
      <w:r>
        <w:drawing>
          <wp:inline xmlns:a="http://schemas.openxmlformats.org/drawingml/2006/main" xmlns:pic="http://schemas.openxmlformats.org/drawingml/2006/picture">
            <wp:extent cx="5669280" cy="3569239"/>
            <wp:docPr id="80" name="Picture 80"/>
            <wp:cNvGraphicFramePr>
              <a:graphicFrameLocks noChangeAspect="1"/>
            </wp:cNvGraphicFramePr>
            <a:graphic>
              <a:graphicData uri="http://schemas.openxmlformats.org/drawingml/2006/picture">
                <pic:pic>
                  <pic:nvPicPr>
                    <pic:cNvPr id="0" name="app_boq.png"/>
                    <pic:cNvPicPr/>
                  </pic:nvPicPr>
                  <pic:blipFill>
                    <a:blip r:embed="rId64"/>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bill of quantities lists every pay item with its quantity, unit, unit cost and amount, grouped into DPWH parts with subtotals. It can be exported as CSV for spreadsheets, the plan can be saved or exported as a plan file, and the quotation can be printed to PDF.</w:t>
      </w:r>
    </w:p>
    <w:p>
      <w:pPr>
        <w:keepNext/>
        <w:spacing w:line="240" w:lineRule="auto" w:after="0" w:before="120"/>
        <w:jc w:val="left"/>
      </w:pPr>
      <w:r>
        <w:rPr>
          <w:b/>
          <w:i w:val="0"/>
        </w:rPr>
        <w:t>Figure 29.</w:t>
      </w:r>
    </w:p>
    <w:p>
      <w:pPr>
        <w:keepNext/>
        <w:spacing w:line="240" w:lineRule="auto" w:after="0"/>
        <w:jc w:val="left"/>
      </w:pPr>
      <w:r>
        <w:rPr>
          <w:b w:val="0"/>
          <w:i/>
        </w:rPr>
        <w:t>Plan Panel after Importing the Sample DXF Floor Plan</w:t>
      </w:r>
    </w:p>
    <w:p>
      <w:pPr>
        <w:spacing w:line="240" w:lineRule="auto" w:after="200"/>
        <w:jc w:val="center"/>
      </w:pPr>
      <w:r>
        <w:drawing>
          <wp:inline xmlns:a="http://schemas.openxmlformats.org/drawingml/2006/main" xmlns:pic="http://schemas.openxmlformats.org/drawingml/2006/picture">
            <wp:extent cx="5486400" cy="3454102"/>
            <wp:docPr id="81" name="Picture 81"/>
            <wp:cNvGraphicFramePr>
              <a:graphicFrameLocks noChangeAspect="1"/>
            </wp:cNvGraphicFramePr>
            <a:graphic>
              <a:graphicData uri="http://schemas.openxmlformats.org/drawingml/2006/picture">
                <pic:pic>
                  <pic:nvPicPr>
                    <pic:cNvPr id="0" name="app_dxf.png"/>
                    <pic:cNvPicPr/>
                  </pic:nvPicPr>
                  <pic:blipFill>
                    <a:blip r:embed="rId65"/>
                    <a:stretch>
                      <a:fillRect/>
                    </a:stretch>
                  </pic:blipFill>
                  <pic:spPr>
                    <a:xfrm>
                      <a:off x="0" y="0"/>
                      <a:ext cx="5486400" cy="3454102"/>
                    </a:xfrm>
                    <a:prstGeom prst="rect"/>
                  </pic:spPr>
                </pic:pic>
              </a:graphicData>
            </a:graphic>
          </wp:inline>
        </w:drawing>
      </w:r>
    </w:p>
    <w:p>
      <w:pPr>
        <w:spacing w:line="480" w:lineRule="auto" w:after="0"/>
        <w:ind w:firstLine="720"/>
        <w:jc w:val="both"/>
      </w:pPr>
      <w:r>
        <w:rPr>
          <w:b w:val="0"/>
          <w:i w:val="0"/>
        </w:rPr>
        <w:t>Importing the sample DXF plan of a two-classroom school building read an outline of 171 m², a perimeter of 55 m and 25 m of interior walls, which the engine used in place of a rectangular estimate.</w:t>
      </w:r>
    </w:p>
    <w:p>
      <w:pPr>
        <w:keepNext/>
        <w:spacing w:line="240" w:lineRule="auto" w:after="0" w:before="120"/>
        <w:jc w:val="left"/>
      </w:pPr>
      <w:r>
        <w:rPr>
          <w:b/>
          <w:i w:val="0"/>
        </w:rPr>
        <w:t>Figure 30.</w:t>
      </w:r>
    </w:p>
    <w:p>
      <w:pPr>
        <w:keepNext/>
        <w:spacing w:line="240" w:lineRule="auto" w:after="0"/>
        <w:jc w:val="left"/>
      </w:pPr>
      <w:r>
        <w:rPr>
          <w:b w:val="0"/>
          <w:i/>
        </w:rPr>
        <w:t>Check Screen Screening a Padded Contract</w:t>
      </w:r>
    </w:p>
    <w:p>
      <w:pPr>
        <w:spacing w:line="240" w:lineRule="auto" w:after="200"/>
        <w:jc w:val="center"/>
      </w:pPr>
      <w:r>
        <w:drawing>
          <wp:inline xmlns:a="http://schemas.openxmlformats.org/drawingml/2006/main" xmlns:pic="http://schemas.openxmlformats.org/drawingml/2006/picture">
            <wp:extent cx="5669280" cy="3569239"/>
            <wp:docPr id="82" name="Picture 82"/>
            <wp:cNvGraphicFramePr>
              <a:graphicFrameLocks noChangeAspect="1"/>
            </wp:cNvGraphicFramePr>
            <a:graphic>
              <a:graphicData uri="http://schemas.openxmlformats.org/drawingml/2006/picture">
                <pic:pic>
                  <pic:nvPicPr>
                    <pic:cNvPr id="0" name="app_check.png"/>
                    <pic:cNvPicPr/>
                  </pic:nvPicPr>
                  <pic:blipFill>
                    <a:blip r:embed="rId66"/>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On the Check screen, the user enters the contract amount. The verdict shows the risk index on a gauge, a range strip places the amount against the lean, standard and ceiling estimates and the model's band, and four metrics give the over-budget ratio, the model ratio, the anomaly score and the risk index. In the example, an amount 60% above the standard estimate was flagged with a risk index above 80. The SHAP panel explains the expected cost, the ABC markup checker tests submitted OCM, profit and VAT rates against the DPWH caps, and a note reminds users that a flag calls for review by the implementing office, COA, the Ombudsman or the ICI.</w:t>
      </w:r>
    </w:p>
    <w:p>
      <w:pPr>
        <w:keepNext/>
        <w:spacing w:line="240" w:lineRule="auto" w:after="0" w:before="120"/>
        <w:jc w:val="left"/>
      </w:pPr>
      <w:r>
        <w:rPr>
          <w:b/>
          <w:i w:val="0"/>
        </w:rPr>
        <w:t>Figure 31.</w:t>
      </w:r>
    </w:p>
    <w:p>
      <w:pPr>
        <w:keepNext/>
        <w:spacing w:line="240" w:lineRule="auto" w:after="0"/>
        <w:jc w:val="left"/>
      </w:pPr>
      <w:r>
        <w:rPr>
          <w:b w:val="0"/>
          <w:i/>
        </w:rPr>
        <w:t>Line-Item Check of a Contractor's Bill of Quantities</w:t>
      </w:r>
    </w:p>
    <w:p>
      <w:pPr>
        <w:spacing w:line="240" w:lineRule="auto" w:after="200"/>
        <w:jc w:val="center"/>
      </w:pPr>
      <w:r>
        <w:drawing>
          <wp:inline xmlns:a="http://schemas.openxmlformats.org/drawingml/2006/main" xmlns:pic="http://schemas.openxmlformats.org/drawingml/2006/picture">
            <wp:extent cx="5669280" cy="4085701"/>
            <wp:docPr id="83" name="Picture 83"/>
            <wp:cNvGraphicFramePr>
              <a:graphicFrameLocks noChangeAspect="1"/>
            </wp:cNvGraphicFramePr>
            <a:graphic>
              <a:graphicData uri="http://schemas.openxmlformats.org/drawingml/2006/picture">
                <pic:pic>
                  <pic:nvPicPr>
                    <pic:cNvPr id="0" name="app_lineitem.png"/>
                    <pic:cNvPicPr/>
                  </pic:nvPicPr>
                  <pic:blipFill>
                    <a:blip r:embed="rId67"/>
                    <a:stretch>
                      <a:fillRect/>
                    </a:stretch>
                  </pic:blipFill>
                  <pic:spPr>
                    <a:xfrm>
                      <a:off x="0" y="0"/>
                      <a:ext cx="5669280" cy="4085701"/>
                    </a:xfrm>
                    <a:prstGeom prst="rect"/>
                  </pic:spPr>
                </pic:pic>
              </a:graphicData>
            </a:graphic>
          </wp:inline>
        </w:drawing>
      </w:r>
    </w:p>
    <w:p>
      <w:pPr>
        <w:spacing w:line="480" w:lineRule="auto" w:after="0"/>
        <w:ind w:firstLine="720"/>
        <w:jc w:val="both"/>
      </w:pPr>
      <w:r>
        <w:rPr>
          <w:b w:val="0"/>
          <w:i w:val="0"/>
        </w:rPr>
        <w:t>The line-item check compares each unit cost in a contractor's bill of quantities with the BUHAY-AH all-in rate (direct rate × location × OCM, profit and VAT). Items more than 25% above the rate are marked overpriced and their excess over a 10% tolerance is totalled, so that a reviewer sees which items carry the padding.</w:t>
      </w:r>
    </w:p>
    <w:p>
      <w:pPr>
        <w:keepNext/>
        <w:spacing w:line="240" w:lineRule="auto" w:after="0" w:before="120"/>
        <w:jc w:val="left"/>
      </w:pPr>
      <w:r>
        <w:rPr>
          <w:b/>
          <w:i w:val="0"/>
        </w:rPr>
        <w:t>Figure 32.</w:t>
      </w:r>
    </w:p>
    <w:p>
      <w:pPr>
        <w:keepNext/>
        <w:spacing w:line="240" w:lineRule="auto" w:after="0"/>
        <w:jc w:val="left"/>
      </w:pPr>
      <w:r>
        <w:rPr>
          <w:b w:val="0"/>
          <w:i/>
        </w:rPr>
        <w:t>Library Screen with Reference Plans, Saved Designs and the Unit Price Book</w:t>
      </w:r>
    </w:p>
    <w:p>
      <w:pPr>
        <w:spacing w:line="240" w:lineRule="auto" w:after="200"/>
        <w:jc w:val="center"/>
      </w:pPr>
      <w:r>
        <w:drawing>
          <wp:inline xmlns:a="http://schemas.openxmlformats.org/drawingml/2006/main" xmlns:pic="http://schemas.openxmlformats.org/drawingml/2006/picture">
            <wp:extent cx="5669280" cy="3569239"/>
            <wp:docPr id="84" name="Picture 84"/>
            <wp:cNvGraphicFramePr>
              <a:graphicFrameLocks noChangeAspect="1"/>
            </wp:cNvGraphicFramePr>
            <a:graphic>
              <a:graphicData uri="http://schemas.openxmlformats.org/drawingml/2006/picture">
                <pic:pic>
                  <pic:nvPicPr>
                    <pic:cNvPr id="0" name="app_library.png"/>
                    <pic:cNvPicPr/>
                  </pic:nvPicPr>
                  <pic:blipFill>
                    <a:blip r:embed="rId68"/>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Library holds the reference plans, the user's saved plans, designs and checks, and the editable unit price book, where an implementing office can load its own rates so that every design and quotation follows them.</w:t>
      </w:r>
    </w:p>
    <w:p>
      <w:pPr>
        <w:keepNext/>
        <w:spacing w:line="480" w:lineRule="auto" w:after="0"/>
        <w:ind w:left="720"/>
        <w:jc w:val="left"/>
      </w:pPr>
      <w:r>
        <w:rPr>
          <w:b/>
          <w:i w:val="0"/>
        </w:rPr>
        <w:t>b.) Download Website</w:t>
      </w:r>
    </w:p>
    <w:p>
      <w:pPr>
        <w:keepNext/>
        <w:spacing w:line="240" w:lineRule="auto" w:after="0" w:before="120"/>
        <w:jc w:val="left"/>
      </w:pPr>
      <w:r>
        <w:rPr>
          <w:b/>
          <w:i w:val="0"/>
        </w:rPr>
        <w:t>Figure 33.</w:t>
      </w:r>
    </w:p>
    <w:p>
      <w:pPr>
        <w:keepNext/>
        <w:spacing w:line="240" w:lineRule="auto" w:after="0"/>
        <w:jc w:val="left"/>
      </w:pPr>
      <w:r>
        <w:rPr>
          <w:b w:val="0"/>
          <w:i/>
        </w:rPr>
        <w:t>Download Website of BUHAY-AH</w:t>
      </w:r>
    </w:p>
    <w:p>
      <w:pPr>
        <w:spacing w:line="240" w:lineRule="auto" w:after="200"/>
        <w:jc w:val="center"/>
      </w:pPr>
      <w:r>
        <w:drawing>
          <wp:inline xmlns:a="http://schemas.openxmlformats.org/drawingml/2006/main" xmlns:pic="http://schemas.openxmlformats.org/drawingml/2006/picture">
            <wp:extent cx="5669280" cy="3569239"/>
            <wp:docPr id="85" name="Picture 85"/>
            <wp:cNvGraphicFramePr>
              <a:graphicFrameLocks noChangeAspect="1"/>
            </wp:cNvGraphicFramePr>
            <a:graphic>
              <a:graphicData uri="http://schemas.openxmlformats.org/drawingml/2006/picture">
                <pic:pic>
                  <pic:nvPicPr>
                    <pic:cNvPr id="0" name="site_home.png"/>
                    <pic:cNvPicPr/>
                  </pic:nvPicPr>
                  <pic:blipFill>
                    <a:blip r:embed="rId69"/>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download website introduces BUHAY-AH, explains the four-step method and presents a live quotation computed in the browser by the same engine.</w:t>
      </w:r>
    </w:p>
    <w:p>
      <w:pPr>
        <w:keepNext/>
        <w:spacing w:line="240" w:lineRule="auto" w:after="0" w:before="120"/>
        <w:jc w:val="left"/>
      </w:pPr>
      <w:r>
        <w:rPr>
          <w:b/>
          <w:i w:val="0"/>
        </w:rPr>
        <w:t>Figure 34.</w:t>
      </w:r>
    </w:p>
    <w:p>
      <w:pPr>
        <w:keepNext/>
        <w:spacing w:line="240" w:lineRule="auto" w:after="0"/>
        <w:jc w:val="left"/>
      </w:pPr>
      <w:r>
        <w:rPr>
          <w:b w:val="0"/>
          <w:i/>
        </w:rPr>
        <w:t>Live Budget-to-Design Demonstration on the Website</w:t>
      </w:r>
    </w:p>
    <w:p>
      <w:pPr>
        <w:spacing w:line="240" w:lineRule="auto" w:after="200"/>
        <w:jc w:val="center"/>
      </w:pPr>
      <w:r>
        <w:drawing>
          <wp:inline xmlns:a="http://schemas.openxmlformats.org/drawingml/2006/main" xmlns:pic="http://schemas.openxmlformats.org/drawingml/2006/picture">
            <wp:extent cx="5669280" cy="3569239"/>
            <wp:docPr id="86" name="Picture 86"/>
            <wp:cNvGraphicFramePr>
              <a:graphicFrameLocks noChangeAspect="1"/>
            </wp:cNvGraphicFramePr>
            <a:graphic>
              <a:graphicData uri="http://schemas.openxmlformats.org/drawingml/2006/picture">
                <pic:pic>
                  <pic:nvPicPr>
                    <pic:cNvPr id="0" name="site_design.png"/>
                    <pic:cNvPicPr/>
                  </pic:nvPicPr>
                  <pic:blipFill>
                    <a:blip r:embed="rId70"/>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Its design section runs the budget-to-design search in the visitor's browser: moving the budget slider redraws the Pareto-efficient designs with their plans and prices, followed by a gallery of library designs.</w:t>
      </w:r>
    </w:p>
    <w:p>
      <w:pPr>
        <w:keepNext/>
        <w:spacing w:line="240" w:lineRule="auto" w:after="0" w:before="120"/>
        <w:jc w:val="left"/>
      </w:pPr>
      <w:r>
        <w:rPr>
          <w:b/>
          <w:i w:val="0"/>
        </w:rPr>
        <w:t>Figure 35.</w:t>
      </w:r>
    </w:p>
    <w:p>
      <w:pPr>
        <w:keepNext/>
        <w:spacing w:line="240" w:lineRule="auto" w:after="0"/>
        <w:jc w:val="left"/>
      </w:pPr>
      <w:r>
        <w:rPr>
          <w:b w:val="0"/>
          <w:i/>
        </w:rPr>
        <w:t>Download Section of the Website</w:t>
      </w:r>
    </w:p>
    <w:p>
      <w:pPr>
        <w:spacing w:line="240" w:lineRule="auto" w:after="200"/>
        <w:jc w:val="center"/>
      </w:pPr>
      <w:r>
        <w:drawing>
          <wp:inline xmlns:a="http://schemas.openxmlformats.org/drawingml/2006/main" xmlns:pic="http://schemas.openxmlformats.org/drawingml/2006/picture">
            <wp:extent cx="5669280" cy="3569239"/>
            <wp:docPr id="87" name="Picture 87"/>
            <wp:cNvGraphicFramePr>
              <a:graphicFrameLocks noChangeAspect="1"/>
            </wp:cNvGraphicFramePr>
            <a:graphic>
              <a:graphicData uri="http://schemas.openxmlformats.org/drawingml/2006/picture">
                <pic:pic>
                  <pic:nvPicPr>
                    <pic:cNvPr id="0" name="site_download.png"/>
                    <pic:cNvPicPr/>
                  </pic:nvPicPr>
                  <pic:blipFill>
                    <a:blip r:embed="rId71"/>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download section links to the Android package, the installable web application, the offline package, the sample plan, the research paper and its presentation materials.</w:t>
      </w:r>
    </w:p>
    <w:p>
      <w:pPr>
        <w:keepNext/>
        <w:spacing w:line="480" w:lineRule="auto" w:after="0"/>
        <w:ind w:left="720"/>
        <w:jc w:val="left"/>
      </w:pPr>
      <w:r>
        <w:rPr>
          <w:b/>
          <w:i w:val="0"/>
        </w:rPr>
        <w:t>c.) Floor Plans, Parametric 3D Visualization and SHAP Explanations</w:t>
      </w:r>
    </w:p>
    <w:p>
      <w:pPr>
        <w:keepNext/>
        <w:spacing w:line="240" w:lineRule="auto" w:after="0" w:before="120"/>
        <w:jc w:val="left"/>
      </w:pPr>
      <w:r>
        <w:rPr>
          <w:b/>
          <w:i w:val="0"/>
        </w:rPr>
        <w:t>Figure 36.</w:t>
      </w:r>
    </w:p>
    <w:p>
      <w:pPr>
        <w:keepNext/>
        <w:spacing w:line="240" w:lineRule="auto" w:after="0"/>
        <w:jc w:val="left"/>
      </w:pPr>
      <w:r>
        <w:rPr>
          <w:b w:val="0"/>
          <w:i/>
        </w:rPr>
        <w:t>Parametric 3D Model of a 2-Storey 4-Classroom School Building</w:t>
      </w:r>
    </w:p>
    <w:p>
      <w:pPr>
        <w:spacing w:line="240" w:lineRule="auto" w:after="200"/>
        <w:jc w:val="center"/>
      </w:pPr>
      <w:r>
        <w:drawing>
          <wp:inline xmlns:a="http://schemas.openxmlformats.org/drawingml/2006/main" xmlns:pic="http://schemas.openxmlformats.org/drawingml/2006/picture">
            <wp:extent cx="3291840" cy="2799311"/>
            <wp:docPr id="88" name="Picture 88"/>
            <wp:cNvGraphicFramePr>
              <a:graphicFrameLocks noChangeAspect="1"/>
            </wp:cNvGraphicFramePr>
            <a:graphic>
              <a:graphicData uri="http://schemas.openxmlformats.org/drawingml/2006/picture">
                <pic:pic>
                  <pic:nvPicPr>
                    <pic:cNvPr id="0" name="viz_building.png"/>
                    <pic:cNvPicPr/>
                  </pic:nvPicPr>
                  <pic:blipFill>
                    <a:blip r:embed="rId72"/>
                    <a:stretch>
                      <a:fillRect/>
                    </a:stretch>
                  </pic:blipFill>
                  <pic:spPr>
                    <a:xfrm>
                      <a:off x="0" y="0"/>
                      <a:ext cx="3291840" cy="2799311"/>
                    </a:xfrm>
                    <a:prstGeom prst="rect"/>
                  </pic:spPr>
                </pic:pic>
              </a:graphicData>
            </a:graphic>
          </wp:inline>
        </w:drawing>
      </w:r>
    </w:p>
    <w:p>
      <w:pPr>
        <w:keepNext/>
        <w:spacing w:line="240" w:lineRule="auto" w:after="0" w:before="120"/>
        <w:jc w:val="left"/>
      </w:pPr>
      <w:r>
        <w:rPr>
          <w:b/>
          <w:i w:val="0"/>
        </w:rPr>
        <w:t>Figure 37.</w:t>
      </w:r>
    </w:p>
    <w:p>
      <w:pPr>
        <w:keepNext/>
        <w:spacing w:line="240" w:lineRule="auto" w:after="0"/>
        <w:jc w:val="left"/>
      </w:pPr>
      <w:r>
        <w:rPr>
          <w:b w:val="0"/>
          <w:i/>
        </w:rPr>
        <w:t>Parametric 3D Model of a Three-Span RCDG Bridge</w:t>
      </w:r>
    </w:p>
    <w:p>
      <w:pPr>
        <w:spacing w:line="240" w:lineRule="auto" w:after="200"/>
        <w:jc w:val="center"/>
      </w:pPr>
      <w:r>
        <w:drawing>
          <wp:inline xmlns:a="http://schemas.openxmlformats.org/drawingml/2006/main" xmlns:pic="http://schemas.openxmlformats.org/drawingml/2006/picture">
            <wp:extent cx="3291840" cy="2799311"/>
            <wp:docPr id="89" name="Picture 89"/>
            <wp:cNvGraphicFramePr>
              <a:graphicFrameLocks noChangeAspect="1"/>
            </wp:cNvGraphicFramePr>
            <a:graphic>
              <a:graphicData uri="http://schemas.openxmlformats.org/drawingml/2006/picture">
                <pic:pic>
                  <pic:nvPicPr>
                    <pic:cNvPr id="0" name="viz_bridge_rcdg.png"/>
                    <pic:cNvPicPr/>
                  </pic:nvPicPr>
                  <pic:blipFill>
                    <a:blip r:embed="rId73"/>
                    <a:stretch>
                      <a:fillRect/>
                    </a:stretch>
                  </pic:blipFill>
                  <pic:spPr>
                    <a:xfrm>
                      <a:off x="0" y="0"/>
                      <a:ext cx="3291840" cy="2799311"/>
                    </a:xfrm>
                    <a:prstGeom prst="rect"/>
                  </pic:spPr>
                </pic:pic>
              </a:graphicData>
            </a:graphic>
          </wp:inline>
        </w:drawing>
      </w:r>
    </w:p>
    <w:p>
      <w:pPr>
        <w:keepNext/>
        <w:spacing w:line="240" w:lineRule="auto" w:after="0" w:before="120"/>
        <w:jc w:val="left"/>
      </w:pPr>
      <w:r>
        <w:rPr>
          <w:b/>
          <w:i w:val="0"/>
        </w:rPr>
        <w:t>Figure 38.</w:t>
      </w:r>
    </w:p>
    <w:p>
      <w:pPr>
        <w:keepNext/>
        <w:spacing w:line="240" w:lineRule="auto" w:after="0"/>
        <w:jc w:val="left"/>
      </w:pPr>
      <w:r>
        <w:rPr>
          <w:b w:val="0"/>
          <w:i/>
        </w:rPr>
        <w:t>Parametric 3D Model of a 50 m Steel Truss Bridge</w:t>
      </w:r>
    </w:p>
    <w:p>
      <w:pPr>
        <w:spacing w:line="240" w:lineRule="auto" w:after="200"/>
        <w:jc w:val="center"/>
      </w:pPr>
      <w:r>
        <w:drawing>
          <wp:inline xmlns:a="http://schemas.openxmlformats.org/drawingml/2006/main" xmlns:pic="http://schemas.openxmlformats.org/drawingml/2006/picture">
            <wp:extent cx="3291840" cy="2799311"/>
            <wp:docPr id="90" name="Picture 90"/>
            <wp:cNvGraphicFramePr>
              <a:graphicFrameLocks noChangeAspect="1"/>
            </wp:cNvGraphicFramePr>
            <a:graphic>
              <a:graphicData uri="http://schemas.openxmlformats.org/drawingml/2006/picture">
                <pic:pic>
                  <pic:nvPicPr>
                    <pic:cNvPr id="0" name="viz_bridge_truss.png"/>
                    <pic:cNvPicPr/>
                  </pic:nvPicPr>
                  <pic:blipFill>
                    <a:blip r:embed="rId74"/>
                    <a:stretch>
                      <a:fillRect/>
                    </a:stretch>
                  </pic:blipFill>
                  <pic:spPr>
                    <a:xfrm>
                      <a:off x="0" y="0"/>
                      <a:ext cx="3291840" cy="2799311"/>
                    </a:xfrm>
                    <a:prstGeom prst="rect"/>
                  </pic:spPr>
                </pic:pic>
              </a:graphicData>
            </a:graphic>
          </wp:inline>
        </w:drawing>
      </w:r>
    </w:p>
    <w:p>
      <w:pPr>
        <w:spacing w:line="480" w:lineRule="auto" w:after="0"/>
        <w:ind w:firstLine="720"/>
        <w:jc w:val="both"/>
      </w:pPr>
      <w:r>
        <w:rPr>
          <w:b w:val="0"/>
          <w:i w:val="0"/>
        </w:rPr>
        <w:t>The 3D models are drawn from the engine's geometry: the school building shows its column grid, slabs, window bands and gable roof; the RCDG bridge shows four girder lines on two piers between abutments; and the truss bridge shows its panels and chords. Because the floor plans and models follow the plan variables, a change in spaces, storeys, spans or girders is visible at once, and the tint shows the screening result. Together with the SHAP panel, they let non-engineers see what they are paying for and why the expected cost is what it is.</w:t>
      </w:r>
    </w:p>
    <w:p>
      <w:pPr>
        <w:keepNext/>
        <w:spacing w:line="480" w:lineRule="auto" w:after="0"/>
        <w:jc w:val="center"/>
      </w:pPr>
      <w:r>
        <w:rPr>
          <w:b/>
          <w:i w:val="0"/>
        </w:rPr>
        <w:t>CONCLUSION</w:t>
      </w:r>
    </w:p>
    <w:p>
      <w:pPr>
        <w:spacing w:line="480" w:lineRule="auto" w:after="0"/>
        <w:jc w:val="both"/>
      </w:pPr>
      <w:r>
        <w:rPr>
          <w:b w:val="0"/>
          <w:i w:val="0"/>
        </w:rPr>
        <w:t>In pursuit of developing a budget-to-blueprint design generator, standards-based quantity take-off and hybrid machine-learning system for start quotations and over-budget detection in public buildings and bridges, the study concludes the following:</w:t>
      </w:r>
    </w:p>
    <w:p>
      <w:pPr>
        <w:tabs>
          <w:tab w:pos="1080" w:val="left"/>
        </w:tabs>
        <w:spacing w:line="480" w:lineRule="auto"/>
        <w:ind w:left="1080" w:hanging="360"/>
        <w:jc w:val="both"/>
      </w:pPr>
      <w:r>
        <w:rPr>
          <w:b w:val="0"/>
          <w:i w:val="0"/>
        </w:rPr>
        <w:t>1.</w:t>
        <w:tab/>
        <w:t>Nine plan variables for buildings (gross floor area, footprint, storeys, span, floor height, facility type, roof system, location factor and cost index) and eleven for bridges (total length, deck width, deck area, span length, pier and abutment heights, superstructure and foundation types, pile length, location factor and cost index) can be read from plans and standards and are sufficient to price a project. Bridge sizes and costs varied far more than building sizes and costs, with contracts from ₱1.00 million to ₱179.23 million.</w:t>
      </w:r>
    </w:p>
    <w:p>
      <w:pPr>
        <w:tabs>
          <w:tab w:pos="1080" w:val="left"/>
        </w:tabs>
        <w:spacing w:line="480" w:lineRule="auto"/>
        <w:ind w:left="1080" w:hanging="360"/>
        <w:jc w:val="both"/>
      </w:pPr>
      <w:r>
        <w:rPr>
          <w:b w:val="0"/>
          <w:i w:val="0"/>
        </w:rPr>
        <w:t>2.</w:t>
        <w:tab/>
        <w:t>Schematic designs can be generated without a blueprint. 55 space modules on DepEd, DOH, NBC and DSWD norms produced 41 building and 13 bridge templates that can be edited, saved and combined; every template passed all 152 space and safety checks; and the exhaustive budget-to-design search returned the Pareto-efficient designs for a budget in a median of 3.6 ms, adding up to 10 classrooms over a single-storey policy for the same school budget.</w:t>
      </w:r>
    </w:p>
    <w:p>
      <w:pPr>
        <w:tabs>
          <w:tab w:pos="1080" w:val="left"/>
        </w:tabs>
        <w:spacing w:line="480" w:lineRule="auto"/>
        <w:ind w:left="1080" w:hanging="360"/>
        <w:jc w:val="both"/>
      </w:pPr>
      <w:r>
        <w:rPr>
          <w:b w:val="0"/>
          <w:i w:val="0"/>
        </w:rPr>
        <w:t>3.</w:t>
        <w:tab/>
        <w:t>The standards-based engine produced itemized lean, standard and ceiling quotations that came within a MAPE of 5.21% for buildings and 7.67% for bridges of fair awarded costs in the benchmark, less than half the error of the best data-driven model. The lean start quotation averaged 14.4% below the standard estimate for buildings and 5.9% for bridges while keeping code minimums.</w:t>
      </w:r>
    </w:p>
    <w:p>
      <w:pPr>
        <w:tabs>
          <w:tab w:pos="1080" w:val="left"/>
        </w:tabs>
        <w:spacing w:line="480" w:lineRule="auto"/>
        <w:ind w:left="1080" w:hanging="360"/>
        <w:jc w:val="both"/>
      </w:pPr>
      <w:r>
        <w:rPr>
          <w:b w:val="0"/>
          <w:i w:val="0"/>
        </w:rPr>
        <w:t>4.</w:t>
        <w:tab/>
      </w:r>
      <w:r>
        <w:rPr>
          <w:b/>
          <w:i w:val="0"/>
        </w:rPr>
        <w:t>a.) Multiple Linear Regression:</w:t>
      </w:r>
      <w:r>
        <w:rPr>
          <w:b w:val="0"/>
          <w:i w:val="0"/>
        </w:rPr>
        <w:t xml:space="preserve"> no building predictor exceeded a VIF of 10, while deck area and superstructure type were removed from the bridge model. Under LOOCV, the building model reached R</w:t>
      </w:r>
      <w:r>
        <w:rPr>
          <w:b w:val="0"/>
          <w:i w:val="0"/>
          <w:vertAlign w:val="superscript"/>
        </w:rPr>
        <w:t>2</w:t>
      </w:r>
      <w:r>
        <w:rPr>
          <w:b w:val="0"/>
          <w:i w:val="0"/>
        </w:rPr>
        <w:t xml:space="preserve"> = 0.8112 and MAPE = 13.43%, and the bridge model R</w:t>
      </w:r>
      <w:r>
        <w:rPr>
          <w:b w:val="0"/>
          <w:i w:val="0"/>
          <w:vertAlign w:val="superscript"/>
        </w:rPr>
        <w:t>2</w:t>
      </w:r>
      <w:r>
        <w:rPr>
          <w:b w:val="0"/>
          <w:i w:val="0"/>
        </w:rPr>
        <w:t xml:space="preserve"> = 0.8640 and MAPE = 65.65%. </w:t>
      </w:r>
      <w:r>
        <w:rPr>
          <w:b/>
          <w:i w:val="0"/>
        </w:rPr>
        <w:t>b.) XGBoost:</w:t>
      </w:r>
      <w:r>
        <w:rPr>
          <w:b w:val="0"/>
          <w:i w:val="0"/>
        </w:rPr>
        <w:t xml:space="preserve"> the model reached R</w:t>
      </w:r>
      <w:r>
        <w:rPr>
          <w:b w:val="0"/>
          <w:i w:val="0"/>
          <w:vertAlign w:val="superscript"/>
        </w:rPr>
        <w:t>2</w:t>
      </w:r>
      <w:r>
        <w:rPr>
          <w:b w:val="0"/>
          <w:i w:val="0"/>
        </w:rPr>
        <w:t xml:space="preserve"> = 0.7874 and MAPE = 13.94% for buildings and R</w:t>
      </w:r>
      <w:r>
        <w:rPr>
          <w:b w:val="0"/>
          <w:i w:val="0"/>
          <w:vertAlign w:val="superscript"/>
        </w:rPr>
        <w:t>2</w:t>
      </w:r>
      <w:r>
        <w:rPr>
          <w:b w:val="0"/>
          <w:i w:val="0"/>
        </w:rPr>
        <w:t xml:space="preserve"> = 0.8630 and MAPE = 19.18% for bridges, a large gain on bridges and a small loss on buildings, so the better model depends on the asset class.</w:t>
      </w:r>
    </w:p>
    <w:p>
      <w:pPr>
        <w:tabs>
          <w:tab w:pos="1080" w:val="left"/>
        </w:tabs>
        <w:spacing w:line="480" w:lineRule="auto"/>
        <w:ind w:left="1080" w:hanging="360"/>
        <w:jc w:val="both"/>
      </w:pPr>
      <w:r>
        <w:rPr>
          <w:b w:val="0"/>
          <w:i w:val="0"/>
        </w:rPr>
        <w:t>5.</w:t>
        <w:tab/>
        <w:t>The BUHAY-AH Risk Index detected 94.4% of injected overpricing with an F1-score of 0.764 and an AUC of 0.987, the best balance among the four rules. The standards-based ratio was the strongest single signal, the XGBoost residual partly absorbed padding from its training data, and an Isolation Forest alone found only 27.8%. These flags identify contracts for review and do not establish irregularity, error or fraud.</w:t>
      </w:r>
    </w:p>
    <w:p>
      <w:pPr>
        <w:tabs>
          <w:tab w:pos="1080" w:val="left"/>
        </w:tabs>
        <w:spacing w:line="480" w:lineRule="auto"/>
        <w:ind w:left="1080" w:hanging="360"/>
        <w:jc w:val="both"/>
      </w:pPr>
      <w:r>
        <w:rPr>
          <w:b w:val="0"/>
          <w:i w:val="0"/>
        </w:rPr>
        <w:t>6.</w:t>
        <w:tab/>
        <w:t>The engine and generator extend to hospitals, airport, seaport and land transport terminals, runways and piers: 14 new templates passed all 58 checks, the standard estimate reached 6.40% MAPE on SBD-EXT, and the standards rule caught 95.5% of padded contracts without the machine-learning layer.</w:t>
      </w:r>
    </w:p>
    <w:p>
      <w:pPr>
        <w:tabs>
          <w:tab w:pos="1080" w:val="left"/>
        </w:tabs>
        <w:spacing w:line="480" w:lineRule="auto"/>
        <w:ind w:left="1080" w:hanging="360"/>
        <w:jc w:val="both"/>
      </w:pPr>
      <w:r>
        <w:rPr>
          <w:b w:val="0"/>
          <w:i w:val="0"/>
        </w:rPr>
        <w:t>7.</w:t>
        <w:tab/>
        <w:t>BUHAY-AH was deployed as an installable offline-capable mobile application, an Android package, an offline ZIP package and a download website, integrating the design studio, plan import, itemized quotations, floor plans, parametric 3D models, SHAP explanations, line-item checks and over-budget screening that run entirely on the user's device.</w:t>
      </w:r>
    </w:p>
    <w:p>
      <w:pPr>
        <w:spacing w:line="480" w:lineRule="auto" w:after="0"/>
        <w:jc w:val="both"/>
      </w:pPr>
      <w:r>
        <w:rPr>
          <w:b/>
          <w:i w:val="0"/>
        </w:rPr>
        <w:t>Limitations.</w:t>
      </w:r>
      <w:r>
        <w:rPr>
          <w:b w:val="0"/>
          <w:i w:val="0"/>
        </w:rPr>
        <w:t xml:space="preserve"> All accuracy and detection figures come from simulated benchmarks, unit costs are indicative 2025 Bicol rates, designs are schematic, and the extension types are screened without the trained models. Extending the results needs real contract records, site data and professional review.</w:t>
      </w:r>
    </w:p>
    <w:p>
      <w:pPr>
        <w:keepNext/>
        <w:spacing w:line="480" w:lineRule="auto" w:after="0"/>
        <w:jc w:val="center"/>
      </w:pPr>
      <w:r>
        <w:rPr>
          <w:b/>
          <w:i w:val="0"/>
        </w:rPr>
        <w:t>RECOMMENDATIONS</w:t>
      </w:r>
    </w:p>
    <w:p>
      <w:pPr>
        <w:spacing w:line="480" w:lineRule="auto" w:after="0"/>
        <w:jc w:val="both"/>
      </w:pPr>
      <w:r>
        <w:rPr>
          <w:b w:val="0"/>
          <w:i w:val="0"/>
        </w:rPr>
        <w:t>Based on these findings, the researcher recommends the following:</w:t>
      </w:r>
    </w:p>
    <w:p>
      <w:pPr>
        <w:tabs>
          <w:tab w:pos="1080" w:val="left"/>
        </w:tabs>
        <w:spacing w:line="480" w:lineRule="auto"/>
        <w:ind w:left="1080" w:hanging="360"/>
        <w:jc w:val="both"/>
      </w:pPr>
      <w:r>
        <w:rPr>
          <w:b w:val="0"/>
          <w:i w:val="0"/>
        </w:rPr>
        <w:t>1.</w:t>
        <w:tab/>
      </w:r>
      <w:r>
        <w:rPr>
          <w:b/>
          <w:i w:val="0"/>
        </w:rPr>
        <w:t>Validate on actual contracts.</w:t>
      </w:r>
      <w:r>
        <w:rPr>
          <w:b w:val="0"/>
          <w:i w:val="0"/>
        </w:rPr>
        <w:t xml:space="preserve"> Replace the simulated benchmark with completed DPWH building and bridge contracts from the DPWH Transparency Portal, PhilGEPS and COA reports, including their programs of works, and re-estimate the accuracy and detection figures.</w:t>
      </w:r>
    </w:p>
    <w:p>
      <w:pPr>
        <w:tabs>
          <w:tab w:pos="1080" w:val="left"/>
        </w:tabs>
        <w:spacing w:line="480" w:lineRule="auto"/>
        <w:ind w:left="1080" w:hanging="360"/>
        <w:jc w:val="both"/>
      </w:pPr>
      <w:r>
        <w:rPr>
          <w:b w:val="0"/>
          <w:i w:val="0"/>
        </w:rPr>
        <w:t>2.</w:t>
        <w:tab/>
      </w:r>
      <w:r>
        <w:rPr>
          <w:b/>
          <w:i w:val="0"/>
        </w:rPr>
        <w:t>Review the design library with licensed professionals.</w:t>
      </w:r>
      <w:r>
        <w:rPr>
          <w:b w:val="0"/>
          <w:i w:val="0"/>
        </w:rPr>
        <w:t xml:space="preserve"> Compare the templates with DepEd and DPWH standard plans, have architects and engineers refine module sizes, and add site inputs such as lot shape, orientation and setbacks.</w:t>
      </w:r>
    </w:p>
    <w:p>
      <w:pPr>
        <w:tabs>
          <w:tab w:pos="1080" w:val="left"/>
        </w:tabs>
        <w:spacing w:line="480" w:lineRule="auto"/>
        <w:ind w:left="1080" w:hanging="360"/>
        <w:jc w:val="both"/>
      </w:pPr>
      <w:r>
        <w:rPr>
          <w:b w:val="0"/>
          <w:i w:val="0"/>
        </w:rPr>
        <w:t>3.</w:t>
        <w:tab/>
      </w:r>
      <w:r>
        <w:rPr>
          <w:b/>
          <w:i w:val="0"/>
        </w:rPr>
        <w:t>Add geotechnical data for bridges.</w:t>
      </w:r>
      <w:r>
        <w:rPr>
          <w:b w:val="0"/>
          <w:i w:val="0"/>
        </w:rPr>
        <w:t xml:space="preserve"> Since unseen pile lengths caused most false alarms, include borehole logs and design pile tips in the plan input, or widen the bridge ceiling by a site-class allowance.</w:t>
      </w:r>
    </w:p>
    <w:p>
      <w:pPr>
        <w:tabs>
          <w:tab w:pos="1080" w:val="left"/>
        </w:tabs>
        <w:spacing w:line="480" w:lineRule="auto"/>
        <w:ind w:left="1080" w:hanging="360"/>
        <w:jc w:val="both"/>
      </w:pPr>
      <w:r>
        <w:rPr>
          <w:b w:val="0"/>
          <w:i w:val="0"/>
        </w:rPr>
        <w:t>4.</w:t>
        <w:tab/>
      </w:r>
      <w:r>
        <w:rPr>
          <w:b/>
          <w:i w:val="0"/>
        </w:rPr>
        <w:t>Connect current price data.</w:t>
      </w:r>
      <w:r>
        <w:rPr>
          <w:b w:val="0"/>
          <w:i w:val="0"/>
        </w:rPr>
        <w:t xml:space="preserve"> Load regional DPWH unit costs and the PSA construction materials price indices automatically so the price book stays current.</w:t>
      </w:r>
    </w:p>
    <w:p>
      <w:pPr>
        <w:tabs>
          <w:tab w:pos="1080" w:val="left"/>
        </w:tabs>
        <w:spacing w:line="480" w:lineRule="auto"/>
        <w:ind w:left="1080" w:hanging="360"/>
        <w:jc w:val="both"/>
      </w:pPr>
      <w:r>
        <w:rPr>
          <w:b w:val="0"/>
          <w:i w:val="0"/>
        </w:rPr>
        <w:t>5.</w:t>
        <w:tab/>
      </w:r>
      <w:r>
        <w:rPr>
          <w:b/>
          <w:i w:val="0"/>
        </w:rPr>
        <w:t>Calibrate thresholds by asset class.</w:t>
      </w:r>
      <w:r>
        <w:rPr>
          <w:b w:val="0"/>
          <w:i w:val="0"/>
        </w:rPr>
        <w:t xml:space="preserve"> Set separate BUHAY-AH Risk Index thresholds for buildings and bridges, about 24 and 58 in the benchmark, once real cases are confirmed.</w:t>
      </w:r>
    </w:p>
    <w:p>
      <w:pPr>
        <w:tabs>
          <w:tab w:pos="1080" w:val="left"/>
        </w:tabs>
        <w:spacing w:line="480" w:lineRule="auto"/>
        <w:ind w:left="1080" w:hanging="360"/>
        <w:jc w:val="both"/>
      </w:pPr>
      <w:r>
        <w:rPr>
          <w:b w:val="0"/>
          <w:i w:val="0"/>
        </w:rPr>
        <w:t>6.</w:t>
        <w:tab/>
      </w:r>
      <w:r>
        <w:rPr>
          <w:b/>
          <w:i w:val="0"/>
        </w:rPr>
        <w:t>Extend plan import and design.</w:t>
      </w:r>
      <w:r>
        <w:rPr>
          <w:b w:val="0"/>
          <w:i w:val="0"/>
        </w:rPr>
        <w:t xml:space="preserve"> Read IFC building information models and scanned PDF plans, and add hydraulic criteria to the bridge designer so that span choices reflect flood levels and debris.</w:t>
      </w:r>
    </w:p>
    <w:p>
      <w:pPr>
        <w:tabs>
          <w:tab w:pos="1080" w:val="left"/>
        </w:tabs>
        <w:spacing w:line="480" w:lineRule="auto"/>
        <w:ind w:left="1080" w:hanging="360"/>
        <w:jc w:val="both"/>
      </w:pPr>
      <w:r>
        <w:rPr>
          <w:b w:val="0"/>
          <w:i w:val="0"/>
        </w:rPr>
        <w:t>7.</w:t>
        <w:tab/>
      </w:r>
      <w:r>
        <w:rPr>
          <w:b/>
          <w:i w:val="0"/>
        </w:rPr>
        <w:t>Train the models for the extension types.</w:t>
      </w:r>
      <w:r>
        <w:rPr>
          <w:b w:val="0"/>
          <w:i w:val="0"/>
        </w:rPr>
        <w:t xml:space="preserve"> Retrain XGBoost and the Isolation Forest once hospital, terminal, airfield and port contracts are collected, and add pavement and port geotechnical data.</w:t>
      </w:r>
    </w:p>
    <w:p>
      <w:pPr>
        <w:tabs>
          <w:tab w:pos="1080" w:val="left"/>
        </w:tabs>
        <w:spacing w:line="480" w:lineRule="auto"/>
        <w:ind w:left="1080" w:hanging="360"/>
        <w:jc w:val="both"/>
      </w:pPr>
      <w:r>
        <w:rPr>
          <w:b w:val="0"/>
          <w:i w:val="0"/>
        </w:rPr>
        <w:t>8.</w:t>
        <w:tab/>
      </w:r>
      <w:r>
        <w:rPr>
          <w:b/>
          <w:i w:val="0"/>
        </w:rPr>
        <w:t>Extend to other project types.</w:t>
      </w:r>
      <w:r>
        <w:rPr>
          <w:b w:val="0"/>
          <w:i w:val="0"/>
        </w:rPr>
        <w:t xml:space="preserve"> Apply the same engine to flood-control structures, water systems and roads, joining CORA and BUHAY-AH in one screening tool.</w:t>
      </w:r>
    </w:p>
    <w:p>
      <w:pPr>
        <w:tabs>
          <w:tab w:pos="1080" w:val="left"/>
        </w:tabs>
        <w:spacing w:line="480" w:lineRule="auto"/>
        <w:ind w:left="1080" w:hanging="360"/>
        <w:jc w:val="both"/>
      </w:pPr>
      <w:r>
        <w:rPr>
          <w:b w:val="0"/>
          <w:i w:val="0"/>
        </w:rPr>
        <w:t>9.</w:t>
        <w:tab/>
      </w:r>
      <w:r>
        <w:rPr>
          <w:b/>
          <w:i w:val="0"/>
        </w:rPr>
        <w:t>Pilot with oversight bodies and publish open data.</w:t>
      </w:r>
      <w:r>
        <w:rPr>
          <w:b w:val="0"/>
          <w:i w:val="0"/>
        </w:rPr>
        <w:t xml:space="preserve"> Test BUHAY-AH with a district engineering office, COA auditors and a local government, run a usability study, and publish screened records following the Open Contracting Data Standard and the CoST Infrastructure Data Standard.</w:t>
      </w:r>
    </w:p>
    <w:p>
      <w:pPr>
        <w:keepNext/>
        <w:spacing w:line="480" w:lineRule="auto" w:after="0"/>
        <w:jc w:val="center"/>
      </w:pPr>
      <w:r>
        <w:rPr>
          <w:b/>
          <w:i w:val="0"/>
        </w:rPr>
        <w:t>REFERENCES</w:t>
      </w:r>
    </w:p>
    <w:p>
      <w:pPr>
        <w:spacing w:line="240" w:lineRule="auto" w:after="100"/>
        <w:ind w:left="720" w:hanging="720"/>
        <w:jc w:val="left"/>
      </w:pPr>
      <w:r>
        <w:rPr>
          <w:b w:val="0"/>
          <w:i w:val="0"/>
          <w:sz w:val="22"/>
        </w:rPr>
        <w:t xml:space="preserve">Association of Structural Engineers of the Philippines. (2016). </w:t>
      </w:r>
      <w:r>
        <w:rPr>
          <w:b w:val="0"/>
          <w:i/>
          <w:sz w:val="22"/>
        </w:rPr>
        <w:t>National structural code of the Philippines 2015: Volume I, buildings, towers and other vertical structures</w:t>
      </w:r>
      <w:r>
        <w:rPr>
          <w:b w:val="0"/>
          <w:i w:val="0"/>
          <w:sz w:val="22"/>
        </w:rPr>
        <w:t xml:space="preserve"> (7th ed.).</w:t>
      </w:r>
    </w:p>
    <w:p>
      <w:pPr>
        <w:spacing w:line="240" w:lineRule="auto" w:after="100"/>
        <w:ind w:left="720" w:hanging="720"/>
        <w:jc w:val="left"/>
      </w:pPr>
      <w:r>
        <w:rPr>
          <w:b w:val="0"/>
          <w:i w:val="0"/>
          <w:sz w:val="22"/>
        </w:rPr>
        <w:t xml:space="preserve">Buban, E. M. C. (2026). </w:t>
      </w:r>
      <w:r>
        <w:rPr>
          <w:b w:val="0"/>
          <w:i/>
          <w:sz w:val="22"/>
        </w:rPr>
        <w:t>CORA: Computational outlier recognition and analytics for road construction cost prediction and potential anomaly detection via a hybrid machine learning system</w:t>
      </w:r>
      <w:r>
        <w:rPr>
          <w:b w:val="0"/>
          <w:i w:val="0"/>
          <w:sz w:val="22"/>
        </w:rPr>
        <w:t xml:space="preserve"> [Unpublished research paper].</w:t>
      </w:r>
    </w:p>
    <w:p>
      <w:pPr>
        <w:spacing w:line="240" w:lineRule="auto" w:after="100"/>
        <w:ind w:left="720" w:hanging="720"/>
        <w:jc w:val="left"/>
      </w:pPr>
      <w:r>
        <w:rPr>
          <w:b w:val="0"/>
          <w:i w:val="0"/>
          <w:sz w:val="22"/>
        </w:rPr>
        <w:t xml:space="preserve">Chen, T., &amp; Guestrin, C. (2016). XGBoost: A scalable tree boosting system. In </w:t>
      </w:r>
      <w:r>
        <w:rPr>
          <w:b w:val="0"/>
          <w:i/>
          <w:sz w:val="22"/>
        </w:rPr>
        <w:t>Proceedings of the 22nd ACM SIGKDD International Conference on Knowledge Discovery and Data Mining</w:t>
      </w:r>
      <w:r>
        <w:rPr>
          <w:b w:val="0"/>
          <w:i w:val="0"/>
          <w:sz w:val="22"/>
        </w:rPr>
        <w:t xml:space="preserve"> (pp. 785–794). https://doi.org/10.1145/2939672.2939785</w:t>
      </w:r>
    </w:p>
    <w:p>
      <w:pPr>
        <w:spacing w:line="240" w:lineRule="auto" w:after="100"/>
        <w:ind w:left="720" w:hanging="720"/>
        <w:jc w:val="left"/>
      </w:pPr>
      <w:r>
        <w:rPr>
          <w:b w:val="0"/>
          <w:i w:val="0"/>
          <w:sz w:val="22"/>
        </w:rPr>
        <w:t xml:space="preserve">Department of Public Works and Highways. (2013). </w:t>
      </w:r>
      <w:r>
        <w:rPr>
          <w:b w:val="0"/>
          <w:i/>
          <w:sz w:val="22"/>
        </w:rPr>
        <w:t>DPWH standard specifications for highways, bridges and airports</w:t>
      </w:r>
      <w:r>
        <w:rPr>
          <w:b w:val="0"/>
          <w:i w:val="0"/>
          <w:sz w:val="22"/>
        </w:rPr>
        <w:t xml:space="preserve"> (Vol. II).</w:t>
      </w:r>
    </w:p>
    <w:p>
      <w:pPr>
        <w:spacing w:line="240" w:lineRule="auto" w:after="100"/>
        <w:ind w:left="720" w:hanging="720"/>
        <w:jc w:val="left"/>
      </w:pPr>
      <w:r>
        <w:rPr>
          <w:b w:val="0"/>
          <w:i w:val="0"/>
          <w:sz w:val="22"/>
        </w:rPr>
        <w:t xml:space="preserve">Department of Public Works and Highways. (2016). </w:t>
      </w:r>
      <w:r>
        <w:rPr>
          <w:b w:val="0"/>
          <w:i/>
          <w:sz w:val="22"/>
        </w:rPr>
        <w:t>Department Order No. 197, series of 2016: Guidelines on the preparation of the approved budget for the contract</w:t>
      </w:r>
      <w:r>
        <w:rPr>
          <w:b w:val="0"/>
          <w:i w:val="0"/>
          <w:sz w:val="22"/>
        </w:rPr>
        <w:t>.</w:t>
      </w:r>
    </w:p>
    <w:p>
      <w:pPr>
        <w:spacing w:line="240" w:lineRule="auto" w:after="100"/>
        <w:ind w:left="720" w:hanging="720"/>
        <w:jc w:val="left"/>
      </w:pPr>
      <w:r>
        <w:rPr>
          <w:b w:val="0"/>
          <w:i w:val="0"/>
          <w:sz w:val="22"/>
        </w:rPr>
        <w:t xml:space="preserve">Department of Public Works and Highways. (2021). </w:t>
      </w:r>
      <w:r>
        <w:rPr>
          <w:b w:val="0"/>
          <w:i/>
          <w:sz w:val="22"/>
        </w:rPr>
        <w:t>Department Order No. 42, series of 2021: Adoption of the DPWH standard specifications for public works structures, Volume III, 2019 edition</w:t>
      </w:r>
      <w:r>
        <w:rPr>
          <w:b w:val="0"/>
          <w:i w:val="0"/>
          <w:sz w:val="22"/>
        </w:rPr>
        <w:t>.</w:t>
      </w:r>
    </w:p>
    <w:p>
      <w:pPr>
        <w:spacing w:line="240" w:lineRule="auto" w:after="100"/>
        <w:ind w:left="720" w:hanging="720"/>
        <w:jc w:val="left"/>
      </w:pPr>
      <w:r>
        <w:rPr>
          <w:b w:val="0"/>
          <w:i w:val="0"/>
          <w:sz w:val="22"/>
        </w:rPr>
        <w:t xml:space="preserve">Department of Public Works and Highways. (2025). </w:t>
      </w:r>
      <w:r>
        <w:rPr>
          <w:b w:val="0"/>
          <w:i/>
          <w:sz w:val="22"/>
        </w:rPr>
        <w:t>Department Order No. 30, series of 2025</w:t>
      </w:r>
      <w:r>
        <w:rPr>
          <w:b w:val="0"/>
          <w:i w:val="0"/>
          <w:sz w:val="22"/>
        </w:rPr>
        <w:t>.</w:t>
      </w:r>
    </w:p>
    <w:p>
      <w:pPr>
        <w:spacing w:line="240" w:lineRule="auto" w:after="100"/>
        <w:ind w:left="720" w:hanging="720"/>
        <w:jc w:val="left"/>
      </w:pPr>
      <w:r>
        <w:rPr>
          <w:b w:val="0"/>
          <w:i w:val="0"/>
          <w:sz w:val="22"/>
        </w:rPr>
        <w:t xml:space="preserve">Federal Aviation Administration. (2021). </w:t>
      </w:r>
      <w:r>
        <w:rPr>
          <w:b w:val="0"/>
          <w:i/>
          <w:sz w:val="22"/>
        </w:rPr>
        <w:t>Airport pavement design and evaluation</w:t>
      </w:r>
      <w:r>
        <w:rPr>
          <w:b w:val="0"/>
          <w:i w:val="0"/>
          <w:sz w:val="22"/>
        </w:rPr>
        <w:t xml:space="preserve"> (Advisory Circular 150/5320-6G). U.S. Department of Transportation.</w:t>
      </w:r>
    </w:p>
    <w:p>
      <w:pPr>
        <w:spacing w:line="240" w:lineRule="auto" w:after="100"/>
        <w:ind w:left="720" w:hanging="720"/>
        <w:jc w:val="left"/>
      </w:pPr>
      <w:r>
        <w:rPr>
          <w:b w:val="0"/>
          <w:i w:val="0"/>
          <w:sz w:val="22"/>
        </w:rPr>
        <w:t xml:space="preserve">International Civil Aviation Organization. (2022). </w:t>
      </w:r>
      <w:r>
        <w:rPr>
          <w:b w:val="0"/>
          <w:i/>
          <w:sz w:val="22"/>
        </w:rPr>
        <w:t>Annex 14 to the Convention on International Civil Aviation: Aerodromes, Volume I — Aerodrome design and operations</w:t>
      </w:r>
      <w:r>
        <w:rPr>
          <w:b w:val="0"/>
          <w:i w:val="0"/>
          <w:sz w:val="22"/>
        </w:rPr>
        <w:t xml:space="preserve"> (9th ed.).</w:t>
      </w:r>
    </w:p>
    <w:p>
      <w:pPr>
        <w:spacing w:line="240" w:lineRule="auto" w:after="100"/>
        <w:ind w:left="720" w:hanging="720"/>
        <w:jc w:val="left"/>
      </w:pPr>
      <w:r>
        <w:rPr>
          <w:b w:val="0"/>
          <w:i w:val="0"/>
          <w:sz w:val="22"/>
        </w:rPr>
        <w:t xml:space="preserve">Liu, F. T., Ting, K. M., &amp; Zhou, Z.-H. (2008). Isolation forest. In </w:t>
      </w:r>
      <w:r>
        <w:rPr>
          <w:b w:val="0"/>
          <w:i/>
          <w:sz w:val="22"/>
        </w:rPr>
        <w:t>2008 Eighth IEEE International Conference on Data Mining</w:t>
      </w:r>
      <w:r>
        <w:rPr>
          <w:b w:val="0"/>
          <w:i w:val="0"/>
          <w:sz w:val="22"/>
        </w:rPr>
        <w:t xml:space="preserve"> (pp. 413–422). IEEE. https://doi.org/10.1109/ICDM.2008.17</w:t>
      </w:r>
    </w:p>
    <w:p>
      <w:pPr>
        <w:spacing w:line="240" w:lineRule="auto" w:after="100"/>
        <w:ind w:left="720" w:hanging="720"/>
        <w:jc w:val="left"/>
      </w:pPr>
      <w:r>
        <w:rPr>
          <w:b w:val="0"/>
          <w:i w:val="0"/>
          <w:sz w:val="22"/>
        </w:rPr>
        <w:t xml:space="preserve">Lundberg, S. M., &amp; Lee, S.-I. (2017). A unified approach to interpreting model predictions. </w:t>
      </w:r>
      <w:r>
        <w:rPr>
          <w:b w:val="0"/>
          <w:i/>
          <w:sz w:val="22"/>
        </w:rPr>
        <w:t>Advances in Neural Information Processing Systems, 30</w:t>
      </w:r>
      <w:r>
        <w:rPr>
          <w:b w:val="0"/>
          <w:i w:val="0"/>
          <w:sz w:val="22"/>
        </w:rPr>
        <w:t>. https://arxiv.org/abs/1705.07874</w:t>
      </w:r>
    </w:p>
    <w:p>
      <w:pPr>
        <w:spacing w:line="240" w:lineRule="auto" w:after="100"/>
        <w:ind w:left="720" w:hanging="720"/>
        <w:jc w:val="left"/>
      </w:pPr>
      <w:r>
        <w:rPr>
          <w:b w:val="0"/>
          <w:i w:val="0"/>
          <w:sz w:val="22"/>
        </w:rPr>
        <w:t xml:space="preserve">Lundberg, S. M., Erion, G. G., &amp; Lee, S.-I. (2018). </w:t>
      </w:r>
      <w:r>
        <w:rPr>
          <w:b w:val="0"/>
          <w:i/>
          <w:sz w:val="22"/>
        </w:rPr>
        <w:t>Consistent individualized feature attribution for tree ensembles</w:t>
      </w:r>
      <w:r>
        <w:rPr>
          <w:b w:val="0"/>
          <w:i w:val="0"/>
          <w:sz w:val="22"/>
        </w:rPr>
        <w:t xml:space="preserve"> (arXiv:1802.03888). https://arxiv.org/abs/1802.03888</w:t>
      </w:r>
    </w:p>
    <w:p>
      <w:pPr>
        <w:spacing w:line="240" w:lineRule="auto" w:after="100"/>
        <w:ind w:left="720" w:hanging="720"/>
        <w:jc w:val="left"/>
      </w:pPr>
      <w:r>
        <w:rPr>
          <w:b w:val="0"/>
          <w:i w:val="0"/>
          <w:sz w:val="22"/>
        </w:rPr>
        <w:t xml:space="preserve">Overseas Coastal Area Development Institute of Japan. (2009). </w:t>
      </w:r>
      <w:r>
        <w:rPr>
          <w:b w:val="0"/>
          <w:i/>
          <w:sz w:val="22"/>
        </w:rPr>
        <w:t>Technical standards and commentaries for port and harbour facilities in Japan</w:t>
      </w:r>
      <w:r>
        <w:rPr>
          <w:b w:val="0"/>
          <w:i w:val="0"/>
          <w:sz w:val="22"/>
        </w:rPr>
        <w:t>.</w:t>
      </w:r>
    </w:p>
    <w:p>
      <w:pPr>
        <w:spacing w:line="240" w:lineRule="auto" w:after="100"/>
        <w:ind w:left="720" w:hanging="720"/>
        <w:jc w:val="left"/>
      </w:pPr>
      <w:r>
        <w:rPr>
          <w:b w:val="0"/>
          <w:i w:val="0"/>
          <w:sz w:val="22"/>
        </w:rPr>
        <w:t xml:space="preserve">Shapley, L. S. (1953). A value for n-person games. In H. W. Kuhn &amp; A. W. Tucker (Eds.), </w:t>
      </w:r>
      <w:r>
        <w:rPr>
          <w:b w:val="0"/>
          <w:i/>
          <w:sz w:val="22"/>
        </w:rPr>
        <w:t>Contributions to the theory of games</w:t>
      </w:r>
      <w:r>
        <w:rPr>
          <w:b w:val="0"/>
          <w:i w:val="0"/>
          <w:sz w:val="22"/>
        </w:rPr>
        <w:t xml:space="preserve"> (Vol. 2, pp. 307–317). Princeton University Press.</w:t>
      </w:r>
    </w:p>
    <w:p>
      <w:pPr>
        <w:spacing w:line="240" w:lineRule="auto" w:after="100"/>
        <w:ind w:left="720" w:hanging="720"/>
        <w:jc w:val="left"/>
      </w:pPr>
      <w:r>
        <w:rPr>
          <w:b w:val="0"/>
          <w:i w:val="0"/>
          <w:sz w:val="22"/>
        </w:rPr>
        <w:t xml:space="preserve">Transparency International. (2026). </w:t>
      </w:r>
      <w:r>
        <w:rPr>
          <w:b w:val="0"/>
          <w:i/>
          <w:sz w:val="22"/>
        </w:rPr>
        <w:t>Corruption perceptions index 2025</w:t>
      </w:r>
      <w:r>
        <w:rPr>
          <w:b w:val="0"/>
          <w:i w:val="0"/>
          <w:sz w:val="22"/>
        </w:rPr>
        <w:t>. https://www.transparency.org/en/cpi/2025</w:t>
      </w:r>
    </w:p>
    <w:p>
      <w:pPr>
        <w:spacing w:line="240" w:lineRule="auto" w:after="100"/>
        <w:ind w:left="720" w:hanging="720"/>
        <w:jc w:val="left"/>
      </w:pPr>
      <w:r>
        <w:rPr>
          <w:b w:val="0"/>
          <w:i w:val="0"/>
          <w:sz w:val="22"/>
        </w:rPr>
        <w:t xml:space="preserve">U.S. Government Accountability Office. (2020). </w:t>
      </w:r>
      <w:r>
        <w:rPr>
          <w:b w:val="0"/>
          <w:i/>
          <w:sz w:val="22"/>
        </w:rPr>
        <w:t>Cost estimating and assessment guide: Best practices for developing and managing program costs</w:t>
      </w:r>
      <w:r>
        <w:rPr>
          <w:b w:val="0"/>
          <w:i w:val="0"/>
          <w:sz w:val="22"/>
        </w:rPr>
        <w:t xml:space="preserve"> (GAO-20-195G).</w:t>
      </w:r>
    </w:p>
    <w:p>
      <w:pPr>
        <w:keepNext/>
        <w:spacing w:line="480" w:lineRule="auto" w:after="0"/>
        <w:jc w:val="center"/>
      </w:pPr>
      <w:r>
        <w:rPr>
          <w:b/>
          <w:i w:val="0"/>
        </w:rPr>
        <w:t>APPENDICES</w:t>
      </w:r>
    </w:p>
    <w:p>
      <w:pPr>
        <w:spacing w:line="360" w:lineRule="auto" w:after="0"/>
        <w:jc w:val="center"/>
      </w:pPr>
      <w:r>
        <w:rPr>
          <w:b/>
          <w:i w:val="0"/>
        </w:rPr>
        <w:t>Appendix A. Sample Records of the Simulated Benchmark Dataset (SBD-300)</w:t>
      </w:r>
    </w:p>
    <w:tbl>
      <w:tblPr>
        <w:tblW w:type="auto" w:w="0"/>
        <w:jc w:val="center"/>
        <w:tblLayout w:type="fixed"/>
        <w:tblLook w:firstColumn="1" w:firstRow="1" w:lastColumn="0" w:lastRow="0" w:noHBand="0" w:noVBand="1" w:val="04A0"/>
        <w:tblLayout w:type="fixed"/>
      </w:tblPr>
      <w:tblGrid>
        <w:gridCol w:w="1224"/>
        <w:gridCol w:w="1512"/>
        <w:gridCol w:w="792"/>
        <w:gridCol w:w="2592"/>
        <w:gridCol w:w="1080"/>
        <w:gridCol w:w="1080"/>
        <w:gridCol w:w="1080"/>
      </w:tblGrid>
      <w:tr>
        <w:tc>
          <w:tcPr>
            <w:tcW w:type="dxa" w:w="1224"/>
            <w:tcBorders>
              <w:top w:val="single" w:sz="12" w:color="000000"/>
              <w:bottom w:val="single" w:sz="8" w:color="000000"/>
            </w:tcBorders>
          </w:tcPr>
          <w:p>
            <w:pPr>
              <w:spacing w:line="240" w:lineRule="auto" w:before="40" w:after="40"/>
              <w:jc w:val="center"/>
            </w:pPr>
            <w:r/>
            <w:r>
              <w:rPr>
                <w:b/>
                <w:i w:val="0"/>
                <w:sz w:val="18"/>
              </w:rPr>
              <w:t>ID</w:t>
            </w:r>
          </w:p>
        </w:tc>
        <w:tc>
          <w:tcPr>
            <w:tcW w:type="dxa" w:w="1512"/>
            <w:tcBorders>
              <w:top w:val="single" w:sz="12" w:color="000000"/>
              <w:bottom w:val="single" w:sz="8" w:color="000000"/>
            </w:tcBorders>
          </w:tcPr>
          <w:p>
            <w:pPr>
              <w:spacing w:line="240" w:lineRule="auto" w:before="40" w:after="40"/>
              <w:jc w:val="center"/>
            </w:pPr>
            <w:r/>
            <w:r>
              <w:rPr>
                <w:b/>
                <w:i w:val="0"/>
                <w:sz w:val="18"/>
              </w:rPr>
              <w:t>PROVINCE</w:t>
            </w:r>
          </w:p>
        </w:tc>
        <w:tc>
          <w:tcPr>
            <w:tcW w:type="dxa" w:w="792"/>
            <w:tcBorders>
              <w:top w:val="single" w:sz="12" w:color="000000"/>
              <w:bottom w:val="single" w:sz="8" w:color="000000"/>
            </w:tcBorders>
          </w:tcPr>
          <w:p>
            <w:pPr>
              <w:spacing w:line="240" w:lineRule="auto" w:before="40" w:after="40"/>
              <w:jc w:val="center"/>
            </w:pPr>
            <w:r/>
            <w:r>
              <w:rPr>
                <w:b/>
                <w:i w:val="0"/>
                <w:sz w:val="18"/>
              </w:rPr>
              <w:t>YEAR</w:t>
            </w:r>
          </w:p>
        </w:tc>
        <w:tc>
          <w:tcPr>
            <w:tcW w:type="dxa" w:w="2592"/>
            <w:tcBorders>
              <w:top w:val="single" w:sz="12" w:color="000000"/>
              <w:bottom w:val="single" w:sz="8" w:color="000000"/>
            </w:tcBorders>
          </w:tcPr>
          <w:p>
            <w:pPr>
              <w:spacing w:line="240" w:lineRule="auto" w:before="40" w:after="40"/>
              <w:jc w:val="center"/>
            </w:pPr>
            <w:r/>
            <w:r>
              <w:rPr>
                <w:b/>
                <w:i w:val="0"/>
                <w:sz w:val="18"/>
              </w:rPr>
              <w:t>PLAN</w:t>
            </w:r>
          </w:p>
        </w:tc>
        <w:tc>
          <w:tcPr>
            <w:tcW w:type="dxa" w:w="1080"/>
            <w:tcBorders>
              <w:top w:val="single" w:sz="12" w:color="000000"/>
              <w:bottom w:val="single" w:sz="8" w:color="000000"/>
            </w:tcBorders>
          </w:tcPr>
          <w:p>
            <w:pPr>
              <w:spacing w:line="240" w:lineRule="auto" w:before="40" w:after="40"/>
              <w:jc w:val="center"/>
            </w:pPr>
            <w:r/>
            <w:r>
              <w:rPr>
                <w:b/>
                <w:i w:val="0"/>
                <w:sz w:val="18"/>
              </w:rPr>
              <w:t>STANDARD (₱M)</w:t>
            </w:r>
          </w:p>
        </w:tc>
        <w:tc>
          <w:tcPr>
            <w:tcW w:type="dxa" w:w="1080"/>
            <w:tcBorders>
              <w:top w:val="single" w:sz="12" w:color="000000"/>
              <w:bottom w:val="single" w:sz="8" w:color="000000"/>
            </w:tcBorders>
          </w:tcPr>
          <w:p>
            <w:pPr>
              <w:spacing w:line="240" w:lineRule="auto" w:before="40" w:after="40"/>
              <w:jc w:val="center"/>
            </w:pPr>
            <w:r/>
            <w:r>
              <w:rPr>
                <w:b/>
                <w:i w:val="0"/>
                <w:sz w:val="18"/>
              </w:rPr>
              <w:t>AWARDED (₱M)</w:t>
            </w:r>
          </w:p>
        </w:tc>
        <w:tc>
          <w:tcPr>
            <w:tcW w:type="dxa" w:w="1080"/>
            <w:tcBorders>
              <w:top w:val="single" w:sz="12" w:color="000000"/>
              <w:bottom w:val="single" w:sz="8" w:color="000000"/>
            </w:tcBorders>
          </w:tcPr>
          <w:p>
            <w:pPr>
              <w:spacing w:line="240" w:lineRule="auto" w:before="40" w:after="40"/>
              <w:jc w:val="center"/>
            </w:pPr>
            <w:r/>
            <w:r>
              <w:rPr>
                <w:b/>
                <w:i w:val="0"/>
                <w:sz w:val="18"/>
              </w:rPr>
              <w:t>INJECTED</w:t>
            </w:r>
          </w:p>
        </w:tc>
      </w:tr>
      <w:tr>
        <w:tc>
          <w:tcPr>
            <w:tcW w:type="dxa" w:w="1224"/>
            <w:shd w:val="clear" w:color="auto" w:fill="EFEFEF"/>
          </w:tcPr>
          <w:p>
            <w:pPr>
              <w:spacing w:line="240" w:lineRule="auto" w:before="40" w:after="40"/>
              <w:jc w:val="left"/>
            </w:pPr>
            <w:r/>
            <w:r>
              <w:rPr>
                <w:b w:val="0"/>
                <w:i w:val="0"/>
                <w:sz w:val="18"/>
              </w:rPr>
              <w:t>SIM-B-001</w:t>
            </w:r>
          </w:p>
        </w:tc>
        <w:tc>
          <w:tcPr>
            <w:tcW w:type="dxa" w:w="1512"/>
            <w:shd w:val="clear" w:color="auto" w:fill="EFEFEF"/>
          </w:tcPr>
          <w:p>
            <w:pPr>
              <w:spacing w:line="240" w:lineRule="auto" w:before="40" w:after="40"/>
              <w:jc w:val="left"/>
            </w:pPr>
            <w:r/>
            <w:r>
              <w:rPr>
                <w:b w:val="0"/>
                <w:i w:val="0"/>
                <w:sz w:val="18"/>
              </w:rPr>
              <w:t>Sorsogon</w:t>
            </w:r>
          </w:p>
        </w:tc>
        <w:tc>
          <w:tcPr>
            <w:tcW w:type="dxa" w:w="792"/>
            <w:shd w:val="clear" w:color="auto" w:fill="EFEFEF"/>
          </w:tcPr>
          <w:p>
            <w:pPr>
              <w:spacing w:line="240" w:lineRule="auto" w:before="40" w:after="40"/>
              <w:jc w:val="right"/>
            </w:pPr>
            <w:r/>
            <w:r>
              <w:rPr>
                <w:b w:val="0"/>
                <w:i w:val="0"/>
                <w:sz w:val="18"/>
              </w:rPr>
              <w:t>2023</w:t>
            </w:r>
          </w:p>
        </w:tc>
        <w:tc>
          <w:tcPr>
            <w:tcW w:type="dxa" w:w="2592"/>
            <w:shd w:val="clear" w:color="auto" w:fill="EFEFEF"/>
          </w:tcPr>
          <w:p>
            <w:pPr>
              <w:spacing w:line="240" w:lineRule="auto" w:before="40" w:after="40"/>
              <w:jc w:val="left"/>
            </w:pPr>
            <w:r/>
            <w:r>
              <w:rPr>
                <w:b w:val="0"/>
                <w:i w:val="0"/>
                <w:sz w:val="18"/>
              </w:rPr>
              <w:t>2-st school, 27.0×9.1 m</w:t>
            </w:r>
          </w:p>
        </w:tc>
        <w:tc>
          <w:tcPr>
            <w:tcW w:type="dxa" w:w="1080"/>
            <w:shd w:val="clear" w:color="auto" w:fill="EFEFEF"/>
          </w:tcPr>
          <w:p>
            <w:pPr>
              <w:spacing w:line="240" w:lineRule="auto" w:before="40" w:after="40"/>
              <w:jc w:val="right"/>
            </w:pPr>
            <w:r/>
            <w:r>
              <w:rPr>
                <w:b w:val="0"/>
                <w:i w:val="0"/>
                <w:sz w:val="18"/>
              </w:rPr>
              <w:t>13.74</w:t>
            </w:r>
          </w:p>
        </w:tc>
        <w:tc>
          <w:tcPr>
            <w:tcW w:type="dxa" w:w="1080"/>
            <w:shd w:val="clear" w:color="auto" w:fill="EFEFEF"/>
          </w:tcPr>
          <w:p>
            <w:pPr>
              <w:spacing w:line="240" w:lineRule="auto" w:before="40" w:after="40"/>
              <w:jc w:val="right"/>
            </w:pPr>
            <w:r/>
            <w:r>
              <w:rPr>
                <w:b w:val="0"/>
                <w:i w:val="0"/>
                <w:sz w:val="18"/>
              </w:rPr>
              <w:t>13.53</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SIM-B-002</w:t>
            </w:r>
          </w:p>
        </w:tc>
        <w:tc>
          <w:tcPr>
            <w:tcW w:type="dxa" w:w="1512"/>
          </w:tcPr>
          <w:p>
            <w:pPr>
              <w:spacing w:line="240" w:lineRule="auto" w:before="40" w:after="40"/>
              <w:jc w:val="left"/>
            </w:pPr>
            <w:r/>
            <w:r>
              <w:rPr>
                <w:b w:val="0"/>
                <w:i w:val="0"/>
                <w:sz w:val="18"/>
              </w:rPr>
              <w:t>Camarines Sur</w:t>
            </w:r>
          </w:p>
        </w:tc>
        <w:tc>
          <w:tcPr>
            <w:tcW w:type="dxa" w:w="792"/>
          </w:tcPr>
          <w:p>
            <w:pPr>
              <w:spacing w:line="240" w:lineRule="auto" w:before="40" w:after="40"/>
              <w:jc w:val="right"/>
            </w:pPr>
            <w:r/>
            <w:r>
              <w:rPr>
                <w:b w:val="0"/>
                <w:i w:val="0"/>
                <w:sz w:val="18"/>
              </w:rPr>
              <w:t>2022</w:t>
            </w:r>
          </w:p>
        </w:tc>
        <w:tc>
          <w:tcPr>
            <w:tcW w:type="dxa" w:w="2592"/>
          </w:tcPr>
          <w:p>
            <w:pPr>
              <w:spacing w:line="240" w:lineRule="auto" w:before="40" w:after="40"/>
              <w:jc w:val="left"/>
            </w:pPr>
            <w:r/>
            <w:r>
              <w:rPr>
                <w:b w:val="0"/>
                <w:i w:val="0"/>
                <w:sz w:val="18"/>
              </w:rPr>
              <w:t>1-st market, 40.9×19.7 m</w:t>
            </w:r>
          </w:p>
        </w:tc>
        <w:tc>
          <w:tcPr>
            <w:tcW w:type="dxa" w:w="1080"/>
          </w:tcPr>
          <w:p>
            <w:pPr>
              <w:spacing w:line="240" w:lineRule="auto" w:before="40" w:after="40"/>
              <w:jc w:val="right"/>
            </w:pPr>
            <w:r/>
            <w:r>
              <w:rPr>
                <w:b w:val="0"/>
                <w:i w:val="0"/>
                <w:sz w:val="18"/>
              </w:rPr>
              <w:t>20.57</w:t>
            </w:r>
          </w:p>
        </w:tc>
        <w:tc>
          <w:tcPr>
            <w:tcW w:type="dxa" w:w="1080"/>
          </w:tcPr>
          <w:p>
            <w:pPr>
              <w:spacing w:line="240" w:lineRule="auto" w:before="40" w:after="40"/>
              <w:jc w:val="right"/>
            </w:pPr>
            <w:r/>
            <w:r>
              <w:rPr>
                <w:b w:val="0"/>
                <w:i w:val="0"/>
                <w:sz w:val="18"/>
              </w:rPr>
              <w:t>19.03</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SIM-B-003</w:t>
            </w:r>
          </w:p>
        </w:tc>
        <w:tc>
          <w:tcPr>
            <w:tcW w:type="dxa" w:w="1512"/>
            <w:shd w:val="clear" w:color="auto" w:fill="EFEFEF"/>
          </w:tcPr>
          <w:p>
            <w:pPr>
              <w:spacing w:line="240" w:lineRule="auto" w:before="40" w:after="40"/>
              <w:jc w:val="left"/>
            </w:pPr>
            <w:r/>
            <w:r>
              <w:rPr>
                <w:b w:val="0"/>
                <w:i w:val="0"/>
                <w:sz w:val="18"/>
              </w:rPr>
              <w:t>Camarines Sur</w:t>
            </w:r>
          </w:p>
        </w:tc>
        <w:tc>
          <w:tcPr>
            <w:tcW w:type="dxa" w:w="792"/>
            <w:shd w:val="clear" w:color="auto" w:fill="EFEFEF"/>
          </w:tcPr>
          <w:p>
            <w:pPr>
              <w:spacing w:line="240" w:lineRule="auto" w:before="40" w:after="40"/>
              <w:jc w:val="right"/>
            </w:pPr>
            <w:r/>
            <w:r>
              <w:rPr>
                <w:b w:val="0"/>
                <w:i w:val="0"/>
                <w:sz w:val="18"/>
              </w:rPr>
              <w:t>2024</w:t>
            </w:r>
          </w:p>
        </w:tc>
        <w:tc>
          <w:tcPr>
            <w:tcW w:type="dxa" w:w="2592"/>
            <w:shd w:val="clear" w:color="auto" w:fill="EFEFEF"/>
          </w:tcPr>
          <w:p>
            <w:pPr>
              <w:spacing w:line="240" w:lineRule="auto" w:before="40" w:after="40"/>
              <w:jc w:val="left"/>
            </w:pPr>
            <w:r/>
            <w:r>
              <w:rPr>
                <w:b w:val="0"/>
                <w:i w:val="0"/>
                <w:sz w:val="18"/>
              </w:rPr>
              <w:t>1-st health, 30.8×8.2 m</w:t>
            </w:r>
          </w:p>
        </w:tc>
        <w:tc>
          <w:tcPr>
            <w:tcW w:type="dxa" w:w="1080"/>
            <w:shd w:val="clear" w:color="auto" w:fill="EFEFEF"/>
          </w:tcPr>
          <w:p>
            <w:pPr>
              <w:spacing w:line="240" w:lineRule="auto" w:before="40" w:after="40"/>
              <w:jc w:val="right"/>
            </w:pPr>
            <w:r/>
            <w:r>
              <w:rPr>
                <w:b w:val="0"/>
                <w:i w:val="0"/>
                <w:sz w:val="18"/>
              </w:rPr>
              <w:t>9.78</w:t>
            </w:r>
          </w:p>
        </w:tc>
        <w:tc>
          <w:tcPr>
            <w:tcW w:type="dxa" w:w="1080"/>
            <w:shd w:val="clear" w:color="auto" w:fill="EFEFEF"/>
          </w:tcPr>
          <w:p>
            <w:pPr>
              <w:spacing w:line="240" w:lineRule="auto" w:before="40" w:after="40"/>
              <w:jc w:val="right"/>
            </w:pPr>
            <w:r/>
            <w:r>
              <w:rPr>
                <w:b w:val="0"/>
                <w:i w:val="0"/>
                <w:sz w:val="18"/>
              </w:rPr>
              <w:t>9.48</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SIM-B-004</w:t>
            </w:r>
          </w:p>
        </w:tc>
        <w:tc>
          <w:tcPr>
            <w:tcW w:type="dxa" w:w="1512"/>
          </w:tcPr>
          <w:p>
            <w:pPr>
              <w:spacing w:line="240" w:lineRule="auto" w:before="40" w:after="40"/>
              <w:jc w:val="left"/>
            </w:pPr>
            <w:r/>
            <w:r>
              <w:rPr>
                <w:b w:val="0"/>
                <w:i w:val="0"/>
                <w:sz w:val="18"/>
              </w:rPr>
              <w:t>Masbate</w:t>
            </w:r>
          </w:p>
        </w:tc>
        <w:tc>
          <w:tcPr>
            <w:tcW w:type="dxa" w:w="792"/>
          </w:tcPr>
          <w:p>
            <w:pPr>
              <w:spacing w:line="240" w:lineRule="auto" w:before="40" w:after="40"/>
              <w:jc w:val="right"/>
            </w:pPr>
            <w:r/>
            <w:r>
              <w:rPr>
                <w:b w:val="0"/>
                <w:i w:val="0"/>
                <w:sz w:val="18"/>
              </w:rPr>
              <w:t>2024</w:t>
            </w:r>
          </w:p>
        </w:tc>
        <w:tc>
          <w:tcPr>
            <w:tcW w:type="dxa" w:w="2592"/>
          </w:tcPr>
          <w:p>
            <w:pPr>
              <w:spacing w:line="240" w:lineRule="auto" w:before="40" w:after="40"/>
              <w:jc w:val="left"/>
            </w:pPr>
            <w:r/>
            <w:r>
              <w:rPr>
                <w:b w:val="0"/>
                <w:i w:val="0"/>
                <w:sz w:val="18"/>
              </w:rPr>
              <w:t>2-st school, 45.0×9.8 m</w:t>
            </w:r>
          </w:p>
        </w:tc>
        <w:tc>
          <w:tcPr>
            <w:tcW w:type="dxa" w:w="1080"/>
          </w:tcPr>
          <w:p>
            <w:pPr>
              <w:spacing w:line="240" w:lineRule="auto" w:before="40" w:after="40"/>
              <w:jc w:val="right"/>
            </w:pPr>
            <w:r/>
            <w:r>
              <w:rPr>
                <w:b w:val="0"/>
                <w:i w:val="0"/>
                <w:sz w:val="18"/>
              </w:rPr>
              <w:t>23.77</w:t>
            </w:r>
          </w:p>
        </w:tc>
        <w:tc>
          <w:tcPr>
            <w:tcW w:type="dxa" w:w="1080"/>
          </w:tcPr>
          <w:p>
            <w:pPr>
              <w:spacing w:line="240" w:lineRule="auto" w:before="40" w:after="40"/>
              <w:jc w:val="right"/>
            </w:pPr>
            <w:r/>
            <w:r>
              <w:rPr>
                <w:b w:val="0"/>
                <w:i w:val="0"/>
                <w:sz w:val="18"/>
              </w:rPr>
              <w:t>22.11</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SIM-B-005</w:t>
            </w:r>
          </w:p>
        </w:tc>
        <w:tc>
          <w:tcPr>
            <w:tcW w:type="dxa" w:w="1512"/>
            <w:shd w:val="clear" w:color="auto" w:fill="EFEFEF"/>
          </w:tcPr>
          <w:p>
            <w:pPr>
              <w:spacing w:line="240" w:lineRule="auto" w:before="40" w:after="40"/>
              <w:jc w:val="left"/>
            </w:pPr>
            <w:r/>
            <w:r>
              <w:rPr>
                <w:b w:val="0"/>
                <w:i w:val="0"/>
                <w:sz w:val="18"/>
              </w:rPr>
              <w:t>Masbate</w:t>
            </w:r>
          </w:p>
        </w:tc>
        <w:tc>
          <w:tcPr>
            <w:tcW w:type="dxa" w:w="792"/>
            <w:shd w:val="clear" w:color="auto" w:fill="EFEFEF"/>
          </w:tcPr>
          <w:p>
            <w:pPr>
              <w:spacing w:line="240" w:lineRule="auto" w:before="40" w:after="40"/>
              <w:jc w:val="right"/>
            </w:pPr>
            <w:r/>
            <w:r>
              <w:rPr>
                <w:b w:val="0"/>
                <w:i w:val="0"/>
                <w:sz w:val="18"/>
              </w:rPr>
              <w:t>2022</w:t>
            </w:r>
          </w:p>
        </w:tc>
        <w:tc>
          <w:tcPr>
            <w:tcW w:type="dxa" w:w="2592"/>
            <w:shd w:val="clear" w:color="auto" w:fill="EFEFEF"/>
          </w:tcPr>
          <w:p>
            <w:pPr>
              <w:spacing w:line="240" w:lineRule="auto" w:before="40" w:after="40"/>
              <w:jc w:val="left"/>
            </w:pPr>
            <w:r/>
            <w:r>
              <w:rPr>
                <w:b w:val="0"/>
                <w:i w:val="0"/>
                <w:sz w:val="18"/>
              </w:rPr>
              <w:t>2-st school, 27.0×9.5 m</w:t>
            </w:r>
          </w:p>
        </w:tc>
        <w:tc>
          <w:tcPr>
            <w:tcW w:type="dxa" w:w="1080"/>
            <w:shd w:val="clear" w:color="auto" w:fill="EFEFEF"/>
          </w:tcPr>
          <w:p>
            <w:pPr>
              <w:spacing w:line="240" w:lineRule="auto" w:before="40" w:after="40"/>
              <w:jc w:val="right"/>
            </w:pPr>
            <w:r/>
            <w:r>
              <w:rPr>
                <w:b w:val="0"/>
                <w:i w:val="0"/>
                <w:sz w:val="18"/>
              </w:rPr>
              <w:t>14.71</w:t>
            </w:r>
          </w:p>
        </w:tc>
        <w:tc>
          <w:tcPr>
            <w:tcW w:type="dxa" w:w="1080"/>
            <w:shd w:val="clear" w:color="auto" w:fill="EFEFEF"/>
          </w:tcPr>
          <w:p>
            <w:pPr>
              <w:spacing w:line="240" w:lineRule="auto" w:before="40" w:after="40"/>
              <w:jc w:val="right"/>
            </w:pPr>
            <w:r/>
            <w:r>
              <w:rPr>
                <w:b w:val="0"/>
                <w:i w:val="0"/>
                <w:sz w:val="18"/>
              </w:rPr>
              <w:t>16.00</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SIM-B-006</w:t>
            </w:r>
          </w:p>
        </w:tc>
        <w:tc>
          <w:tcPr>
            <w:tcW w:type="dxa" w:w="1512"/>
          </w:tcPr>
          <w:p>
            <w:pPr>
              <w:spacing w:line="240" w:lineRule="auto" w:before="40" w:after="40"/>
              <w:jc w:val="left"/>
            </w:pPr>
            <w:r/>
            <w:r>
              <w:rPr>
                <w:b w:val="0"/>
                <w:i w:val="0"/>
                <w:sz w:val="18"/>
              </w:rPr>
              <w:t>Camarines Sur</w:t>
            </w:r>
          </w:p>
        </w:tc>
        <w:tc>
          <w:tcPr>
            <w:tcW w:type="dxa" w:w="792"/>
          </w:tcPr>
          <w:p>
            <w:pPr>
              <w:spacing w:line="240" w:lineRule="auto" w:before="40" w:after="40"/>
              <w:jc w:val="right"/>
            </w:pPr>
            <w:r/>
            <w:r>
              <w:rPr>
                <w:b w:val="0"/>
                <w:i w:val="0"/>
                <w:sz w:val="18"/>
              </w:rPr>
              <w:t>2024</w:t>
            </w:r>
          </w:p>
        </w:tc>
        <w:tc>
          <w:tcPr>
            <w:tcW w:type="dxa" w:w="2592"/>
          </w:tcPr>
          <w:p>
            <w:pPr>
              <w:spacing w:line="240" w:lineRule="auto" w:before="40" w:after="40"/>
              <w:jc w:val="left"/>
            </w:pPr>
            <w:r/>
            <w:r>
              <w:rPr>
                <w:b w:val="0"/>
                <w:i w:val="0"/>
                <w:sz w:val="18"/>
              </w:rPr>
              <w:t>2-st evacuation, 31.9×12.8 m</w:t>
            </w:r>
          </w:p>
        </w:tc>
        <w:tc>
          <w:tcPr>
            <w:tcW w:type="dxa" w:w="1080"/>
          </w:tcPr>
          <w:p>
            <w:pPr>
              <w:spacing w:line="240" w:lineRule="auto" w:before="40" w:after="40"/>
              <w:jc w:val="right"/>
            </w:pPr>
            <w:r/>
            <w:r>
              <w:rPr>
                <w:b w:val="0"/>
                <w:i w:val="0"/>
                <w:sz w:val="18"/>
              </w:rPr>
              <w:t>19.00</w:t>
            </w:r>
          </w:p>
        </w:tc>
        <w:tc>
          <w:tcPr>
            <w:tcW w:type="dxa" w:w="1080"/>
          </w:tcPr>
          <w:p>
            <w:pPr>
              <w:spacing w:line="240" w:lineRule="auto" w:before="40" w:after="40"/>
              <w:jc w:val="right"/>
            </w:pPr>
            <w:r/>
            <w:r>
              <w:rPr>
                <w:b w:val="0"/>
                <w:i w:val="0"/>
                <w:sz w:val="18"/>
              </w:rPr>
              <w:t>31.25</w:t>
            </w:r>
          </w:p>
        </w:tc>
        <w:tc>
          <w:tcPr>
            <w:tcW w:type="dxa" w:w="1080"/>
          </w:tcPr>
          <w:p>
            <w:pPr>
              <w:spacing w:line="240" w:lineRule="auto" w:before="40" w:after="40"/>
              <w:jc w:val="left"/>
            </w:pPr>
            <w:r/>
            <w:r>
              <w:rPr>
                <w:b w:val="0"/>
                <w:i w:val="0"/>
                <w:sz w:val="18"/>
              </w:rPr>
              <w:t>Yes</w:t>
            </w:r>
          </w:p>
        </w:tc>
      </w:tr>
      <w:tr>
        <w:tc>
          <w:tcPr>
            <w:tcW w:type="dxa" w:w="1224"/>
            <w:shd w:val="clear" w:color="auto" w:fill="EFEFEF"/>
          </w:tcPr>
          <w:p>
            <w:pPr>
              <w:spacing w:line="240" w:lineRule="auto" w:before="40" w:after="40"/>
              <w:jc w:val="left"/>
            </w:pPr>
            <w:r/>
            <w:r>
              <w:rPr>
                <w:b w:val="0"/>
                <w:i w:val="0"/>
                <w:sz w:val="18"/>
              </w:rPr>
              <w:t>SIM-B-007</w:t>
            </w:r>
          </w:p>
        </w:tc>
        <w:tc>
          <w:tcPr>
            <w:tcW w:type="dxa" w:w="1512"/>
            <w:shd w:val="clear" w:color="auto" w:fill="EFEFEF"/>
          </w:tcPr>
          <w:p>
            <w:pPr>
              <w:spacing w:line="240" w:lineRule="auto" w:before="40" w:after="40"/>
              <w:jc w:val="left"/>
            </w:pPr>
            <w:r/>
            <w:r>
              <w:rPr>
                <w:b w:val="0"/>
                <w:i w:val="0"/>
                <w:sz w:val="18"/>
              </w:rPr>
              <w:t>Camarines Sur</w:t>
            </w:r>
          </w:p>
        </w:tc>
        <w:tc>
          <w:tcPr>
            <w:tcW w:type="dxa" w:w="792"/>
            <w:shd w:val="clear" w:color="auto" w:fill="EFEFEF"/>
          </w:tcPr>
          <w:p>
            <w:pPr>
              <w:spacing w:line="240" w:lineRule="auto" w:before="40" w:after="40"/>
              <w:jc w:val="right"/>
            </w:pPr>
            <w:r/>
            <w:r>
              <w:rPr>
                <w:b w:val="0"/>
                <w:i w:val="0"/>
                <w:sz w:val="18"/>
              </w:rPr>
              <w:t>2023</w:t>
            </w:r>
          </w:p>
        </w:tc>
        <w:tc>
          <w:tcPr>
            <w:tcW w:type="dxa" w:w="2592"/>
            <w:shd w:val="clear" w:color="auto" w:fill="EFEFEF"/>
          </w:tcPr>
          <w:p>
            <w:pPr>
              <w:spacing w:line="240" w:lineRule="auto" w:before="40" w:after="40"/>
              <w:jc w:val="left"/>
            </w:pPr>
            <w:r/>
            <w:r>
              <w:rPr>
                <w:b w:val="0"/>
                <w:i w:val="0"/>
                <w:sz w:val="18"/>
              </w:rPr>
              <w:t>1-st office, 15.6×14.0 m</w:t>
            </w:r>
          </w:p>
        </w:tc>
        <w:tc>
          <w:tcPr>
            <w:tcW w:type="dxa" w:w="1080"/>
            <w:shd w:val="clear" w:color="auto" w:fill="EFEFEF"/>
          </w:tcPr>
          <w:p>
            <w:pPr>
              <w:spacing w:line="240" w:lineRule="auto" w:before="40" w:after="40"/>
              <w:jc w:val="right"/>
            </w:pPr>
            <w:r/>
            <w:r>
              <w:rPr>
                <w:b w:val="0"/>
                <w:i w:val="0"/>
                <w:sz w:val="18"/>
              </w:rPr>
              <w:t>6.77</w:t>
            </w:r>
          </w:p>
        </w:tc>
        <w:tc>
          <w:tcPr>
            <w:tcW w:type="dxa" w:w="1080"/>
            <w:shd w:val="clear" w:color="auto" w:fill="EFEFEF"/>
          </w:tcPr>
          <w:p>
            <w:pPr>
              <w:spacing w:line="240" w:lineRule="auto" w:before="40" w:after="40"/>
              <w:jc w:val="right"/>
            </w:pPr>
            <w:r/>
            <w:r>
              <w:rPr>
                <w:b w:val="0"/>
                <w:i w:val="0"/>
                <w:sz w:val="18"/>
              </w:rPr>
              <w:t>8.55</w:t>
            </w:r>
          </w:p>
        </w:tc>
        <w:tc>
          <w:tcPr>
            <w:tcW w:type="dxa" w:w="1080"/>
            <w:shd w:val="clear" w:color="auto" w:fill="EFEFEF"/>
          </w:tcPr>
          <w:p>
            <w:pPr>
              <w:spacing w:line="240" w:lineRule="auto" w:before="40" w:after="40"/>
              <w:jc w:val="left"/>
            </w:pPr>
            <w:r/>
            <w:r>
              <w:rPr>
                <w:b w:val="0"/>
                <w:i w:val="0"/>
                <w:sz w:val="18"/>
              </w:rPr>
              <w:t>Yes</w:t>
            </w:r>
          </w:p>
        </w:tc>
      </w:tr>
      <w:tr>
        <w:tc>
          <w:tcPr>
            <w:tcW w:type="dxa" w:w="1224"/>
          </w:tcPr>
          <w:p>
            <w:pPr>
              <w:spacing w:line="240" w:lineRule="auto" w:before="40" w:after="40"/>
              <w:jc w:val="left"/>
            </w:pPr>
            <w:r/>
            <w:r>
              <w:rPr>
                <w:b w:val="0"/>
                <w:i w:val="0"/>
                <w:sz w:val="18"/>
              </w:rPr>
              <w:t>SIM-B-008</w:t>
            </w:r>
          </w:p>
        </w:tc>
        <w:tc>
          <w:tcPr>
            <w:tcW w:type="dxa" w:w="1512"/>
          </w:tcPr>
          <w:p>
            <w:pPr>
              <w:spacing w:line="240" w:lineRule="auto" w:before="40" w:after="40"/>
              <w:jc w:val="left"/>
            </w:pPr>
            <w:r/>
            <w:r>
              <w:rPr>
                <w:b w:val="0"/>
                <w:i w:val="0"/>
                <w:sz w:val="18"/>
              </w:rPr>
              <w:t>Masbate</w:t>
            </w:r>
          </w:p>
        </w:tc>
        <w:tc>
          <w:tcPr>
            <w:tcW w:type="dxa" w:w="792"/>
          </w:tcPr>
          <w:p>
            <w:pPr>
              <w:spacing w:line="240" w:lineRule="auto" w:before="40" w:after="40"/>
              <w:jc w:val="right"/>
            </w:pPr>
            <w:r/>
            <w:r>
              <w:rPr>
                <w:b w:val="0"/>
                <w:i w:val="0"/>
                <w:sz w:val="18"/>
              </w:rPr>
              <w:t>2025</w:t>
            </w:r>
          </w:p>
        </w:tc>
        <w:tc>
          <w:tcPr>
            <w:tcW w:type="dxa" w:w="2592"/>
          </w:tcPr>
          <w:p>
            <w:pPr>
              <w:spacing w:line="240" w:lineRule="auto" w:before="40" w:after="40"/>
              <w:jc w:val="left"/>
            </w:pPr>
            <w:r/>
            <w:r>
              <w:rPr>
                <w:b w:val="0"/>
                <w:i w:val="0"/>
                <w:sz w:val="18"/>
              </w:rPr>
              <w:t>2-st school, 27.0×8.8 m</w:t>
            </w:r>
          </w:p>
        </w:tc>
        <w:tc>
          <w:tcPr>
            <w:tcW w:type="dxa" w:w="1080"/>
          </w:tcPr>
          <w:p>
            <w:pPr>
              <w:spacing w:line="240" w:lineRule="auto" w:before="40" w:after="40"/>
              <w:jc w:val="right"/>
            </w:pPr>
            <w:r/>
            <w:r>
              <w:rPr>
                <w:b w:val="0"/>
                <w:i w:val="0"/>
                <w:sz w:val="18"/>
              </w:rPr>
              <w:t>14.27</w:t>
            </w:r>
          </w:p>
        </w:tc>
        <w:tc>
          <w:tcPr>
            <w:tcW w:type="dxa" w:w="1080"/>
          </w:tcPr>
          <w:p>
            <w:pPr>
              <w:spacing w:line="240" w:lineRule="auto" w:before="40" w:after="40"/>
              <w:jc w:val="right"/>
            </w:pPr>
            <w:r/>
            <w:r>
              <w:rPr>
                <w:b w:val="0"/>
                <w:i w:val="0"/>
                <w:sz w:val="18"/>
              </w:rPr>
              <w:t>14.29</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SIM-B-009</w:t>
            </w:r>
          </w:p>
        </w:tc>
        <w:tc>
          <w:tcPr>
            <w:tcW w:type="dxa" w:w="1512"/>
            <w:shd w:val="clear" w:color="auto" w:fill="EFEFEF"/>
          </w:tcPr>
          <w:p>
            <w:pPr>
              <w:spacing w:line="240" w:lineRule="auto" w:before="40" w:after="40"/>
              <w:jc w:val="left"/>
            </w:pPr>
            <w:r/>
            <w:r>
              <w:rPr>
                <w:b w:val="0"/>
                <w:i w:val="0"/>
                <w:sz w:val="18"/>
              </w:rPr>
              <w:t>Albay</w:t>
            </w:r>
          </w:p>
        </w:tc>
        <w:tc>
          <w:tcPr>
            <w:tcW w:type="dxa" w:w="792"/>
            <w:shd w:val="clear" w:color="auto" w:fill="EFEFEF"/>
          </w:tcPr>
          <w:p>
            <w:pPr>
              <w:spacing w:line="240" w:lineRule="auto" w:before="40" w:after="40"/>
              <w:jc w:val="right"/>
            </w:pPr>
            <w:r/>
            <w:r>
              <w:rPr>
                <w:b w:val="0"/>
                <w:i w:val="0"/>
                <w:sz w:val="18"/>
              </w:rPr>
              <w:t>2025</w:t>
            </w:r>
          </w:p>
        </w:tc>
        <w:tc>
          <w:tcPr>
            <w:tcW w:type="dxa" w:w="2592"/>
            <w:shd w:val="clear" w:color="auto" w:fill="EFEFEF"/>
          </w:tcPr>
          <w:p>
            <w:pPr>
              <w:spacing w:line="240" w:lineRule="auto" w:before="40" w:after="40"/>
              <w:jc w:val="left"/>
            </w:pPr>
            <w:r/>
            <w:r>
              <w:rPr>
                <w:b w:val="0"/>
                <w:i w:val="0"/>
                <w:sz w:val="18"/>
              </w:rPr>
              <w:t>3-st school, 36.0×9.1 m</w:t>
            </w:r>
          </w:p>
        </w:tc>
        <w:tc>
          <w:tcPr>
            <w:tcW w:type="dxa" w:w="1080"/>
            <w:shd w:val="clear" w:color="auto" w:fill="EFEFEF"/>
          </w:tcPr>
          <w:p>
            <w:pPr>
              <w:spacing w:line="240" w:lineRule="auto" w:before="40" w:after="40"/>
              <w:jc w:val="right"/>
            </w:pPr>
            <w:r/>
            <w:r>
              <w:rPr>
                <w:b w:val="0"/>
                <w:i w:val="0"/>
                <w:sz w:val="18"/>
              </w:rPr>
              <w:t>25.21</w:t>
            </w:r>
          </w:p>
        </w:tc>
        <w:tc>
          <w:tcPr>
            <w:tcW w:type="dxa" w:w="1080"/>
            <w:shd w:val="clear" w:color="auto" w:fill="EFEFEF"/>
          </w:tcPr>
          <w:p>
            <w:pPr>
              <w:spacing w:line="240" w:lineRule="auto" w:before="40" w:after="40"/>
              <w:jc w:val="right"/>
            </w:pPr>
            <w:r/>
            <w:r>
              <w:rPr>
                <w:b w:val="0"/>
                <w:i w:val="0"/>
                <w:sz w:val="18"/>
              </w:rPr>
              <w:t>25.34</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SIM-B-010</w:t>
            </w:r>
          </w:p>
        </w:tc>
        <w:tc>
          <w:tcPr>
            <w:tcW w:type="dxa" w:w="1512"/>
          </w:tcPr>
          <w:p>
            <w:pPr>
              <w:spacing w:line="240" w:lineRule="auto" w:before="40" w:after="40"/>
              <w:jc w:val="left"/>
            </w:pPr>
            <w:r/>
            <w:r>
              <w:rPr>
                <w:b w:val="0"/>
                <w:i w:val="0"/>
                <w:sz w:val="18"/>
              </w:rPr>
              <w:t>Catanduanes</w:t>
            </w:r>
          </w:p>
        </w:tc>
        <w:tc>
          <w:tcPr>
            <w:tcW w:type="dxa" w:w="792"/>
          </w:tcPr>
          <w:p>
            <w:pPr>
              <w:spacing w:line="240" w:lineRule="auto" w:before="40" w:after="40"/>
              <w:jc w:val="right"/>
            </w:pPr>
            <w:r/>
            <w:r>
              <w:rPr>
                <w:b w:val="0"/>
                <w:i w:val="0"/>
                <w:sz w:val="18"/>
              </w:rPr>
              <w:t>2024</w:t>
            </w:r>
          </w:p>
        </w:tc>
        <w:tc>
          <w:tcPr>
            <w:tcW w:type="dxa" w:w="2592"/>
          </w:tcPr>
          <w:p>
            <w:pPr>
              <w:spacing w:line="240" w:lineRule="auto" w:before="40" w:after="40"/>
              <w:jc w:val="left"/>
            </w:pPr>
            <w:r/>
            <w:r>
              <w:rPr>
                <w:b w:val="0"/>
                <w:i w:val="0"/>
                <w:sz w:val="18"/>
              </w:rPr>
              <w:t>1-st evacuation, 26.4×14.9 m</w:t>
            </w:r>
          </w:p>
        </w:tc>
        <w:tc>
          <w:tcPr>
            <w:tcW w:type="dxa" w:w="1080"/>
          </w:tcPr>
          <w:p>
            <w:pPr>
              <w:spacing w:line="240" w:lineRule="auto" w:before="40" w:after="40"/>
              <w:jc w:val="right"/>
            </w:pPr>
            <w:r/>
            <w:r>
              <w:rPr>
                <w:b w:val="0"/>
                <w:i w:val="0"/>
                <w:sz w:val="18"/>
              </w:rPr>
              <w:t>12.21</w:t>
            </w:r>
          </w:p>
        </w:tc>
        <w:tc>
          <w:tcPr>
            <w:tcW w:type="dxa" w:w="1080"/>
          </w:tcPr>
          <w:p>
            <w:pPr>
              <w:spacing w:line="240" w:lineRule="auto" w:before="40" w:after="40"/>
              <w:jc w:val="right"/>
            </w:pPr>
            <w:r/>
            <w:r>
              <w:rPr>
                <w:b w:val="0"/>
                <w:i w:val="0"/>
                <w:sz w:val="18"/>
              </w:rPr>
              <w:t>11.97</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SIM-R-001</w:t>
            </w:r>
          </w:p>
        </w:tc>
        <w:tc>
          <w:tcPr>
            <w:tcW w:type="dxa" w:w="1512"/>
            <w:shd w:val="clear" w:color="auto" w:fill="EFEFEF"/>
          </w:tcPr>
          <w:p>
            <w:pPr>
              <w:spacing w:line="240" w:lineRule="auto" w:before="40" w:after="40"/>
              <w:jc w:val="left"/>
            </w:pPr>
            <w:r/>
            <w:r>
              <w:rPr>
                <w:b w:val="0"/>
                <w:i w:val="0"/>
                <w:sz w:val="18"/>
              </w:rPr>
              <w:t>Catanduanes</w:t>
            </w:r>
          </w:p>
        </w:tc>
        <w:tc>
          <w:tcPr>
            <w:tcW w:type="dxa" w:w="792"/>
            <w:shd w:val="clear" w:color="auto" w:fill="EFEFEF"/>
          </w:tcPr>
          <w:p>
            <w:pPr>
              <w:spacing w:line="240" w:lineRule="auto" w:before="40" w:after="40"/>
              <w:jc w:val="right"/>
            </w:pPr>
            <w:r/>
            <w:r>
              <w:rPr>
                <w:b w:val="0"/>
                <w:i w:val="0"/>
                <w:sz w:val="18"/>
              </w:rPr>
              <w:t>2022</w:t>
            </w:r>
          </w:p>
        </w:tc>
        <w:tc>
          <w:tcPr>
            <w:tcW w:type="dxa" w:w="2592"/>
            <w:shd w:val="clear" w:color="auto" w:fill="EFEFEF"/>
          </w:tcPr>
          <w:p>
            <w:pPr>
              <w:spacing w:line="240" w:lineRule="auto" w:before="40" w:after="40"/>
              <w:jc w:val="left"/>
            </w:pPr>
            <w:r/>
            <w:r>
              <w:rPr>
                <w:b w:val="0"/>
                <w:i w:val="0"/>
                <w:sz w:val="18"/>
              </w:rPr>
              <w:t>box_culvert, 2.5 m, 1 span(s)</w:t>
            </w:r>
          </w:p>
        </w:tc>
        <w:tc>
          <w:tcPr>
            <w:tcW w:type="dxa" w:w="1080"/>
            <w:shd w:val="clear" w:color="auto" w:fill="EFEFEF"/>
          </w:tcPr>
          <w:p>
            <w:pPr>
              <w:spacing w:line="240" w:lineRule="auto" w:before="40" w:after="40"/>
              <w:jc w:val="right"/>
            </w:pPr>
            <w:r/>
            <w:r>
              <w:rPr>
                <w:b w:val="0"/>
                <w:i w:val="0"/>
                <w:sz w:val="18"/>
              </w:rPr>
              <w:t>1.51</w:t>
            </w:r>
          </w:p>
        </w:tc>
        <w:tc>
          <w:tcPr>
            <w:tcW w:type="dxa" w:w="1080"/>
            <w:shd w:val="clear" w:color="auto" w:fill="EFEFEF"/>
          </w:tcPr>
          <w:p>
            <w:pPr>
              <w:spacing w:line="240" w:lineRule="auto" w:before="40" w:after="40"/>
              <w:jc w:val="right"/>
            </w:pPr>
            <w:r/>
            <w:r>
              <w:rPr>
                <w:b w:val="0"/>
                <w:i w:val="0"/>
                <w:sz w:val="18"/>
              </w:rPr>
              <w:t>1.42</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SIM-R-002</w:t>
            </w:r>
          </w:p>
        </w:tc>
        <w:tc>
          <w:tcPr>
            <w:tcW w:type="dxa" w:w="1512"/>
          </w:tcPr>
          <w:p>
            <w:pPr>
              <w:spacing w:line="240" w:lineRule="auto" w:before="40" w:after="40"/>
              <w:jc w:val="left"/>
            </w:pPr>
            <w:r/>
            <w:r>
              <w:rPr>
                <w:b w:val="0"/>
                <w:i w:val="0"/>
                <w:sz w:val="18"/>
              </w:rPr>
              <w:t>Camarines Sur</w:t>
            </w:r>
          </w:p>
        </w:tc>
        <w:tc>
          <w:tcPr>
            <w:tcW w:type="dxa" w:w="792"/>
          </w:tcPr>
          <w:p>
            <w:pPr>
              <w:spacing w:line="240" w:lineRule="auto" w:before="40" w:after="40"/>
              <w:jc w:val="right"/>
            </w:pPr>
            <w:r/>
            <w:r>
              <w:rPr>
                <w:b w:val="0"/>
                <w:i w:val="0"/>
                <w:sz w:val="18"/>
              </w:rPr>
              <w:t>2024</w:t>
            </w:r>
          </w:p>
        </w:tc>
        <w:tc>
          <w:tcPr>
            <w:tcW w:type="dxa" w:w="2592"/>
          </w:tcPr>
          <w:p>
            <w:pPr>
              <w:spacing w:line="240" w:lineRule="auto" w:before="40" w:after="40"/>
              <w:jc w:val="left"/>
            </w:pPr>
            <w:r/>
            <w:r>
              <w:rPr>
                <w:b w:val="0"/>
                <w:i w:val="0"/>
                <w:sz w:val="18"/>
              </w:rPr>
              <w:t>pscg, 79.3 m, 3 span(s)</w:t>
            </w:r>
          </w:p>
        </w:tc>
        <w:tc>
          <w:tcPr>
            <w:tcW w:type="dxa" w:w="1080"/>
          </w:tcPr>
          <w:p>
            <w:pPr>
              <w:spacing w:line="240" w:lineRule="auto" w:before="40" w:after="40"/>
              <w:jc w:val="right"/>
            </w:pPr>
            <w:r/>
            <w:r>
              <w:rPr>
                <w:b w:val="0"/>
                <w:i w:val="0"/>
                <w:sz w:val="18"/>
              </w:rPr>
              <w:t>67.59</w:t>
            </w:r>
          </w:p>
        </w:tc>
        <w:tc>
          <w:tcPr>
            <w:tcW w:type="dxa" w:w="1080"/>
          </w:tcPr>
          <w:p>
            <w:pPr>
              <w:spacing w:line="240" w:lineRule="auto" w:before="40" w:after="40"/>
              <w:jc w:val="right"/>
            </w:pPr>
            <w:r/>
            <w:r>
              <w:rPr>
                <w:b w:val="0"/>
                <w:i w:val="0"/>
                <w:sz w:val="18"/>
              </w:rPr>
              <w:t>69.05</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SIM-R-003</w:t>
            </w:r>
          </w:p>
        </w:tc>
        <w:tc>
          <w:tcPr>
            <w:tcW w:type="dxa" w:w="1512"/>
            <w:shd w:val="clear" w:color="auto" w:fill="EFEFEF"/>
          </w:tcPr>
          <w:p>
            <w:pPr>
              <w:spacing w:line="240" w:lineRule="auto" w:before="40" w:after="40"/>
              <w:jc w:val="left"/>
            </w:pPr>
            <w:r/>
            <w:r>
              <w:rPr>
                <w:b w:val="0"/>
                <w:i w:val="0"/>
                <w:sz w:val="18"/>
              </w:rPr>
              <w:t>Camarines Sur</w:t>
            </w:r>
          </w:p>
        </w:tc>
        <w:tc>
          <w:tcPr>
            <w:tcW w:type="dxa" w:w="792"/>
            <w:shd w:val="clear" w:color="auto" w:fill="EFEFEF"/>
          </w:tcPr>
          <w:p>
            <w:pPr>
              <w:spacing w:line="240" w:lineRule="auto" w:before="40" w:after="40"/>
              <w:jc w:val="right"/>
            </w:pPr>
            <w:r/>
            <w:r>
              <w:rPr>
                <w:b w:val="0"/>
                <w:i w:val="0"/>
                <w:sz w:val="18"/>
              </w:rPr>
              <w:t>2022</w:t>
            </w:r>
          </w:p>
        </w:tc>
        <w:tc>
          <w:tcPr>
            <w:tcW w:type="dxa" w:w="2592"/>
            <w:shd w:val="clear" w:color="auto" w:fill="EFEFEF"/>
          </w:tcPr>
          <w:p>
            <w:pPr>
              <w:spacing w:line="240" w:lineRule="auto" w:before="40" w:after="40"/>
              <w:jc w:val="left"/>
            </w:pPr>
            <w:r/>
            <w:r>
              <w:rPr>
                <w:b w:val="0"/>
                <w:i w:val="0"/>
                <w:sz w:val="18"/>
              </w:rPr>
              <w:t>rcdg, 18.1 m, 1 span(s)</w:t>
            </w:r>
          </w:p>
        </w:tc>
        <w:tc>
          <w:tcPr>
            <w:tcW w:type="dxa" w:w="1080"/>
            <w:shd w:val="clear" w:color="auto" w:fill="EFEFEF"/>
          </w:tcPr>
          <w:p>
            <w:pPr>
              <w:spacing w:line="240" w:lineRule="auto" w:before="40" w:after="40"/>
              <w:jc w:val="right"/>
            </w:pPr>
            <w:r/>
            <w:r>
              <w:rPr>
                <w:b w:val="0"/>
                <w:i w:val="0"/>
                <w:sz w:val="18"/>
              </w:rPr>
              <w:t>10.20</w:t>
            </w:r>
          </w:p>
        </w:tc>
        <w:tc>
          <w:tcPr>
            <w:tcW w:type="dxa" w:w="1080"/>
            <w:shd w:val="clear" w:color="auto" w:fill="EFEFEF"/>
          </w:tcPr>
          <w:p>
            <w:pPr>
              <w:spacing w:line="240" w:lineRule="auto" w:before="40" w:after="40"/>
              <w:jc w:val="right"/>
            </w:pPr>
            <w:r/>
            <w:r>
              <w:rPr>
                <w:b w:val="0"/>
                <w:i w:val="0"/>
                <w:sz w:val="18"/>
              </w:rPr>
              <w:t>10.48</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SIM-R-004</w:t>
            </w:r>
          </w:p>
        </w:tc>
        <w:tc>
          <w:tcPr>
            <w:tcW w:type="dxa" w:w="1512"/>
          </w:tcPr>
          <w:p>
            <w:pPr>
              <w:spacing w:line="240" w:lineRule="auto" w:before="40" w:after="40"/>
              <w:jc w:val="left"/>
            </w:pPr>
            <w:r/>
            <w:r>
              <w:rPr>
                <w:b w:val="0"/>
                <w:i w:val="0"/>
                <w:sz w:val="18"/>
              </w:rPr>
              <w:t>Masbate</w:t>
            </w:r>
          </w:p>
        </w:tc>
        <w:tc>
          <w:tcPr>
            <w:tcW w:type="dxa" w:w="792"/>
          </w:tcPr>
          <w:p>
            <w:pPr>
              <w:spacing w:line="240" w:lineRule="auto" w:before="40" w:after="40"/>
              <w:jc w:val="right"/>
            </w:pPr>
            <w:r/>
            <w:r>
              <w:rPr>
                <w:b w:val="0"/>
                <w:i w:val="0"/>
                <w:sz w:val="18"/>
              </w:rPr>
              <w:t>2022</w:t>
            </w:r>
          </w:p>
        </w:tc>
        <w:tc>
          <w:tcPr>
            <w:tcW w:type="dxa" w:w="2592"/>
          </w:tcPr>
          <w:p>
            <w:pPr>
              <w:spacing w:line="240" w:lineRule="auto" w:before="40" w:after="40"/>
              <w:jc w:val="left"/>
            </w:pPr>
            <w:r/>
            <w:r>
              <w:rPr>
                <w:b w:val="0"/>
                <w:i w:val="0"/>
                <w:sz w:val="18"/>
              </w:rPr>
              <w:t>pscg, 111.9 m, 4 span(s)</w:t>
            </w:r>
          </w:p>
        </w:tc>
        <w:tc>
          <w:tcPr>
            <w:tcW w:type="dxa" w:w="1080"/>
          </w:tcPr>
          <w:p>
            <w:pPr>
              <w:spacing w:line="240" w:lineRule="auto" w:before="40" w:after="40"/>
              <w:jc w:val="right"/>
            </w:pPr>
            <w:r/>
            <w:r>
              <w:rPr>
                <w:b w:val="0"/>
                <w:i w:val="0"/>
                <w:sz w:val="18"/>
              </w:rPr>
              <w:t>103.52</w:t>
            </w:r>
          </w:p>
        </w:tc>
        <w:tc>
          <w:tcPr>
            <w:tcW w:type="dxa" w:w="1080"/>
          </w:tcPr>
          <w:p>
            <w:pPr>
              <w:spacing w:line="240" w:lineRule="auto" w:before="40" w:after="40"/>
              <w:jc w:val="right"/>
            </w:pPr>
            <w:r/>
            <w:r>
              <w:rPr>
                <w:b w:val="0"/>
                <w:i w:val="0"/>
                <w:sz w:val="18"/>
              </w:rPr>
              <w:t>110.73</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SIM-R-005</w:t>
            </w:r>
          </w:p>
        </w:tc>
        <w:tc>
          <w:tcPr>
            <w:tcW w:type="dxa" w:w="1512"/>
            <w:shd w:val="clear" w:color="auto" w:fill="EFEFEF"/>
          </w:tcPr>
          <w:p>
            <w:pPr>
              <w:spacing w:line="240" w:lineRule="auto" w:before="40" w:after="40"/>
              <w:jc w:val="left"/>
            </w:pPr>
            <w:r/>
            <w:r>
              <w:rPr>
                <w:b w:val="0"/>
                <w:i w:val="0"/>
                <w:sz w:val="18"/>
              </w:rPr>
              <w:t>Masbate</w:t>
            </w:r>
          </w:p>
        </w:tc>
        <w:tc>
          <w:tcPr>
            <w:tcW w:type="dxa" w:w="792"/>
            <w:shd w:val="clear" w:color="auto" w:fill="EFEFEF"/>
          </w:tcPr>
          <w:p>
            <w:pPr>
              <w:spacing w:line="240" w:lineRule="auto" w:before="40" w:after="40"/>
              <w:jc w:val="right"/>
            </w:pPr>
            <w:r/>
            <w:r>
              <w:rPr>
                <w:b w:val="0"/>
                <w:i w:val="0"/>
                <w:sz w:val="18"/>
              </w:rPr>
              <w:t>2022</w:t>
            </w:r>
          </w:p>
        </w:tc>
        <w:tc>
          <w:tcPr>
            <w:tcW w:type="dxa" w:w="2592"/>
            <w:shd w:val="clear" w:color="auto" w:fill="EFEFEF"/>
          </w:tcPr>
          <w:p>
            <w:pPr>
              <w:spacing w:line="240" w:lineRule="auto" w:before="40" w:after="40"/>
              <w:jc w:val="left"/>
            </w:pPr>
            <w:r/>
            <w:r>
              <w:rPr>
                <w:b w:val="0"/>
                <w:i w:val="0"/>
                <w:sz w:val="18"/>
              </w:rPr>
              <w:t>pscg, 28.6 m, 1 span(s)</w:t>
            </w:r>
          </w:p>
        </w:tc>
        <w:tc>
          <w:tcPr>
            <w:tcW w:type="dxa" w:w="1080"/>
            <w:shd w:val="clear" w:color="auto" w:fill="EFEFEF"/>
          </w:tcPr>
          <w:p>
            <w:pPr>
              <w:spacing w:line="240" w:lineRule="auto" w:before="40" w:after="40"/>
              <w:jc w:val="right"/>
            </w:pPr>
            <w:r/>
            <w:r>
              <w:rPr>
                <w:b w:val="0"/>
                <w:i w:val="0"/>
                <w:sz w:val="18"/>
              </w:rPr>
              <w:t>46.97</w:t>
            </w:r>
          </w:p>
        </w:tc>
        <w:tc>
          <w:tcPr>
            <w:tcW w:type="dxa" w:w="1080"/>
            <w:shd w:val="clear" w:color="auto" w:fill="EFEFEF"/>
          </w:tcPr>
          <w:p>
            <w:pPr>
              <w:spacing w:line="240" w:lineRule="auto" w:before="40" w:after="40"/>
              <w:jc w:val="right"/>
            </w:pPr>
            <w:r/>
            <w:r>
              <w:rPr>
                <w:b w:val="0"/>
                <w:i w:val="0"/>
                <w:sz w:val="18"/>
              </w:rPr>
              <w:t>45.09</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SIM-R-006</w:t>
            </w:r>
          </w:p>
        </w:tc>
        <w:tc>
          <w:tcPr>
            <w:tcW w:type="dxa" w:w="1512"/>
          </w:tcPr>
          <w:p>
            <w:pPr>
              <w:spacing w:line="240" w:lineRule="auto" w:before="40" w:after="40"/>
              <w:jc w:val="left"/>
            </w:pPr>
            <w:r/>
            <w:r>
              <w:rPr>
                <w:b w:val="0"/>
                <w:i w:val="0"/>
                <w:sz w:val="18"/>
              </w:rPr>
              <w:t>Camarines Sur</w:t>
            </w:r>
          </w:p>
        </w:tc>
        <w:tc>
          <w:tcPr>
            <w:tcW w:type="dxa" w:w="792"/>
          </w:tcPr>
          <w:p>
            <w:pPr>
              <w:spacing w:line="240" w:lineRule="auto" w:before="40" w:after="40"/>
              <w:jc w:val="right"/>
            </w:pPr>
            <w:r/>
            <w:r>
              <w:rPr>
                <w:b w:val="0"/>
                <w:i w:val="0"/>
                <w:sz w:val="18"/>
              </w:rPr>
              <w:t>2022</w:t>
            </w:r>
          </w:p>
        </w:tc>
        <w:tc>
          <w:tcPr>
            <w:tcW w:type="dxa" w:w="2592"/>
          </w:tcPr>
          <w:p>
            <w:pPr>
              <w:spacing w:line="240" w:lineRule="auto" w:before="40" w:after="40"/>
              <w:jc w:val="left"/>
            </w:pPr>
            <w:r/>
            <w:r>
              <w:rPr>
                <w:b w:val="0"/>
                <w:i w:val="0"/>
                <w:sz w:val="18"/>
              </w:rPr>
              <w:t>rcdg, 36.8 m, 2 span(s)</w:t>
            </w:r>
          </w:p>
        </w:tc>
        <w:tc>
          <w:tcPr>
            <w:tcW w:type="dxa" w:w="1080"/>
          </w:tcPr>
          <w:p>
            <w:pPr>
              <w:spacing w:line="240" w:lineRule="auto" w:before="40" w:after="40"/>
              <w:jc w:val="right"/>
            </w:pPr>
            <w:r/>
            <w:r>
              <w:rPr>
                <w:b w:val="0"/>
                <w:i w:val="0"/>
                <w:sz w:val="18"/>
              </w:rPr>
              <w:t>28.98</w:t>
            </w:r>
          </w:p>
        </w:tc>
        <w:tc>
          <w:tcPr>
            <w:tcW w:type="dxa" w:w="1080"/>
          </w:tcPr>
          <w:p>
            <w:pPr>
              <w:spacing w:line="240" w:lineRule="auto" w:before="40" w:after="40"/>
              <w:jc w:val="right"/>
            </w:pPr>
            <w:r/>
            <w:r>
              <w:rPr>
                <w:b w:val="0"/>
                <w:i w:val="0"/>
                <w:sz w:val="18"/>
              </w:rPr>
              <w:t>35.83</w:t>
            </w:r>
          </w:p>
        </w:tc>
        <w:tc>
          <w:tcPr>
            <w:tcW w:type="dxa" w:w="1080"/>
          </w:tcPr>
          <w:p>
            <w:pPr>
              <w:spacing w:line="240" w:lineRule="auto" w:before="40" w:after="40"/>
              <w:jc w:val="left"/>
            </w:pPr>
            <w:r/>
            <w:r>
              <w:rPr>
                <w:b w:val="0"/>
                <w:i w:val="0"/>
                <w:sz w:val="18"/>
              </w:rPr>
              <w:t>Yes</w:t>
            </w:r>
          </w:p>
        </w:tc>
      </w:tr>
      <w:tr>
        <w:tc>
          <w:tcPr>
            <w:tcW w:type="dxa" w:w="1224"/>
            <w:shd w:val="clear" w:color="auto" w:fill="EFEFEF"/>
          </w:tcPr>
          <w:p>
            <w:pPr>
              <w:spacing w:line="240" w:lineRule="auto" w:before="40" w:after="40"/>
              <w:jc w:val="left"/>
            </w:pPr>
            <w:r/>
            <w:r>
              <w:rPr>
                <w:b w:val="0"/>
                <w:i w:val="0"/>
                <w:sz w:val="18"/>
              </w:rPr>
              <w:t>SIM-R-007</w:t>
            </w:r>
          </w:p>
        </w:tc>
        <w:tc>
          <w:tcPr>
            <w:tcW w:type="dxa" w:w="1512"/>
            <w:shd w:val="clear" w:color="auto" w:fill="EFEFEF"/>
          </w:tcPr>
          <w:p>
            <w:pPr>
              <w:spacing w:line="240" w:lineRule="auto" w:before="40" w:after="40"/>
              <w:jc w:val="left"/>
            </w:pPr>
            <w:r/>
            <w:r>
              <w:rPr>
                <w:b w:val="0"/>
                <w:i w:val="0"/>
                <w:sz w:val="18"/>
              </w:rPr>
              <w:t>Albay</w:t>
            </w:r>
          </w:p>
        </w:tc>
        <w:tc>
          <w:tcPr>
            <w:tcW w:type="dxa" w:w="792"/>
            <w:shd w:val="clear" w:color="auto" w:fill="EFEFEF"/>
          </w:tcPr>
          <w:p>
            <w:pPr>
              <w:spacing w:line="240" w:lineRule="auto" w:before="40" w:after="40"/>
              <w:jc w:val="right"/>
            </w:pPr>
            <w:r/>
            <w:r>
              <w:rPr>
                <w:b w:val="0"/>
                <w:i w:val="0"/>
                <w:sz w:val="18"/>
              </w:rPr>
              <w:t>2023</w:t>
            </w:r>
          </w:p>
        </w:tc>
        <w:tc>
          <w:tcPr>
            <w:tcW w:type="dxa" w:w="2592"/>
            <w:shd w:val="clear" w:color="auto" w:fill="EFEFEF"/>
          </w:tcPr>
          <w:p>
            <w:pPr>
              <w:spacing w:line="240" w:lineRule="auto" w:before="40" w:after="40"/>
              <w:jc w:val="left"/>
            </w:pPr>
            <w:r/>
            <w:r>
              <w:rPr>
                <w:b w:val="0"/>
                <w:i w:val="0"/>
                <w:sz w:val="18"/>
              </w:rPr>
              <w:t>rcdg, 24 m, 2 span(s)</w:t>
            </w:r>
          </w:p>
        </w:tc>
        <w:tc>
          <w:tcPr>
            <w:tcW w:type="dxa" w:w="1080"/>
            <w:shd w:val="clear" w:color="auto" w:fill="EFEFEF"/>
          </w:tcPr>
          <w:p>
            <w:pPr>
              <w:spacing w:line="240" w:lineRule="auto" w:before="40" w:after="40"/>
              <w:jc w:val="right"/>
            </w:pPr>
            <w:r/>
            <w:r>
              <w:rPr>
                <w:b w:val="0"/>
                <w:i w:val="0"/>
                <w:sz w:val="18"/>
              </w:rPr>
              <w:t>26.68</w:t>
            </w:r>
          </w:p>
        </w:tc>
        <w:tc>
          <w:tcPr>
            <w:tcW w:type="dxa" w:w="1080"/>
            <w:shd w:val="clear" w:color="auto" w:fill="EFEFEF"/>
          </w:tcPr>
          <w:p>
            <w:pPr>
              <w:spacing w:line="240" w:lineRule="auto" w:before="40" w:after="40"/>
              <w:jc w:val="right"/>
            </w:pPr>
            <w:r/>
            <w:r>
              <w:rPr>
                <w:b w:val="0"/>
                <w:i w:val="0"/>
                <w:sz w:val="18"/>
              </w:rPr>
              <w:t>26.15</w:t>
            </w:r>
          </w:p>
        </w:tc>
        <w:tc>
          <w:tcPr>
            <w:tcW w:type="dxa" w:w="1080"/>
            <w:shd w:val="clear" w:color="auto" w:fill="EFEFEF"/>
          </w:tcPr>
          <w:p>
            <w:pPr>
              <w:spacing w:line="240" w:lineRule="auto" w:before="40" w:after="40"/>
              <w:jc w:val="left"/>
            </w:pPr>
            <w:r/>
            <w:r>
              <w:rPr>
                <w:b w:val="0"/>
                <w:i w:val="0"/>
                <w:sz w:val="18"/>
              </w:rPr>
              <w:t>No</w:t>
            </w:r>
          </w:p>
        </w:tc>
      </w:tr>
      <w:tr>
        <w:tc>
          <w:tcPr>
            <w:tcW w:type="dxa" w:w="1224"/>
            <w:tcBorders>
              <w:bottom w:val="single" w:sz="12" w:color="000000"/>
            </w:tcBorders>
          </w:tcPr>
          <w:p>
            <w:pPr>
              <w:spacing w:line="240" w:lineRule="auto" w:before="40" w:after="40"/>
              <w:jc w:val="left"/>
            </w:pPr>
            <w:r/>
            <w:r>
              <w:rPr>
                <w:b w:val="0"/>
                <w:i w:val="0"/>
                <w:sz w:val="18"/>
              </w:rPr>
              <w:t>SIM-R-008</w:t>
            </w:r>
          </w:p>
        </w:tc>
        <w:tc>
          <w:tcPr>
            <w:tcW w:type="dxa" w:w="1512"/>
            <w:tcBorders>
              <w:bottom w:val="single" w:sz="12" w:color="000000"/>
            </w:tcBorders>
          </w:tcPr>
          <w:p>
            <w:pPr>
              <w:spacing w:line="240" w:lineRule="auto" w:before="40" w:after="40"/>
              <w:jc w:val="left"/>
            </w:pPr>
            <w:r/>
            <w:r>
              <w:rPr>
                <w:b w:val="0"/>
                <w:i w:val="0"/>
                <w:sz w:val="18"/>
              </w:rPr>
              <w:t>Albay</w:t>
            </w:r>
          </w:p>
        </w:tc>
        <w:tc>
          <w:tcPr>
            <w:tcW w:type="dxa" w:w="792"/>
            <w:tcBorders>
              <w:bottom w:val="single" w:sz="12" w:color="000000"/>
            </w:tcBorders>
          </w:tcPr>
          <w:p>
            <w:pPr>
              <w:spacing w:line="240" w:lineRule="auto" w:before="40" w:after="40"/>
              <w:jc w:val="right"/>
            </w:pPr>
            <w:r/>
            <w:r>
              <w:rPr>
                <w:b w:val="0"/>
                <w:i w:val="0"/>
                <w:sz w:val="18"/>
              </w:rPr>
              <w:t>2022</w:t>
            </w:r>
          </w:p>
        </w:tc>
        <w:tc>
          <w:tcPr>
            <w:tcW w:type="dxa" w:w="2592"/>
            <w:tcBorders>
              <w:bottom w:val="single" w:sz="12" w:color="000000"/>
            </w:tcBorders>
          </w:tcPr>
          <w:p>
            <w:pPr>
              <w:spacing w:line="240" w:lineRule="auto" w:before="40" w:after="40"/>
              <w:jc w:val="left"/>
            </w:pPr>
            <w:r/>
            <w:r>
              <w:rPr>
                <w:b w:val="0"/>
                <w:i w:val="0"/>
                <w:sz w:val="18"/>
              </w:rPr>
              <w:t>pscg, 111.8 m, 3 span(s)</w:t>
            </w:r>
          </w:p>
        </w:tc>
        <w:tc>
          <w:tcPr>
            <w:tcW w:type="dxa" w:w="1080"/>
            <w:tcBorders>
              <w:bottom w:val="single" w:sz="12" w:color="000000"/>
            </w:tcBorders>
          </w:tcPr>
          <w:p>
            <w:pPr>
              <w:spacing w:line="240" w:lineRule="auto" w:before="40" w:after="40"/>
              <w:jc w:val="right"/>
            </w:pPr>
            <w:r/>
            <w:r>
              <w:rPr>
                <w:b w:val="0"/>
                <w:i w:val="0"/>
                <w:sz w:val="18"/>
              </w:rPr>
              <w:t>87.78</w:t>
            </w:r>
          </w:p>
        </w:tc>
        <w:tc>
          <w:tcPr>
            <w:tcW w:type="dxa" w:w="1080"/>
            <w:tcBorders>
              <w:bottom w:val="single" w:sz="12" w:color="000000"/>
            </w:tcBorders>
          </w:tcPr>
          <w:p>
            <w:pPr>
              <w:spacing w:line="240" w:lineRule="auto" w:before="40" w:after="40"/>
              <w:jc w:val="right"/>
            </w:pPr>
            <w:r/>
            <w:r>
              <w:rPr>
                <w:b w:val="0"/>
                <w:i w:val="0"/>
                <w:sz w:val="18"/>
              </w:rPr>
              <w:t>123.09</w:t>
            </w:r>
          </w:p>
        </w:tc>
        <w:tc>
          <w:tcPr>
            <w:tcW w:type="dxa" w:w="1080"/>
            <w:tcBorders>
              <w:bottom w:val="single" w:sz="12" w:color="000000"/>
            </w:tcBorders>
          </w:tcPr>
          <w:p>
            <w:pPr>
              <w:spacing w:line="240" w:lineRule="auto" w:before="40" w:after="40"/>
              <w:jc w:val="left"/>
            </w:pPr>
            <w:r/>
            <w:r>
              <w:rPr>
                <w:b w:val="0"/>
                <w:i w:val="0"/>
                <w:sz w:val="18"/>
              </w:rPr>
              <w:t>Yes</w:t>
            </w:r>
          </w:p>
        </w:tc>
      </w:tr>
    </w:tbl>
    <w:p>
      <w:pPr>
        <w:spacing w:line="360" w:lineRule="auto" w:after="0"/>
        <w:jc w:val="center"/>
      </w:pPr>
      <w:r>
        <w:rPr>
          <w:b w:val="0"/>
          <w:i/>
        </w:rPr>
        <w:t>The full dataset (300 records, 40 columns) is in research/data/buhay_sbd300.csv.</w:t>
      </w:r>
    </w:p>
    <w:p>
      <w:r>
        <w:br w:type="page"/>
      </w:r>
    </w:p>
    <w:p>
      <w:pPr>
        <w:spacing w:line="360" w:lineRule="auto" w:after="0"/>
        <w:jc w:val="center"/>
      </w:pPr>
      <w:r>
        <w:rPr>
          <w:b/>
          <w:i w:val="0"/>
        </w:rPr>
        <w:t>Appendix B. BUHAY-AH Unit Price Book (Direct Costs, Bicol Region V, 2025)</w:t>
      </w:r>
    </w:p>
    <w:tbl>
      <w:tblPr>
        <w:tblW w:type="auto" w:w="0"/>
        <w:jc w:val="center"/>
        <w:tblLayout w:type="fixed"/>
        <w:tblLook w:firstColumn="1" w:firstRow="1" w:lastColumn="0" w:lastRow="0" w:noHBand="0" w:noVBand="1" w:val="04A0"/>
        <w:tblLayout w:type="fixed"/>
      </w:tblPr>
      <w:tblGrid>
        <w:gridCol w:w="1296"/>
        <w:gridCol w:w="5760"/>
        <w:gridCol w:w="864"/>
        <w:gridCol w:w="1584"/>
      </w:tblGrid>
      <w:tr>
        <w:tc>
          <w:tcPr>
            <w:tcW w:type="dxa" w:w="1296"/>
            <w:tcBorders>
              <w:top w:val="single" w:sz="12" w:color="000000"/>
              <w:bottom w:val="single" w:sz="8" w:color="000000"/>
            </w:tcBorders>
          </w:tcPr>
          <w:p>
            <w:pPr>
              <w:spacing w:line="240" w:lineRule="auto" w:before="40" w:after="40"/>
              <w:jc w:val="center"/>
            </w:pPr>
            <w:r/>
            <w:r>
              <w:rPr>
                <w:b/>
                <w:i w:val="0"/>
                <w:sz w:val="16"/>
              </w:rPr>
              <w:t>PAY ITEM</w:t>
            </w:r>
          </w:p>
        </w:tc>
        <w:tc>
          <w:tcPr>
            <w:tcW w:type="dxa" w:w="5760"/>
            <w:tcBorders>
              <w:top w:val="single" w:sz="12" w:color="000000"/>
              <w:bottom w:val="single" w:sz="8" w:color="000000"/>
            </w:tcBorders>
          </w:tcPr>
          <w:p>
            <w:pPr>
              <w:spacing w:line="240" w:lineRule="auto" w:before="40" w:after="40"/>
              <w:jc w:val="center"/>
            </w:pPr>
            <w:r/>
            <w:r>
              <w:rPr>
                <w:b/>
                <w:i w:val="0"/>
                <w:sz w:val="16"/>
              </w:rPr>
              <w:t>DESCRIPTION</w:t>
            </w:r>
          </w:p>
        </w:tc>
        <w:tc>
          <w:tcPr>
            <w:tcW w:type="dxa" w:w="864"/>
            <w:tcBorders>
              <w:top w:val="single" w:sz="12" w:color="000000"/>
              <w:bottom w:val="single" w:sz="8" w:color="000000"/>
            </w:tcBorders>
          </w:tcPr>
          <w:p>
            <w:pPr>
              <w:spacing w:line="240" w:lineRule="auto" w:before="40" w:after="40"/>
              <w:jc w:val="center"/>
            </w:pPr>
            <w:r/>
            <w:r>
              <w:rPr>
                <w:b/>
                <w:i w:val="0"/>
                <w:sz w:val="16"/>
              </w:rPr>
              <w:t>UNIT</w:t>
            </w:r>
          </w:p>
        </w:tc>
        <w:tc>
          <w:tcPr>
            <w:tcW w:type="dxa" w:w="1584"/>
            <w:tcBorders>
              <w:top w:val="single" w:sz="12" w:color="000000"/>
              <w:bottom w:val="single" w:sz="8" w:color="000000"/>
            </w:tcBorders>
          </w:tcPr>
          <w:p>
            <w:pPr>
              <w:spacing w:line="240" w:lineRule="auto" w:before="40" w:after="40"/>
              <w:jc w:val="center"/>
            </w:pPr>
            <w:r/>
            <w:r>
              <w:rPr>
                <w:b/>
                <w:i w:val="0"/>
                <w:sz w:val="16"/>
              </w:rPr>
              <w:t>RATE (₱)</w:t>
            </w:r>
          </w:p>
        </w:tc>
      </w:tr>
      <w:tr>
        <w:tc>
          <w:tcPr>
            <w:tcW w:type="dxa" w:w="1296"/>
            <w:shd w:val="clear" w:color="auto" w:fill="EFEFEF"/>
          </w:tcPr>
          <w:p>
            <w:pPr>
              <w:spacing w:line="240" w:lineRule="auto" w:before="40" w:after="40"/>
              <w:jc w:val="left"/>
            </w:pPr>
            <w:r/>
            <w:r>
              <w:rPr>
                <w:b w:val="0"/>
                <w:i w:val="0"/>
                <w:sz w:val="16"/>
              </w:rPr>
              <w:t>B.9</w:t>
            </w:r>
          </w:p>
        </w:tc>
        <w:tc>
          <w:tcPr>
            <w:tcW w:type="dxa" w:w="5760"/>
            <w:shd w:val="clear" w:color="auto" w:fill="EFEFEF"/>
          </w:tcPr>
          <w:p>
            <w:pPr>
              <w:spacing w:line="240" w:lineRule="auto" w:before="40" w:after="40"/>
              <w:jc w:val="left"/>
            </w:pPr>
            <w:r/>
            <w:r>
              <w:rPr>
                <w:b w:val="0"/>
                <w:i w:val="0"/>
                <w:sz w:val="16"/>
              </w:rPr>
              <w:t>Mobilization / demobilization</w:t>
            </w:r>
          </w:p>
        </w:tc>
        <w:tc>
          <w:tcPr>
            <w:tcW w:type="dxa" w:w="864"/>
            <w:shd w:val="clear" w:color="auto" w:fill="EFEFEF"/>
          </w:tcPr>
          <w:p>
            <w:pPr>
              <w:spacing w:line="240" w:lineRule="auto" w:before="40" w:after="40"/>
              <w:jc w:val="left"/>
            </w:pPr>
            <w:r/>
            <w:r>
              <w:rPr>
                <w:b w:val="0"/>
                <w:i w:val="0"/>
                <w:sz w:val="16"/>
              </w:rPr>
              <w:t>l.s.</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B.7 (1)</w:t>
            </w:r>
          </w:p>
        </w:tc>
        <w:tc>
          <w:tcPr>
            <w:tcW w:type="dxa" w:w="5760"/>
          </w:tcPr>
          <w:p>
            <w:pPr>
              <w:spacing w:line="240" w:lineRule="auto" w:before="40" w:after="40"/>
              <w:jc w:val="left"/>
            </w:pPr>
            <w:r/>
            <w:r>
              <w:rPr>
                <w:b w:val="0"/>
                <w:i w:val="0"/>
                <w:sz w:val="16"/>
              </w:rPr>
              <w:t>Occupational safety &amp; health program</w:t>
            </w:r>
          </w:p>
        </w:tc>
        <w:tc>
          <w:tcPr>
            <w:tcW w:type="dxa" w:w="864"/>
          </w:tcPr>
          <w:p>
            <w:pPr>
              <w:spacing w:line="240" w:lineRule="auto" w:before="40" w:after="40"/>
              <w:jc w:val="left"/>
            </w:pPr>
            <w:r/>
            <w:r>
              <w:rPr>
                <w:b w:val="0"/>
                <w:i w:val="0"/>
                <w:sz w:val="16"/>
              </w:rPr>
              <w:t>l.s.</w:t>
            </w:r>
          </w:p>
        </w:tc>
        <w:tc>
          <w:tcPr>
            <w:tcW w:type="dxa" w:w="1584"/>
          </w:tcPr>
          <w:p>
            <w:pPr>
              <w:spacing w:line="240" w:lineRule="auto" w:before="40" w:after="40"/>
              <w:jc w:val="left"/>
            </w:pPr>
            <w:r/>
            <w:r>
              <w:rPr>
                <w:b w:val="0"/>
                <w:i w:val="0"/>
                <w:sz w:val="16"/>
              </w:rPr>
              <w:t>allowance / %</w:t>
            </w:r>
          </w:p>
        </w:tc>
      </w:tr>
      <w:tr>
        <w:tc>
          <w:tcPr>
            <w:tcW w:type="dxa" w:w="1296"/>
            <w:shd w:val="clear" w:color="auto" w:fill="EFEFEF"/>
          </w:tcPr>
          <w:p>
            <w:pPr>
              <w:spacing w:line="240" w:lineRule="auto" w:before="40" w:after="40"/>
              <w:jc w:val="left"/>
            </w:pPr>
            <w:r/>
            <w:r>
              <w:rPr>
                <w:b w:val="0"/>
                <w:i w:val="0"/>
                <w:sz w:val="16"/>
              </w:rPr>
              <w:t>B.5</w:t>
            </w:r>
          </w:p>
        </w:tc>
        <w:tc>
          <w:tcPr>
            <w:tcW w:type="dxa" w:w="5760"/>
            <w:shd w:val="clear" w:color="auto" w:fill="EFEFEF"/>
          </w:tcPr>
          <w:p>
            <w:pPr>
              <w:spacing w:line="240" w:lineRule="auto" w:before="40" w:after="40"/>
              <w:jc w:val="left"/>
            </w:pPr>
            <w:r/>
            <w:r>
              <w:rPr>
                <w:b w:val="0"/>
                <w:i w:val="0"/>
                <w:sz w:val="16"/>
              </w:rPr>
              <w:t>Project billboard / signboard</w:t>
            </w:r>
          </w:p>
        </w:tc>
        <w:tc>
          <w:tcPr>
            <w:tcW w:type="dxa" w:w="864"/>
            <w:shd w:val="clear" w:color="auto" w:fill="EFEFEF"/>
          </w:tcPr>
          <w:p>
            <w:pPr>
              <w:spacing w:line="240" w:lineRule="auto" w:before="40" w:after="40"/>
              <w:jc w:val="left"/>
            </w:pPr>
            <w:r/>
            <w:r>
              <w:rPr>
                <w:b w:val="0"/>
                <w:i w:val="0"/>
                <w:sz w:val="16"/>
              </w:rPr>
              <w:t>each</w:t>
            </w:r>
          </w:p>
        </w:tc>
        <w:tc>
          <w:tcPr>
            <w:tcW w:type="dxa" w:w="1584"/>
            <w:shd w:val="clear" w:color="auto" w:fill="EFEFEF"/>
          </w:tcPr>
          <w:p>
            <w:pPr>
              <w:spacing w:line="240" w:lineRule="auto" w:before="40" w:after="40"/>
              <w:jc w:val="right"/>
            </w:pPr>
            <w:r/>
            <w:r>
              <w:rPr>
                <w:b w:val="0"/>
                <w:i w:val="0"/>
                <w:sz w:val="16"/>
              </w:rPr>
              <w:t>7,500</w:t>
            </w:r>
          </w:p>
        </w:tc>
      </w:tr>
      <w:tr>
        <w:tc>
          <w:tcPr>
            <w:tcW w:type="dxa" w:w="1296"/>
          </w:tcPr>
          <w:p>
            <w:pPr>
              <w:spacing w:line="240" w:lineRule="auto" w:before="40" w:after="40"/>
              <w:jc w:val="left"/>
            </w:pPr>
            <w:r/>
            <w:r>
              <w:rPr>
                <w:b w:val="0"/>
                <w:i w:val="0"/>
                <w:sz w:val="16"/>
              </w:rPr>
              <w:t>B.8</w:t>
            </w:r>
          </w:p>
        </w:tc>
        <w:tc>
          <w:tcPr>
            <w:tcW w:type="dxa" w:w="5760"/>
          </w:tcPr>
          <w:p>
            <w:pPr>
              <w:spacing w:line="240" w:lineRule="auto" w:before="40" w:after="40"/>
              <w:jc w:val="left"/>
            </w:pPr>
            <w:r/>
            <w:r>
              <w:rPr>
                <w:b w:val="0"/>
                <w:i w:val="0"/>
                <w:sz w:val="16"/>
              </w:rPr>
              <w:t>Traffic management &amp; detour</w:t>
            </w:r>
          </w:p>
        </w:tc>
        <w:tc>
          <w:tcPr>
            <w:tcW w:type="dxa" w:w="864"/>
          </w:tcPr>
          <w:p>
            <w:pPr>
              <w:spacing w:line="240" w:lineRule="auto" w:before="40" w:after="40"/>
              <w:jc w:val="left"/>
            </w:pPr>
            <w:r/>
            <w:r>
              <w:rPr>
                <w:b w:val="0"/>
                <w:i w:val="0"/>
                <w:sz w:val="16"/>
              </w:rPr>
              <w:t>l.s.</w:t>
            </w:r>
          </w:p>
        </w:tc>
        <w:tc>
          <w:tcPr>
            <w:tcW w:type="dxa" w:w="1584"/>
          </w:tcPr>
          <w:p>
            <w:pPr>
              <w:spacing w:line="240" w:lineRule="auto" w:before="40" w:after="40"/>
              <w:jc w:val="left"/>
            </w:pPr>
            <w:r/>
            <w:r>
              <w:rPr>
                <w:b w:val="0"/>
                <w:i w:val="0"/>
                <w:sz w:val="16"/>
              </w:rPr>
              <w:t>allowance / %</w:t>
            </w:r>
          </w:p>
        </w:tc>
      </w:tr>
      <w:tr>
        <w:tc>
          <w:tcPr>
            <w:tcW w:type="dxa" w:w="1296"/>
            <w:shd w:val="clear" w:color="auto" w:fill="EFEFEF"/>
          </w:tcPr>
          <w:p>
            <w:pPr>
              <w:spacing w:line="240" w:lineRule="auto" w:before="40" w:after="40"/>
              <w:jc w:val="left"/>
            </w:pPr>
            <w:r/>
            <w:r>
              <w:rPr>
                <w:b w:val="0"/>
                <w:i w:val="0"/>
                <w:sz w:val="16"/>
              </w:rPr>
              <w:t>B.3</w:t>
            </w:r>
          </w:p>
        </w:tc>
        <w:tc>
          <w:tcPr>
            <w:tcW w:type="dxa" w:w="5760"/>
            <w:shd w:val="clear" w:color="auto" w:fill="EFEFEF"/>
          </w:tcPr>
          <w:p>
            <w:pPr>
              <w:spacing w:line="240" w:lineRule="auto" w:before="40" w:after="40"/>
              <w:jc w:val="left"/>
            </w:pPr>
            <w:r/>
            <w:r>
              <w:rPr>
                <w:b w:val="0"/>
                <w:i w:val="0"/>
                <w:sz w:val="16"/>
              </w:rPr>
              <w:t>Survey, staking, testing &amp; as-built plans</w:t>
            </w:r>
          </w:p>
        </w:tc>
        <w:tc>
          <w:tcPr>
            <w:tcW w:type="dxa" w:w="864"/>
            <w:shd w:val="clear" w:color="auto" w:fill="EFEFEF"/>
          </w:tcPr>
          <w:p>
            <w:pPr>
              <w:spacing w:line="240" w:lineRule="auto" w:before="40" w:after="40"/>
              <w:jc w:val="left"/>
            </w:pPr>
            <w:r/>
            <w:r>
              <w:rPr>
                <w:b w:val="0"/>
                <w:i w:val="0"/>
                <w:sz w:val="16"/>
              </w:rPr>
              <w:t>l.s.</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800 (3)</w:t>
            </w:r>
          </w:p>
        </w:tc>
        <w:tc>
          <w:tcPr>
            <w:tcW w:type="dxa" w:w="5760"/>
          </w:tcPr>
          <w:p>
            <w:pPr>
              <w:spacing w:line="240" w:lineRule="auto" w:before="40" w:after="40"/>
              <w:jc w:val="left"/>
            </w:pPr>
            <w:r/>
            <w:r>
              <w:rPr>
                <w:b w:val="0"/>
                <w:i w:val="0"/>
                <w:sz w:val="16"/>
              </w:rPr>
              <w:t>Clearing and grubbing</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45</w:t>
            </w:r>
          </w:p>
        </w:tc>
      </w:tr>
      <w:tr>
        <w:tc>
          <w:tcPr>
            <w:tcW w:type="dxa" w:w="1296"/>
            <w:shd w:val="clear" w:color="auto" w:fill="EFEFEF"/>
          </w:tcPr>
          <w:p>
            <w:pPr>
              <w:spacing w:line="240" w:lineRule="auto" w:before="40" w:after="40"/>
              <w:jc w:val="left"/>
            </w:pPr>
            <w:r/>
            <w:r>
              <w:rPr>
                <w:b w:val="0"/>
                <w:i w:val="0"/>
                <w:sz w:val="16"/>
              </w:rPr>
              <w:t>803 (1)a</w:t>
            </w:r>
          </w:p>
        </w:tc>
        <w:tc>
          <w:tcPr>
            <w:tcW w:type="dxa" w:w="5760"/>
            <w:shd w:val="clear" w:color="auto" w:fill="EFEFEF"/>
          </w:tcPr>
          <w:p>
            <w:pPr>
              <w:spacing w:line="240" w:lineRule="auto" w:before="40" w:after="40"/>
              <w:jc w:val="left"/>
            </w:pPr>
            <w:r/>
            <w:r>
              <w:rPr>
                <w:b w:val="0"/>
                <w:i w:val="0"/>
                <w:sz w:val="16"/>
              </w:rPr>
              <w:t>Structure excavation, common soil</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380</w:t>
            </w:r>
          </w:p>
        </w:tc>
      </w:tr>
      <w:tr>
        <w:tc>
          <w:tcPr>
            <w:tcW w:type="dxa" w:w="1296"/>
          </w:tcPr>
          <w:p>
            <w:pPr>
              <w:spacing w:line="240" w:lineRule="auto" w:before="40" w:after="40"/>
              <w:jc w:val="left"/>
            </w:pPr>
            <w:r/>
            <w:r>
              <w:rPr>
                <w:b w:val="0"/>
                <w:i w:val="0"/>
                <w:sz w:val="16"/>
              </w:rPr>
              <w:t>804 (1)a</w:t>
            </w:r>
          </w:p>
        </w:tc>
        <w:tc>
          <w:tcPr>
            <w:tcW w:type="dxa" w:w="5760"/>
          </w:tcPr>
          <w:p>
            <w:pPr>
              <w:spacing w:line="240" w:lineRule="auto" w:before="40" w:after="40"/>
              <w:jc w:val="left"/>
            </w:pPr>
            <w:r/>
            <w:r>
              <w:rPr>
                <w:b w:val="0"/>
                <w:i w:val="0"/>
                <w:sz w:val="16"/>
              </w:rPr>
              <w:t>Backfill from structure excavation, compacted</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260</w:t>
            </w:r>
          </w:p>
        </w:tc>
      </w:tr>
      <w:tr>
        <w:tc>
          <w:tcPr>
            <w:tcW w:type="dxa" w:w="1296"/>
            <w:shd w:val="clear" w:color="auto" w:fill="EFEFEF"/>
          </w:tcPr>
          <w:p>
            <w:pPr>
              <w:spacing w:line="240" w:lineRule="auto" w:before="40" w:after="40"/>
              <w:jc w:val="left"/>
            </w:pPr>
            <w:r/>
            <w:r>
              <w:rPr>
                <w:b w:val="0"/>
                <w:i w:val="0"/>
                <w:sz w:val="16"/>
              </w:rPr>
              <w:t>804 (4)</w:t>
            </w:r>
          </w:p>
        </w:tc>
        <w:tc>
          <w:tcPr>
            <w:tcW w:type="dxa" w:w="5760"/>
            <w:shd w:val="clear" w:color="auto" w:fill="EFEFEF"/>
          </w:tcPr>
          <w:p>
            <w:pPr>
              <w:spacing w:line="240" w:lineRule="auto" w:before="40" w:after="40"/>
              <w:jc w:val="left"/>
            </w:pPr>
            <w:r/>
            <w:r>
              <w:rPr>
                <w:b w:val="0"/>
                <w:i w:val="0"/>
                <w:sz w:val="16"/>
              </w:rPr>
              <w:t>Gravel fill / bedding, compacted</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1,550</w:t>
            </w:r>
          </w:p>
        </w:tc>
      </w:tr>
      <w:tr>
        <w:tc>
          <w:tcPr>
            <w:tcW w:type="dxa" w:w="1296"/>
          </w:tcPr>
          <w:p>
            <w:pPr>
              <w:spacing w:line="240" w:lineRule="auto" w:before="40" w:after="40"/>
              <w:jc w:val="left"/>
            </w:pPr>
            <w:r/>
            <w:r>
              <w:rPr>
                <w:b w:val="0"/>
                <w:i w:val="0"/>
                <w:sz w:val="16"/>
              </w:rPr>
              <w:t>1000 (1)</w:t>
            </w:r>
          </w:p>
        </w:tc>
        <w:tc>
          <w:tcPr>
            <w:tcW w:type="dxa" w:w="5760"/>
          </w:tcPr>
          <w:p>
            <w:pPr>
              <w:spacing w:line="240" w:lineRule="auto" w:before="40" w:after="40"/>
              <w:jc w:val="left"/>
            </w:pPr>
            <w:r/>
            <w:r>
              <w:rPr>
                <w:b w:val="0"/>
                <w:i w:val="0"/>
                <w:sz w:val="16"/>
              </w:rPr>
              <w:t>Soil poisoning (termite control)</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65</w:t>
            </w:r>
          </w:p>
        </w:tc>
      </w:tr>
      <w:tr>
        <w:tc>
          <w:tcPr>
            <w:tcW w:type="dxa" w:w="1296"/>
            <w:shd w:val="clear" w:color="auto" w:fill="EFEFEF"/>
          </w:tcPr>
          <w:p>
            <w:pPr>
              <w:spacing w:line="240" w:lineRule="auto" w:before="40" w:after="40"/>
              <w:jc w:val="left"/>
            </w:pPr>
            <w:r/>
            <w:r>
              <w:rPr>
                <w:b w:val="0"/>
                <w:i w:val="0"/>
                <w:sz w:val="16"/>
              </w:rPr>
              <w:t>900 (1)c</w:t>
            </w:r>
          </w:p>
        </w:tc>
        <w:tc>
          <w:tcPr>
            <w:tcW w:type="dxa" w:w="5760"/>
            <w:shd w:val="clear" w:color="auto" w:fill="EFEFEF"/>
          </w:tcPr>
          <w:p>
            <w:pPr>
              <w:spacing w:line="240" w:lineRule="auto" w:before="40" w:after="40"/>
              <w:jc w:val="left"/>
            </w:pPr>
            <w:r/>
            <w:r>
              <w:rPr>
                <w:b w:val="0"/>
                <w:i w:val="0"/>
                <w:sz w:val="16"/>
              </w:rPr>
              <w:t>Structural concrete, fc′ 20.7 MPa (3000 psi), 28 days</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7,900</w:t>
            </w:r>
          </w:p>
        </w:tc>
      </w:tr>
      <w:tr>
        <w:tc>
          <w:tcPr>
            <w:tcW w:type="dxa" w:w="1296"/>
          </w:tcPr>
          <w:p>
            <w:pPr>
              <w:spacing w:line="240" w:lineRule="auto" w:before="40" w:after="40"/>
              <w:jc w:val="left"/>
            </w:pPr>
            <w:r/>
            <w:r>
              <w:rPr>
                <w:b w:val="0"/>
                <w:i w:val="0"/>
                <w:sz w:val="16"/>
              </w:rPr>
              <w:t>900 (1)b</w:t>
            </w:r>
          </w:p>
        </w:tc>
        <w:tc>
          <w:tcPr>
            <w:tcW w:type="dxa" w:w="5760"/>
          </w:tcPr>
          <w:p>
            <w:pPr>
              <w:spacing w:line="240" w:lineRule="auto" w:before="40" w:after="40"/>
              <w:jc w:val="left"/>
            </w:pPr>
            <w:r/>
            <w:r>
              <w:rPr>
                <w:b w:val="0"/>
                <w:i w:val="0"/>
                <w:sz w:val="16"/>
              </w:rPr>
              <w:t>Concrete slab on grade, fc′ 17.2 MPa (2500 psi)</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7,200</w:t>
            </w:r>
          </w:p>
        </w:tc>
      </w:tr>
      <w:tr>
        <w:tc>
          <w:tcPr>
            <w:tcW w:type="dxa" w:w="1296"/>
            <w:shd w:val="clear" w:color="auto" w:fill="EFEFEF"/>
          </w:tcPr>
          <w:p>
            <w:pPr>
              <w:spacing w:line="240" w:lineRule="auto" w:before="40" w:after="40"/>
              <w:jc w:val="left"/>
            </w:pPr>
            <w:r/>
            <w:r>
              <w:rPr>
                <w:b w:val="0"/>
                <w:i w:val="0"/>
                <w:sz w:val="16"/>
              </w:rPr>
              <w:t>902 (1)</w:t>
            </w:r>
          </w:p>
        </w:tc>
        <w:tc>
          <w:tcPr>
            <w:tcW w:type="dxa" w:w="5760"/>
            <w:shd w:val="clear" w:color="auto" w:fill="EFEFEF"/>
          </w:tcPr>
          <w:p>
            <w:pPr>
              <w:spacing w:line="240" w:lineRule="auto" w:before="40" w:after="40"/>
              <w:jc w:val="left"/>
            </w:pPr>
            <w:r/>
            <w:r>
              <w:rPr>
                <w:b w:val="0"/>
                <w:i w:val="0"/>
                <w:sz w:val="16"/>
              </w:rPr>
              <w:t>Reinforcing steel bars, deformed, Gr. 40/60, incl. tie wire</w:t>
            </w:r>
          </w:p>
        </w:tc>
        <w:tc>
          <w:tcPr>
            <w:tcW w:type="dxa" w:w="864"/>
            <w:shd w:val="clear" w:color="auto" w:fill="EFEFEF"/>
          </w:tcPr>
          <w:p>
            <w:pPr>
              <w:spacing w:line="240" w:lineRule="auto" w:before="40" w:after="40"/>
              <w:jc w:val="left"/>
            </w:pPr>
            <w:r/>
            <w:r>
              <w:rPr>
                <w:b w:val="0"/>
                <w:i w:val="0"/>
                <w:sz w:val="16"/>
              </w:rPr>
              <w:t>kg</w:t>
            </w:r>
          </w:p>
        </w:tc>
        <w:tc>
          <w:tcPr>
            <w:tcW w:type="dxa" w:w="1584"/>
            <w:shd w:val="clear" w:color="auto" w:fill="EFEFEF"/>
          </w:tcPr>
          <w:p>
            <w:pPr>
              <w:spacing w:line="240" w:lineRule="auto" w:before="40" w:after="40"/>
              <w:jc w:val="right"/>
            </w:pPr>
            <w:r/>
            <w:r>
              <w:rPr>
                <w:b w:val="0"/>
                <w:i w:val="0"/>
                <w:sz w:val="16"/>
              </w:rPr>
              <w:t>82</w:t>
            </w:r>
          </w:p>
        </w:tc>
      </w:tr>
      <w:tr>
        <w:tc>
          <w:tcPr>
            <w:tcW w:type="dxa" w:w="1296"/>
          </w:tcPr>
          <w:p>
            <w:pPr>
              <w:spacing w:line="240" w:lineRule="auto" w:before="40" w:after="40"/>
              <w:jc w:val="left"/>
            </w:pPr>
            <w:r/>
            <w:r>
              <w:rPr>
                <w:b w:val="0"/>
                <w:i w:val="0"/>
                <w:sz w:val="16"/>
              </w:rPr>
              <w:t>903 (2)</w:t>
            </w:r>
          </w:p>
        </w:tc>
        <w:tc>
          <w:tcPr>
            <w:tcW w:type="dxa" w:w="5760"/>
          </w:tcPr>
          <w:p>
            <w:pPr>
              <w:spacing w:line="240" w:lineRule="auto" w:before="40" w:after="40"/>
              <w:jc w:val="left"/>
            </w:pPr>
            <w:r/>
            <w:r>
              <w:rPr>
                <w:b w:val="0"/>
                <w:i w:val="0"/>
                <w:sz w:val="16"/>
              </w:rPr>
              <w:t>Formworks and falseworks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850</w:t>
            </w:r>
          </w:p>
        </w:tc>
      </w:tr>
      <w:tr>
        <w:tc>
          <w:tcPr>
            <w:tcW w:type="dxa" w:w="1296"/>
            <w:shd w:val="clear" w:color="auto" w:fill="EFEFEF"/>
          </w:tcPr>
          <w:p>
            <w:pPr>
              <w:spacing w:line="240" w:lineRule="auto" w:before="40" w:after="40"/>
              <w:jc w:val="left"/>
            </w:pPr>
            <w:r/>
            <w:r>
              <w:rPr>
                <w:b w:val="0"/>
                <w:i w:val="0"/>
                <w:sz w:val="16"/>
              </w:rPr>
              <w:t>1046 (3)</w:t>
            </w:r>
          </w:p>
        </w:tc>
        <w:tc>
          <w:tcPr>
            <w:tcW w:type="dxa" w:w="5760"/>
            <w:shd w:val="clear" w:color="auto" w:fill="EFEFEF"/>
          </w:tcPr>
          <w:p>
            <w:pPr>
              <w:spacing w:line="240" w:lineRule="auto" w:before="40" w:after="40"/>
              <w:jc w:val="left"/>
            </w:pPr>
            <w:r/>
            <w:r>
              <w:rPr>
                <w:b w:val="0"/>
                <w:i w:val="0"/>
                <w:sz w:val="16"/>
              </w:rPr>
              <w:t>CHB masonry 150 mm, reinforced &amp; grouted (exterior)</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right"/>
            </w:pPr>
            <w:r/>
            <w:r>
              <w:rPr>
                <w:b w:val="0"/>
                <w:i w:val="0"/>
                <w:sz w:val="16"/>
              </w:rPr>
              <w:t>1,080</w:t>
            </w:r>
          </w:p>
        </w:tc>
      </w:tr>
      <w:tr>
        <w:tc>
          <w:tcPr>
            <w:tcW w:type="dxa" w:w="1296"/>
          </w:tcPr>
          <w:p>
            <w:pPr>
              <w:spacing w:line="240" w:lineRule="auto" w:before="40" w:after="40"/>
              <w:jc w:val="left"/>
            </w:pPr>
            <w:r/>
            <w:r>
              <w:rPr>
                <w:b w:val="0"/>
                <w:i w:val="0"/>
                <w:sz w:val="16"/>
              </w:rPr>
              <w:t>1046 (2)</w:t>
            </w:r>
          </w:p>
        </w:tc>
        <w:tc>
          <w:tcPr>
            <w:tcW w:type="dxa" w:w="5760"/>
          </w:tcPr>
          <w:p>
            <w:pPr>
              <w:spacing w:line="240" w:lineRule="auto" w:before="40" w:after="40"/>
              <w:jc w:val="left"/>
            </w:pPr>
            <w:r/>
            <w:r>
              <w:rPr>
                <w:b w:val="0"/>
                <w:i w:val="0"/>
                <w:sz w:val="16"/>
              </w:rPr>
              <w:t>CHB masonry 100 mm (partitions)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880</w:t>
            </w:r>
          </w:p>
        </w:tc>
      </w:tr>
      <w:tr>
        <w:tc>
          <w:tcPr>
            <w:tcW w:type="dxa" w:w="1296"/>
            <w:shd w:val="clear" w:color="auto" w:fill="EFEFEF"/>
          </w:tcPr>
          <w:p>
            <w:pPr>
              <w:spacing w:line="240" w:lineRule="auto" w:before="40" w:after="40"/>
              <w:jc w:val="left"/>
            </w:pPr>
            <w:r/>
            <w:r>
              <w:rPr>
                <w:b w:val="0"/>
                <w:i w:val="0"/>
                <w:sz w:val="16"/>
              </w:rPr>
              <w:t>1027 (1)</w:t>
            </w:r>
          </w:p>
        </w:tc>
        <w:tc>
          <w:tcPr>
            <w:tcW w:type="dxa" w:w="5760"/>
            <w:shd w:val="clear" w:color="auto" w:fill="EFEFEF"/>
          </w:tcPr>
          <w:p>
            <w:pPr>
              <w:spacing w:line="240" w:lineRule="auto" w:before="40" w:after="40"/>
              <w:jc w:val="left"/>
            </w:pPr>
            <w:r/>
            <w:r>
              <w:rPr>
                <w:b w:val="0"/>
                <w:i w:val="0"/>
                <w:sz w:val="16"/>
              </w:rPr>
              <w:t>Cement plaster finish</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right"/>
            </w:pPr>
            <w:r/>
            <w:r>
              <w:rPr>
                <w:b w:val="0"/>
                <w:i w:val="0"/>
                <w:sz w:val="16"/>
              </w:rPr>
              <w:t>360</w:t>
            </w:r>
          </w:p>
        </w:tc>
      </w:tr>
      <w:tr>
        <w:tc>
          <w:tcPr>
            <w:tcW w:type="dxa" w:w="1296"/>
          </w:tcPr>
          <w:p>
            <w:pPr>
              <w:spacing w:line="240" w:lineRule="auto" w:before="40" w:after="40"/>
              <w:jc w:val="left"/>
            </w:pPr>
            <w:r/>
            <w:r>
              <w:rPr>
                <w:b w:val="0"/>
                <w:i w:val="0"/>
                <w:sz w:val="16"/>
              </w:rPr>
              <w:t>1032 (1)</w:t>
            </w:r>
          </w:p>
        </w:tc>
        <w:tc>
          <w:tcPr>
            <w:tcW w:type="dxa" w:w="5760"/>
          </w:tcPr>
          <w:p>
            <w:pPr>
              <w:spacing w:line="240" w:lineRule="auto" w:before="40" w:after="40"/>
              <w:jc w:val="left"/>
            </w:pPr>
            <w:r/>
            <w:r>
              <w:rPr>
                <w:b w:val="0"/>
                <w:i w:val="0"/>
                <w:sz w:val="16"/>
              </w:rPr>
              <w:t>Painting works, masonry/concrete (acrylic, 3 coats)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230</w:t>
            </w:r>
          </w:p>
        </w:tc>
      </w:tr>
      <w:tr>
        <w:tc>
          <w:tcPr>
            <w:tcW w:type="dxa" w:w="1296"/>
            <w:shd w:val="clear" w:color="auto" w:fill="EFEFEF"/>
          </w:tcPr>
          <w:p>
            <w:pPr>
              <w:spacing w:line="240" w:lineRule="auto" w:before="40" w:after="40"/>
              <w:jc w:val="left"/>
            </w:pPr>
            <w:r/>
            <w:r>
              <w:rPr>
                <w:b w:val="0"/>
                <w:i w:val="0"/>
                <w:sz w:val="16"/>
              </w:rPr>
              <w:t>1047 (3)</w:t>
            </w:r>
          </w:p>
        </w:tc>
        <w:tc>
          <w:tcPr>
            <w:tcW w:type="dxa" w:w="5760"/>
            <w:shd w:val="clear" w:color="auto" w:fill="EFEFEF"/>
          </w:tcPr>
          <w:p>
            <w:pPr>
              <w:spacing w:line="240" w:lineRule="auto" w:before="40" w:after="40"/>
              <w:jc w:val="left"/>
            </w:pPr>
            <w:r/>
            <w:r>
              <w:rPr>
                <w:b w:val="0"/>
                <w:i w:val="0"/>
                <w:sz w:val="16"/>
              </w:rPr>
              <w:t>Structural steel trusses &amp; purlins, fabricated &amp; installed</w:t>
            </w:r>
          </w:p>
        </w:tc>
        <w:tc>
          <w:tcPr>
            <w:tcW w:type="dxa" w:w="864"/>
            <w:shd w:val="clear" w:color="auto" w:fill="EFEFEF"/>
          </w:tcPr>
          <w:p>
            <w:pPr>
              <w:spacing w:line="240" w:lineRule="auto" w:before="40" w:after="40"/>
              <w:jc w:val="left"/>
            </w:pPr>
            <w:r/>
            <w:r>
              <w:rPr>
                <w:b w:val="0"/>
                <w:i w:val="0"/>
                <w:sz w:val="16"/>
              </w:rPr>
              <w:t>kg</w:t>
            </w:r>
          </w:p>
        </w:tc>
        <w:tc>
          <w:tcPr>
            <w:tcW w:type="dxa" w:w="1584"/>
            <w:shd w:val="clear" w:color="auto" w:fill="EFEFEF"/>
          </w:tcPr>
          <w:p>
            <w:pPr>
              <w:spacing w:line="240" w:lineRule="auto" w:before="40" w:after="40"/>
              <w:jc w:val="right"/>
            </w:pPr>
            <w:r/>
            <w:r>
              <w:rPr>
                <w:b w:val="0"/>
                <w:i w:val="0"/>
                <w:sz w:val="16"/>
              </w:rPr>
              <w:t>140</w:t>
            </w:r>
          </w:p>
        </w:tc>
      </w:tr>
      <w:tr>
        <w:tc>
          <w:tcPr>
            <w:tcW w:type="dxa" w:w="1296"/>
          </w:tcPr>
          <w:p>
            <w:pPr>
              <w:spacing w:line="240" w:lineRule="auto" w:before="40" w:after="40"/>
              <w:jc w:val="left"/>
            </w:pPr>
            <w:r/>
            <w:r>
              <w:rPr>
                <w:b w:val="0"/>
                <w:i w:val="0"/>
                <w:sz w:val="16"/>
              </w:rPr>
              <w:t>1013 (2)</w:t>
            </w:r>
          </w:p>
        </w:tc>
        <w:tc>
          <w:tcPr>
            <w:tcW w:type="dxa" w:w="5760"/>
          </w:tcPr>
          <w:p>
            <w:pPr>
              <w:spacing w:line="240" w:lineRule="auto" w:before="40" w:after="40"/>
              <w:jc w:val="left"/>
            </w:pPr>
            <w:r/>
            <w:r>
              <w:rPr>
                <w:b w:val="0"/>
                <w:i w:val="0"/>
                <w:sz w:val="16"/>
              </w:rPr>
              <w:t>Pre-painted long-span metal roofing 0.50 mm, incl. accessories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760</w:t>
            </w:r>
          </w:p>
        </w:tc>
      </w:tr>
      <w:tr>
        <w:tc>
          <w:tcPr>
            <w:tcW w:type="dxa" w:w="1296"/>
            <w:shd w:val="clear" w:color="auto" w:fill="EFEFEF"/>
          </w:tcPr>
          <w:p>
            <w:pPr>
              <w:spacing w:line="240" w:lineRule="auto" w:before="40" w:after="40"/>
              <w:jc w:val="left"/>
            </w:pPr>
            <w:r/>
            <w:r>
              <w:rPr>
                <w:b w:val="0"/>
                <w:i w:val="0"/>
                <w:sz w:val="16"/>
              </w:rPr>
              <w:t>1013 (5)</w:t>
            </w:r>
          </w:p>
        </w:tc>
        <w:tc>
          <w:tcPr>
            <w:tcW w:type="dxa" w:w="5760"/>
            <w:shd w:val="clear" w:color="auto" w:fill="EFEFEF"/>
          </w:tcPr>
          <w:p>
            <w:pPr>
              <w:spacing w:line="240" w:lineRule="auto" w:before="40" w:after="40"/>
              <w:jc w:val="left"/>
            </w:pPr>
            <w:r/>
            <w:r>
              <w:rPr>
                <w:b w:val="0"/>
                <w:i w:val="0"/>
                <w:sz w:val="16"/>
              </w:rPr>
              <w:t>Gutters, flashing &amp; downspouts</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950</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Waterproofing membrane, RC roof deck</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480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Ceiling: fiber-cement board on metal furring</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right"/>
            </w:pPr>
            <w:r/>
            <w:r>
              <w:rPr>
                <w:b w:val="0"/>
                <w:i w:val="0"/>
                <w:sz w:val="16"/>
              </w:rPr>
              <w:t>1,050</w:t>
            </w:r>
          </w:p>
        </w:tc>
      </w:tr>
      <w:tr>
        <w:tc>
          <w:tcPr>
            <w:tcW w:type="dxa" w:w="1296"/>
          </w:tcPr>
          <w:p>
            <w:pPr>
              <w:spacing w:line="240" w:lineRule="auto" w:before="40" w:after="40"/>
              <w:jc w:val="left"/>
            </w:pPr>
            <w:r/>
            <w:r>
              <w:rPr>
                <w:b w:val="0"/>
                <w:i w:val="0"/>
                <w:sz w:val="16"/>
              </w:rPr>
              <w:t>1018 (2)</w:t>
            </w:r>
          </w:p>
        </w:tc>
        <w:tc>
          <w:tcPr>
            <w:tcW w:type="dxa" w:w="5760"/>
          </w:tcPr>
          <w:p>
            <w:pPr>
              <w:spacing w:line="240" w:lineRule="auto" w:before="40" w:after="40"/>
              <w:jc w:val="left"/>
            </w:pPr>
            <w:r/>
            <w:r>
              <w:rPr>
                <w:b w:val="0"/>
                <w:i w:val="0"/>
                <w:sz w:val="16"/>
              </w:rPr>
              <w:t>Ceramic floor tiles 600 × 600 mm</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1,180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Cement floor topping, steel-trowel finish</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right"/>
            </w:pPr>
            <w:r/>
            <w:r>
              <w:rPr>
                <w:b w:val="0"/>
                <w:i w:val="0"/>
                <w:sz w:val="16"/>
              </w:rPr>
              <w:t>320</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Porcelain / granite floor tiles (premium)</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1,650</w:t>
            </w:r>
          </w:p>
        </w:tc>
      </w:tr>
      <w:tr>
        <w:tc>
          <w:tcPr>
            <w:tcW w:type="dxa" w:w="1296"/>
            <w:shd w:val="clear" w:color="auto" w:fill="EFEFEF"/>
          </w:tcPr>
          <w:p>
            <w:pPr>
              <w:spacing w:line="240" w:lineRule="auto" w:before="40" w:after="40"/>
              <w:jc w:val="left"/>
            </w:pPr>
            <w:r/>
            <w:r>
              <w:rPr>
                <w:b w:val="0"/>
                <w:i w:val="0"/>
                <w:sz w:val="16"/>
              </w:rPr>
              <w:t>1010</w:t>
            </w:r>
          </w:p>
        </w:tc>
        <w:tc>
          <w:tcPr>
            <w:tcW w:type="dxa" w:w="5760"/>
            <w:shd w:val="clear" w:color="auto" w:fill="EFEFEF"/>
          </w:tcPr>
          <w:p>
            <w:pPr>
              <w:spacing w:line="240" w:lineRule="auto" w:before="40" w:after="40"/>
              <w:jc w:val="left"/>
            </w:pPr>
            <w:r/>
            <w:r>
              <w:rPr>
                <w:b w:val="0"/>
                <w:i w:val="0"/>
                <w:sz w:val="16"/>
              </w:rPr>
              <w:t>Doors complete with jamb &amp; hardware</w:t>
            </w:r>
          </w:p>
        </w:tc>
        <w:tc>
          <w:tcPr>
            <w:tcW w:type="dxa" w:w="864"/>
            <w:shd w:val="clear" w:color="auto" w:fill="EFEFEF"/>
          </w:tcPr>
          <w:p>
            <w:pPr>
              <w:spacing w:line="240" w:lineRule="auto" w:before="40" w:after="40"/>
              <w:jc w:val="left"/>
            </w:pPr>
            <w:r/>
            <w:r>
              <w:rPr>
                <w:b w:val="0"/>
                <w:i w:val="0"/>
                <w:sz w:val="16"/>
              </w:rPr>
              <w:t>set</w:t>
            </w:r>
          </w:p>
        </w:tc>
        <w:tc>
          <w:tcPr>
            <w:tcW w:type="dxa" w:w="1584"/>
            <w:shd w:val="clear" w:color="auto" w:fill="EFEFEF"/>
          </w:tcPr>
          <w:p>
            <w:pPr>
              <w:spacing w:line="240" w:lineRule="auto" w:before="40" w:after="40"/>
              <w:jc w:val="right"/>
            </w:pPr>
            <w:r/>
            <w:r>
              <w:rPr>
                <w:b w:val="0"/>
                <w:i w:val="0"/>
                <w:sz w:val="16"/>
              </w:rPr>
              <w:t>13,500</w:t>
            </w:r>
          </w:p>
        </w:tc>
      </w:tr>
      <w:tr>
        <w:tc>
          <w:tcPr>
            <w:tcW w:type="dxa" w:w="1296"/>
          </w:tcPr>
          <w:p>
            <w:pPr>
              <w:spacing w:line="240" w:lineRule="auto" w:before="40" w:after="40"/>
              <w:jc w:val="left"/>
            </w:pPr>
            <w:r/>
            <w:r>
              <w:rPr>
                <w:b w:val="0"/>
                <w:i w:val="0"/>
                <w:sz w:val="16"/>
              </w:rPr>
              <w:t>1008 (1)</w:t>
            </w:r>
          </w:p>
        </w:tc>
        <w:tc>
          <w:tcPr>
            <w:tcW w:type="dxa" w:w="5760"/>
          </w:tcPr>
          <w:p>
            <w:pPr>
              <w:spacing w:line="240" w:lineRule="auto" w:before="40" w:after="40"/>
              <w:jc w:val="left"/>
            </w:pPr>
            <w:r/>
            <w:r>
              <w:rPr>
                <w:b w:val="0"/>
                <w:i w:val="0"/>
                <w:sz w:val="16"/>
              </w:rPr>
              <w:t>Aluminum-framed glass windows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6,200</w:t>
            </w:r>
          </w:p>
        </w:tc>
      </w:tr>
      <w:tr>
        <w:tc>
          <w:tcPr>
            <w:tcW w:type="dxa" w:w="1296"/>
            <w:shd w:val="clear" w:color="auto" w:fill="EFEFEF"/>
          </w:tcPr>
          <w:p>
            <w:pPr>
              <w:spacing w:line="240" w:lineRule="auto" w:before="40" w:after="40"/>
              <w:jc w:val="left"/>
            </w:pPr>
            <w:r/>
            <w:r>
              <w:rPr>
                <w:b w:val="0"/>
                <w:i w:val="0"/>
                <w:sz w:val="16"/>
              </w:rPr>
              <w:t>1100–1200</w:t>
            </w:r>
          </w:p>
        </w:tc>
        <w:tc>
          <w:tcPr>
            <w:tcW w:type="dxa" w:w="5760"/>
            <w:shd w:val="clear" w:color="auto" w:fill="EFEFEF"/>
          </w:tcPr>
          <w:p>
            <w:pPr>
              <w:spacing w:line="240" w:lineRule="auto" w:before="40" w:after="40"/>
              <w:jc w:val="left"/>
            </w:pPr>
            <w:r/>
            <w:r>
              <w:rPr>
                <w:b w:val="0"/>
                <w:i w:val="0"/>
                <w:sz w:val="16"/>
              </w:rPr>
              <w:t>Electrical works (conduits, wires, devices, panel, fixtures)</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1001–1002</w:t>
            </w:r>
          </w:p>
        </w:tc>
        <w:tc>
          <w:tcPr>
            <w:tcW w:type="dxa" w:w="5760"/>
          </w:tcPr>
          <w:p>
            <w:pPr>
              <w:spacing w:line="240" w:lineRule="auto" w:before="40" w:after="40"/>
              <w:jc w:val="left"/>
            </w:pPr>
            <w:r/>
            <w:r>
              <w:rPr>
                <w:b w:val="0"/>
                <w:i w:val="0"/>
                <w:sz w:val="16"/>
              </w:rPr>
              <w:t>Plumbing &amp; sanitary works incl. fixtures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left"/>
            </w:pPr>
            <w:r/>
            <w:r>
              <w:rPr>
                <w:b w:val="0"/>
                <w:i w:val="0"/>
                <w:sz w:val="16"/>
              </w:rPr>
              <w:t>allowance / %</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Fire protection &amp; detection (RA 9514)</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Mechanical / air-conditioning works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left"/>
            </w:pPr>
            <w:r/>
            <w:r>
              <w:rPr>
                <w:b w:val="0"/>
                <w:i w:val="0"/>
                <w:sz w:val="16"/>
              </w:rPr>
              <w:t>allowance / %</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RC septic tank / sewage treatment</w:t>
            </w:r>
          </w:p>
        </w:tc>
        <w:tc>
          <w:tcPr>
            <w:tcW w:type="dxa" w:w="864"/>
            <w:shd w:val="clear" w:color="auto" w:fill="EFEFEF"/>
          </w:tcPr>
          <w:p>
            <w:pPr>
              <w:spacing w:line="240" w:lineRule="auto" w:before="40" w:after="40"/>
              <w:jc w:val="left"/>
            </w:pPr>
            <w:r/>
            <w:r>
              <w:rPr>
                <w:b w:val="0"/>
                <w:i w:val="0"/>
                <w:sz w:val="16"/>
              </w:rPr>
              <w:t>unit</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Accessibility ramp &amp; handrails (BP 344)</w:t>
            </w:r>
          </w:p>
        </w:tc>
        <w:tc>
          <w:tcPr>
            <w:tcW w:type="dxa" w:w="864"/>
          </w:tcPr>
          <w:p>
            <w:pPr>
              <w:spacing w:line="240" w:lineRule="auto" w:before="40" w:after="40"/>
              <w:jc w:val="left"/>
            </w:pPr>
            <w:r/>
            <w:r>
              <w:rPr>
                <w:b w:val="0"/>
                <w:i w:val="0"/>
                <w:sz w:val="16"/>
              </w:rPr>
              <w:t>unit</w:t>
            </w:r>
          </w:p>
        </w:tc>
        <w:tc>
          <w:tcPr>
            <w:tcW w:type="dxa" w:w="1584"/>
          </w:tcPr>
          <w:p>
            <w:pPr>
              <w:spacing w:line="240" w:lineRule="auto" w:before="40" w:after="40"/>
              <w:jc w:val="right"/>
            </w:pPr>
            <w:r/>
            <w:r>
              <w:rPr>
                <w:b w:val="0"/>
                <w:i w:val="0"/>
                <w:sz w:val="16"/>
              </w:rPr>
              <w:t>38,000</w:t>
            </w:r>
          </w:p>
        </w:tc>
      </w:tr>
      <w:tr>
        <w:tc>
          <w:tcPr>
            <w:tcW w:type="dxa" w:w="1296"/>
            <w:shd w:val="clear" w:color="auto" w:fill="EFEFEF"/>
          </w:tcPr>
          <w:p>
            <w:pPr>
              <w:spacing w:line="240" w:lineRule="auto" w:before="40" w:after="40"/>
              <w:jc w:val="left"/>
            </w:pPr>
            <w:r/>
            <w:r>
              <w:rPr>
                <w:b w:val="0"/>
                <w:i w:val="0"/>
                <w:sz w:val="16"/>
              </w:rPr>
              <w:t>1047 (5)</w:t>
            </w:r>
          </w:p>
        </w:tc>
        <w:tc>
          <w:tcPr>
            <w:tcW w:type="dxa" w:w="5760"/>
            <w:shd w:val="clear" w:color="auto" w:fill="EFEFEF"/>
          </w:tcPr>
          <w:p>
            <w:pPr>
              <w:spacing w:line="240" w:lineRule="auto" w:before="40" w:after="40"/>
              <w:jc w:val="left"/>
            </w:pPr>
            <w:r/>
            <w:r>
              <w:rPr>
                <w:b w:val="0"/>
                <w:i w:val="0"/>
                <w:sz w:val="16"/>
              </w:rPr>
              <w:t>Steel railings — corridors, balconies &amp; stairs</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4,800</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Roof insulation, fascia &amp; eaves soffit</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420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Perimeter drainage canal with grating</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1,450</w:t>
            </w:r>
          </w:p>
        </w:tc>
      </w:tr>
      <w:tr>
        <w:tc>
          <w:tcPr>
            <w:tcW w:type="dxa" w:w="1296"/>
          </w:tcPr>
          <w:p>
            <w:pPr>
              <w:spacing w:line="240" w:lineRule="auto" w:before="40" w:after="40"/>
              <w:jc w:val="left"/>
            </w:pPr>
            <w:r/>
            <w:r>
              <w:rPr>
                <w:b w:val="0"/>
                <w:i w:val="0"/>
                <w:sz w:val="16"/>
              </w:rPr>
              <w:t>100 (1)</w:t>
            </w:r>
          </w:p>
        </w:tc>
        <w:tc>
          <w:tcPr>
            <w:tcW w:type="dxa" w:w="5760"/>
          </w:tcPr>
          <w:p>
            <w:pPr>
              <w:spacing w:line="240" w:lineRule="auto" w:before="40" w:after="40"/>
              <w:jc w:val="left"/>
            </w:pPr>
            <w:r/>
            <w:r>
              <w:rPr>
                <w:b w:val="0"/>
                <w:i w:val="0"/>
                <w:sz w:val="16"/>
              </w:rPr>
              <w:t>Clearing and grubbing</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55</w:t>
            </w:r>
          </w:p>
        </w:tc>
      </w:tr>
      <w:tr>
        <w:tc>
          <w:tcPr>
            <w:tcW w:type="dxa" w:w="1296"/>
            <w:shd w:val="clear" w:color="auto" w:fill="EFEFEF"/>
          </w:tcPr>
          <w:p>
            <w:pPr>
              <w:spacing w:line="240" w:lineRule="auto" w:before="40" w:after="40"/>
              <w:jc w:val="left"/>
            </w:pPr>
            <w:r/>
            <w:r>
              <w:rPr>
                <w:b w:val="0"/>
                <w:i w:val="0"/>
                <w:sz w:val="16"/>
              </w:rPr>
              <w:t>103 (1)a</w:t>
            </w:r>
          </w:p>
        </w:tc>
        <w:tc>
          <w:tcPr>
            <w:tcW w:type="dxa" w:w="5760"/>
            <w:shd w:val="clear" w:color="auto" w:fill="EFEFEF"/>
          </w:tcPr>
          <w:p>
            <w:pPr>
              <w:spacing w:line="240" w:lineRule="auto" w:before="40" w:after="40"/>
              <w:jc w:val="left"/>
            </w:pPr>
            <w:r/>
            <w:r>
              <w:rPr>
                <w:b w:val="0"/>
                <w:i w:val="0"/>
                <w:sz w:val="16"/>
              </w:rPr>
              <w:t>Structure excavation, common soil</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420</w:t>
            </w:r>
          </w:p>
        </w:tc>
      </w:tr>
      <w:tr>
        <w:tc>
          <w:tcPr>
            <w:tcW w:type="dxa" w:w="1296"/>
          </w:tcPr>
          <w:p>
            <w:pPr>
              <w:spacing w:line="240" w:lineRule="auto" w:before="40" w:after="40"/>
              <w:jc w:val="left"/>
            </w:pPr>
            <w:r/>
            <w:r>
              <w:rPr>
                <w:b w:val="0"/>
                <w:i w:val="0"/>
                <w:sz w:val="16"/>
              </w:rPr>
              <w:t>103 (2)</w:t>
            </w:r>
          </w:p>
        </w:tc>
        <w:tc>
          <w:tcPr>
            <w:tcW w:type="dxa" w:w="5760"/>
          </w:tcPr>
          <w:p>
            <w:pPr>
              <w:spacing w:line="240" w:lineRule="auto" w:before="40" w:after="40"/>
              <w:jc w:val="left"/>
            </w:pPr>
            <w:r/>
            <w:r>
              <w:rPr>
                <w:b w:val="0"/>
                <w:i w:val="0"/>
                <w:sz w:val="16"/>
              </w:rPr>
              <w:t>Structure excavation below water, incl. dewatering</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680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Cofferdam / sheet piling</w:t>
            </w:r>
          </w:p>
        </w:tc>
        <w:tc>
          <w:tcPr>
            <w:tcW w:type="dxa" w:w="864"/>
            <w:shd w:val="clear" w:color="auto" w:fill="EFEFEF"/>
          </w:tcPr>
          <w:p>
            <w:pPr>
              <w:spacing w:line="240" w:lineRule="auto" w:before="40" w:after="40"/>
              <w:jc w:val="left"/>
            </w:pPr>
            <w:r/>
            <w:r>
              <w:rPr>
                <w:b w:val="0"/>
                <w:i w:val="0"/>
                <w:sz w:val="16"/>
              </w:rPr>
              <w:t>each</w:t>
            </w:r>
          </w:p>
        </w:tc>
        <w:tc>
          <w:tcPr>
            <w:tcW w:type="dxa" w:w="1584"/>
            <w:shd w:val="clear" w:color="auto" w:fill="EFEFEF"/>
          </w:tcPr>
          <w:p>
            <w:pPr>
              <w:spacing w:line="240" w:lineRule="auto" w:before="40" w:after="40"/>
              <w:jc w:val="right"/>
            </w:pPr>
            <w:r/>
            <w:r>
              <w:rPr>
                <w:b w:val="0"/>
                <w:i w:val="0"/>
                <w:sz w:val="16"/>
              </w:rPr>
              <w:t>180,000</w:t>
            </w:r>
          </w:p>
        </w:tc>
      </w:tr>
      <w:tr>
        <w:tc>
          <w:tcPr>
            <w:tcW w:type="dxa" w:w="1296"/>
          </w:tcPr>
          <w:p>
            <w:pPr>
              <w:spacing w:line="240" w:lineRule="auto" w:before="40" w:after="40"/>
              <w:jc w:val="left"/>
            </w:pPr>
            <w:r/>
            <w:r>
              <w:rPr>
                <w:b w:val="0"/>
                <w:i w:val="0"/>
                <w:sz w:val="16"/>
              </w:rPr>
              <w:t>104 (2)</w:t>
            </w:r>
          </w:p>
        </w:tc>
        <w:tc>
          <w:tcPr>
            <w:tcW w:type="dxa" w:w="5760"/>
          </w:tcPr>
          <w:p>
            <w:pPr>
              <w:spacing w:line="240" w:lineRule="auto" w:before="40" w:after="40"/>
              <w:jc w:val="left"/>
            </w:pPr>
            <w:r/>
            <w:r>
              <w:rPr>
                <w:b w:val="0"/>
                <w:i w:val="0"/>
                <w:sz w:val="16"/>
              </w:rPr>
              <w:t>Structural backfill, granular, compacted</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950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Gravel bedding</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1,550</w:t>
            </w:r>
          </w:p>
        </w:tc>
      </w:tr>
      <w:tr>
        <w:tc>
          <w:tcPr>
            <w:tcW w:type="dxa" w:w="1296"/>
          </w:tcPr>
          <w:p>
            <w:pPr>
              <w:spacing w:line="240" w:lineRule="auto" w:before="40" w:after="40"/>
              <w:jc w:val="left"/>
            </w:pPr>
            <w:r/>
            <w:r>
              <w:rPr>
                <w:b w:val="0"/>
                <w:i w:val="0"/>
                <w:sz w:val="16"/>
              </w:rPr>
              <w:t>400 (11)</w:t>
            </w:r>
          </w:p>
        </w:tc>
        <w:tc>
          <w:tcPr>
            <w:tcW w:type="dxa" w:w="5760"/>
          </w:tcPr>
          <w:p>
            <w:pPr>
              <w:spacing w:line="240" w:lineRule="auto" w:before="40" w:after="40"/>
              <w:jc w:val="left"/>
            </w:pPr>
            <w:r/>
            <w:r>
              <w:rPr>
                <w:b w:val="0"/>
                <w:i w:val="0"/>
                <w:sz w:val="16"/>
              </w:rPr>
              <w:t>Precast RC piles 450 × 450 mm, furnished &amp; driven</w:t>
            </w:r>
          </w:p>
        </w:tc>
        <w:tc>
          <w:tcPr>
            <w:tcW w:type="dxa" w:w="864"/>
          </w:tcPr>
          <w:p>
            <w:pPr>
              <w:spacing w:line="240" w:lineRule="auto" w:before="40" w:after="40"/>
              <w:jc w:val="left"/>
            </w:pPr>
            <w:r/>
            <w:r>
              <w:rPr>
                <w:b w:val="0"/>
                <w:i w:val="0"/>
                <w:sz w:val="16"/>
              </w:rPr>
              <w:t>m</w:t>
            </w:r>
          </w:p>
        </w:tc>
        <w:tc>
          <w:tcPr>
            <w:tcW w:type="dxa" w:w="1584"/>
          </w:tcPr>
          <w:p>
            <w:pPr>
              <w:spacing w:line="240" w:lineRule="auto" w:before="40" w:after="40"/>
              <w:jc w:val="right"/>
            </w:pPr>
            <w:r/>
            <w:r>
              <w:rPr>
                <w:b w:val="0"/>
                <w:i w:val="0"/>
                <w:sz w:val="16"/>
              </w:rPr>
              <w:t>11,500</w:t>
            </w:r>
          </w:p>
        </w:tc>
      </w:tr>
      <w:tr>
        <w:tc>
          <w:tcPr>
            <w:tcW w:type="dxa" w:w="1296"/>
            <w:shd w:val="clear" w:color="auto" w:fill="EFEFEF"/>
          </w:tcPr>
          <w:p>
            <w:pPr>
              <w:spacing w:line="240" w:lineRule="auto" w:before="40" w:after="40"/>
              <w:jc w:val="left"/>
            </w:pPr>
            <w:r/>
            <w:r>
              <w:rPr>
                <w:b w:val="0"/>
                <w:i w:val="0"/>
                <w:sz w:val="16"/>
              </w:rPr>
              <w:t>400 (17)</w:t>
            </w:r>
          </w:p>
        </w:tc>
        <w:tc>
          <w:tcPr>
            <w:tcW w:type="dxa" w:w="5760"/>
            <w:shd w:val="clear" w:color="auto" w:fill="EFEFEF"/>
          </w:tcPr>
          <w:p>
            <w:pPr>
              <w:spacing w:line="240" w:lineRule="auto" w:before="40" w:after="40"/>
              <w:jc w:val="left"/>
            </w:pPr>
            <w:r/>
            <w:r>
              <w:rPr>
                <w:b w:val="0"/>
                <w:i w:val="0"/>
                <w:sz w:val="16"/>
              </w:rPr>
              <w:t>Bored piles 1.0 m Ø, drilling incl. temporary casing</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28,000</w:t>
            </w:r>
          </w:p>
        </w:tc>
      </w:tr>
      <w:tr>
        <w:tc>
          <w:tcPr>
            <w:tcW w:type="dxa" w:w="1296"/>
          </w:tcPr>
          <w:p>
            <w:pPr>
              <w:spacing w:line="240" w:lineRule="auto" w:before="40" w:after="40"/>
              <w:jc w:val="left"/>
            </w:pPr>
            <w:r/>
            <w:r>
              <w:rPr>
                <w:b w:val="0"/>
                <w:i w:val="0"/>
                <w:sz w:val="16"/>
              </w:rPr>
              <w:t>400 (20)</w:t>
            </w:r>
          </w:p>
        </w:tc>
        <w:tc>
          <w:tcPr>
            <w:tcW w:type="dxa" w:w="5760"/>
          </w:tcPr>
          <w:p>
            <w:pPr>
              <w:spacing w:line="240" w:lineRule="auto" w:before="40" w:after="40"/>
              <w:jc w:val="left"/>
            </w:pPr>
            <w:r/>
            <w:r>
              <w:rPr>
                <w:b w:val="0"/>
                <w:i w:val="0"/>
                <w:sz w:val="16"/>
              </w:rPr>
              <w:t>Pile dynamic load test (PDA)</w:t>
            </w:r>
          </w:p>
        </w:tc>
        <w:tc>
          <w:tcPr>
            <w:tcW w:type="dxa" w:w="864"/>
          </w:tcPr>
          <w:p>
            <w:pPr>
              <w:spacing w:line="240" w:lineRule="auto" w:before="40" w:after="40"/>
              <w:jc w:val="left"/>
            </w:pPr>
            <w:r/>
            <w:r>
              <w:rPr>
                <w:b w:val="0"/>
                <w:i w:val="0"/>
                <w:sz w:val="16"/>
              </w:rPr>
              <w:t>test</w:t>
            </w:r>
          </w:p>
        </w:tc>
        <w:tc>
          <w:tcPr>
            <w:tcW w:type="dxa" w:w="1584"/>
          </w:tcPr>
          <w:p>
            <w:pPr>
              <w:spacing w:line="240" w:lineRule="auto" w:before="40" w:after="40"/>
              <w:jc w:val="right"/>
            </w:pPr>
            <w:r/>
            <w:r>
              <w:rPr>
                <w:b w:val="0"/>
                <w:i w:val="0"/>
                <w:sz w:val="16"/>
              </w:rPr>
              <w:t>85,000</w:t>
            </w:r>
          </w:p>
        </w:tc>
      </w:tr>
      <w:tr>
        <w:tc>
          <w:tcPr>
            <w:tcW w:type="dxa" w:w="1296"/>
            <w:shd w:val="clear" w:color="auto" w:fill="EFEFEF"/>
          </w:tcPr>
          <w:p>
            <w:pPr>
              <w:spacing w:line="240" w:lineRule="auto" w:before="40" w:after="40"/>
              <w:jc w:val="left"/>
            </w:pPr>
            <w:r/>
            <w:r>
              <w:rPr>
                <w:b w:val="0"/>
                <w:i w:val="0"/>
                <w:sz w:val="16"/>
              </w:rPr>
              <w:t>405 (1)a</w:t>
            </w:r>
          </w:p>
        </w:tc>
        <w:tc>
          <w:tcPr>
            <w:tcW w:type="dxa" w:w="5760"/>
            <w:shd w:val="clear" w:color="auto" w:fill="EFEFEF"/>
          </w:tcPr>
          <w:p>
            <w:pPr>
              <w:spacing w:line="240" w:lineRule="auto" w:before="40" w:after="40"/>
              <w:jc w:val="left"/>
            </w:pPr>
            <w:r/>
            <w:r>
              <w:rPr>
                <w:b w:val="0"/>
                <w:i w:val="0"/>
                <w:sz w:val="16"/>
              </w:rPr>
              <w:t>Structural concrete Class A — deck &amp; girders, incl. forms</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13,500</w:t>
            </w:r>
          </w:p>
        </w:tc>
      </w:tr>
      <w:tr>
        <w:tc>
          <w:tcPr>
            <w:tcW w:type="dxa" w:w="1296"/>
          </w:tcPr>
          <w:p>
            <w:pPr>
              <w:spacing w:line="240" w:lineRule="auto" w:before="40" w:after="40"/>
              <w:jc w:val="left"/>
            </w:pPr>
            <w:r/>
            <w:r>
              <w:rPr>
                <w:b w:val="0"/>
                <w:i w:val="0"/>
                <w:sz w:val="16"/>
              </w:rPr>
              <w:t>405 (1)b</w:t>
            </w:r>
          </w:p>
        </w:tc>
        <w:tc>
          <w:tcPr>
            <w:tcW w:type="dxa" w:w="5760"/>
          </w:tcPr>
          <w:p>
            <w:pPr>
              <w:spacing w:line="240" w:lineRule="auto" w:before="40" w:after="40"/>
              <w:jc w:val="left"/>
            </w:pPr>
            <w:r/>
            <w:r>
              <w:rPr>
                <w:b w:val="0"/>
                <w:i w:val="0"/>
                <w:sz w:val="16"/>
              </w:rPr>
              <w:t>Structural concrete Class A — abutments, piers, walls, incl. forms</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11,200</w:t>
            </w:r>
          </w:p>
        </w:tc>
      </w:tr>
      <w:tr>
        <w:tc>
          <w:tcPr>
            <w:tcW w:type="dxa" w:w="1296"/>
            <w:shd w:val="clear" w:color="auto" w:fill="EFEFEF"/>
          </w:tcPr>
          <w:p>
            <w:pPr>
              <w:spacing w:line="240" w:lineRule="auto" w:before="40" w:after="40"/>
              <w:jc w:val="left"/>
            </w:pPr>
            <w:r/>
            <w:r>
              <w:rPr>
                <w:b w:val="0"/>
                <w:i w:val="0"/>
                <w:sz w:val="16"/>
              </w:rPr>
              <w:t>405 (1)c</w:t>
            </w:r>
          </w:p>
        </w:tc>
        <w:tc>
          <w:tcPr>
            <w:tcW w:type="dxa" w:w="5760"/>
            <w:shd w:val="clear" w:color="auto" w:fill="EFEFEF"/>
          </w:tcPr>
          <w:p>
            <w:pPr>
              <w:spacing w:line="240" w:lineRule="auto" w:before="40" w:after="40"/>
              <w:jc w:val="left"/>
            </w:pPr>
            <w:r/>
            <w:r>
              <w:rPr>
                <w:b w:val="0"/>
                <w:i w:val="0"/>
                <w:sz w:val="16"/>
              </w:rPr>
              <w:t>Structural concrete Class A — footings, pile caps, approach slabs</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9,400</w:t>
            </w:r>
          </w:p>
        </w:tc>
      </w:tr>
      <w:tr>
        <w:tc>
          <w:tcPr>
            <w:tcW w:type="dxa" w:w="1296"/>
          </w:tcPr>
          <w:p>
            <w:pPr>
              <w:spacing w:line="240" w:lineRule="auto" w:before="40" w:after="40"/>
              <w:jc w:val="left"/>
            </w:pPr>
            <w:r/>
            <w:r>
              <w:rPr>
                <w:b w:val="0"/>
                <w:i w:val="0"/>
                <w:sz w:val="16"/>
              </w:rPr>
              <w:t>405 (1)d</w:t>
            </w:r>
          </w:p>
        </w:tc>
        <w:tc>
          <w:tcPr>
            <w:tcW w:type="dxa" w:w="5760"/>
          </w:tcPr>
          <w:p>
            <w:pPr>
              <w:spacing w:line="240" w:lineRule="auto" w:before="40" w:after="40"/>
              <w:jc w:val="left"/>
            </w:pPr>
            <w:r/>
            <w:r>
              <w:rPr>
                <w:b w:val="0"/>
                <w:i w:val="0"/>
                <w:sz w:val="16"/>
              </w:rPr>
              <w:t>Structural concrete for bored piles (tremie)</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9,200</w:t>
            </w:r>
          </w:p>
        </w:tc>
      </w:tr>
      <w:tr>
        <w:tc>
          <w:tcPr>
            <w:tcW w:type="dxa" w:w="1296"/>
            <w:shd w:val="clear" w:color="auto" w:fill="EFEFEF"/>
          </w:tcPr>
          <w:p>
            <w:pPr>
              <w:spacing w:line="240" w:lineRule="auto" w:before="40" w:after="40"/>
              <w:jc w:val="left"/>
            </w:pPr>
            <w:r/>
            <w:r>
              <w:rPr>
                <w:b w:val="0"/>
                <w:i w:val="0"/>
                <w:sz w:val="16"/>
              </w:rPr>
              <w:t>405 (2)</w:t>
            </w:r>
          </w:p>
        </w:tc>
        <w:tc>
          <w:tcPr>
            <w:tcW w:type="dxa" w:w="5760"/>
            <w:shd w:val="clear" w:color="auto" w:fill="EFEFEF"/>
          </w:tcPr>
          <w:p>
            <w:pPr>
              <w:spacing w:line="240" w:lineRule="auto" w:before="40" w:after="40"/>
              <w:jc w:val="left"/>
            </w:pPr>
            <w:r/>
            <w:r>
              <w:rPr>
                <w:b w:val="0"/>
                <w:i w:val="0"/>
                <w:sz w:val="16"/>
              </w:rPr>
              <w:t>Lean concrete / seal concrete</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6,800</w:t>
            </w:r>
          </w:p>
        </w:tc>
      </w:tr>
      <w:tr>
        <w:tc>
          <w:tcPr>
            <w:tcW w:type="dxa" w:w="1296"/>
          </w:tcPr>
          <w:p>
            <w:pPr>
              <w:spacing w:line="240" w:lineRule="auto" w:before="40" w:after="40"/>
              <w:jc w:val="left"/>
            </w:pPr>
            <w:r/>
            <w:r>
              <w:rPr>
                <w:b w:val="0"/>
                <w:i w:val="0"/>
                <w:sz w:val="16"/>
              </w:rPr>
              <w:t>404 (1)</w:t>
            </w:r>
          </w:p>
        </w:tc>
        <w:tc>
          <w:tcPr>
            <w:tcW w:type="dxa" w:w="5760"/>
          </w:tcPr>
          <w:p>
            <w:pPr>
              <w:spacing w:line="240" w:lineRule="auto" w:before="40" w:after="40"/>
              <w:jc w:val="left"/>
            </w:pPr>
            <w:r/>
            <w:r>
              <w:rPr>
                <w:b w:val="0"/>
                <w:i w:val="0"/>
                <w:sz w:val="16"/>
              </w:rPr>
              <w:t>Reinforcing steel Gr. 60, incl. tie wire</w:t>
            </w:r>
          </w:p>
        </w:tc>
        <w:tc>
          <w:tcPr>
            <w:tcW w:type="dxa" w:w="864"/>
          </w:tcPr>
          <w:p>
            <w:pPr>
              <w:spacing w:line="240" w:lineRule="auto" w:before="40" w:after="40"/>
              <w:jc w:val="left"/>
            </w:pPr>
            <w:r/>
            <w:r>
              <w:rPr>
                <w:b w:val="0"/>
                <w:i w:val="0"/>
                <w:sz w:val="16"/>
              </w:rPr>
              <w:t>kg</w:t>
            </w:r>
          </w:p>
        </w:tc>
        <w:tc>
          <w:tcPr>
            <w:tcW w:type="dxa" w:w="1584"/>
          </w:tcPr>
          <w:p>
            <w:pPr>
              <w:spacing w:line="240" w:lineRule="auto" w:before="40" w:after="40"/>
              <w:jc w:val="right"/>
            </w:pPr>
            <w:r/>
            <w:r>
              <w:rPr>
                <w:b w:val="0"/>
                <w:i w:val="0"/>
                <w:sz w:val="16"/>
              </w:rPr>
              <w:t>84</w:t>
            </w:r>
          </w:p>
        </w:tc>
      </w:tr>
      <w:tr>
        <w:tc>
          <w:tcPr>
            <w:tcW w:type="dxa" w:w="1296"/>
            <w:shd w:val="clear" w:color="auto" w:fill="EFEFEF"/>
          </w:tcPr>
          <w:p>
            <w:pPr>
              <w:spacing w:line="240" w:lineRule="auto" w:before="40" w:after="40"/>
              <w:jc w:val="left"/>
            </w:pPr>
            <w:r/>
            <w:r>
              <w:rPr>
                <w:b w:val="0"/>
                <w:i w:val="0"/>
                <w:sz w:val="16"/>
              </w:rPr>
              <w:t>406 (1)a</w:t>
            </w:r>
          </w:p>
        </w:tc>
        <w:tc>
          <w:tcPr>
            <w:tcW w:type="dxa" w:w="5760"/>
            <w:shd w:val="clear" w:color="auto" w:fill="EFEFEF"/>
          </w:tcPr>
          <w:p>
            <w:pPr>
              <w:spacing w:line="240" w:lineRule="auto" w:before="40" w:after="40"/>
              <w:jc w:val="left"/>
            </w:pPr>
            <w:r/>
            <w:r>
              <w:rPr>
                <w:b w:val="0"/>
                <w:i w:val="0"/>
                <w:sz w:val="16"/>
              </w:rPr>
              <w:t>Precast PSC girder AASHTO Type III — supply, fabricate, launch</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34,000</w:t>
            </w:r>
          </w:p>
        </w:tc>
      </w:tr>
      <w:tr>
        <w:tc>
          <w:tcPr>
            <w:tcW w:type="dxa" w:w="1296"/>
          </w:tcPr>
          <w:p>
            <w:pPr>
              <w:spacing w:line="240" w:lineRule="auto" w:before="40" w:after="40"/>
              <w:jc w:val="left"/>
            </w:pPr>
            <w:r/>
            <w:r>
              <w:rPr>
                <w:b w:val="0"/>
                <w:i w:val="0"/>
                <w:sz w:val="16"/>
              </w:rPr>
              <w:t>406 (1)b</w:t>
            </w:r>
          </w:p>
        </w:tc>
        <w:tc>
          <w:tcPr>
            <w:tcW w:type="dxa" w:w="5760"/>
          </w:tcPr>
          <w:p>
            <w:pPr>
              <w:spacing w:line="240" w:lineRule="auto" w:before="40" w:after="40"/>
              <w:jc w:val="left"/>
            </w:pPr>
            <w:r/>
            <w:r>
              <w:rPr>
                <w:b w:val="0"/>
                <w:i w:val="0"/>
                <w:sz w:val="16"/>
              </w:rPr>
              <w:t>Precast PSC girder AASHTO Type IV — supply, fabricate, launch</w:t>
            </w:r>
          </w:p>
        </w:tc>
        <w:tc>
          <w:tcPr>
            <w:tcW w:type="dxa" w:w="864"/>
          </w:tcPr>
          <w:p>
            <w:pPr>
              <w:spacing w:line="240" w:lineRule="auto" w:before="40" w:after="40"/>
              <w:jc w:val="left"/>
            </w:pPr>
            <w:r/>
            <w:r>
              <w:rPr>
                <w:b w:val="0"/>
                <w:i w:val="0"/>
                <w:sz w:val="16"/>
              </w:rPr>
              <w:t>m</w:t>
            </w:r>
          </w:p>
        </w:tc>
        <w:tc>
          <w:tcPr>
            <w:tcW w:type="dxa" w:w="1584"/>
          </w:tcPr>
          <w:p>
            <w:pPr>
              <w:spacing w:line="240" w:lineRule="auto" w:before="40" w:after="40"/>
              <w:jc w:val="right"/>
            </w:pPr>
            <w:r/>
            <w:r>
              <w:rPr>
                <w:b w:val="0"/>
                <w:i w:val="0"/>
                <w:sz w:val="16"/>
              </w:rPr>
              <w:t>42,000</w:t>
            </w:r>
          </w:p>
        </w:tc>
      </w:tr>
      <w:tr>
        <w:tc>
          <w:tcPr>
            <w:tcW w:type="dxa" w:w="1296"/>
            <w:shd w:val="clear" w:color="auto" w:fill="EFEFEF"/>
          </w:tcPr>
          <w:p>
            <w:pPr>
              <w:spacing w:line="240" w:lineRule="auto" w:before="40" w:after="40"/>
              <w:jc w:val="left"/>
            </w:pPr>
            <w:r/>
            <w:r>
              <w:rPr>
                <w:b w:val="0"/>
                <w:i w:val="0"/>
                <w:sz w:val="16"/>
              </w:rPr>
              <w:t>406 (1)c</w:t>
            </w:r>
          </w:p>
        </w:tc>
        <w:tc>
          <w:tcPr>
            <w:tcW w:type="dxa" w:w="5760"/>
            <w:shd w:val="clear" w:color="auto" w:fill="EFEFEF"/>
          </w:tcPr>
          <w:p>
            <w:pPr>
              <w:spacing w:line="240" w:lineRule="auto" w:before="40" w:after="40"/>
              <w:jc w:val="left"/>
            </w:pPr>
            <w:r/>
            <w:r>
              <w:rPr>
                <w:b w:val="0"/>
                <w:i w:val="0"/>
                <w:sz w:val="16"/>
              </w:rPr>
              <w:t>Precast PSC bulb-tee girder BT-1600 — supply, fabricate, launch</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52,000</w:t>
            </w:r>
          </w:p>
        </w:tc>
      </w:tr>
      <w:tr>
        <w:tc>
          <w:tcPr>
            <w:tcW w:type="dxa" w:w="1296"/>
          </w:tcPr>
          <w:p>
            <w:pPr>
              <w:spacing w:line="240" w:lineRule="auto" w:before="40" w:after="40"/>
              <w:jc w:val="left"/>
            </w:pPr>
            <w:r/>
            <w:r>
              <w:rPr>
                <w:b w:val="0"/>
                <w:i w:val="0"/>
                <w:sz w:val="16"/>
              </w:rPr>
              <w:t>403 (1)</w:t>
            </w:r>
          </w:p>
        </w:tc>
        <w:tc>
          <w:tcPr>
            <w:tcW w:type="dxa" w:w="5760"/>
          </w:tcPr>
          <w:p>
            <w:pPr>
              <w:spacing w:line="240" w:lineRule="auto" w:before="40" w:after="40"/>
              <w:jc w:val="left"/>
            </w:pPr>
            <w:r/>
            <w:r>
              <w:rPr>
                <w:b w:val="0"/>
                <w:i w:val="0"/>
                <w:sz w:val="16"/>
              </w:rPr>
              <w:t>Structural steel, fabricated, painted &amp; erected</w:t>
            </w:r>
          </w:p>
        </w:tc>
        <w:tc>
          <w:tcPr>
            <w:tcW w:type="dxa" w:w="864"/>
          </w:tcPr>
          <w:p>
            <w:pPr>
              <w:spacing w:line="240" w:lineRule="auto" w:before="40" w:after="40"/>
              <w:jc w:val="left"/>
            </w:pPr>
            <w:r/>
            <w:r>
              <w:rPr>
                <w:b w:val="0"/>
                <w:i w:val="0"/>
                <w:sz w:val="16"/>
              </w:rPr>
              <w:t>kg</w:t>
            </w:r>
          </w:p>
        </w:tc>
        <w:tc>
          <w:tcPr>
            <w:tcW w:type="dxa" w:w="1584"/>
          </w:tcPr>
          <w:p>
            <w:pPr>
              <w:spacing w:line="240" w:lineRule="auto" w:before="40" w:after="40"/>
              <w:jc w:val="right"/>
            </w:pPr>
            <w:r/>
            <w:r>
              <w:rPr>
                <w:b w:val="0"/>
                <w:i w:val="0"/>
                <w:sz w:val="16"/>
              </w:rPr>
              <w:t>210</w:t>
            </w:r>
          </w:p>
        </w:tc>
      </w:tr>
      <w:tr>
        <w:tc>
          <w:tcPr>
            <w:tcW w:type="dxa" w:w="1296"/>
            <w:shd w:val="clear" w:color="auto" w:fill="EFEFEF"/>
          </w:tcPr>
          <w:p>
            <w:pPr>
              <w:spacing w:line="240" w:lineRule="auto" w:before="40" w:after="40"/>
              <w:jc w:val="left"/>
            </w:pPr>
            <w:r/>
            <w:r>
              <w:rPr>
                <w:b w:val="0"/>
                <w:i w:val="0"/>
                <w:sz w:val="16"/>
              </w:rPr>
              <w:t>412 (1)</w:t>
            </w:r>
          </w:p>
        </w:tc>
        <w:tc>
          <w:tcPr>
            <w:tcW w:type="dxa" w:w="5760"/>
            <w:shd w:val="clear" w:color="auto" w:fill="EFEFEF"/>
          </w:tcPr>
          <w:p>
            <w:pPr>
              <w:spacing w:line="240" w:lineRule="auto" w:before="40" w:after="40"/>
              <w:jc w:val="left"/>
            </w:pPr>
            <w:r/>
            <w:r>
              <w:rPr>
                <w:b w:val="0"/>
                <w:i w:val="0"/>
                <w:sz w:val="16"/>
              </w:rPr>
              <w:t>Elastomeric bearing pads</w:t>
            </w:r>
          </w:p>
        </w:tc>
        <w:tc>
          <w:tcPr>
            <w:tcW w:type="dxa" w:w="864"/>
            <w:shd w:val="clear" w:color="auto" w:fill="EFEFEF"/>
          </w:tcPr>
          <w:p>
            <w:pPr>
              <w:spacing w:line="240" w:lineRule="auto" w:before="40" w:after="40"/>
              <w:jc w:val="left"/>
            </w:pPr>
            <w:r/>
            <w:r>
              <w:rPr>
                <w:b w:val="0"/>
                <w:i w:val="0"/>
                <w:sz w:val="16"/>
              </w:rPr>
              <w:t>pc</w:t>
            </w:r>
          </w:p>
        </w:tc>
        <w:tc>
          <w:tcPr>
            <w:tcW w:type="dxa" w:w="1584"/>
            <w:shd w:val="clear" w:color="auto" w:fill="EFEFEF"/>
          </w:tcPr>
          <w:p>
            <w:pPr>
              <w:spacing w:line="240" w:lineRule="auto" w:before="40" w:after="40"/>
              <w:jc w:val="right"/>
            </w:pPr>
            <w:r/>
            <w:r>
              <w:rPr>
                <w:b w:val="0"/>
                <w:i w:val="0"/>
                <w:sz w:val="16"/>
              </w:rPr>
              <w:t>16,500</w:t>
            </w:r>
          </w:p>
        </w:tc>
      </w:tr>
      <w:tr>
        <w:tc>
          <w:tcPr>
            <w:tcW w:type="dxa" w:w="1296"/>
          </w:tcPr>
          <w:p>
            <w:pPr>
              <w:spacing w:line="240" w:lineRule="auto" w:before="40" w:after="40"/>
              <w:jc w:val="left"/>
            </w:pPr>
            <w:r/>
            <w:r>
              <w:rPr>
                <w:b w:val="0"/>
                <w:i w:val="0"/>
                <w:sz w:val="16"/>
              </w:rPr>
              <w:t>412 (3)</w:t>
            </w:r>
          </w:p>
        </w:tc>
        <w:tc>
          <w:tcPr>
            <w:tcW w:type="dxa" w:w="5760"/>
          </w:tcPr>
          <w:p>
            <w:pPr>
              <w:spacing w:line="240" w:lineRule="auto" w:before="40" w:after="40"/>
              <w:jc w:val="left"/>
            </w:pPr>
            <w:r/>
            <w:r>
              <w:rPr>
                <w:b w:val="0"/>
                <w:i w:val="0"/>
                <w:sz w:val="16"/>
              </w:rPr>
              <w:t>Pot / spherical bearings (steel spans)</w:t>
            </w:r>
          </w:p>
        </w:tc>
        <w:tc>
          <w:tcPr>
            <w:tcW w:type="dxa" w:w="864"/>
          </w:tcPr>
          <w:p>
            <w:pPr>
              <w:spacing w:line="240" w:lineRule="auto" w:before="40" w:after="40"/>
              <w:jc w:val="left"/>
            </w:pPr>
            <w:r/>
            <w:r>
              <w:rPr>
                <w:b w:val="0"/>
                <w:i w:val="0"/>
                <w:sz w:val="16"/>
              </w:rPr>
              <w:t>pc</w:t>
            </w:r>
          </w:p>
        </w:tc>
        <w:tc>
          <w:tcPr>
            <w:tcW w:type="dxa" w:w="1584"/>
          </w:tcPr>
          <w:p>
            <w:pPr>
              <w:spacing w:line="240" w:lineRule="auto" w:before="40" w:after="40"/>
              <w:jc w:val="right"/>
            </w:pPr>
            <w:r/>
            <w:r>
              <w:rPr>
                <w:b w:val="0"/>
                <w:i w:val="0"/>
                <w:sz w:val="16"/>
              </w:rPr>
              <w:t>95,000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Expansion joint, strip-seal type</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26,000</w:t>
            </w:r>
          </w:p>
        </w:tc>
      </w:tr>
      <w:tr>
        <w:tc>
          <w:tcPr>
            <w:tcW w:type="dxa" w:w="1296"/>
          </w:tcPr>
          <w:p>
            <w:pPr>
              <w:spacing w:line="240" w:lineRule="auto" w:before="40" w:after="40"/>
              <w:jc w:val="left"/>
            </w:pPr>
            <w:r/>
            <w:r>
              <w:rPr>
                <w:b w:val="0"/>
                <w:i w:val="0"/>
                <w:sz w:val="16"/>
              </w:rPr>
              <w:t>401 (1)</w:t>
            </w:r>
          </w:p>
        </w:tc>
        <w:tc>
          <w:tcPr>
            <w:tcW w:type="dxa" w:w="5760"/>
          </w:tcPr>
          <w:p>
            <w:pPr>
              <w:spacing w:line="240" w:lineRule="auto" w:before="40" w:after="40"/>
              <w:jc w:val="left"/>
            </w:pPr>
            <w:r/>
            <w:r>
              <w:rPr>
                <w:b w:val="0"/>
                <w:i w:val="0"/>
                <w:sz w:val="16"/>
              </w:rPr>
              <w:t>Steel bridge railing</w:t>
            </w:r>
          </w:p>
        </w:tc>
        <w:tc>
          <w:tcPr>
            <w:tcW w:type="dxa" w:w="864"/>
          </w:tcPr>
          <w:p>
            <w:pPr>
              <w:spacing w:line="240" w:lineRule="auto" w:before="40" w:after="40"/>
              <w:jc w:val="left"/>
            </w:pPr>
            <w:r/>
            <w:r>
              <w:rPr>
                <w:b w:val="0"/>
                <w:i w:val="0"/>
                <w:sz w:val="16"/>
              </w:rPr>
              <w:t>m</w:t>
            </w:r>
          </w:p>
        </w:tc>
        <w:tc>
          <w:tcPr>
            <w:tcW w:type="dxa" w:w="1584"/>
          </w:tcPr>
          <w:p>
            <w:pPr>
              <w:spacing w:line="240" w:lineRule="auto" w:before="40" w:after="40"/>
              <w:jc w:val="right"/>
            </w:pPr>
            <w:r/>
            <w:r>
              <w:rPr>
                <w:b w:val="0"/>
                <w:i w:val="0"/>
                <w:sz w:val="16"/>
              </w:rPr>
              <w:t>6,200</w:t>
            </w:r>
          </w:p>
        </w:tc>
      </w:tr>
      <w:tr>
        <w:tc>
          <w:tcPr>
            <w:tcW w:type="dxa" w:w="1296"/>
            <w:shd w:val="clear" w:color="auto" w:fill="EFEFEF"/>
          </w:tcPr>
          <w:p>
            <w:pPr>
              <w:spacing w:line="240" w:lineRule="auto" w:before="40" w:after="40"/>
              <w:jc w:val="left"/>
            </w:pPr>
            <w:r/>
            <w:r>
              <w:rPr>
                <w:b w:val="0"/>
                <w:i w:val="0"/>
                <w:sz w:val="16"/>
              </w:rPr>
              <w:t>401 (2)</w:t>
            </w:r>
          </w:p>
        </w:tc>
        <w:tc>
          <w:tcPr>
            <w:tcW w:type="dxa" w:w="5760"/>
            <w:shd w:val="clear" w:color="auto" w:fill="EFEFEF"/>
          </w:tcPr>
          <w:p>
            <w:pPr>
              <w:spacing w:line="240" w:lineRule="auto" w:before="40" w:after="40"/>
              <w:jc w:val="left"/>
            </w:pPr>
            <w:r/>
            <w:r>
              <w:rPr>
                <w:b w:val="0"/>
                <w:i w:val="0"/>
                <w:sz w:val="16"/>
              </w:rPr>
              <w:t>Concrete barrier railing</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9,800</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Deck drains / scuppers</w:t>
            </w:r>
          </w:p>
        </w:tc>
        <w:tc>
          <w:tcPr>
            <w:tcW w:type="dxa" w:w="864"/>
          </w:tcPr>
          <w:p>
            <w:pPr>
              <w:spacing w:line="240" w:lineRule="auto" w:before="40" w:after="40"/>
              <w:jc w:val="left"/>
            </w:pPr>
            <w:r/>
            <w:r>
              <w:rPr>
                <w:b w:val="0"/>
                <w:i w:val="0"/>
                <w:sz w:val="16"/>
              </w:rPr>
              <w:t>pc</w:t>
            </w:r>
          </w:p>
        </w:tc>
        <w:tc>
          <w:tcPr>
            <w:tcW w:type="dxa" w:w="1584"/>
          </w:tcPr>
          <w:p>
            <w:pPr>
              <w:spacing w:line="240" w:lineRule="auto" w:before="40" w:after="40"/>
              <w:jc w:val="right"/>
            </w:pPr>
            <w:r/>
            <w:r>
              <w:rPr>
                <w:b w:val="0"/>
                <w:i w:val="0"/>
                <w:sz w:val="16"/>
              </w:rPr>
              <w:t>2,200</w:t>
            </w:r>
          </w:p>
        </w:tc>
      </w:tr>
      <w:tr>
        <w:tc>
          <w:tcPr>
            <w:tcW w:type="dxa" w:w="1296"/>
            <w:shd w:val="clear" w:color="auto" w:fill="EFEFEF"/>
          </w:tcPr>
          <w:p>
            <w:pPr>
              <w:spacing w:line="240" w:lineRule="auto" w:before="40" w:after="40"/>
              <w:jc w:val="left"/>
            </w:pPr>
            <w:r/>
            <w:r>
              <w:rPr>
                <w:b w:val="0"/>
                <w:i w:val="0"/>
                <w:sz w:val="16"/>
              </w:rPr>
              <w:t>505 (2)</w:t>
            </w:r>
          </w:p>
        </w:tc>
        <w:tc>
          <w:tcPr>
            <w:tcW w:type="dxa" w:w="5760"/>
            <w:shd w:val="clear" w:color="auto" w:fill="EFEFEF"/>
          </w:tcPr>
          <w:p>
            <w:pPr>
              <w:spacing w:line="240" w:lineRule="auto" w:before="40" w:after="40"/>
              <w:jc w:val="left"/>
            </w:pPr>
            <w:r/>
            <w:r>
              <w:rPr>
                <w:b w:val="0"/>
                <w:i w:val="0"/>
                <w:sz w:val="16"/>
              </w:rPr>
              <w:t>Grouted riprap, Class A (slope protection)</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3,100</w:t>
            </w:r>
          </w:p>
        </w:tc>
      </w:tr>
      <w:tr>
        <w:tc>
          <w:tcPr>
            <w:tcW w:type="dxa" w:w="1296"/>
          </w:tcPr>
          <w:p>
            <w:pPr>
              <w:spacing w:line="240" w:lineRule="auto" w:before="40" w:after="40"/>
              <w:jc w:val="left"/>
            </w:pPr>
            <w:r/>
            <w:r>
              <w:rPr>
                <w:b w:val="0"/>
                <w:i w:val="0"/>
                <w:sz w:val="16"/>
              </w:rPr>
              <w:t>310</w:t>
            </w:r>
          </w:p>
        </w:tc>
        <w:tc>
          <w:tcPr>
            <w:tcW w:type="dxa" w:w="5760"/>
          </w:tcPr>
          <w:p>
            <w:pPr>
              <w:spacing w:line="240" w:lineRule="auto" w:before="40" w:after="40"/>
              <w:jc w:val="left"/>
            </w:pPr>
            <w:r/>
            <w:r>
              <w:rPr>
                <w:b w:val="0"/>
                <w:i w:val="0"/>
                <w:sz w:val="16"/>
              </w:rPr>
              <w:t>Asphalt wearing course 50 mm</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640</w:t>
            </w:r>
          </w:p>
        </w:tc>
      </w:tr>
      <w:tr>
        <w:tc>
          <w:tcPr>
            <w:tcW w:type="dxa" w:w="1296"/>
            <w:shd w:val="clear" w:color="auto" w:fill="EFEFEF"/>
            <w:tcBorders>
              <w:bottom w:val="single" w:sz="12" w:color="000000"/>
            </w:tcBorders>
          </w:tcPr>
          <w:p>
            <w:pPr>
              <w:spacing w:line="240" w:lineRule="auto" w:before="40" w:after="40"/>
              <w:jc w:val="left"/>
            </w:pPr>
            <w:r/>
            <w:r>
              <w:rPr>
                <w:b w:val="0"/>
                <w:i w:val="0"/>
                <w:sz w:val="16"/>
              </w:rPr>
              <w:t>311 + 201</w:t>
            </w:r>
          </w:p>
        </w:tc>
        <w:tc>
          <w:tcPr>
            <w:tcW w:type="dxa" w:w="5760"/>
            <w:shd w:val="clear" w:color="auto" w:fill="EFEFEF"/>
            <w:tcBorders>
              <w:bottom w:val="single" w:sz="12" w:color="000000"/>
            </w:tcBorders>
          </w:tcPr>
          <w:p>
            <w:pPr>
              <w:spacing w:line="240" w:lineRule="auto" w:before="40" w:after="40"/>
              <w:jc w:val="left"/>
            </w:pPr>
            <w:r/>
            <w:r>
              <w:rPr>
                <w:b w:val="0"/>
                <w:i w:val="0"/>
                <w:sz w:val="16"/>
              </w:rPr>
              <w:t>PCCP 230 mm on aggregate base (approaches)</w:t>
            </w:r>
          </w:p>
        </w:tc>
        <w:tc>
          <w:tcPr>
            <w:tcW w:type="dxa" w:w="864"/>
            <w:shd w:val="clear" w:color="auto" w:fill="EFEFEF"/>
            <w:tcBorders>
              <w:bottom w:val="single" w:sz="12" w:color="000000"/>
            </w:tcBorders>
          </w:tcPr>
          <w:p>
            <w:pPr>
              <w:spacing w:line="240" w:lineRule="auto" w:before="40" w:after="40"/>
              <w:jc w:val="left"/>
            </w:pPr>
            <w:r/>
            <w:r>
              <w:rPr>
                <w:b w:val="0"/>
                <w:i w:val="0"/>
                <w:sz w:val="16"/>
              </w:rPr>
              <w:t>m²</w:t>
            </w:r>
          </w:p>
        </w:tc>
        <w:tc>
          <w:tcPr>
            <w:tcW w:type="dxa" w:w="1584"/>
            <w:shd w:val="clear" w:color="auto" w:fill="EFEFEF"/>
            <w:tcBorders>
              <w:bottom w:val="single" w:sz="12" w:color="000000"/>
            </w:tcBorders>
          </w:tcPr>
          <w:p>
            <w:pPr>
              <w:spacing w:line="240" w:lineRule="auto" w:before="40" w:after="40"/>
              <w:jc w:val="right"/>
            </w:pPr>
            <w:r/>
            <w:r>
              <w:rPr>
                <w:b w:val="0"/>
                <w:i w:val="0"/>
                <w:sz w:val="16"/>
              </w:rPr>
              <w:t>3,650</w:t>
            </w:r>
          </w:p>
        </w:tc>
      </w:tr>
    </w:tbl>
    <w:p>
      <w:r>
        <w:br w:type="page"/>
      </w:r>
    </w:p>
    <w:p>
      <w:pPr>
        <w:spacing w:line="360" w:lineRule="auto" w:after="0"/>
        <w:jc w:val="center"/>
      </w:pPr>
      <w:r>
        <w:rPr>
          <w:b/>
          <w:i w:val="0"/>
        </w:rPr>
        <w:t>Appendix C. Bill of Quantities of a 2-Storey 4-Classroom School Building (Standard Tier, Albay, 2025)</w:t>
      </w:r>
    </w:p>
    <w:tbl>
      <w:tblPr>
        <w:tblW w:type="auto" w:w="0"/>
        <w:jc w:val="center"/>
        <w:tblLayout w:type="fixed"/>
        <w:tblLook w:firstColumn="1" w:firstRow="1" w:lastColumn="0" w:lastRow="0" w:noHBand="0" w:noVBand="1" w:val="04A0"/>
        <w:tblLayout w:type="fixed"/>
      </w:tblPr>
      <w:tblGrid>
        <w:gridCol w:w="1080"/>
        <w:gridCol w:w="4104"/>
        <w:gridCol w:w="1007"/>
        <w:gridCol w:w="648"/>
        <w:gridCol w:w="1152"/>
        <w:gridCol w:w="1440"/>
      </w:tblGrid>
      <w:tr>
        <w:tc>
          <w:tcPr>
            <w:tcW w:type="dxa" w:w="1080"/>
            <w:tcBorders>
              <w:top w:val="single" w:sz="12" w:color="000000"/>
              <w:bottom w:val="single" w:sz="8" w:color="000000"/>
            </w:tcBorders>
          </w:tcPr>
          <w:p>
            <w:pPr>
              <w:spacing w:line="240" w:lineRule="auto" w:before="40" w:after="40"/>
              <w:jc w:val="center"/>
            </w:pPr>
            <w:r/>
            <w:r>
              <w:rPr>
                <w:b/>
                <w:i w:val="0"/>
                <w:sz w:val="15"/>
              </w:rPr>
              <w:t>ITEM</w:t>
            </w:r>
          </w:p>
        </w:tc>
        <w:tc>
          <w:tcPr>
            <w:tcW w:type="dxa" w:w="4104"/>
            <w:tcBorders>
              <w:top w:val="single" w:sz="12" w:color="000000"/>
              <w:bottom w:val="single" w:sz="8" w:color="000000"/>
            </w:tcBorders>
          </w:tcPr>
          <w:p>
            <w:pPr>
              <w:spacing w:line="240" w:lineRule="auto" w:before="40" w:after="40"/>
              <w:jc w:val="center"/>
            </w:pPr>
            <w:r/>
            <w:r>
              <w:rPr>
                <w:b/>
                <w:i w:val="0"/>
                <w:sz w:val="15"/>
              </w:rPr>
              <w:t>DESCRIPTION</w:t>
            </w:r>
          </w:p>
        </w:tc>
        <w:tc>
          <w:tcPr>
            <w:tcW w:type="dxa" w:w="1008"/>
            <w:tcBorders>
              <w:top w:val="single" w:sz="12" w:color="000000"/>
              <w:bottom w:val="single" w:sz="8" w:color="000000"/>
            </w:tcBorders>
          </w:tcPr>
          <w:p>
            <w:pPr>
              <w:spacing w:line="240" w:lineRule="auto" w:before="40" w:after="40"/>
              <w:jc w:val="center"/>
            </w:pPr>
            <w:r/>
            <w:r>
              <w:rPr>
                <w:b/>
                <w:i w:val="0"/>
                <w:sz w:val="15"/>
              </w:rPr>
              <w:t>QTY</w:t>
            </w:r>
          </w:p>
        </w:tc>
        <w:tc>
          <w:tcPr>
            <w:tcW w:type="dxa" w:w="648"/>
            <w:tcBorders>
              <w:top w:val="single" w:sz="12" w:color="000000"/>
              <w:bottom w:val="single" w:sz="8" w:color="000000"/>
            </w:tcBorders>
          </w:tcPr>
          <w:p>
            <w:pPr>
              <w:spacing w:line="240" w:lineRule="auto" w:before="40" w:after="40"/>
              <w:jc w:val="center"/>
            </w:pPr>
            <w:r/>
            <w:r>
              <w:rPr>
                <w:b/>
                <w:i w:val="0"/>
                <w:sz w:val="15"/>
              </w:rPr>
              <w:t>UNIT</w:t>
            </w:r>
          </w:p>
        </w:tc>
        <w:tc>
          <w:tcPr>
            <w:tcW w:type="dxa" w:w="1152"/>
            <w:tcBorders>
              <w:top w:val="single" w:sz="12" w:color="000000"/>
              <w:bottom w:val="single" w:sz="8" w:color="000000"/>
            </w:tcBorders>
          </w:tcPr>
          <w:p>
            <w:pPr>
              <w:spacing w:line="240" w:lineRule="auto" w:before="40" w:after="40"/>
              <w:jc w:val="center"/>
            </w:pPr>
            <w:r/>
            <w:r>
              <w:rPr>
                <w:b/>
                <w:i w:val="0"/>
                <w:sz w:val="15"/>
              </w:rPr>
              <w:t>UNIT COST</w:t>
            </w:r>
          </w:p>
        </w:tc>
        <w:tc>
          <w:tcPr>
            <w:tcW w:type="dxa" w:w="1440"/>
            <w:tcBorders>
              <w:top w:val="single" w:sz="12" w:color="000000"/>
              <w:bottom w:val="single" w:sz="8" w:color="000000"/>
            </w:tcBorders>
          </w:tcPr>
          <w:p>
            <w:pPr>
              <w:spacing w:line="240" w:lineRule="auto" w:before="40" w:after="40"/>
              <w:jc w:val="center"/>
            </w:pPr>
            <w:r/>
            <w:r>
              <w:rPr>
                <w:b/>
                <w:i w:val="0"/>
                <w:sz w:val="15"/>
              </w:rPr>
              <w:t>AMOUNT (₱)</w:t>
            </w:r>
          </w:p>
        </w:tc>
      </w:tr>
      <w:tr>
        <w:tc>
          <w:tcPr>
            <w:tcW w:type="dxa" w:w="1080"/>
            <w:shd w:val="clear" w:color="auto" w:fill="EFEFEF"/>
          </w:tcPr>
          <w:p>
            <w:pPr>
              <w:spacing w:line="240" w:lineRule="auto" w:before="40" w:after="40"/>
              <w:jc w:val="left"/>
            </w:pPr>
            <w:r/>
            <w:r>
              <w:rPr>
                <w:b w:val="0"/>
                <w:i w:val="0"/>
                <w:sz w:val="15"/>
              </w:rPr>
              <w:t>800 (3)</w:t>
            </w:r>
          </w:p>
        </w:tc>
        <w:tc>
          <w:tcPr>
            <w:tcW w:type="dxa" w:w="4104"/>
            <w:shd w:val="clear" w:color="auto" w:fill="EFEFEF"/>
          </w:tcPr>
          <w:p>
            <w:pPr>
              <w:spacing w:line="240" w:lineRule="auto" w:before="40" w:after="40"/>
              <w:jc w:val="left"/>
            </w:pPr>
            <w:r/>
            <w:r>
              <w:rPr>
                <w:b w:val="0"/>
                <w:i w:val="0"/>
                <w:sz w:val="15"/>
              </w:rPr>
              <w:t>Clearing and grubbing</w:t>
            </w:r>
          </w:p>
        </w:tc>
        <w:tc>
          <w:tcPr>
            <w:tcW w:type="dxa" w:w="1008"/>
            <w:shd w:val="clear" w:color="auto" w:fill="EFEFEF"/>
          </w:tcPr>
          <w:p>
            <w:pPr>
              <w:spacing w:line="240" w:lineRule="auto" w:before="40" w:after="40"/>
              <w:jc w:val="right"/>
            </w:pPr>
            <w:r/>
            <w:r>
              <w:rPr>
                <w:b w:val="0"/>
                <w:i w:val="0"/>
                <w:sz w:val="15"/>
              </w:rPr>
              <w:t>273.60</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45.00</w:t>
            </w:r>
          </w:p>
        </w:tc>
        <w:tc>
          <w:tcPr>
            <w:tcW w:type="dxa" w:w="1440"/>
            <w:shd w:val="clear" w:color="auto" w:fill="EFEFEF"/>
          </w:tcPr>
          <w:p>
            <w:pPr>
              <w:spacing w:line="240" w:lineRule="auto" w:before="40" w:after="40"/>
              <w:jc w:val="right"/>
            </w:pPr>
            <w:r/>
            <w:r>
              <w:rPr>
                <w:b w:val="0"/>
                <w:i w:val="0"/>
                <w:sz w:val="15"/>
              </w:rPr>
              <w:t>12,312.00</w:t>
            </w:r>
          </w:p>
        </w:tc>
      </w:tr>
      <w:tr>
        <w:tc>
          <w:tcPr>
            <w:tcW w:type="dxa" w:w="1080"/>
          </w:tcPr>
          <w:p>
            <w:pPr>
              <w:spacing w:line="240" w:lineRule="auto" w:before="40" w:after="40"/>
              <w:jc w:val="left"/>
            </w:pPr>
            <w:r/>
            <w:r>
              <w:rPr>
                <w:b w:val="0"/>
                <w:i w:val="0"/>
                <w:sz w:val="15"/>
              </w:rPr>
              <w:t>803 (1)a</w:t>
            </w:r>
          </w:p>
        </w:tc>
        <w:tc>
          <w:tcPr>
            <w:tcW w:type="dxa" w:w="4104"/>
          </w:tcPr>
          <w:p>
            <w:pPr>
              <w:spacing w:line="240" w:lineRule="auto" w:before="40" w:after="40"/>
              <w:jc w:val="left"/>
            </w:pPr>
            <w:r/>
            <w:r>
              <w:rPr>
                <w:b w:val="0"/>
                <w:i w:val="0"/>
                <w:sz w:val="15"/>
              </w:rPr>
              <w:t>Structure excavation, common soil</w:t>
            </w:r>
          </w:p>
        </w:tc>
        <w:tc>
          <w:tcPr>
            <w:tcW w:type="dxa" w:w="1008"/>
          </w:tcPr>
          <w:p>
            <w:pPr>
              <w:spacing w:line="240" w:lineRule="auto" w:before="40" w:after="40"/>
              <w:jc w:val="right"/>
            </w:pPr>
            <w:r/>
            <w:r>
              <w:rPr>
                <w:b w:val="0"/>
                <w:i w:val="0"/>
                <w:sz w:val="15"/>
              </w:rPr>
              <w:t>179.28</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380.00</w:t>
            </w:r>
          </w:p>
        </w:tc>
        <w:tc>
          <w:tcPr>
            <w:tcW w:type="dxa" w:w="1440"/>
          </w:tcPr>
          <w:p>
            <w:pPr>
              <w:spacing w:line="240" w:lineRule="auto" w:before="40" w:after="40"/>
              <w:jc w:val="right"/>
            </w:pPr>
            <w:r/>
            <w:r>
              <w:rPr>
                <w:b w:val="0"/>
                <w:i w:val="0"/>
                <w:sz w:val="15"/>
              </w:rPr>
              <w:t>68,126.40</w:t>
            </w:r>
          </w:p>
        </w:tc>
      </w:tr>
      <w:tr>
        <w:tc>
          <w:tcPr>
            <w:tcW w:type="dxa" w:w="1080"/>
            <w:shd w:val="clear" w:color="auto" w:fill="EFEFEF"/>
          </w:tcPr>
          <w:p>
            <w:pPr>
              <w:spacing w:line="240" w:lineRule="auto" w:before="40" w:after="40"/>
              <w:jc w:val="left"/>
            </w:pPr>
            <w:r/>
            <w:r>
              <w:rPr>
                <w:b w:val="0"/>
                <w:i w:val="0"/>
                <w:sz w:val="15"/>
              </w:rPr>
              <w:t>804 (1)a</w:t>
            </w:r>
          </w:p>
        </w:tc>
        <w:tc>
          <w:tcPr>
            <w:tcW w:type="dxa" w:w="4104"/>
            <w:shd w:val="clear" w:color="auto" w:fill="EFEFEF"/>
          </w:tcPr>
          <w:p>
            <w:pPr>
              <w:spacing w:line="240" w:lineRule="auto" w:before="40" w:after="40"/>
              <w:jc w:val="left"/>
            </w:pPr>
            <w:r/>
            <w:r>
              <w:rPr>
                <w:b w:val="0"/>
                <w:i w:val="0"/>
                <w:sz w:val="15"/>
              </w:rPr>
              <w:t>Backfill from structure excavation, compacted</w:t>
            </w:r>
          </w:p>
        </w:tc>
        <w:tc>
          <w:tcPr>
            <w:tcW w:type="dxa" w:w="1008"/>
            <w:shd w:val="clear" w:color="auto" w:fill="EFEFEF"/>
          </w:tcPr>
          <w:p>
            <w:pPr>
              <w:spacing w:line="240" w:lineRule="auto" w:before="40" w:after="40"/>
              <w:jc w:val="right"/>
            </w:pPr>
            <w:r/>
            <w:r>
              <w:rPr>
                <w:b w:val="0"/>
                <w:i w:val="0"/>
                <w:sz w:val="15"/>
              </w:rPr>
              <w:t>155.11</w:t>
            </w:r>
          </w:p>
        </w:tc>
        <w:tc>
          <w:tcPr>
            <w:tcW w:type="dxa" w:w="648"/>
            <w:shd w:val="clear" w:color="auto" w:fill="EFEFEF"/>
          </w:tcPr>
          <w:p>
            <w:pPr>
              <w:spacing w:line="240" w:lineRule="auto" w:before="40" w:after="40"/>
              <w:jc w:val="left"/>
            </w:pPr>
            <w:r/>
            <w:r>
              <w:rPr>
                <w:b w:val="0"/>
                <w:i w:val="0"/>
                <w:sz w:val="15"/>
              </w:rPr>
              <w:t>m³</w:t>
            </w:r>
          </w:p>
        </w:tc>
        <w:tc>
          <w:tcPr>
            <w:tcW w:type="dxa" w:w="1152"/>
            <w:shd w:val="clear" w:color="auto" w:fill="EFEFEF"/>
          </w:tcPr>
          <w:p>
            <w:pPr>
              <w:spacing w:line="240" w:lineRule="auto" w:before="40" w:after="40"/>
              <w:jc w:val="right"/>
            </w:pPr>
            <w:r/>
            <w:r>
              <w:rPr>
                <w:b w:val="0"/>
                <w:i w:val="0"/>
                <w:sz w:val="15"/>
              </w:rPr>
              <w:t>260.00</w:t>
            </w:r>
          </w:p>
        </w:tc>
        <w:tc>
          <w:tcPr>
            <w:tcW w:type="dxa" w:w="1440"/>
            <w:shd w:val="clear" w:color="auto" w:fill="EFEFEF"/>
          </w:tcPr>
          <w:p>
            <w:pPr>
              <w:spacing w:line="240" w:lineRule="auto" w:before="40" w:after="40"/>
              <w:jc w:val="right"/>
            </w:pPr>
            <w:r/>
            <w:r>
              <w:rPr>
                <w:b w:val="0"/>
                <w:i w:val="0"/>
                <w:sz w:val="15"/>
              </w:rPr>
              <w:t>40,329.90</w:t>
            </w:r>
          </w:p>
        </w:tc>
      </w:tr>
      <w:tr>
        <w:tc>
          <w:tcPr>
            <w:tcW w:type="dxa" w:w="1080"/>
          </w:tcPr>
          <w:p>
            <w:pPr>
              <w:spacing w:line="240" w:lineRule="auto" w:before="40" w:after="40"/>
              <w:jc w:val="left"/>
            </w:pPr>
            <w:r/>
            <w:r>
              <w:rPr>
                <w:b w:val="0"/>
                <w:i w:val="0"/>
                <w:sz w:val="15"/>
              </w:rPr>
              <w:t>804 (4)</w:t>
            </w:r>
          </w:p>
        </w:tc>
        <w:tc>
          <w:tcPr>
            <w:tcW w:type="dxa" w:w="4104"/>
          </w:tcPr>
          <w:p>
            <w:pPr>
              <w:spacing w:line="240" w:lineRule="auto" w:before="40" w:after="40"/>
              <w:jc w:val="left"/>
            </w:pPr>
            <w:r/>
            <w:r>
              <w:rPr>
                <w:b w:val="0"/>
                <w:i w:val="0"/>
                <w:sz w:val="15"/>
              </w:rPr>
              <w:t>Gravel fill / bedding, compacted</w:t>
            </w:r>
          </w:p>
        </w:tc>
        <w:tc>
          <w:tcPr>
            <w:tcW w:type="dxa" w:w="1008"/>
          </w:tcPr>
          <w:p>
            <w:pPr>
              <w:spacing w:line="240" w:lineRule="auto" w:before="40" w:after="40"/>
              <w:jc w:val="right"/>
            </w:pPr>
            <w:r/>
            <w:r>
              <w:rPr>
                <w:b w:val="0"/>
                <w:i w:val="0"/>
                <w:sz w:val="15"/>
              </w:rPr>
              <w:t>21.96</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1,550.00</w:t>
            </w:r>
          </w:p>
        </w:tc>
        <w:tc>
          <w:tcPr>
            <w:tcW w:type="dxa" w:w="1440"/>
          </w:tcPr>
          <w:p>
            <w:pPr>
              <w:spacing w:line="240" w:lineRule="auto" w:before="40" w:after="40"/>
              <w:jc w:val="right"/>
            </w:pPr>
            <w:r/>
            <w:r>
              <w:rPr>
                <w:b w:val="0"/>
                <w:i w:val="0"/>
                <w:sz w:val="15"/>
              </w:rPr>
              <w:t>34,038.00</w:t>
            </w:r>
          </w:p>
        </w:tc>
      </w:tr>
      <w:tr>
        <w:tc>
          <w:tcPr>
            <w:tcW w:type="dxa" w:w="1080"/>
            <w:shd w:val="clear" w:color="auto" w:fill="EFEFEF"/>
          </w:tcPr>
          <w:p>
            <w:pPr>
              <w:spacing w:line="240" w:lineRule="auto" w:before="40" w:after="40"/>
              <w:jc w:val="left"/>
            </w:pPr>
            <w:r/>
            <w:r>
              <w:rPr>
                <w:b w:val="0"/>
                <w:i w:val="0"/>
                <w:sz w:val="15"/>
              </w:rPr>
              <w:t>1000 (1)</w:t>
            </w:r>
          </w:p>
        </w:tc>
        <w:tc>
          <w:tcPr>
            <w:tcW w:type="dxa" w:w="4104"/>
            <w:shd w:val="clear" w:color="auto" w:fill="EFEFEF"/>
          </w:tcPr>
          <w:p>
            <w:pPr>
              <w:spacing w:line="240" w:lineRule="auto" w:before="40" w:after="40"/>
              <w:jc w:val="left"/>
            </w:pPr>
            <w:r/>
            <w:r>
              <w:rPr>
                <w:b w:val="0"/>
                <w:i w:val="0"/>
                <w:sz w:val="15"/>
              </w:rPr>
              <w:t>Soil poisoning (termite control)</w:t>
            </w:r>
          </w:p>
        </w:tc>
        <w:tc>
          <w:tcPr>
            <w:tcW w:type="dxa" w:w="1008"/>
            <w:shd w:val="clear" w:color="auto" w:fill="EFEFEF"/>
          </w:tcPr>
          <w:p>
            <w:pPr>
              <w:spacing w:line="240" w:lineRule="auto" w:before="40" w:after="40"/>
              <w:jc w:val="right"/>
            </w:pPr>
            <w:r/>
            <w:r>
              <w:rPr>
                <w:b w:val="0"/>
                <w:i w:val="0"/>
                <w:sz w:val="15"/>
              </w:rPr>
              <w:t>171.00</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65.00</w:t>
            </w:r>
          </w:p>
        </w:tc>
        <w:tc>
          <w:tcPr>
            <w:tcW w:type="dxa" w:w="1440"/>
            <w:shd w:val="clear" w:color="auto" w:fill="EFEFEF"/>
          </w:tcPr>
          <w:p>
            <w:pPr>
              <w:spacing w:line="240" w:lineRule="auto" w:before="40" w:after="40"/>
              <w:jc w:val="right"/>
            </w:pPr>
            <w:r/>
            <w:r>
              <w:rPr>
                <w:b w:val="0"/>
                <w:i w:val="0"/>
                <w:sz w:val="15"/>
              </w:rPr>
              <w:t>11,115.00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Perimeter drainage canal with grating</w:t>
            </w:r>
          </w:p>
        </w:tc>
        <w:tc>
          <w:tcPr>
            <w:tcW w:type="dxa" w:w="1008"/>
          </w:tcPr>
          <w:p>
            <w:pPr>
              <w:spacing w:line="240" w:lineRule="auto" w:before="40" w:after="40"/>
              <w:jc w:val="right"/>
            </w:pPr>
            <w:r/>
            <w:r>
              <w:rPr>
                <w:b w:val="0"/>
                <w:i w:val="0"/>
                <w:sz w:val="15"/>
              </w:rPr>
              <w:t>63.00</w:t>
            </w:r>
          </w:p>
        </w:tc>
        <w:tc>
          <w:tcPr>
            <w:tcW w:type="dxa" w:w="648"/>
          </w:tcPr>
          <w:p>
            <w:pPr>
              <w:spacing w:line="240" w:lineRule="auto" w:before="40" w:after="40"/>
              <w:jc w:val="left"/>
            </w:pPr>
            <w:r/>
            <w:r>
              <w:rPr>
                <w:b w:val="0"/>
                <w:i w:val="0"/>
                <w:sz w:val="15"/>
              </w:rPr>
              <w:t>m</w:t>
            </w:r>
          </w:p>
        </w:tc>
        <w:tc>
          <w:tcPr>
            <w:tcW w:type="dxa" w:w="1152"/>
          </w:tcPr>
          <w:p>
            <w:pPr>
              <w:spacing w:line="240" w:lineRule="auto" w:before="40" w:after="40"/>
              <w:jc w:val="right"/>
            </w:pPr>
            <w:r/>
            <w:r>
              <w:rPr>
                <w:b w:val="0"/>
                <w:i w:val="0"/>
                <w:sz w:val="15"/>
              </w:rPr>
              <w:t>1,450.00</w:t>
            </w:r>
          </w:p>
        </w:tc>
        <w:tc>
          <w:tcPr>
            <w:tcW w:type="dxa" w:w="1440"/>
          </w:tcPr>
          <w:p>
            <w:pPr>
              <w:spacing w:line="240" w:lineRule="auto" w:before="40" w:after="40"/>
              <w:jc w:val="right"/>
            </w:pPr>
            <w:r/>
            <w:r>
              <w:rPr>
                <w:b w:val="0"/>
                <w:i w:val="0"/>
                <w:sz w:val="15"/>
              </w:rPr>
              <w:t>91,350.00</w:t>
            </w:r>
          </w:p>
        </w:tc>
      </w:tr>
      <w:tr>
        <w:tc>
          <w:tcPr>
            <w:tcW w:type="dxa" w:w="1080"/>
            <w:shd w:val="clear" w:color="auto" w:fill="EFEFEF"/>
          </w:tcPr>
          <w:p>
            <w:pPr>
              <w:spacing w:line="240" w:lineRule="auto" w:before="40" w:after="40"/>
              <w:jc w:val="left"/>
            </w:pPr>
            <w:r/>
            <w:r>
              <w:rPr>
                <w:b w:val="0"/>
                <w:i w:val="0"/>
                <w:sz w:val="15"/>
              </w:rPr>
              <w:t>900 (1)c</w:t>
            </w:r>
          </w:p>
        </w:tc>
        <w:tc>
          <w:tcPr>
            <w:tcW w:type="dxa" w:w="4104"/>
            <w:shd w:val="clear" w:color="auto" w:fill="EFEFEF"/>
          </w:tcPr>
          <w:p>
            <w:pPr>
              <w:spacing w:line="240" w:lineRule="auto" w:before="40" w:after="40"/>
              <w:jc w:val="left"/>
            </w:pPr>
            <w:r/>
            <w:r>
              <w:rPr>
                <w:b w:val="0"/>
                <w:i w:val="0"/>
                <w:sz w:val="15"/>
              </w:rPr>
              <w:t>Structural concrete fc′ 20.7 MPa — footings (15 @ 1.6 × 1.6 × 0.45 m)</w:t>
            </w:r>
          </w:p>
        </w:tc>
        <w:tc>
          <w:tcPr>
            <w:tcW w:type="dxa" w:w="1008"/>
            <w:shd w:val="clear" w:color="auto" w:fill="EFEFEF"/>
          </w:tcPr>
          <w:p>
            <w:pPr>
              <w:spacing w:line="240" w:lineRule="auto" w:before="40" w:after="40"/>
              <w:jc w:val="right"/>
            </w:pPr>
            <w:r/>
            <w:r>
              <w:rPr>
                <w:b w:val="0"/>
                <w:i w:val="0"/>
                <w:sz w:val="15"/>
              </w:rPr>
              <w:t>17.28</w:t>
            </w:r>
          </w:p>
        </w:tc>
        <w:tc>
          <w:tcPr>
            <w:tcW w:type="dxa" w:w="648"/>
            <w:shd w:val="clear" w:color="auto" w:fill="EFEFEF"/>
          </w:tcPr>
          <w:p>
            <w:pPr>
              <w:spacing w:line="240" w:lineRule="auto" w:before="40" w:after="40"/>
              <w:jc w:val="left"/>
            </w:pPr>
            <w:r/>
            <w:r>
              <w:rPr>
                <w:b w:val="0"/>
                <w:i w:val="0"/>
                <w:sz w:val="15"/>
              </w:rPr>
              <w:t>m³</w:t>
            </w:r>
          </w:p>
        </w:tc>
        <w:tc>
          <w:tcPr>
            <w:tcW w:type="dxa" w:w="1152"/>
            <w:shd w:val="clear" w:color="auto" w:fill="EFEFEF"/>
          </w:tcPr>
          <w:p>
            <w:pPr>
              <w:spacing w:line="240" w:lineRule="auto" w:before="40" w:after="40"/>
              <w:jc w:val="right"/>
            </w:pPr>
            <w:r/>
            <w:r>
              <w:rPr>
                <w:b w:val="0"/>
                <w:i w:val="0"/>
                <w:sz w:val="15"/>
              </w:rPr>
              <w:t>7,900.00</w:t>
            </w:r>
          </w:p>
        </w:tc>
        <w:tc>
          <w:tcPr>
            <w:tcW w:type="dxa" w:w="1440"/>
            <w:shd w:val="clear" w:color="auto" w:fill="EFEFEF"/>
          </w:tcPr>
          <w:p>
            <w:pPr>
              <w:spacing w:line="240" w:lineRule="auto" w:before="40" w:after="40"/>
              <w:jc w:val="right"/>
            </w:pPr>
            <w:r/>
            <w:r>
              <w:rPr>
                <w:b w:val="0"/>
                <w:i w:val="0"/>
                <w:sz w:val="15"/>
              </w:rPr>
              <w:t>136,512.00</w:t>
            </w:r>
          </w:p>
        </w:tc>
      </w:tr>
      <w:tr>
        <w:tc>
          <w:tcPr>
            <w:tcW w:type="dxa" w:w="1080"/>
          </w:tcPr>
          <w:p>
            <w:pPr>
              <w:spacing w:line="240" w:lineRule="auto" w:before="40" w:after="40"/>
              <w:jc w:val="left"/>
            </w:pPr>
            <w:r/>
            <w:r>
              <w:rPr>
                <w:b w:val="0"/>
                <w:i w:val="0"/>
                <w:sz w:val="15"/>
              </w:rPr>
              <w:t>900 (1)c</w:t>
            </w:r>
          </w:p>
        </w:tc>
        <w:tc>
          <w:tcPr>
            <w:tcW w:type="dxa" w:w="4104"/>
          </w:tcPr>
          <w:p>
            <w:pPr>
              <w:spacing w:line="240" w:lineRule="auto" w:before="40" w:after="40"/>
              <w:jc w:val="left"/>
            </w:pPr>
            <w:r/>
            <w:r>
              <w:rPr>
                <w:b w:val="0"/>
                <w:i w:val="0"/>
                <w:sz w:val="15"/>
              </w:rPr>
              <w:t>Structural concrete fc′ 20.7 MPa — columns 300 × 300 mm &amp; pedestals</w:t>
            </w:r>
          </w:p>
        </w:tc>
        <w:tc>
          <w:tcPr>
            <w:tcW w:type="dxa" w:w="1008"/>
          </w:tcPr>
          <w:p>
            <w:pPr>
              <w:spacing w:line="240" w:lineRule="auto" w:before="40" w:after="40"/>
              <w:jc w:val="right"/>
            </w:pPr>
            <w:r/>
            <w:r>
              <w:rPr>
                <w:b w:val="0"/>
                <w:i w:val="0"/>
                <w:sz w:val="15"/>
              </w:rPr>
              <w:t>10.67</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7,900.00</w:t>
            </w:r>
          </w:p>
        </w:tc>
        <w:tc>
          <w:tcPr>
            <w:tcW w:type="dxa" w:w="1440"/>
          </w:tcPr>
          <w:p>
            <w:pPr>
              <w:spacing w:line="240" w:lineRule="auto" w:before="40" w:after="40"/>
              <w:jc w:val="right"/>
            </w:pPr>
            <w:r/>
            <w:r>
              <w:rPr>
                <w:b w:val="0"/>
                <w:i w:val="0"/>
                <w:sz w:val="15"/>
              </w:rPr>
              <w:t>84,253.50</w:t>
            </w:r>
          </w:p>
        </w:tc>
      </w:tr>
      <w:tr>
        <w:tc>
          <w:tcPr>
            <w:tcW w:type="dxa" w:w="1080"/>
            <w:shd w:val="clear" w:color="auto" w:fill="EFEFEF"/>
          </w:tcPr>
          <w:p>
            <w:pPr>
              <w:spacing w:line="240" w:lineRule="auto" w:before="40" w:after="40"/>
              <w:jc w:val="left"/>
            </w:pPr>
            <w:r/>
            <w:r>
              <w:rPr>
                <w:b w:val="0"/>
                <w:i w:val="0"/>
                <w:sz w:val="15"/>
              </w:rPr>
              <w:t>900 (1)c</w:t>
            </w:r>
          </w:p>
        </w:tc>
        <w:tc>
          <w:tcPr>
            <w:tcW w:type="dxa" w:w="4104"/>
            <w:shd w:val="clear" w:color="auto" w:fill="EFEFEF"/>
          </w:tcPr>
          <w:p>
            <w:pPr>
              <w:spacing w:line="240" w:lineRule="auto" w:before="40" w:after="40"/>
              <w:jc w:val="left"/>
            </w:pPr>
            <w:r/>
            <w:r>
              <w:rPr>
                <w:b w:val="0"/>
                <w:i w:val="0"/>
                <w:sz w:val="15"/>
              </w:rPr>
              <w:t>Structural concrete fc′ 20.7 MPa — beams 250 × 400 mm &amp; tie beams</w:t>
            </w:r>
          </w:p>
        </w:tc>
        <w:tc>
          <w:tcPr>
            <w:tcW w:type="dxa" w:w="1008"/>
            <w:shd w:val="clear" w:color="auto" w:fill="EFEFEF"/>
          </w:tcPr>
          <w:p>
            <w:pPr>
              <w:spacing w:line="240" w:lineRule="auto" w:before="40" w:after="40"/>
              <w:jc w:val="right"/>
            </w:pPr>
            <w:r/>
            <w:r>
              <w:rPr>
                <w:b w:val="0"/>
                <w:i w:val="0"/>
                <w:sz w:val="15"/>
              </w:rPr>
              <w:t>27.28</w:t>
            </w:r>
          </w:p>
        </w:tc>
        <w:tc>
          <w:tcPr>
            <w:tcW w:type="dxa" w:w="648"/>
            <w:shd w:val="clear" w:color="auto" w:fill="EFEFEF"/>
          </w:tcPr>
          <w:p>
            <w:pPr>
              <w:spacing w:line="240" w:lineRule="auto" w:before="40" w:after="40"/>
              <w:jc w:val="left"/>
            </w:pPr>
            <w:r/>
            <w:r>
              <w:rPr>
                <w:b w:val="0"/>
                <w:i w:val="0"/>
                <w:sz w:val="15"/>
              </w:rPr>
              <w:t>m³</w:t>
            </w:r>
          </w:p>
        </w:tc>
        <w:tc>
          <w:tcPr>
            <w:tcW w:type="dxa" w:w="1152"/>
            <w:shd w:val="clear" w:color="auto" w:fill="EFEFEF"/>
          </w:tcPr>
          <w:p>
            <w:pPr>
              <w:spacing w:line="240" w:lineRule="auto" w:before="40" w:after="40"/>
              <w:jc w:val="right"/>
            </w:pPr>
            <w:r/>
            <w:r>
              <w:rPr>
                <w:b w:val="0"/>
                <w:i w:val="0"/>
                <w:sz w:val="15"/>
              </w:rPr>
              <w:t>7,900.00</w:t>
            </w:r>
          </w:p>
        </w:tc>
        <w:tc>
          <w:tcPr>
            <w:tcW w:type="dxa" w:w="1440"/>
            <w:shd w:val="clear" w:color="auto" w:fill="EFEFEF"/>
          </w:tcPr>
          <w:p>
            <w:pPr>
              <w:spacing w:line="240" w:lineRule="auto" w:before="40" w:after="40"/>
              <w:jc w:val="right"/>
            </w:pPr>
            <w:r/>
            <w:r>
              <w:rPr>
                <w:b w:val="0"/>
                <w:i w:val="0"/>
                <w:sz w:val="15"/>
              </w:rPr>
              <w:t>215,497.19</w:t>
            </w:r>
          </w:p>
        </w:tc>
      </w:tr>
      <w:tr>
        <w:tc>
          <w:tcPr>
            <w:tcW w:type="dxa" w:w="1080"/>
          </w:tcPr>
          <w:p>
            <w:pPr>
              <w:spacing w:line="240" w:lineRule="auto" w:before="40" w:after="40"/>
              <w:jc w:val="left"/>
            </w:pPr>
            <w:r/>
            <w:r>
              <w:rPr>
                <w:b w:val="0"/>
                <w:i w:val="0"/>
                <w:sz w:val="15"/>
              </w:rPr>
              <w:t>900 (1)c</w:t>
            </w:r>
          </w:p>
        </w:tc>
        <w:tc>
          <w:tcPr>
            <w:tcW w:type="dxa" w:w="4104"/>
          </w:tcPr>
          <w:p>
            <w:pPr>
              <w:spacing w:line="240" w:lineRule="auto" w:before="40" w:after="40"/>
              <w:jc w:val="left"/>
            </w:pPr>
            <w:r/>
            <w:r>
              <w:rPr>
                <w:b w:val="0"/>
                <w:i w:val="0"/>
                <w:sz w:val="15"/>
              </w:rPr>
              <w:t>Structural concrete fc′ 20.7 MPa — suspended slabs 125 mm</w:t>
            </w:r>
          </w:p>
        </w:tc>
        <w:tc>
          <w:tcPr>
            <w:tcW w:type="dxa" w:w="1008"/>
          </w:tcPr>
          <w:p>
            <w:pPr>
              <w:spacing w:line="240" w:lineRule="auto" w:before="40" w:after="40"/>
              <w:jc w:val="right"/>
            </w:pPr>
            <w:r/>
            <w:r>
              <w:rPr>
                <w:b w:val="0"/>
                <w:i w:val="0"/>
                <w:sz w:val="15"/>
              </w:rPr>
              <w:t>21.38</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7,900.00</w:t>
            </w:r>
          </w:p>
        </w:tc>
        <w:tc>
          <w:tcPr>
            <w:tcW w:type="dxa" w:w="1440"/>
          </w:tcPr>
          <w:p>
            <w:pPr>
              <w:spacing w:line="240" w:lineRule="auto" w:before="40" w:after="40"/>
              <w:jc w:val="right"/>
            </w:pPr>
            <w:r/>
            <w:r>
              <w:rPr>
                <w:b w:val="0"/>
                <w:i w:val="0"/>
                <w:sz w:val="15"/>
              </w:rPr>
              <w:t>168,862.50</w:t>
            </w:r>
          </w:p>
        </w:tc>
      </w:tr>
      <w:tr>
        <w:tc>
          <w:tcPr>
            <w:tcW w:type="dxa" w:w="1080"/>
            <w:shd w:val="clear" w:color="auto" w:fill="EFEFEF"/>
          </w:tcPr>
          <w:p>
            <w:pPr>
              <w:spacing w:line="240" w:lineRule="auto" w:before="40" w:after="40"/>
              <w:jc w:val="left"/>
            </w:pPr>
            <w:r/>
            <w:r>
              <w:rPr>
                <w:b w:val="0"/>
                <w:i w:val="0"/>
                <w:sz w:val="15"/>
              </w:rPr>
              <w:t>900 (1)c</w:t>
            </w:r>
          </w:p>
        </w:tc>
        <w:tc>
          <w:tcPr>
            <w:tcW w:type="dxa" w:w="4104"/>
            <w:shd w:val="clear" w:color="auto" w:fill="EFEFEF"/>
          </w:tcPr>
          <w:p>
            <w:pPr>
              <w:spacing w:line="240" w:lineRule="auto" w:before="40" w:after="40"/>
              <w:jc w:val="left"/>
            </w:pPr>
            <w:r/>
            <w:r>
              <w:rPr>
                <w:b w:val="0"/>
                <w:i w:val="0"/>
                <w:sz w:val="15"/>
              </w:rPr>
              <w:t>Structural concrete fc′ 20.7 MPa — stairs (1 flight set)</w:t>
            </w:r>
          </w:p>
        </w:tc>
        <w:tc>
          <w:tcPr>
            <w:tcW w:type="dxa" w:w="1008"/>
            <w:shd w:val="clear" w:color="auto" w:fill="EFEFEF"/>
          </w:tcPr>
          <w:p>
            <w:pPr>
              <w:spacing w:line="240" w:lineRule="auto" w:before="40" w:after="40"/>
              <w:jc w:val="right"/>
            </w:pPr>
            <w:r/>
            <w:r>
              <w:rPr>
                <w:b w:val="0"/>
                <w:i w:val="0"/>
                <w:sz w:val="15"/>
              </w:rPr>
              <w:t>4.20</w:t>
            </w:r>
          </w:p>
        </w:tc>
        <w:tc>
          <w:tcPr>
            <w:tcW w:type="dxa" w:w="648"/>
            <w:shd w:val="clear" w:color="auto" w:fill="EFEFEF"/>
          </w:tcPr>
          <w:p>
            <w:pPr>
              <w:spacing w:line="240" w:lineRule="auto" w:before="40" w:after="40"/>
              <w:jc w:val="left"/>
            </w:pPr>
            <w:r/>
            <w:r>
              <w:rPr>
                <w:b w:val="0"/>
                <w:i w:val="0"/>
                <w:sz w:val="15"/>
              </w:rPr>
              <w:t>m³</w:t>
            </w:r>
          </w:p>
        </w:tc>
        <w:tc>
          <w:tcPr>
            <w:tcW w:type="dxa" w:w="1152"/>
            <w:shd w:val="clear" w:color="auto" w:fill="EFEFEF"/>
          </w:tcPr>
          <w:p>
            <w:pPr>
              <w:spacing w:line="240" w:lineRule="auto" w:before="40" w:after="40"/>
              <w:jc w:val="right"/>
            </w:pPr>
            <w:r/>
            <w:r>
              <w:rPr>
                <w:b w:val="0"/>
                <w:i w:val="0"/>
                <w:sz w:val="15"/>
              </w:rPr>
              <w:t>7,900.00</w:t>
            </w:r>
          </w:p>
        </w:tc>
        <w:tc>
          <w:tcPr>
            <w:tcW w:type="dxa" w:w="1440"/>
            <w:shd w:val="clear" w:color="auto" w:fill="EFEFEF"/>
          </w:tcPr>
          <w:p>
            <w:pPr>
              <w:spacing w:line="240" w:lineRule="auto" w:before="40" w:after="40"/>
              <w:jc w:val="right"/>
            </w:pPr>
            <w:r/>
            <w:r>
              <w:rPr>
                <w:b w:val="0"/>
                <w:i w:val="0"/>
                <w:sz w:val="15"/>
              </w:rPr>
              <w:t>33,180.00</w:t>
            </w:r>
          </w:p>
        </w:tc>
      </w:tr>
      <w:tr>
        <w:tc>
          <w:tcPr>
            <w:tcW w:type="dxa" w:w="1080"/>
          </w:tcPr>
          <w:p>
            <w:pPr>
              <w:spacing w:line="240" w:lineRule="auto" w:before="40" w:after="40"/>
              <w:jc w:val="left"/>
            </w:pPr>
            <w:r/>
            <w:r>
              <w:rPr>
                <w:b w:val="0"/>
                <w:i w:val="0"/>
                <w:sz w:val="15"/>
              </w:rPr>
              <w:t>900 (1)b</w:t>
            </w:r>
          </w:p>
        </w:tc>
        <w:tc>
          <w:tcPr>
            <w:tcW w:type="dxa" w:w="4104"/>
          </w:tcPr>
          <w:p>
            <w:pPr>
              <w:spacing w:line="240" w:lineRule="auto" w:before="40" w:after="40"/>
              <w:jc w:val="left"/>
            </w:pPr>
            <w:r/>
            <w:r>
              <w:rPr>
                <w:b w:val="0"/>
                <w:i w:val="0"/>
                <w:sz w:val="15"/>
              </w:rPr>
              <w:t>Concrete slab on grade 100 mm, fc′ 17.2 MPa</w:t>
            </w:r>
          </w:p>
        </w:tc>
        <w:tc>
          <w:tcPr>
            <w:tcW w:type="dxa" w:w="1008"/>
          </w:tcPr>
          <w:p>
            <w:pPr>
              <w:spacing w:line="240" w:lineRule="auto" w:before="40" w:after="40"/>
              <w:jc w:val="right"/>
            </w:pPr>
            <w:r/>
            <w:r>
              <w:rPr>
                <w:b w:val="0"/>
                <w:i w:val="0"/>
                <w:sz w:val="15"/>
              </w:rPr>
              <w:t>17.10</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7,200.00</w:t>
            </w:r>
          </w:p>
        </w:tc>
        <w:tc>
          <w:tcPr>
            <w:tcW w:type="dxa" w:w="1440"/>
          </w:tcPr>
          <w:p>
            <w:pPr>
              <w:spacing w:line="240" w:lineRule="auto" w:before="40" w:after="40"/>
              <w:jc w:val="right"/>
            </w:pPr>
            <w:r/>
            <w:r>
              <w:rPr>
                <w:b w:val="0"/>
                <w:i w:val="0"/>
                <w:sz w:val="15"/>
              </w:rPr>
              <w:t>123,120.00</w:t>
            </w:r>
          </w:p>
        </w:tc>
      </w:tr>
      <w:tr>
        <w:tc>
          <w:tcPr>
            <w:tcW w:type="dxa" w:w="1080"/>
            <w:shd w:val="clear" w:color="auto" w:fill="EFEFEF"/>
          </w:tcPr>
          <w:p>
            <w:pPr>
              <w:spacing w:line="240" w:lineRule="auto" w:before="40" w:after="40"/>
              <w:jc w:val="left"/>
            </w:pPr>
            <w:r/>
            <w:r>
              <w:rPr>
                <w:b w:val="0"/>
                <w:i w:val="0"/>
                <w:sz w:val="15"/>
              </w:rPr>
              <w:t>902 (1)</w:t>
            </w:r>
          </w:p>
        </w:tc>
        <w:tc>
          <w:tcPr>
            <w:tcW w:type="dxa" w:w="4104"/>
            <w:shd w:val="clear" w:color="auto" w:fill="EFEFEF"/>
          </w:tcPr>
          <w:p>
            <w:pPr>
              <w:spacing w:line="240" w:lineRule="auto" w:before="40" w:after="40"/>
              <w:jc w:val="left"/>
            </w:pPr>
            <w:r/>
            <w:r>
              <w:rPr>
                <w:b w:val="0"/>
                <w:i w:val="0"/>
                <w:sz w:val="15"/>
              </w:rPr>
              <w:t>Reinforcing steel bars, deformed, Gr. 40/60, incl. tie wire</w:t>
            </w:r>
          </w:p>
        </w:tc>
        <w:tc>
          <w:tcPr>
            <w:tcW w:type="dxa" w:w="1008"/>
            <w:shd w:val="clear" w:color="auto" w:fill="EFEFEF"/>
          </w:tcPr>
          <w:p>
            <w:pPr>
              <w:spacing w:line="240" w:lineRule="auto" w:before="40" w:after="40"/>
              <w:jc w:val="right"/>
            </w:pPr>
            <w:r/>
            <w:r>
              <w:rPr>
                <w:b w:val="0"/>
                <w:i w:val="0"/>
                <w:sz w:val="15"/>
              </w:rPr>
              <w:t>11,627.09</w:t>
            </w:r>
          </w:p>
        </w:tc>
        <w:tc>
          <w:tcPr>
            <w:tcW w:type="dxa" w:w="648"/>
            <w:shd w:val="clear" w:color="auto" w:fill="EFEFEF"/>
          </w:tcPr>
          <w:p>
            <w:pPr>
              <w:spacing w:line="240" w:lineRule="auto" w:before="40" w:after="40"/>
              <w:jc w:val="left"/>
            </w:pPr>
            <w:r/>
            <w:r>
              <w:rPr>
                <w:b w:val="0"/>
                <w:i w:val="0"/>
                <w:sz w:val="15"/>
              </w:rPr>
              <w:t>kg</w:t>
            </w:r>
          </w:p>
        </w:tc>
        <w:tc>
          <w:tcPr>
            <w:tcW w:type="dxa" w:w="1152"/>
            <w:shd w:val="clear" w:color="auto" w:fill="EFEFEF"/>
          </w:tcPr>
          <w:p>
            <w:pPr>
              <w:spacing w:line="240" w:lineRule="auto" w:before="40" w:after="40"/>
              <w:jc w:val="right"/>
            </w:pPr>
            <w:r/>
            <w:r>
              <w:rPr>
                <w:b w:val="0"/>
                <w:i w:val="0"/>
                <w:sz w:val="15"/>
              </w:rPr>
              <w:t>82.00</w:t>
            </w:r>
          </w:p>
        </w:tc>
        <w:tc>
          <w:tcPr>
            <w:tcW w:type="dxa" w:w="1440"/>
            <w:shd w:val="clear" w:color="auto" w:fill="EFEFEF"/>
          </w:tcPr>
          <w:p>
            <w:pPr>
              <w:spacing w:line="240" w:lineRule="auto" w:before="40" w:after="40"/>
              <w:jc w:val="right"/>
            </w:pPr>
            <w:r/>
            <w:r>
              <w:rPr>
                <w:b w:val="0"/>
                <w:i w:val="0"/>
                <w:sz w:val="15"/>
              </w:rPr>
              <w:t>953,421.69</w:t>
            </w:r>
          </w:p>
        </w:tc>
      </w:tr>
      <w:tr>
        <w:tc>
          <w:tcPr>
            <w:tcW w:type="dxa" w:w="1080"/>
          </w:tcPr>
          <w:p>
            <w:pPr>
              <w:spacing w:line="240" w:lineRule="auto" w:before="40" w:after="40"/>
              <w:jc w:val="left"/>
            </w:pPr>
            <w:r/>
            <w:r>
              <w:rPr>
                <w:b w:val="0"/>
                <w:i w:val="0"/>
                <w:sz w:val="15"/>
              </w:rPr>
              <w:t>903 (2)</w:t>
            </w:r>
          </w:p>
        </w:tc>
        <w:tc>
          <w:tcPr>
            <w:tcW w:type="dxa" w:w="4104"/>
          </w:tcPr>
          <w:p>
            <w:pPr>
              <w:spacing w:line="240" w:lineRule="auto" w:before="40" w:after="40"/>
              <w:jc w:val="left"/>
            </w:pPr>
            <w:r/>
            <w:r>
              <w:rPr>
                <w:b w:val="0"/>
                <w:i w:val="0"/>
                <w:sz w:val="15"/>
              </w:rPr>
              <w:t>Formworks and falseworks</w:t>
            </w:r>
          </w:p>
        </w:tc>
        <w:tc>
          <w:tcPr>
            <w:tcW w:type="dxa" w:w="1008"/>
          </w:tcPr>
          <w:p>
            <w:pPr>
              <w:spacing w:line="240" w:lineRule="auto" w:before="40" w:after="40"/>
              <w:jc w:val="right"/>
            </w:pPr>
            <w:r/>
            <w:r>
              <w:rPr>
                <w:b w:val="0"/>
                <w:i w:val="0"/>
                <w:sz w:val="15"/>
              </w:rPr>
              <w:t>654.78</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850.00</w:t>
            </w:r>
          </w:p>
        </w:tc>
        <w:tc>
          <w:tcPr>
            <w:tcW w:type="dxa" w:w="1440"/>
          </w:tcPr>
          <w:p>
            <w:pPr>
              <w:spacing w:line="240" w:lineRule="auto" w:before="40" w:after="40"/>
              <w:jc w:val="right"/>
            </w:pPr>
            <w:r/>
            <w:r>
              <w:rPr>
                <w:b w:val="0"/>
                <w:i w:val="0"/>
                <w:sz w:val="15"/>
              </w:rPr>
              <w:t>556,558.75</w:t>
            </w:r>
          </w:p>
        </w:tc>
      </w:tr>
      <w:tr>
        <w:tc>
          <w:tcPr>
            <w:tcW w:type="dxa" w:w="1080"/>
            <w:shd w:val="clear" w:color="auto" w:fill="EFEFEF"/>
          </w:tcPr>
          <w:p>
            <w:pPr>
              <w:spacing w:line="240" w:lineRule="auto" w:before="40" w:after="40"/>
              <w:jc w:val="left"/>
            </w:pPr>
            <w:r/>
            <w:r>
              <w:rPr>
                <w:b w:val="0"/>
                <w:i w:val="0"/>
                <w:sz w:val="15"/>
              </w:rPr>
              <w:t>1046 (3)</w:t>
            </w:r>
          </w:p>
        </w:tc>
        <w:tc>
          <w:tcPr>
            <w:tcW w:type="dxa" w:w="4104"/>
            <w:shd w:val="clear" w:color="auto" w:fill="EFEFEF"/>
          </w:tcPr>
          <w:p>
            <w:pPr>
              <w:spacing w:line="240" w:lineRule="auto" w:before="40" w:after="40"/>
              <w:jc w:val="left"/>
            </w:pPr>
            <w:r/>
            <w:r>
              <w:rPr>
                <w:b w:val="0"/>
                <w:i w:val="0"/>
                <w:sz w:val="15"/>
              </w:rPr>
              <w:t>CHB masonry 150 mm, reinforced &amp; grouted (exterior)</w:t>
            </w:r>
          </w:p>
        </w:tc>
        <w:tc>
          <w:tcPr>
            <w:tcW w:type="dxa" w:w="1008"/>
            <w:shd w:val="clear" w:color="auto" w:fill="EFEFEF"/>
          </w:tcPr>
          <w:p>
            <w:pPr>
              <w:spacing w:line="240" w:lineRule="auto" w:before="40" w:after="40"/>
              <w:jc w:val="right"/>
            </w:pPr>
            <w:r/>
            <w:r>
              <w:rPr>
                <w:b w:val="0"/>
                <w:i w:val="0"/>
                <w:sz w:val="15"/>
              </w:rPr>
              <w:t>215.88</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1,080.00</w:t>
            </w:r>
          </w:p>
        </w:tc>
        <w:tc>
          <w:tcPr>
            <w:tcW w:type="dxa" w:w="1440"/>
            <w:shd w:val="clear" w:color="auto" w:fill="EFEFEF"/>
          </w:tcPr>
          <w:p>
            <w:pPr>
              <w:spacing w:line="240" w:lineRule="auto" w:before="40" w:after="40"/>
              <w:jc w:val="right"/>
            </w:pPr>
            <w:r/>
            <w:r>
              <w:rPr>
                <w:b w:val="0"/>
                <w:i w:val="0"/>
                <w:sz w:val="15"/>
              </w:rPr>
              <w:t>233,150.40</w:t>
            </w:r>
          </w:p>
        </w:tc>
      </w:tr>
      <w:tr>
        <w:tc>
          <w:tcPr>
            <w:tcW w:type="dxa" w:w="1080"/>
          </w:tcPr>
          <w:p>
            <w:pPr>
              <w:spacing w:line="240" w:lineRule="auto" w:before="40" w:after="40"/>
              <w:jc w:val="left"/>
            </w:pPr>
            <w:r/>
            <w:r>
              <w:rPr>
                <w:b w:val="0"/>
                <w:i w:val="0"/>
                <w:sz w:val="15"/>
              </w:rPr>
              <w:t>1046 (2)</w:t>
            </w:r>
          </w:p>
        </w:tc>
        <w:tc>
          <w:tcPr>
            <w:tcW w:type="dxa" w:w="4104"/>
          </w:tcPr>
          <w:p>
            <w:pPr>
              <w:spacing w:line="240" w:lineRule="auto" w:before="40" w:after="40"/>
              <w:jc w:val="left"/>
            </w:pPr>
            <w:r/>
            <w:r>
              <w:rPr>
                <w:b w:val="0"/>
                <w:i w:val="0"/>
                <w:sz w:val="15"/>
              </w:rPr>
              <w:t>CHB masonry 100 mm (partitions)</w:t>
            </w:r>
          </w:p>
        </w:tc>
        <w:tc>
          <w:tcPr>
            <w:tcW w:type="dxa" w:w="1008"/>
          </w:tcPr>
          <w:p>
            <w:pPr>
              <w:spacing w:line="240" w:lineRule="auto" w:before="40" w:after="40"/>
              <w:jc w:val="right"/>
            </w:pPr>
            <w:r/>
            <w:r>
              <w:rPr>
                <w:b w:val="0"/>
                <w:i w:val="0"/>
                <w:sz w:val="15"/>
              </w:rPr>
              <w:t>75.90</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880.00</w:t>
            </w:r>
          </w:p>
        </w:tc>
        <w:tc>
          <w:tcPr>
            <w:tcW w:type="dxa" w:w="1440"/>
          </w:tcPr>
          <w:p>
            <w:pPr>
              <w:spacing w:line="240" w:lineRule="auto" w:before="40" w:after="40"/>
              <w:jc w:val="right"/>
            </w:pPr>
            <w:r/>
            <w:r>
              <w:rPr>
                <w:b w:val="0"/>
                <w:i w:val="0"/>
                <w:sz w:val="15"/>
              </w:rPr>
              <w:t>66,794.11</w:t>
            </w:r>
          </w:p>
        </w:tc>
      </w:tr>
      <w:tr>
        <w:tc>
          <w:tcPr>
            <w:tcW w:type="dxa" w:w="1080"/>
            <w:shd w:val="clear" w:color="auto" w:fill="EFEFEF"/>
          </w:tcPr>
          <w:p>
            <w:pPr>
              <w:spacing w:line="240" w:lineRule="auto" w:before="40" w:after="40"/>
              <w:jc w:val="left"/>
            </w:pPr>
            <w:r/>
            <w:r>
              <w:rPr>
                <w:b w:val="0"/>
                <w:i w:val="0"/>
                <w:sz w:val="15"/>
              </w:rPr>
              <w:t>1027 (1)</w:t>
            </w:r>
          </w:p>
        </w:tc>
        <w:tc>
          <w:tcPr>
            <w:tcW w:type="dxa" w:w="4104"/>
            <w:shd w:val="clear" w:color="auto" w:fill="EFEFEF"/>
          </w:tcPr>
          <w:p>
            <w:pPr>
              <w:spacing w:line="240" w:lineRule="auto" w:before="40" w:after="40"/>
              <w:jc w:val="left"/>
            </w:pPr>
            <w:r/>
            <w:r>
              <w:rPr>
                <w:b w:val="0"/>
                <w:i w:val="0"/>
                <w:sz w:val="15"/>
              </w:rPr>
              <w:t>Cement plaster finish</w:t>
            </w:r>
          </w:p>
        </w:tc>
        <w:tc>
          <w:tcPr>
            <w:tcW w:type="dxa" w:w="1008"/>
            <w:shd w:val="clear" w:color="auto" w:fill="EFEFEF"/>
          </w:tcPr>
          <w:p>
            <w:pPr>
              <w:spacing w:line="240" w:lineRule="auto" w:before="40" w:after="40"/>
              <w:jc w:val="right"/>
            </w:pPr>
            <w:r/>
            <w:r>
              <w:rPr>
                <w:b w:val="0"/>
                <w:i w:val="0"/>
                <w:sz w:val="15"/>
              </w:rPr>
              <w:t>641.92</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360.00</w:t>
            </w:r>
          </w:p>
        </w:tc>
        <w:tc>
          <w:tcPr>
            <w:tcW w:type="dxa" w:w="1440"/>
            <w:shd w:val="clear" w:color="auto" w:fill="EFEFEF"/>
          </w:tcPr>
          <w:p>
            <w:pPr>
              <w:spacing w:line="240" w:lineRule="auto" w:before="40" w:after="40"/>
              <w:jc w:val="right"/>
            </w:pPr>
            <w:r/>
            <w:r>
              <w:rPr>
                <w:b w:val="0"/>
                <w:i w:val="0"/>
                <w:sz w:val="15"/>
              </w:rPr>
              <w:t>231,091.66</w:t>
            </w:r>
          </w:p>
        </w:tc>
      </w:tr>
      <w:tr>
        <w:tc>
          <w:tcPr>
            <w:tcW w:type="dxa" w:w="1080"/>
          </w:tcPr>
          <w:p>
            <w:pPr>
              <w:spacing w:line="240" w:lineRule="auto" w:before="40" w:after="40"/>
              <w:jc w:val="left"/>
            </w:pPr>
            <w:r/>
            <w:r>
              <w:rPr>
                <w:b w:val="0"/>
                <w:i w:val="0"/>
                <w:sz w:val="15"/>
              </w:rPr>
              <w:t>1032 (1)</w:t>
            </w:r>
          </w:p>
        </w:tc>
        <w:tc>
          <w:tcPr>
            <w:tcW w:type="dxa" w:w="4104"/>
          </w:tcPr>
          <w:p>
            <w:pPr>
              <w:spacing w:line="240" w:lineRule="auto" w:before="40" w:after="40"/>
              <w:jc w:val="left"/>
            </w:pPr>
            <w:r/>
            <w:r>
              <w:rPr>
                <w:b w:val="0"/>
                <w:i w:val="0"/>
                <w:sz w:val="15"/>
              </w:rPr>
              <w:t>Painting works, masonry/concrete (acrylic, 3 coats)</w:t>
            </w:r>
          </w:p>
        </w:tc>
        <w:tc>
          <w:tcPr>
            <w:tcW w:type="dxa" w:w="1008"/>
          </w:tcPr>
          <w:p>
            <w:pPr>
              <w:spacing w:line="240" w:lineRule="auto" w:before="40" w:after="40"/>
              <w:jc w:val="right"/>
            </w:pPr>
            <w:r/>
            <w:r>
              <w:rPr>
                <w:b w:val="0"/>
                <w:i w:val="0"/>
                <w:sz w:val="15"/>
              </w:rPr>
              <w:t>966.82</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230.00</w:t>
            </w:r>
          </w:p>
        </w:tc>
        <w:tc>
          <w:tcPr>
            <w:tcW w:type="dxa" w:w="1440"/>
          </w:tcPr>
          <w:p>
            <w:pPr>
              <w:spacing w:line="240" w:lineRule="auto" w:before="40" w:after="40"/>
              <w:jc w:val="right"/>
            </w:pPr>
            <w:r/>
            <w:r>
              <w:rPr>
                <w:b w:val="0"/>
                <w:i w:val="0"/>
                <w:sz w:val="15"/>
              </w:rPr>
              <w:t>222,368.89</w:t>
            </w:r>
          </w:p>
        </w:tc>
      </w:tr>
      <w:tr>
        <w:tc>
          <w:tcPr>
            <w:tcW w:type="dxa" w:w="1080"/>
            <w:shd w:val="clear" w:color="auto" w:fill="EFEFEF"/>
          </w:tcPr>
          <w:p>
            <w:pPr>
              <w:spacing w:line="240" w:lineRule="auto" w:before="40" w:after="40"/>
              <w:jc w:val="left"/>
            </w:pPr>
            <w:r/>
            <w:r>
              <w:rPr>
                <w:b w:val="0"/>
                <w:i w:val="0"/>
                <w:sz w:val="15"/>
              </w:rPr>
              <w:t>1047 (3)</w:t>
            </w:r>
          </w:p>
        </w:tc>
        <w:tc>
          <w:tcPr>
            <w:tcW w:type="dxa" w:w="4104"/>
            <w:shd w:val="clear" w:color="auto" w:fill="EFEFEF"/>
          </w:tcPr>
          <w:p>
            <w:pPr>
              <w:spacing w:line="240" w:lineRule="auto" w:before="40" w:after="40"/>
              <w:jc w:val="left"/>
            </w:pPr>
            <w:r/>
            <w:r>
              <w:rPr>
                <w:b w:val="0"/>
                <w:i w:val="0"/>
                <w:sz w:val="15"/>
              </w:rPr>
              <w:t>Structural steel trusses &amp; purlins, fabricated &amp; installed</w:t>
            </w:r>
          </w:p>
        </w:tc>
        <w:tc>
          <w:tcPr>
            <w:tcW w:type="dxa" w:w="1008"/>
            <w:shd w:val="clear" w:color="auto" w:fill="EFEFEF"/>
          </w:tcPr>
          <w:p>
            <w:pPr>
              <w:spacing w:line="240" w:lineRule="auto" w:before="40" w:after="40"/>
              <w:jc w:val="right"/>
            </w:pPr>
            <w:r/>
            <w:r>
              <w:rPr>
                <w:b w:val="0"/>
                <w:i w:val="0"/>
                <w:sz w:val="15"/>
              </w:rPr>
              <w:t>4,727.29</w:t>
            </w:r>
          </w:p>
        </w:tc>
        <w:tc>
          <w:tcPr>
            <w:tcW w:type="dxa" w:w="648"/>
            <w:shd w:val="clear" w:color="auto" w:fill="EFEFEF"/>
          </w:tcPr>
          <w:p>
            <w:pPr>
              <w:spacing w:line="240" w:lineRule="auto" w:before="40" w:after="40"/>
              <w:jc w:val="left"/>
            </w:pPr>
            <w:r/>
            <w:r>
              <w:rPr>
                <w:b w:val="0"/>
                <w:i w:val="0"/>
                <w:sz w:val="15"/>
              </w:rPr>
              <w:t>kg</w:t>
            </w:r>
          </w:p>
        </w:tc>
        <w:tc>
          <w:tcPr>
            <w:tcW w:type="dxa" w:w="1152"/>
            <w:shd w:val="clear" w:color="auto" w:fill="EFEFEF"/>
          </w:tcPr>
          <w:p>
            <w:pPr>
              <w:spacing w:line="240" w:lineRule="auto" w:before="40" w:after="40"/>
              <w:jc w:val="right"/>
            </w:pPr>
            <w:r/>
            <w:r>
              <w:rPr>
                <w:b w:val="0"/>
                <w:i w:val="0"/>
                <w:sz w:val="15"/>
              </w:rPr>
              <w:t>140.00</w:t>
            </w:r>
          </w:p>
        </w:tc>
        <w:tc>
          <w:tcPr>
            <w:tcW w:type="dxa" w:w="1440"/>
            <w:shd w:val="clear" w:color="auto" w:fill="EFEFEF"/>
          </w:tcPr>
          <w:p>
            <w:pPr>
              <w:spacing w:line="240" w:lineRule="auto" w:before="40" w:after="40"/>
              <w:jc w:val="right"/>
            </w:pPr>
            <w:r/>
            <w:r>
              <w:rPr>
                <w:b w:val="0"/>
                <w:i w:val="0"/>
                <w:sz w:val="15"/>
              </w:rPr>
              <w:t>661,820.99</w:t>
            </w:r>
          </w:p>
        </w:tc>
      </w:tr>
      <w:tr>
        <w:tc>
          <w:tcPr>
            <w:tcW w:type="dxa" w:w="1080"/>
          </w:tcPr>
          <w:p>
            <w:pPr>
              <w:spacing w:line="240" w:lineRule="auto" w:before="40" w:after="40"/>
              <w:jc w:val="left"/>
            </w:pPr>
            <w:r/>
            <w:r>
              <w:rPr>
                <w:b w:val="0"/>
                <w:i w:val="0"/>
                <w:sz w:val="15"/>
              </w:rPr>
              <w:t>1013 (2)</w:t>
            </w:r>
          </w:p>
        </w:tc>
        <w:tc>
          <w:tcPr>
            <w:tcW w:type="dxa" w:w="4104"/>
          </w:tcPr>
          <w:p>
            <w:pPr>
              <w:spacing w:line="240" w:lineRule="auto" w:before="40" w:after="40"/>
              <w:jc w:val="left"/>
            </w:pPr>
            <w:r/>
            <w:r>
              <w:rPr>
                <w:b w:val="0"/>
                <w:i w:val="0"/>
                <w:sz w:val="15"/>
              </w:rPr>
              <w:t>Pre-painted long-span metal roofing 0.50 mm, incl. accessories</w:t>
            </w:r>
          </w:p>
        </w:tc>
        <w:tc>
          <w:tcPr>
            <w:tcW w:type="dxa" w:w="1008"/>
          </w:tcPr>
          <w:p>
            <w:pPr>
              <w:spacing w:line="240" w:lineRule="auto" w:before="40" w:after="40"/>
              <w:jc w:val="right"/>
            </w:pPr>
            <w:r/>
            <w:r>
              <w:rPr>
                <w:b w:val="0"/>
                <w:i w:val="0"/>
                <w:sz w:val="15"/>
              </w:rPr>
              <w:t>247.02</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760.00</w:t>
            </w:r>
          </w:p>
        </w:tc>
        <w:tc>
          <w:tcPr>
            <w:tcW w:type="dxa" w:w="1440"/>
          </w:tcPr>
          <w:p>
            <w:pPr>
              <w:spacing w:line="240" w:lineRule="auto" w:before="40" w:after="40"/>
              <w:jc w:val="right"/>
            </w:pPr>
            <w:r/>
            <w:r>
              <w:rPr>
                <w:b w:val="0"/>
                <w:i w:val="0"/>
                <w:sz w:val="15"/>
              </w:rPr>
              <w:t>187,732.82</w:t>
            </w:r>
          </w:p>
        </w:tc>
      </w:tr>
      <w:tr>
        <w:tc>
          <w:tcPr>
            <w:tcW w:type="dxa" w:w="1080"/>
            <w:shd w:val="clear" w:color="auto" w:fill="EFEFEF"/>
          </w:tcPr>
          <w:p>
            <w:pPr>
              <w:spacing w:line="240" w:lineRule="auto" w:before="40" w:after="40"/>
              <w:jc w:val="left"/>
            </w:pPr>
            <w:r/>
            <w:r>
              <w:rPr>
                <w:b w:val="0"/>
                <w:i w:val="0"/>
                <w:sz w:val="15"/>
              </w:rPr>
              <w:t>1013 (5)</w:t>
            </w:r>
          </w:p>
        </w:tc>
        <w:tc>
          <w:tcPr>
            <w:tcW w:type="dxa" w:w="4104"/>
            <w:shd w:val="clear" w:color="auto" w:fill="EFEFEF"/>
          </w:tcPr>
          <w:p>
            <w:pPr>
              <w:spacing w:line="240" w:lineRule="auto" w:before="40" w:after="40"/>
              <w:jc w:val="left"/>
            </w:pPr>
            <w:r/>
            <w:r>
              <w:rPr>
                <w:b w:val="0"/>
                <w:i w:val="0"/>
                <w:sz w:val="15"/>
              </w:rPr>
              <w:t>Gutters, flashing &amp; downspouts</w:t>
            </w:r>
          </w:p>
        </w:tc>
        <w:tc>
          <w:tcPr>
            <w:tcW w:type="dxa" w:w="1008"/>
            <w:shd w:val="clear" w:color="auto" w:fill="EFEFEF"/>
          </w:tcPr>
          <w:p>
            <w:pPr>
              <w:spacing w:line="240" w:lineRule="auto" w:before="40" w:after="40"/>
              <w:jc w:val="right"/>
            </w:pPr>
            <w:r/>
            <w:r>
              <w:rPr>
                <w:b w:val="0"/>
                <w:i w:val="0"/>
                <w:sz w:val="15"/>
              </w:rPr>
              <w:t>63.60</w:t>
            </w:r>
          </w:p>
        </w:tc>
        <w:tc>
          <w:tcPr>
            <w:tcW w:type="dxa" w:w="648"/>
            <w:shd w:val="clear" w:color="auto" w:fill="EFEFEF"/>
          </w:tcPr>
          <w:p>
            <w:pPr>
              <w:spacing w:line="240" w:lineRule="auto" w:before="40" w:after="40"/>
              <w:jc w:val="left"/>
            </w:pPr>
            <w:r/>
            <w:r>
              <w:rPr>
                <w:b w:val="0"/>
                <w:i w:val="0"/>
                <w:sz w:val="15"/>
              </w:rPr>
              <w:t>m</w:t>
            </w:r>
          </w:p>
        </w:tc>
        <w:tc>
          <w:tcPr>
            <w:tcW w:type="dxa" w:w="1152"/>
            <w:shd w:val="clear" w:color="auto" w:fill="EFEFEF"/>
          </w:tcPr>
          <w:p>
            <w:pPr>
              <w:spacing w:line="240" w:lineRule="auto" w:before="40" w:after="40"/>
              <w:jc w:val="right"/>
            </w:pPr>
            <w:r/>
            <w:r>
              <w:rPr>
                <w:b w:val="0"/>
                <w:i w:val="0"/>
                <w:sz w:val="15"/>
              </w:rPr>
              <w:t>950.00</w:t>
            </w:r>
          </w:p>
        </w:tc>
        <w:tc>
          <w:tcPr>
            <w:tcW w:type="dxa" w:w="1440"/>
            <w:shd w:val="clear" w:color="auto" w:fill="EFEFEF"/>
          </w:tcPr>
          <w:p>
            <w:pPr>
              <w:spacing w:line="240" w:lineRule="auto" w:before="40" w:after="40"/>
              <w:jc w:val="right"/>
            </w:pPr>
            <w:r/>
            <w:r>
              <w:rPr>
                <w:b w:val="0"/>
                <w:i w:val="0"/>
                <w:sz w:val="15"/>
              </w:rPr>
              <w:t>60,420.00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Roof insulation, fascia &amp; eaves soffit</w:t>
            </w:r>
          </w:p>
        </w:tc>
        <w:tc>
          <w:tcPr>
            <w:tcW w:type="dxa" w:w="1008"/>
          </w:tcPr>
          <w:p>
            <w:pPr>
              <w:spacing w:line="240" w:lineRule="auto" w:before="40" w:after="40"/>
              <w:jc w:val="right"/>
            </w:pPr>
            <w:r/>
            <w:r>
              <w:rPr>
                <w:b w:val="0"/>
                <w:i w:val="0"/>
                <w:sz w:val="15"/>
              </w:rPr>
              <w:t>247.02</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420.00</w:t>
            </w:r>
          </w:p>
        </w:tc>
        <w:tc>
          <w:tcPr>
            <w:tcW w:type="dxa" w:w="1440"/>
          </w:tcPr>
          <w:p>
            <w:pPr>
              <w:spacing w:line="240" w:lineRule="auto" w:before="40" w:after="40"/>
              <w:jc w:val="right"/>
            </w:pPr>
            <w:r/>
            <w:r>
              <w:rPr>
                <w:b w:val="0"/>
                <w:i w:val="0"/>
                <w:sz w:val="15"/>
              </w:rPr>
              <w:t>103,747.08</w:t>
            </w:r>
          </w:p>
        </w:tc>
      </w:tr>
      <w:tr>
        <w:tc>
          <w:tcPr>
            <w:tcW w:type="dxa" w:w="1080"/>
            <w:shd w:val="clear" w:color="auto" w:fill="EFEFEF"/>
          </w:tcPr>
          <w:p>
            <w:pPr>
              <w:spacing w:line="240" w:lineRule="auto" w:before="40" w:after="40"/>
              <w:jc w:val="left"/>
            </w:pPr>
            <w:r/>
            <w:r>
              <w:rPr>
                <w:b w:val="0"/>
                <w:i w:val="0"/>
                <w:sz w:val="15"/>
              </w:rPr>
              <w:t>1047 (5)</w:t>
            </w:r>
          </w:p>
        </w:tc>
        <w:tc>
          <w:tcPr>
            <w:tcW w:type="dxa" w:w="4104"/>
            <w:shd w:val="clear" w:color="auto" w:fill="EFEFEF"/>
          </w:tcPr>
          <w:p>
            <w:pPr>
              <w:spacing w:line="240" w:lineRule="auto" w:before="40" w:after="40"/>
              <w:jc w:val="left"/>
            </w:pPr>
            <w:r/>
            <w:r>
              <w:rPr>
                <w:b w:val="0"/>
                <w:i w:val="0"/>
                <w:sz w:val="15"/>
              </w:rPr>
              <w:t>Steel railings — corridors, balconies &amp; stairs</w:t>
            </w:r>
          </w:p>
        </w:tc>
        <w:tc>
          <w:tcPr>
            <w:tcW w:type="dxa" w:w="1008"/>
            <w:shd w:val="clear" w:color="auto" w:fill="EFEFEF"/>
          </w:tcPr>
          <w:p>
            <w:pPr>
              <w:spacing w:line="240" w:lineRule="auto" w:before="40" w:after="40"/>
              <w:jc w:val="right"/>
            </w:pPr>
            <w:r/>
            <w:r>
              <w:rPr>
                <w:b w:val="0"/>
                <w:i w:val="0"/>
                <w:sz w:val="15"/>
              </w:rPr>
              <w:t>27.00</w:t>
            </w:r>
          </w:p>
        </w:tc>
        <w:tc>
          <w:tcPr>
            <w:tcW w:type="dxa" w:w="648"/>
            <w:shd w:val="clear" w:color="auto" w:fill="EFEFEF"/>
          </w:tcPr>
          <w:p>
            <w:pPr>
              <w:spacing w:line="240" w:lineRule="auto" w:before="40" w:after="40"/>
              <w:jc w:val="left"/>
            </w:pPr>
            <w:r/>
            <w:r>
              <w:rPr>
                <w:b w:val="0"/>
                <w:i w:val="0"/>
                <w:sz w:val="15"/>
              </w:rPr>
              <w:t>m</w:t>
            </w:r>
          </w:p>
        </w:tc>
        <w:tc>
          <w:tcPr>
            <w:tcW w:type="dxa" w:w="1152"/>
            <w:shd w:val="clear" w:color="auto" w:fill="EFEFEF"/>
          </w:tcPr>
          <w:p>
            <w:pPr>
              <w:spacing w:line="240" w:lineRule="auto" w:before="40" w:after="40"/>
              <w:jc w:val="right"/>
            </w:pPr>
            <w:r/>
            <w:r>
              <w:rPr>
                <w:b w:val="0"/>
                <w:i w:val="0"/>
                <w:sz w:val="15"/>
              </w:rPr>
              <w:t>4,800.00</w:t>
            </w:r>
          </w:p>
        </w:tc>
        <w:tc>
          <w:tcPr>
            <w:tcW w:type="dxa" w:w="1440"/>
            <w:shd w:val="clear" w:color="auto" w:fill="EFEFEF"/>
          </w:tcPr>
          <w:p>
            <w:pPr>
              <w:spacing w:line="240" w:lineRule="auto" w:before="40" w:after="40"/>
              <w:jc w:val="right"/>
            </w:pPr>
            <w:r/>
            <w:r>
              <w:rPr>
                <w:b w:val="0"/>
                <w:i w:val="0"/>
                <w:sz w:val="15"/>
              </w:rPr>
              <w:t>129,600.00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Ceiling: fiber-cement board on metal furring</w:t>
            </w:r>
          </w:p>
        </w:tc>
        <w:tc>
          <w:tcPr>
            <w:tcW w:type="dxa" w:w="1008"/>
          </w:tcPr>
          <w:p>
            <w:pPr>
              <w:spacing w:line="240" w:lineRule="auto" w:before="40" w:after="40"/>
              <w:jc w:val="right"/>
            </w:pPr>
            <w:r/>
            <w:r>
              <w:rPr>
                <w:b w:val="0"/>
                <w:i w:val="0"/>
                <w:sz w:val="15"/>
              </w:rPr>
              <w:t>324.90</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1,050.00</w:t>
            </w:r>
          </w:p>
        </w:tc>
        <w:tc>
          <w:tcPr>
            <w:tcW w:type="dxa" w:w="1440"/>
          </w:tcPr>
          <w:p>
            <w:pPr>
              <w:spacing w:line="240" w:lineRule="auto" w:before="40" w:after="40"/>
              <w:jc w:val="right"/>
            </w:pPr>
            <w:r/>
            <w:r>
              <w:rPr>
                <w:b w:val="0"/>
                <w:i w:val="0"/>
                <w:sz w:val="15"/>
              </w:rPr>
              <w:t>341,145.00</w:t>
            </w:r>
          </w:p>
        </w:tc>
      </w:tr>
      <w:tr>
        <w:tc>
          <w:tcPr>
            <w:tcW w:type="dxa" w:w="1080"/>
            <w:shd w:val="clear" w:color="auto" w:fill="EFEFEF"/>
          </w:tcPr>
          <w:p>
            <w:pPr>
              <w:spacing w:line="240" w:lineRule="auto" w:before="40" w:after="40"/>
              <w:jc w:val="left"/>
            </w:pPr>
            <w:r/>
            <w:r>
              <w:rPr>
                <w:b w:val="0"/>
                <w:i w:val="0"/>
                <w:sz w:val="15"/>
              </w:rPr>
              <w:t>1018 (2)</w:t>
            </w:r>
          </w:p>
        </w:tc>
        <w:tc>
          <w:tcPr>
            <w:tcW w:type="dxa" w:w="4104"/>
            <w:shd w:val="clear" w:color="auto" w:fill="EFEFEF"/>
          </w:tcPr>
          <w:p>
            <w:pPr>
              <w:spacing w:line="240" w:lineRule="auto" w:before="40" w:after="40"/>
              <w:jc w:val="left"/>
            </w:pPr>
            <w:r/>
            <w:r>
              <w:rPr>
                <w:b w:val="0"/>
                <w:i w:val="0"/>
                <w:sz w:val="15"/>
              </w:rPr>
              <w:t>Ceramic floor tiles 600 × 600 mm</w:t>
            </w:r>
          </w:p>
        </w:tc>
        <w:tc>
          <w:tcPr>
            <w:tcW w:type="dxa" w:w="1008"/>
            <w:shd w:val="clear" w:color="auto" w:fill="EFEFEF"/>
          </w:tcPr>
          <w:p>
            <w:pPr>
              <w:spacing w:line="240" w:lineRule="auto" w:before="40" w:after="40"/>
              <w:jc w:val="right"/>
            </w:pPr>
            <w:r/>
            <w:r>
              <w:rPr>
                <w:b w:val="0"/>
                <w:i w:val="0"/>
                <w:sz w:val="15"/>
              </w:rPr>
              <w:t>314.64</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1,180.00</w:t>
            </w:r>
          </w:p>
        </w:tc>
        <w:tc>
          <w:tcPr>
            <w:tcW w:type="dxa" w:w="1440"/>
            <w:shd w:val="clear" w:color="auto" w:fill="EFEFEF"/>
          </w:tcPr>
          <w:p>
            <w:pPr>
              <w:spacing w:line="240" w:lineRule="auto" w:before="40" w:after="40"/>
              <w:jc w:val="right"/>
            </w:pPr>
            <w:r/>
            <w:r>
              <w:rPr>
                <w:b w:val="0"/>
                <w:i w:val="0"/>
                <w:sz w:val="15"/>
              </w:rPr>
              <w:t>371,275.20</w:t>
            </w:r>
          </w:p>
        </w:tc>
      </w:tr>
      <w:tr>
        <w:tc>
          <w:tcPr>
            <w:tcW w:type="dxa" w:w="1080"/>
          </w:tcPr>
          <w:p>
            <w:pPr>
              <w:spacing w:line="240" w:lineRule="auto" w:before="40" w:after="40"/>
              <w:jc w:val="left"/>
            </w:pPr>
            <w:r/>
            <w:r>
              <w:rPr>
                <w:b w:val="0"/>
                <w:i w:val="0"/>
                <w:sz w:val="15"/>
              </w:rPr>
              <w:t>1010</w:t>
            </w:r>
          </w:p>
        </w:tc>
        <w:tc>
          <w:tcPr>
            <w:tcW w:type="dxa" w:w="4104"/>
          </w:tcPr>
          <w:p>
            <w:pPr>
              <w:spacing w:line="240" w:lineRule="auto" w:before="40" w:after="40"/>
              <w:jc w:val="left"/>
            </w:pPr>
            <w:r/>
            <w:r>
              <w:rPr>
                <w:b w:val="0"/>
                <w:i w:val="0"/>
                <w:sz w:val="15"/>
              </w:rPr>
              <w:t>Doors complete with jamb &amp; hardware</w:t>
            </w:r>
          </w:p>
        </w:tc>
        <w:tc>
          <w:tcPr>
            <w:tcW w:type="dxa" w:w="1008"/>
          </w:tcPr>
          <w:p>
            <w:pPr>
              <w:spacing w:line="240" w:lineRule="auto" w:before="40" w:after="40"/>
              <w:jc w:val="right"/>
            </w:pPr>
            <w:r/>
            <w:r>
              <w:rPr>
                <w:b w:val="0"/>
                <w:i w:val="0"/>
                <w:sz w:val="15"/>
              </w:rPr>
              <w:t>14.00</w:t>
            </w:r>
          </w:p>
        </w:tc>
        <w:tc>
          <w:tcPr>
            <w:tcW w:type="dxa" w:w="648"/>
          </w:tcPr>
          <w:p>
            <w:pPr>
              <w:spacing w:line="240" w:lineRule="auto" w:before="40" w:after="40"/>
              <w:jc w:val="left"/>
            </w:pPr>
            <w:r/>
            <w:r>
              <w:rPr>
                <w:b w:val="0"/>
                <w:i w:val="0"/>
                <w:sz w:val="15"/>
              </w:rPr>
              <w:t>set</w:t>
            </w:r>
          </w:p>
        </w:tc>
        <w:tc>
          <w:tcPr>
            <w:tcW w:type="dxa" w:w="1152"/>
          </w:tcPr>
          <w:p>
            <w:pPr>
              <w:spacing w:line="240" w:lineRule="auto" w:before="40" w:after="40"/>
              <w:jc w:val="right"/>
            </w:pPr>
            <w:r/>
            <w:r>
              <w:rPr>
                <w:b w:val="0"/>
                <w:i w:val="0"/>
                <w:sz w:val="15"/>
              </w:rPr>
              <w:t>13,500.00</w:t>
            </w:r>
          </w:p>
        </w:tc>
        <w:tc>
          <w:tcPr>
            <w:tcW w:type="dxa" w:w="1440"/>
          </w:tcPr>
          <w:p>
            <w:pPr>
              <w:spacing w:line="240" w:lineRule="auto" w:before="40" w:after="40"/>
              <w:jc w:val="right"/>
            </w:pPr>
            <w:r/>
            <w:r>
              <w:rPr>
                <w:b w:val="0"/>
                <w:i w:val="0"/>
                <w:sz w:val="15"/>
              </w:rPr>
              <w:t>189,000.00</w:t>
            </w:r>
          </w:p>
        </w:tc>
      </w:tr>
      <w:tr>
        <w:tc>
          <w:tcPr>
            <w:tcW w:type="dxa" w:w="1080"/>
            <w:shd w:val="clear" w:color="auto" w:fill="EFEFEF"/>
          </w:tcPr>
          <w:p>
            <w:pPr>
              <w:spacing w:line="240" w:lineRule="auto" w:before="40" w:after="40"/>
              <w:jc w:val="left"/>
            </w:pPr>
            <w:r/>
            <w:r>
              <w:rPr>
                <w:b w:val="0"/>
                <w:i w:val="0"/>
                <w:sz w:val="15"/>
              </w:rPr>
              <w:t>1008 (1)</w:t>
            </w:r>
          </w:p>
        </w:tc>
        <w:tc>
          <w:tcPr>
            <w:tcW w:type="dxa" w:w="4104"/>
            <w:shd w:val="clear" w:color="auto" w:fill="EFEFEF"/>
          </w:tcPr>
          <w:p>
            <w:pPr>
              <w:spacing w:line="240" w:lineRule="auto" w:before="40" w:after="40"/>
              <w:jc w:val="left"/>
            </w:pPr>
            <w:r/>
            <w:r>
              <w:rPr>
                <w:b w:val="0"/>
                <w:i w:val="0"/>
                <w:sz w:val="15"/>
              </w:rPr>
              <w:t>Aluminum-framed glass windows</w:t>
            </w:r>
          </w:p>
        </w:tc>
        <w:tc>
          <w:tcPr>
            <w:tcW w:type="dxa" w:w="1008"/>
            <w:shd w:val="clear" w:color="auto" w:fill="EFEFEF"/>
          </w:tcPr>
          <w:p>
            <w:pPr>
              <w:spacing w:line="240" w:lineRule="auto" w:before="40" w:after="40"/>
              <w:jc w:val="right"/>
            </w:pPr>
            <w:r/>
            <w:r>
              <w:rPr>
                <w:b w:val="0"/>
                <w:i w:val="0"/>
                <w:sz w:val="15"/>
              </w:rPr>
              <w:t>77.00</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6,200.00</w:t>
            </w:r>
          </w:p>
        </w:tc>
        <w:tc>
          <w:tcPr>
            <w:tcW w:type="dxa" w:w="1440"/>
            <w:shd w:val="clear" w:color="auto" w:fill="EFEFEF"/>
          </w:tcPr>
          <w:p>
            <w:pPr>
              <w:spacing w:line="240" w:lineRule="auto" w:before="40" w:after="40"/>
              <w:jc w:val="right"/>
            </w:pPr>
            <w:r/>
            <w:r>
              <w:rPr>
                <w:b w:val="0"/>
                <w:i w:val="0"/>
                <w:sz w:val="15"/>
              </w:rPr>
              <w:t>477,400.00</w:t>
            </w:r>
          </w:p>
        </w:tc>
      </w:tr>
      <w:tr>
        <w:tc>
          <w:tcPr>
            <w:tcW w:type="dxa" w:w="1080"/>
          </w:tcPr>
          <w:p>
            <w:pPr>
              <w:spacing w:line="240" w:lineRule="auto" w:before="40" w:after="40"/>
              <w:jc w:val="left"/>
            </w:pPr>
            <w:r/>
            <w:r>
              <w:rPr>
                <w:b w:val="0"/>
                <w:i w:val="0"/>
                <w:sz w:val="15"/>
              </w:rPr>
              <w:t>1100–1200</w:t>
            </w:r>
          </w:p>
        </w:tc>
        <w:tc>
          <w:tcPr>
            <w:tcW w:type="dxa" w:w="4104"/>
          </w:tcPr>
          <w:p>
            <w:pPr>
              <w:spacing w:line="240" w:lineRule="auto" w:before="40" w:after="40"/>
              <w:jc w:val="left"/>
            </w:pPr>
            <w:r/>
            <w:r>
              <w:rPr>
                <w:b w:val="0"/>
                <w:i w:val="0"/>
                <w:sz w:val="15"/>
              </w:rPr>
              <w:t>Electrical works (conduits, wires, devices, panel, fixtures)</w:t>
            </w:r>
          </w:p>
        </w:tc>
        <w:tc>
          <w:tcPr>
            <w:tcW w:type="dxa" w:w="1008"/>
          </w:tcPr>
          <w:p>
            <w:pPr>
              <w:spacing w:line="240" w:lineRule="auto" w:before="40" w:after="40"/>
              <w:jc w:val="right"/>
            </w:pPr>
            <w:r/>
            <w:r>
              <w:rPr>
                <w:b w:val="0"/>
                <w:i w:val="0"/>
                <w:sz w:val="15"/>
              </w:rPr>
              <w:t>342.00</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1,600.00</w:t>
            </w:r>
          </w:p>
        </w:tc>
        <w:tc>
          <w:tcPr>
            <w:tcW w:type="dxa" w:w="1440"/>
          </w:tcPr>
          <w:p>
            <w:pPr>
              <w:spacing w:line="240" w:lineRule="auto" w:before="40" w:after="40"/>
              <w:jc w:val="right"/>
            </w:pPr>
            <w:r/>
            <w:r>
              <w:rPr>
                <w:b w:val="0"/>
                <w:i w:val="0"/>
                <w:sz w:val="15"/>
              </w:rPr>
              <w:t>547,200.00</w:t>
            </w:r>
          </w:p>
        </w:tc>
      </w:tr>
      <w:tr>
        <w:tc>
          <w:tcPr>
            <w:tcW w:type="dxa" w:w="1080"/>
            <w:shd w:val="clear" w:color="auto" w:fill="EFEFEF"/>
          </w:tcPr>
          <w:p>
            <w:pPr>
              <w:spacing w:line="240" w:lineRule="auto" w:before="40" w:after="40"/>
              <w:jc w:val="left"/>
            </w:pPr>
            <w:r/>
            <w:r>
              <w:rPr>
                <w:b w:val="0"/>
                <w:i w:val="0"/>
                <w:sz w:val="15"/>
              </w:rPr>
              <w:t>1001–1002</w:t>
            </w:r>
          </w:p>
        </w:tc>
        <w:tc>
          <w:tcPr>
            <w:tcW w:type="dxa" w:w="4104"/>
            <w:shd w:val="clear" w:color="auto" w:fill="EFEFEF"/>
          </w:tcPr>
          <w:p>
            <w:pPr>
              <w:spacing w:line="240" w:lineRule="auto" w:before="40" w:after="40"/>
              <w:jc w:val="left"/>
            </w:pPr>
            <w:r/>
            <w:r>
              <w:rPr>
                <w:b w:val="0"/>
                <w:i w:val="0"/>
                <w:sz w:val="15"/>
              </w:rPr>
              <w:t>Plumbing &amp; sanitary works incl. fixtures</w:t>
            </w:r>
          </w:p>
        </w:tc>
        <w:tc>
          <w:tcPr>
            <w:tcW w:type="dxa" w:w="1008"/>
            <w:shd w:val="clear" w:color="auto" w:fill="EFEFEF"/>
          </w:tcPr>
          <w:p>
            <w:pPr>
              <w:spacing w:line="240" w:lineRule="auto" w:before="40" w:after="40"/>
              <w:jc w:val="right"/>
            </w:pPr>
            <w:r/>
            <w:r>
              <w:rPr>
                <w:b w:val="0"/>
                <w:i w:val="0"/>
                <w:sz w:val="15"/>
              </w:rPr>
              <w:t>342.00</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1,400.00</w:t>
            </w:r>
          </w:p>
        </w:tc>
        <w:tc>
          <w:tcPr>
            <w:tcW w:type="dxa" w:w="1440"/>
            <w:shd w:val="clear" w:color="auto" w:fill="EFEFEF"/>
          </w:tcPr>
          <w:p>
            <w:pPr>
              <w:spacing w:line="240" w:lineRule="auto" w:before="40" w:after="40"/>
              <w:jc w:val="right"/>
            </w:pPr>
            <w:r/>
            <w:r>
              <w:rPr>
                <w:b w:val="0"/>
                <w:i w:val="0"/>
                <w:sz w:val="15"/>
              </w:rPr>
              <w:t>478,800.00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Fire extinguishers, alarm &amp; detection (RA 9514)</w:t>
            </w:r>
          </w:p>
        </w:tc>
        <w:tc>
          <w:tcPr>
            <w:tcW w:type="dxa" w:w="1008"/>
          </w:tcPr>
          <w:p>
            <w:pPr>
              <w:spacing w:line="240" w:lineRule="auto" w:before="40" w:after="40"/>
              <w:jc w:val="right"/>
            </w:pPr>
            <w:r/>
            <w:r>
              <w:rPr>
                <w:b w:val="0"/>
                <w:i w:val="0"/>
                <w:sz w:val="15"/>
              </w:rPr>
              <w:t>342.00</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120.00</w:t>
            </w:r>
          </w:p>
        </w:tc>
        <w:tc>
          <w:tcPr>
            <w:tcW w:type="dxa" w:w="1440"/>
          </w:tcPr>
          <w:p>
            <w:pPr>
              <w:spacing w:line="240" w:lineRule="auto" w:before="40" w:after="40"/>
              <w:jc w:val="right"/>
            </w:pPr>
            <w:r/>
            <w:r>
              <w:rPr>
                <w:b w:val="0"/>
                <w:i w:val="0"/>
                <w:sz w:val="15"/>
              </w:rPr>
              <w:t>41,040.00</w:t>
            </w:r>
          </w:p>
        </w:tc>
      </w:tr>
      <w:tr>
        <w:tc>
          <w:tcPr>
            <w:tcW w:type="dxa" w:w="1080"/>
            <w:shd w:val="clear" w:color="auto" w:fill="EFEFEF"/>
          </w:tcPr>
          <w:p>
            <w:pPr>
              <w:spacing w:line="240" w:lineRule="auto" w:before="40" w:after="40"/>
              <w:jc w:val="left"/>
            </w:pPr>
            <w:r/>
            <w:r>
              <w:rPr>
                <w:b w:val="0"/>
                <w:i w:val="0"/>
                <w:sz w:val="15"/>
              </w:rPr>
              <w:t>—</w:t>
            </w:r>
          </w:p>
        </w:tc>
        <w:tc>
          <w:tcPr>
            <w:tcW w:type="dxa" w:w="4104"/>
            <w:shd w:val="clear" w:color="auto" w:fill="EFEFEF"/>
          </w:tcPr>
          <w:p>
            <w:pPr>
              <w:spacing w:line="240" w:lineRule="auto" w:before="40" w:after="40"/>
              <w:jc w:val="left"/>
            </w:pPr>
            <w:r/>
            <w:r>
              <w:rPr>
                <w:b w:val="0"/>
                <w:i w:val="0"/>
                <w:sz w:val="15"/>
              </w:rPr>
              <w:t>RC septic tank / sewage treatment</w:t>
            </w:r>
          </w:p>
        </w:tc>
        <w:tc>
          <w:tcPr>
            <w:tcW w:type="dxa" w:w="1008"/>
            <w:shd w:val="clear" w:color="auto" w:fill="EFEFEF"/>
          </w:tcPr>
          <w:p>
            <w:pPr>
              <w:spacing w:line="240" w:lineRule="auto" w:before="40" w:after="40"/>
              <w:jc w:val="right"/>
            </w:pPr>
            <w:r/>
            <w:r>
              <w:rPr>
                <w:b w:val="0"/>
                <w:i w:val="0"/>
                <w:sz w:val="15"/>
              </w:rPr>
              <w:t>1.00</w:t>
            </w:r>
          </w:p>
        </w:tc>
        <w:tc>
          <w:tcPr>
            <w:tcW w:type="dxa" w:w="648"/>
            <w:shd w:val="clear" w:color="auto" w:fill="EFEFEF"/>
          </w:tcPr>
          <w:p>
            <w:pPr>
              <w:spacing w:line="240" w:lineRule="auto" w:before="40" w:after="40"/>
              <w:jc w:val="left"/>
            </w:pPr>
            <w:r/>
            <w:r>
              <w:rPr>
                <w:b w:val="0"/>
                <w:i w:val="0"/>
                <w:sz w:val="15"/>
              </w:rPr>
              <w:t>unit</w:t>
            </w:r>
          </w:p>
        </w:tc>
        <w:tc>
          <w:tcPr>
            <w:tcW w:type="dxa" w:w="1152"/>
            <w:shd w:val="clear" w:color="auto" w:fill="EFEFEF"/>
          </w:tcPr>
          <w:p>
            <w:pPr>
              <w:spacing w:line="240" w:lineRule="auto" w:before="40" w:after="40"/>
              <w:jc w:val="right"/>
            </w:pPr>
            <w:r/>
            <w:r>
              <w:rPr>
                <w:b w:val="0"/>
                <w:i w:val="0"/>
                <w:sz w:val="15"/>
              </w:rPr>
              <w:t>75,390.00</w:t>
            </w:r>
          </w:p>
        </w:tc>
        <w:tc>
          <w:tcPr>
            <w:tcW w:type="dxa" w:w="1440"/>
            <w:shd w:val="clear" w:color="auto" w:fill="EFEFEF"/>
          </w:tcPr>
          <w:p>
            <w:pPr>
              <w:spacing w:line="240" w:lineRule="auto" w:before="40" w:after="40"/>
              <w:jc w:val="right"/>
            </w:pPr>
            <w:r/>
            <w:r>
              <w:rPr>
                <w:b w:val="0"/>
                <w:i w:val="0"/>
                <w:sz w:val="15"/>
              </w:rPr>
              <w:t>75,390.00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Accessibility ramp &amp; handrails (BP 344)</w:t>
            </w:r>
          </w:p>
        </w:tc>
        <w:tc>
          <w:tcPr>
            <w:tcW w:type="dxa" w:w="1008"/>
          </w:tcPr>
          <w:p>
            <w:pPr>
              <w:spacing w:line="240" w:lineRule="auto" w:before="40" w:after="40"/>
              <w:jc w:val="right"/>
            </w:pPr>
            <w:r/>
            <w:r>
              <w:rPr>
                <w:b w:val="0"/>
                <w:i w:val="0"/>
                <w:sz w:val="15"/>
              </w:rPr>
              <w:t>1.00</w:t>
            </w:r>
          </w:p>
        </w:tc>
        <w:tc>
          <w:tcPr>
            <w:tcW w:type="dxa" w:w="648"/>
          </w:tcPr>
          <w:p>
            <w:pPr>
              <w:spacing w:line="240" w:lineRule="auto" w:before="40" w:after="40"/>
              <w:jc w:val="left"/>
            </w:pPr>
            <w:r/>
            <w:r>
              <w:rPr>
                <w:b w:val="0"/>
                <w:i w:val="0"/>
                <w:sz w:val="15"/>
              </w:rPr>
              <w:t>unit</w:t>
            </w:r>
          </w:p>
        </w:tc>
        <w:tc>
          <w:tcPr>
            <w:tcW w:type="dxa" w:w="1152"/>
          </w:tcPr>
          <w:p>
            <w:pPr>
              <w:spacing w:line="240" w:lineRule="auto" w:before="40" w:after="40"/>
              <w:jc w:val="right"/>
            </w:pPr>
            <w:r/>
            <w:r>
              <w:rPr>
                <w:b w:val="0"/>
                <w:i w:val="0"/>
                <w:sz w:val="15"/>
              </w:rPr>
              <w:t>38,000.00</w:t>
            </w:r>
          </w:p>
        </w:tc>
        <w:tc>
          <w:tcPr>
            <w:tcW w:type="dxa" w:w="1440"/>
          </w:tcPr>
          <w:p>
            <w:pPr>
              <w:spacing w:line="240" w:lineRule="auto" w:before="40" w:after="40"/>
              <w:jc w:val="right"/>
            </w:pPr>
            <w:r/>
            <w:r>
              <w:rPr>
                <w:b w:val="0"/>
                <w:i w:val="0"/>
                <w:sz w:val="15"/>
              </w:rPr>
              <w:t>38,000.00</w:t>
            </w:r>
          </w:p>
        </w:tc>
      </w:tr>
      <w:tr>
        <w:tc>
          <w:tcPr>
            <w:tcW w:type="dxa" w:w="1080"/>
            <w:shd w:val="clear" w:color="auto" w:fill="EFEFEF"/>
          </w:tcPr>
          <w:p>
            <w:pPr>
              <w:spacing w:line="240" w:lineRule="auto" w:before="40" w:after="40"/>
              <w:jc w:val="left"/>
            </w:pPr>
            <w:r/>
            <w:r>
              <w:rPr>
                <w:b w:val="0"/>
                <w:i w:val="0"/>
                <w:sz w:val="15"/>
              </w:rPr>
              <w:t>B.9</w:t>
            </w:r>
          </w:p>
        </w:tc>
        <w:tc>
          <w:tcPr>
            <w:tcW w:type="dxa" w:w="4104"/>
            <w:shd w:val="clear" w:color="auto" w:fill="EFEFEF"/>
          </w:tcPr>
          <w:p>
            <w:pPr>
              <w:spacing w:line="240" w:lineRule="auto" w:before="40" w:after="40"/>
              <w:jc w:val="left"/>
            </w:pPr>
            <w:r/>
            <w:r>
              <w:rPr>
                <w:b w:val="0"/>
                <w:i w:val="0"/>
                <w:sz w:val="15"/>
              </w:rPr>
              <w:t>Mobilization / demobilization</w:t>
            </w:r>
          </w:p>
        </w:tc>
        <w:tc>
          <w:tcPr>
            <w:tcW w:type="dxa" w:w="1008"/>
            <w:shd w:val="clear" w:color="auto" w:fill="EFEFEF"/>
          </w:tcPr>
          <w:p>
            <w:pPr>
              <w:spacing w:line="240" w:lineRule="auto" w:before="40" w:after="40"/>
              <w:jc w:val="right"/>
            </w:pPr>
            <w:r/>
            <w:r>
              <w:rPr>
                <w:b w:val="0"/>
                <w:i w:val="0"/>
                <w:sz w:val="15"/>
              </w:rPr>
              <w:t>1.00</w:t>
            </w:r>
          </w:p>
        </w:tc>
        <w:tc>
          <w:tcPr>
            <w:tcW w:type="dxa" w:w="648"/>
            <w:shd w:val="clear" w:color="auto" w:fill="EFEFEF"/>
          </w:tcPr>
          <w:p>
            <w:pPr>
              <w:spacing w:line="240" w:lineRule="auto" w:before="40" w:after="40"/>
              <w:jc w:val="left"/>
            </w:pPr>
            <w:r/>
            <w:r>
              <w:rPr>
                <w:b w:val="0"/>
                <w:i w:val="0"/>
                <w:sz w:val="15"/>
              </w:rPr>
              <w:t>l.s.</w:t>
            </w:r>
          </w:p>
        </w:tc>
        <w:tc>
          <w:tcPr>
            <w:tcW w:type="dxa" w:w="1152"/>
            <w:shd w:val="clear" w:color="auto" w:fill="EFEFEF"/>
          </w:tcPr>
          <w:p>
            <w:pPr>
              <w:spacing w:line="240" w:lineRule="auto" w:before="40" w:after="40"/>
              <w:jc w:val="right"/>
            </w:pPr>
            <w:r/>
            <w:r>
              <w:rPr>
                <w:b w:val="0"/>
                <w:i w:val="0"/>
                <w:sz w:val="15"/>
              </w:rPr>
              <w:t>83,815.84</w:t>
            </w:r>
          </w:p>
        </w:tc>
        <w:tc>
          <w:tcPr>
            <w:tcW w:type="dxa" w:w="1440"/>
            <w:shd w:val="clear" w:color="auto" w:fill="EFEFEF"/>
          </w:tcPr>
          <w:p>
            <w:pPr>
              <w:spacing w:line="240" w:lineRule="auto" w:before="40" w:after="40"/>
              <w:jc w:val="right"/>
            </w:pPr>
            <w:r/>
            <w:r>
              <w:rPr>
                <w:b w:val="0"/>
                <w:i w:val="0"/>
                <w:sz w:val="15"/>
              </w:rPr>
              <w:t>83,815.84</w:t>
            </w:r>
          </w:p>
        </w:tc>
      </w:tr>
      <w:tr>
        <w:tc>
          <w:tcPr>
            <w:tcW w:type="dxa" w:w="1080"/>
          </w:tcPr>
          <w:p>
            <w:pPr>
              <w:spacing w:line="240" w:lineRule="auto" w:before="40" w:after="40"/>
              <w:jc w:val="left"/>
            </w:pPr>
            <w:r/>
            <w:r>
              <w:rPr>
                <w:b w:val="0"/>
                <w:i w:val="0"/>
                <w:sz w:val="15"/>
              </w:rPr>
              <w:t>B.7 (1)</w:t>
            </w:r>
          </w:p>
        </w:tc>
        <w:tc>
          <w:tcPr>
            <w:tcW w:type="dxa" w:w="4104"/>
          </w:tcPr>
          <w:p>
            <w:pPr>
              <w:spacing w:line="240" w:lineRule="auto" w:before="40" w:after="40"/>
              <w:jc w:val="left"/>
            </w:pPr>
            <w:r/>
            <w:r>
              <w:rPr>
                <w:b w:val="0"/>
                <w:i w:val="0"/>
                <w:sz w:val="15"/>
              </w:rPr>
              <w:t>Occupational safety &amp; health program</w:t>
            </w:r>
          </w:p>
        </w:tc>
        <w:tc>
          <w:tcPr>
            <w:tcW w:type="dxa" w:w="1008"/>
          </w:tcPr>
          <w:p>
            <w:pPr>
              <w:spacing w:line="240" w:lineRule="auto" w:before="40" w:after="40"/>
              <w:jc w:val="right"/>
            </w:pPr>
            <w:r/>
            <w:r>
              <w:rPr>
                <w:b w:val="0"/>
                <w:i w:val="0"/>
                <w:sz w:val="15"/>
              </w:rPr>
              <w:t>1.00</w:t>
            </w:r>
          </w:p>
        </w:tc>
        <w:tc>
          <w:tcPr>
            <w:tcW w:type="dxa" w:w="648"/>
          </w:tcPr>
          <w:p>
            <w:pPr>
              <w:spacing w:line="240" w:lineRule="auto" w:before="40" w:after="40"/>
              <w:jc w:val="left"/>
            </w:pPr>
            <w:r/>
            <w:r>
              <w:rPr>
                <w:b w:val="0"/>
                <w:i w:val="0"/>
                <w:sz w:val="15"/>
              </w:rPr>
              <w:t>l.s.</w:t>
            </w:r>
          </w:p>
        </w:tc>
        <w:tc>
          <w:tcPr>
            <w:tcW w:type="dxa" w:w="1152"/>
          </w:tcPr>
          <w:p>
            <w:pPr>
              <w:spacing w:line="240" w:lineRule="auto" w:before="40" w:after="40"/>
              <w:jc w:val="right"/>
            </w:pPr>
            <w:r/>
            <w:r>
              <w:rPr>
                <w:b w:val="0"/>
                <w:i w:val="0"/>
                <w:sz w:val="15"/>
              </w:rPr>
              <w:t>104,769.80</w:t>
            </w:r>
          </w:p>
        </w:tc>
        <w:tc>
          <w:tcPr>
            <w:tcW w:type="dxa" w:w="1440"/>
          </w:tcPr>
          <w:p>
            <w:pPr>
              <w:spacing w:line="240" w:lineRule="auto" w:before="40" w:after="40"/>
              <w:jc w:val="right"/>
            </w:pPr>
            <w:r/>
            <w:r>
              <w:rPr>
                <w:b w:val="0"/>
                <w:i w:val="0"/>
                <w:sz w:val="15"/>
              </w:rPr>
              <w:t>104,769.80</w:t>
            </w:r>
          </w:p>
        </w:tc>
      </w:tr>
      <w:tr>
        <w:tc>
          <w:tcPr>
            <w:tcW w:type="dxa" w:w="1080"/>
            <w:shd w:val="clear" w:color="auto" w:fill="EFEFEF"/>
          </w:tcPr>
          <w:p>
            <w:pPr>
              <w:spacing w:line="240" w:lineRule="auto" w:before="40" w:after="40"/>
              <w:jc w:val="left"/>
            </w:pPr>
            <w:r/>
            <w:r>
              <w:rPr>
                <w:b w:val="0"/>
                <w:i w:val="0"/>
                <w:sz w:val="15"/>
              </w:rPr>
              <w:t>B.5</w:t>
            </w:r>
          </w:p>
        </w:tc>
        <w:tc>
          <w:tcPr>
            <w:tcW w:type="dxa" w:w="4104"/>
            <w:shd w:val="clear" w:color="auto" w:fill="EFEFEF"/>
          </w:tcPr>
          <w:p>
            <w:pPr>
              <w:spacing w:line="240" w:lineRule="auto" w:before="40" w:after="40"/>
              <w:jc w:val="left"/>
            </w:pPr>
            <w:r/>
            <w:r>
              <w:rPr>
                <w:b w:val="0"/>
                <w:i w:val="0"/>
                <w:sz w:val="15"/>
              </w:rPr>
              <w:t>Project billboard / signboard</w:t>
            </w:r>
          </w:p>
        </w:tc>
        <w:tc>
          <w:tcPr>
            <w:tcW w:type="dxa" w:w="1008"/>
            <w:shd w:val="clear" w:color="auto" w:fill="EFEFEF"/>
          </w:tcPr>
          <w:p>
            <w:pPr>
              <w:spacing w:line="240" w:lineRule="auto" w:before="40" w:after="40"/>
              <w:jc w:val="right"/>
            </w:pPr>
            <w:r/>
            <w:r>
              <w:rPr>
                <w:b w:val="0"/>
                <w:i w:val="0"/>
                <w:sz w:val="15"/>
              </w:rPr>
              <w:t>2.00</w:t>
            </w:r>
          </w:p>
        </w:tc>
        <w:tc>
          <w:tcPr>
            <w:tcW w:type="dxa" w:w="648"/>
            <w:shd w:val="clear" w:color="auto" w:fill="EFEFEF"/>
          </w:tcPr>
          <w:p>
            <w:pPr>
              <w:spacing w:line="240" w:lineRule="auto" w:before="40" w:after="40"/>
              <w:jc w:val="left"/>
            </w:pPr>
            <w:r/>
            <w:r>
              <w:rPr>
                <w:b w:val="0"/>
                <w:i w:val="0"/>
                <w:sz w:val="15"/>
              </w:rPr>
              <w:t>each</w:t>
            </w:r>
          </w:p>
        </w:tc>
        <w:tc>
          <w:tcPr>
            <w:tcW w:type="dxa" w:w="1152"/>
            <w:shd w:val="clear" w:color="auto" w:fill="EFEFEF"/>
          </w:tcPr>
          <w:p>
            <w:pPr>
              <w:spacing w:line="240" w:lineRule="auto" w:before="40" w:after="40"/>
              <w:jc w:val="right"/>
            </w:pPr>
            <w:r/>
            <w:r>
              <w:rPr>
                <w:b w:val="0"/>
                <w:i w:val="0"/>
                <w:sz w:val="15"/>
              </w:rPr>
              <w:t>7,500.00</w:t>
            </w:r>
          </w:p>
        </w:tc>
        <w:tc>
          <w:tcPr>
            <w:tcW w:type="dxa" w:w="1440"/>
            <w:shd w:val="clear" w:color="auto" w:fill="EFEFEF"/>
          </w:tcPr>
          <w:p>
            <w:pPr>
              <w:spacing w:line="240" w:lineRule="auto" w:before="40" w:after="40"/>
              <w:jc w:val="right"/>
            </w:pPr>
            <w:r/>
            <w:r>
              <w:rPr>
                <w:b w:val="0"/>
                <w:i w:val="0"/>
                <w:sz w:val="15"/>
              </w:rPr>
              <w:t>15,000.00</w:t>
            </w:r>
          </w:p>
        </w:tc>
      </w:tr>
      <w:tr>
        <w:tc>
          <w:tcPr>
            <w:tcW w:type="dxa" w:w="1080"/>
          </w:tcPr>
          <w:p>
            <w:pPr>
              <w:spacing w:line="240" w:lineRule="auto" w:before="40" w:after="40"/>
              <w:jc w:val="left"/>
            </w:pPr>
            <w:r/>
            <w:r>
              <w:rPr>
                <w:b w:val="0"/>
                <w:i w:val="0"/>
                <w:sz w:val="15"/>
              </w:rPr>
              <w:t>B.3</w:t>
            </w:r>
          </w:p>
        </w:tc>
        <w:tc>
          <w:tcPr>
            <w:tcW w:type="dxa" w:w="4104"/>
          </w:tcPr>
          <w:p>
            <w:pPr>
              <w:spacing w:line="240" w:lineRule="auto" w:before="40" w:after="40"/>
              <w:jc w:val="left"/>
            </w:pPr>
            <w:r/>
            <w:r>
              <w:rPr>
                <w:b w:val="0"/>
                <w:i w:val="0"/>
                <w:sz w:val="15"/>
              </w:rPr>
              <w:t>Survey, staking, testing &amp; as-built plans</w:t>
            </w:r>
          </w:p>
        </w:tc>
        <w:tc>
          <w:tcPr>
            <w:tcW w:type="dxa" w:w="1008"/>
          </w:tcPr>
          <w:p>
            <w:pPr>
              <w:spacing w:line="240" w:lineRule="auto" w:before="40" w:after="40"/>
              <w:jc w:val="right"/>
            </w:pPr>
            <w:r/>
            <w:r>
              <w:rPr>
                <w:b w:val="0"/>
                <w:i w:val="0"/>
                <w:sz w:val="15"/>
              </w:rPr>
              <w:t>1.00</w:t>
            </w:r>
          </w:p>
        </w:tc>
        <w:tc>
          <w:tcPr>
            <w:tcW w:type="dxa" w:w="648"/>
          </w:tcPr>
          <w:p>
            <w:pPr>
              <w:spacing w:line="240" w:lineRule="auto" w:before="40" w:after="40"/>
              <w:jc w:val="left"/>
            </w:pPr>
            <w:r/>
            <w:r>
              <w:rPr>
                <w:b w:val="0"/>
                <w:i w:val="0"/>
                <w:sz w:val="15"/>
              </w:rPr>
              <w:t>l.s.</w:t>
            </w:r>
          </w:p>
        </w:tc>
        <w:tc>
          <w:tcPr>
            <w:tcW w:type="dxa" w:w="1152"/>
          </w:tcPr>
          <w:p>
            <w:pPr>
              <w:spacing w:line="240" w:lineRule="auto" w:before="40" w:after="40"/>
              <w:jc w:val="right"/>
            </w:pPr>
            <w:r/>
            <w:r>
              <w:rPr>
                <w:b w:val="0"/>
                <w:i w:val="0"/>
                <w:sz w:val="15"/>
              </w:rPr>
              <w:t>34,923.27</w:t>
            </w:r>
          </w:p>
        </w:tc>
        <w:tc>
          <w:tcPr>
            <w:tcW w:type="dxa" w:w="1440"/>
          </w:tcPr>
          <w:p>
            <w:pPr>
              <w:spacing w:line="240" w:lineRule="auto" w:before="40" w:after="40"/>
              <w:jc w:val="right"/>
            </w:pPr>
            <w:r/>
            <w:r>
              <w:rPr>
                <w:b w:val="0"/>
                <w:i w:val="0"/>
                <w:sz w:val="15"/>
              </w:rPr>
              <w:t>34,923.27</w:t>
            </w:r>
          </w:p>
        </w:tc>
      </w:tr>
      <w:tr>
        <w:tc>
          <w:tcPr>
            <w:tcW w:type="dxa" w:w="1080"/>
            <w:shd w:val="clear" w:color="auto" w:fill="EFEFEF"/>
          </w:tcPr>
          <w:p>
            <w:pPr>
              <w:spacing w:line="240" w:lineRule="auto" w:before="40" w:after="40"/>
              <w:jc w:val="left"/>
            </w:pPr>
            <w:r/>
          </w:p>
        </w:tc>
        <w:tc>
          <w:tcPr>
            <w:tcW w:type="dxa" w:w="4104"/>
            <w:shd w:val="clear" w:color="auto" w:fill="EFEFEF"/>
          </w:tcPr>
          <w:p>
            <w:pPr>
              <w:spacing w:line="240" w:lineRule="auto" w:before="40" w:after="40"/>
              <w:jc w:val="left"/>
            </w:pPr>
            <w:r/>
            <w:r>
              <w:rPr>
                <w:b w:val="0"/>
                <w:i w:val="0"/>
                <w:sz w:val="15"/>
              </w:rPr>
              <w:t>Estimated direct cost</w:t>
            </w:r>
          </w:p>
        </w:tc>
        <w:tc>
          <w:tcPr>
            <w:tcW w:type="dxa" w:w="1008"/>
            <w:shd w:val="clear" w:color="auto" w:fill="EFEFEF"/>
          </w:tcPr>
          <w:p>
            <w:pPr>
              <w:spacing w:line="240" w:lineRule="auto" w:before="40" w:after="40"/>
              <w:jc w:val="left"/>
            </w:pPr>
            <w:r/>
          </w:p>
        </w:tc>
        <w:tc>
          <w:tcPr>
            <w:tcW w:type="dxa" w:w="648"/>
            <w:shd w:val="clear" w:color="auto" w:fill="EFEFEF"/>
          </w:tcPr>
          <w:p>
            <w:pPr>
              <w:spacing w:line="240" w:lineRule="auto" w:before="40" w:after="40"/>
              <w:jc w:val="left"/>
            </w:pPr>
            <w:r/>
          </w:p>
        </w:tc>
        <w:tc>
          <w:tcPr>
            <w:tcW w:type="dxa" w:w="1152"/>
            <w:shd w:val="clear" w:color="auto" w:fill="EFEFEF"/>
          </w:tcPr>
          <w:p>
            <w:pPr>
              <w:spacing w:line="240" w:lineRule="auto" w:before="40" w:after="40"/>
              <w:jc w:val="left"/>
            </w:pPr>
            <w:r/>
          </w:p>
        </w:tc>
        <w:tc>
          <w:tcPr>
            <w:tcW w:type="dxa" w:w="1440"/>
            <w:shd w:val="clear" w:color="auto" w:fill="EFEFEF"/>
          </w:tcPr>
          <w:p>
            <w:pPr>
              <w:spacing w:line="240" w:lineRule="auto" w:before="40" w:after="40"/>
              <w:jc w:val="right"/>
            </w:pPr>
            <w:r/>
            <w:r>
              <w:rPr>
                <w:b w:val="0"/>
                <w:i w:val="0"/>
                <w:sz w:val="15"/>
              </w:rPr>
              <w:t>7,223,161.99</w:t>
            </w:r>
          </w:p>
        </w:tc>
      </w:tr>
      <w:tr>
        <w:tc>
          <w:tcPr>
            <w:tcW w:type="dxa" w:w="1080"/>
          </w:tcPr>
          <w:p>
            <w:pPr>
              <w:spacing w:line="240" w:lineRule="auto" w:before="40" w:after="40"/>
              <w:jc w:val="left"/>
            </w:pPr>
            <w:r/>
          </w:p>
        </w:tc>
        <w:tc>
          <w:tcPr>
            <w:tcW w:type="dxa" w:w="4104"/>
          </w:tcPr>
          <w:p>
            <w:pPr>
              <w:spacing w:line="240" w:lineRule="auto" w:before="40" w:after="40"/>
              <w:jc w:val="left"/>
            </w:pPr>
            <w:r/>
            <w:r>
              <w:rPr>
                <w:b w:val="0"/>
                <w:i w:val="0"/>
                <w:sz w:val="15"/>
              </w:rPr>
              <w:t>OCM (12%)</w:t>
            </w:r>
          </w:p>
        </w:tc>
        <w:tc>
          <w:tcPr>
            <w:tcW w:type="dxa" w:w="1008"/>
          </w:tcPr>
          <w:p>
            <w:pPr>
              <w:spacing w:line="240" w:lineRule="auto" w:before="40" w:after="40"/>
              <w:jc w:val="left"/>
            </w:pPr>
            <w:r/>
          </w:p>
        </w:tc>
        <w:tc>
          <w:tcPr>
            <w:tcW w:type="dxa" w:w="648"/>
          </w:tcPr>
          <w:p>
            <w:pPr>
              <w:spacing w:line="240" w:lineRule="auto" w:before="40" w:after="40"/>
              <w:jc w:val="left"/>
            </w:pPr>
            <w:r/>
          </w:p>
        </w:tc>
        <w:tc>
          <w:tcPr>
            <w:tcW w:type="dxa" w:w="1152"/>
          </w:tcPr>
          <w:p>
            <w:pPr>
              <w:spacing w:line="240" w:lineRule="auto" w:before="40" w:after="40"/>
              <w:jc w:val="left"/>
            </w:pPr>
            <w:r/>
          </w:p>
        </w:tc>
        <w:tc>
          <w:tcPr>
            <w:tcW w:type="dxa" w:w="1440"/>
          </w:tcPr>
          <w:p>
            <w:pPr>
              <w:spacing w:line="240" w:lineRule="auto" w:before="40" w:after="40"/>
              <w:jc w:val="right"/>
            </w:pPr>
            <w:r/>
            <w:r>
              <w:rPr>
                <w:b w:val="0"/>
                <w:i w:val="0"/>
                <w:sz w:val="15"/>
              </w:rPr>
              <w:t>866,779.44</w:t>
            </w:r>
          </w:p>
        </w:tc>
      </w:tr>
      <w:tr>
        <w:tc>
          <w:tcPr>
            <w:tcW w:type="dxa" w:w="1080"/>
            <w:shd w:val="clear" w:color="auto" w:fill="EFEFEF"/>
          </w:tcPr>
          <w:p>
            <w:pPr>
              <w:spacing w:line="240" w:lineRule="auto" w:before="40" w:after="40"/>
              <w:jc w:val="left"/>
            </w:pPr>
            <w:r/>
          </w:p>
        </w:tc>
        <w:tc>
          <w:tcPr>
            <w:tcW w:type="dxa" w:w="4104"/>
            <w:shd w:val="clear" w:color="auto" w:fill="EFEFEF"/>
          </w:tcPr>
          <w:p>
            <w:pPr>
              <w:spacing w:line="240" w:lineRule="auto" w:before="40" w:after="40"/>
              <w:jc w:val="left"/>
            </w:pPr>
            <w:r/>
            <w:r>
              <w:rPr>
                <w:b w:val="0"/>
                <w:i w:val="0"/>
                <w:sz w:val="15"/>
              </w:rPr>
              <w:t>Profit (8%)</w:t>
            </w:r>
          </w:p>
        </w:tc>
        <w:tc>
          <w:tcPr>
            <w:tcW w:type="dxa" w:w="1008"/>
            <w:shd w:val="clear" w:color="auto" w:fill="EFEFEF"/>
          </w:tcPr>
          <w:p>
            <w:pPr>
              <w:spacing w:line="240" w:lineRule="auto" w:before="40" w:after="40"/>
              <w:jc w:val="left"/>
            </w:pPr>
            <w:r/>
          </w:p>
        </w:tc>
        <w:tc>
          <w:tcPr>
            <w:tcW w:type="dxa" w:w="648"/>
            <w:shd w:val="clear" w:color="auto" w:fill="EFEFEF"/>
          </w:tcPr>
          <w:p>
            <w:pPr>
              <w:spacing w:line="240" w:lineRule="auto" w:before="40" w:after="40"/>
              <w:jc w:val="left"/>
            </w:pPr>
            <w:r/>
          </w:p>
        </w:tc>
        <w:tc>
          <w:tcPr>
            <w:tcW w:type="dxa" w:w="1152"/>
            <w:shd w:val="clear" w:color="auto" w:fill="EFEFEF"/>
          </w:tcPr>
          <w:p>
            <w:pPr>
              <w:spacing w:line="240" w:lineRule="auto" w:before="40" w:after="40"/>
              <w:jc w:val="left"/>
            </w:pPr>
            <w:r/>
          </w:p>
        </w:tc>
        <w:tc>
          <w:tcPr>
            <w:tcW w:type="dxa" w:w="1440"/>
            <w:shd w:val="clear" w:color="auto" w:fill="EFEFEF"/>
          </w:tcPr>
          <w:p>
            <w:pPr>
              <w:spacing w:line="240" w:lineRule="auto" w:before="40" w:after="40"/>
              <w:jc w:val="right"/>
            </w:pPr>
            <w:r/>
            <w:r>
              <w:rPr>
                <w:b w:val="0"/>
                <w:i w:val="0"/>
                <w:sz w:val="15"/>
              </w:rPr>
              <w:t>577,852.96</w:t>
            </w:r>
          </w:p>
        </w:tc>
      </w:tr>
      <w:tr>
        <w:tc>
          <w:tcPr>
            <w:tcW w:type="dxa" w:w="1080"/>
          </w:tcPr>
          <w:p>
            <w:pPr>
              <w:spacing w:line="240" w:lineRule="auto" w:before="40" w:after="40"/>
              <w:jc w:val="left"/>
            </w:pPr>
            <w:r/>
          </w:p>
        </w:tc>
        <w:tc>
          <w:tcPr>
            <w:tcW w:type="dxa" w:w="4104"/>
          </w:tcPr>
          <w:p>
            <w:pPr>
              <w:spacing w:line="240" w:lineRule="auto" w:before="40" w:after="40"/>
              <w:jc w:val="left"/>
            </w:pPr>
            <w:r/>
            <w:r>
              <w:rPr>
                <w:b w:val="0"/>
                <w:i w:val="0"/>
                <w:sz w:val="15"/>
              </w:rPr>
              <w:t>VAT (5%)</w:t>
            </w:r>
          </w:p>
        </w:tc>
        <w:tc>
          <w:tcPr>
            <w:tcW w:type="dxa" w:w="1008"/>
          </w:tcPr>
          <w:p>
            <w:pPr>
              <w:spacing w:line="240" w:lineRule="auto" w:before="40" w:after="40"/>
              <w:jc w:val="left"/>
            </w:pPr>
            <w:r/>
          </w:p>
        </w:tc>
        <w:tc>
          <w:tcPr>
            <w:tcW w:type="dxa" w:w="648"/>
          </w:tcPr>
          <w:p>
            <w:pPr>
              <w:spacing w:line="240" w:lineRule="auto" w:before="40" w:after="40"/>
              <w:jc w:val="left"/>
            </w:pPr>
            <w:r/>
          </w:p>
        </w:tc>
        <w:tc>
          <w:tcPr>
            <w:tcW w:type="dxa" w:w="1152"/>
          </w:tcPr>
          <w:p>
            <w:pPr>
              <w:spacing w:line="240" w:lineRule="auto" w:before="40" w:after="40"/>
              <w:jc w:val="left"/>
            </w:pPr>
            <w:r/>
          </w:p>
        </w:tc>
        <w:tc>
          <w:tcPr>
            <w:tcW w:type="dxa" w:w="1440"/>
          </w:tcPr>
          <w:p>
            <w:pPr>
              <w:spacing w:line="240" w:lineRule="auto" w:before="40" w:after="40"/>
              <w:jc w:val="right"/>
            </w:pPr>
            <w:r/>
            <w:r>
              <w:rPr>
                <w:b w:val="0"/>
                <w:i w:val="0"/>
                <w:sz w:val="15"/>
              </w:rPr>
              <w:t>433,389.72</w:t>
            </w:r>
          </w:p>
        </w:tc>
      </w:tr>
      <w:tr>
        <w:tc>
          <w:tcPr>
            <w:tcW w:type="dxa" w:w="1080"/>
            <w:shd w:val="clear" w:color="auto" w:fill="EFEFEF"/>
            <w:tcBorders>
              <w:bottom w:val="single" w:sz="12" w:color="000000"/>
            </w:tcBorders>
          </w:tcPr>
          <w:p>
            <w:pPr>
              <w:spacing w:line="240" w:lineRule="auto" w:before="40" w:after="40"/>
              <w:jc w:val="left"/>
            </w:pPr>
            <w:r/>
          </w:p>
        </w:tc>
        <w:tc>
          <w:tcPr>
            <w:tcW w:type="dxa" w:w="4104"/>
            <w:shd w:val="clear" w:color="auto" w:fill="EFEFEF"/>
            <w:tcBorders>
              <w:bottom w:val="single" w:sz="12" w:color="000000"/>
            </w:tcBorders>
          </w:tcPr>
          <w:p>
            <w:pPr>
              <w:spacing w:line="240" w:lineRule="auto" w:before="40" w:after="40"/>
              <w:jc w:val="left"/>
            </w:pPr>
            <w:r/>
            <w:r>
              <w:rPr>
                <w:b/>
                <w:i w:val="0"/>
                <w:sz w:val="15"/>
              </w:rPr>
              <w:t>Approved Budget for the Contract</w:t>
            </w:r>
          </w:p>
        </w:tc>
        <w:tc>
          <w:tcPr>
            <w:tcW w:type="dxa" w:w="1008"/>
            <w:shd w:val="clear" w:color="auto" w:fill="EFEFEF"/>
            <w:tcBorders>
              <w:bottom w:val="single" w:sz="12" w:color="000000"/>
            </w:tcBorders>
          </w:tcPr>
          <w:p>
            <w:pPr>
              <w:spacing w:line="240" w:lineRule="auto" w:before="40" w:after="40"/>
              <w:jc w:val="left"/>
            </w:pPr>
            <w:r/>
          </w:p>
        </w:tc>
        <w:tc>
          <w:tcPr>
            <w:tcW w:type="dxa" w:w="648"/>
            <w:shd w:val="clear" w:color="auto" w:fill="EFEFEF"/>
            <w:tcBorders>
              <w:bottom w:val="single" w:sz="12" w:color="000000"/>
            </w:tcBorders>
          </w:tcPr>
          <w:p>
            <w:pPr>
              <w:spacing w:line="240" w:lineRule="auto" w:before="40" w:after="40"/>
              <w:jc w:val="left"/>
            </w:pPr>
            <w:r/>
          </w:p>
        </w:tc>
        <w:tc>
          <w:tcPr>
            <w:tcW w:type="dxa" w:w="1152"/>
            <w:shd w:val="clear" w:color="auto" w:fill="EFEFEF"/>
            <w:tcBorders>
              <w:bottom w:val="single" w:sz="12" w:color="000000"/>
            </w:tcBorders>
          </w:tcPr>
          <w:p>
            <w:pPr>
              <w:spacing w:line="240" w:lineRule="auto" w:before="40" w:after="40"/>
              <w:jc w:val="left"/>
            </w:pPr>
            <w:r/>
          </w:p>
        </w:tc>
        <w:tc>
          <w:tcPr>
            <w:tcW w:type="dxa" w:w="1440"/>
            <w:shd w:val="clear" w:color="auto" w:fill="EFEFEF"/>
            <w:tcBorders>
              <w:bottom w:val="single" w:sz="12" w:color="000000"/>
            </w:tcBorders>
          </w:tcPr>
          <w:p>
            <w:pPr>
              <w:spacing w:line="240" w:lineRule="auto" w:before="40" w:after="40"/>
              <w:jc w:val="right"/>
            </w:pPr>
            <w:r/>
            <w:r>
              <w:rPr>
                <w:b/>
                <w:i w:val="0"/>
                <w:sz w:val="15"/>
              </w:rPr>
              <w:t>9,101,184.11</w:t>
            </w:r>
          </w:p>
        </w:tc>
      </w:tr>
    </w:tbl>
    <w:p>
      <w:r>
        <w:br w:type="page"/>
      </w:r>
    </w:p>
    <w:p>
      <w:pPr>
        <w:spacing w:line="360" w:lineRule="auto" w:after="0"/>
        <w:jc w:val="center"/>
      </w:pPr>
      <w:r>
        <w:rPr>
          <w:b/>
          <w:i w:val="0"/>
        </w:rPr>
        <w:t>Appendix D. Cost Summary of a Three-Span RCDG Bridge (3 × 20 m, Albay, 2025)</w:t>
      </w:r>
    </w:p>
    <w:tbl>
      <w:tblPr>
        <w:tblW w:type="auto" w:w="0"/>
        <w:jc w:val="center"/>
        <w:tblLayout w:type="fixed"/>
        <w:tblLook w:firstColumn="1" w:firstRow="1" w:lastColumn="0" w:lastRow="0" w:noHBand="0" w:noVBand="1" w:val="04A0"/>
        <w:tblLayout w:type="fixed"/>
      </w:tblPr>
      <w:tblGrid>
        <w:gridCol w:w="6048"/>
        <w:gridCol w:w="2592"/>
      </w:tblGrid>
      <w:tr>
        <w:tc>
          <w:tcPr>
            <w:tcW w:type="dxa" w:w="6048"/>
            <w:tcBorders>
              <w:top w:val="single" w:sz="12" w:color="000000"/>
              <w:bottom w:val="single" w:sz="8" w:color="000000"/>
            </w:tcBorders>
          </w:tcPr>
          <w:p>
            <w:pPr>
              <w:spacing w:line="240" w:lineRule="auto" w:before="40" w:after="40"/>
              <w:jc w:val="center"/>
            </w:pPr>
            <w:r/>
            <w:r>
              <w:rPr>
                <w:b/>
                <w:i w:val="0"/>
                <w:sz w:val="20"/>
              </w:rPr>
              <w:t>PART</w:t>
            </w:r>
          </w:p>
        </w:tc>
        <w:tc>
          <w:tcPr>
            <w:tcW w:type="dxa" w:w="2592"/>
            <w:tcBorders>
              <w:top w:val="single" w:sz="12" w:color="000000"/>
              <w:bottom w:val="single" w:sz="8" w:color="000000"/>
            </w:tcBorders>
          </w:tcPr>
          <w:p>
            <w:pPr>
              <w:spacing w:line="240" w:lineRule="auto" w:before="40" w:after="40"/>
              <w:jc w:val="center"/>
            </w:pPr>
            <w:r/>
            <w:r>
              <w:rPr>
                <w:b/>
                <w:i w:val="0"/>
                <w:sz w:val="20"/>
              </w:rPr>
              <w:t>AMOUNT (₱)</w:t>
            </w:r>
          </w:p>
        </w:tc>
      </w:tr>
      <w:tr>
        <w:tc>
          <w:tcPr>
            <w:tcW w:type="dxa" w:w="6048"/>
            <w:shd w:val="clear" w:color="auto" w:fill="EFEFEF"/>
          </w:tcPr>
          <w:p>
            <w:pPr>
              <w:spacing w:line="240" w:lineRule="auto" w:before="40" w:after="40"/>
              <w:jc w:val="left"/>
            </w:pPr>
            <w:r/>
            <w:r>
              <w:rPr>
                <w:b w:val="0"/>
                <w:i w:val="0"/>
                <w:sz w:val="20"/>
              </w:rPr>
              <w:t>Part A — General requirements</w:t>
            </w:r>
          </w:p>
        </w:tc>
        <w:tc>
          <w:tcPr>
            <w:tcW w:type="dxa" w:w="2592"/>
            <w:shd w:val="clear" w:color="auto" w:fill="EFEFEF"/>
          </w:tcPr>
          <w:p>
            <w:pPr>
              <w:spacing w:line="240" w:lineRule="auto" w:before="40" w:after="40"/>
              <w:jc w:val="right"/>
            </w:pPr>
            <w:r/>
            <w:r>
              <w:rPr>
                <w:b w:val="0"/>
                <w:i w:val="0"/>
                <w:sz w:val="20"/>
              </w:rPr>
              <w:t>1,420,448.82</w:t>
            </w:r>
          </w:p>
        </w:tc>
      </w:tr>
      <w:tr>
        <w:tc>
          <w:tcPr>
            <w:tcW w:type="dxa" w:w="6048"/>
          </w:tcPr>
          <w:p>
            <w:pPr>
              <w:spacing w:line="240" w:lineRule="auto" w:before="40" w:after="40"/>
              <w:jc w:val="left"/>
            </w:pPr>
            <w:r/>
            <w:r>
              <w:rPr>
                <w:b w:val="0"/>
                <w:i w:val="0"/>
                <w:sz w:val="20"/>
              </w:rPr>
              <w:t>Part B — Earthworks &amp; protection</w:t>
            </w:r>
          </w:p>
        </w:tc>
        <w:tc>
          <w:tcPr>
            <w:tcW w:type="dxa" w:w="2592"/>
          </w:tcPr>
          <w:p>
            <w:pPr>
              <w:spacing w:line="240" w:lineRule="auto" w:before="40" w:after="40"/>
              <w:jc w:val="right"/>
            </w:pPr>
            <w:r/>
            <w:r>
              <w:rPr>
                <w:b w:val="0"/>
                <w:i w:val="0"/>
                <w:sz w:val="20"/>
              </w:rPr>
              <w:t>1,667,632.45</w:t>
            </w:r>
          </w:p>
        </w:tc>
      </w:tr>
      <w:tr>
        <w:tc>
          <w:tcPr>
            <w:tcW w:type="dxa" w:w="6048"/>
            <w:shd w:val="clear" w:color="auto" w:fill="EFEFEF"/>
          </w:tcPr>
          <w:p>
            <w:pPr>
              <w:spacing w:line="240" w:lineRule="auto" w:before="40" w:after="40"/>
              <w:jc w:val="left"/>
            </w:pPr>
            <w:r/>
            <w:r>
              <w:rPr>
                <w:b w:val="0"/>
                <w:i w:val="0"/>
                <w:sz w:val="20"/>
              </w:rPr>
              <w:t>Part C — Foundation &amp; piling</w:t>
            </w:r>
          </w:p>
        </w:tc>
        <w:tc>
          <w:tcPr>
            <w:tcW w:type="dxa" w:w="2592"/>
            <w:shd w:val="clear" w:color="auto" w:fill="EFEFEF"/>
          </w:tcPr>
          <w:p>
            <w:pPr>
              <w:spacing w:line="240" w:lineRule="auto" w:before="40" w:after="40"/>
              <w:jc w:val="right"/>
            </w:pPr>
            <w:r/>
            <w:r>
              <w:rPr>
                <w:b w:val="0"/>
                <w:i w:val="0"/>
                <w:sz w:val="20"/>
              </w:rPr>
              <w:t>11,775,513.00</w:t>
            </w:r>
          </w:p>
        </w:tc>
      </w:tr>
      <w:tr>
        <w:tc>
          <w:tcPr>
            <w:tcW w:type="dxa" w:w="6048"/>
          </w:tcPr>
          <w:p>
            <w:pPr>
              <w:spacing w:line="240" w:lineRule="auto" w:before="40" w:after="40"/>
              <w:jc w:val="left"/>
            </w:pPr>
            <w:r/>
            <w:r>
              <w:rPr>
                <w:b w:val="0"/>
                <w:i w:val="0"/>
                <w:sz w:val="20"/>
              </w:rPr>
              <w:t>Part D — Substructure</w:t>
            </w:r>
          </w:p>
        </w:tc>
        <w:tc>
          <w:tcPr>
            <w:tcW w:type="dxa" w:w="2592"/>
          </w:tcPr>
          <w:p>
            <w:pPr>
              <w:spacing w:line="240" w:lineRule="auto" w:before="40" w:after="40"/>
              <w:jc w:val="right"/>
            </w:pPr>
            <w:r/>
            <w:r>
              <w:rPr>
                <w:b w:val="0"/>
                <w:i w:val="0"/>
                <w:sz w:val="20"/>
              </w:rPr>
              <w:t>5,108,433.19</w:t>
            </w:r>
          </w:p>
        </w:tc>
      </w:tr>
      <w:tr>
        <w:tc>
          <w:tcPr>
            <w:tcW w:type="dxa" w:w="6048"/>
            <w:shd w:val="clear" w:color="auto" w:fill="EFEFEF"/>
          </w:tcPr>
          <w:p>
            <w:pPr>
              <w:spacing w:line="240" w:lineRule="auto" w:before="40" w:after="40"/>
              <w:jc w:val="left"/>
            </w:pPr>
            <w:r/>
            <w:r>
              <w:rPr>
                <w:b w:val="0"/>
                <w:i w:val="0"/>
                <w:sz w:val="20"/>
              </w:rPr>
              <w:t>Part E — Superstructure</w:t>
            </w:r>
          </w:p>
        </w:tc>
        <w:tc>
          <w:tcPr>
            <w:tcW w:type="dxa" w:w="2592"/>
            <w:shd w:val="clear" w:color="auto" w:fill="EFEFEF"/>
          </w:tcPr>
          <w:p>
            <w:pPr>
              <w:spacing w:line="240" w:lineRule="auto" w:before="40" w:after="40"/>
              <w:jc w:val="right"/>
            </w:pPr>
            <w:r/>
            <w:r>
              <w:rPr>
                <w:b w:val="0"/>
                <w:i w:val="0"/>
                <w:sz w:val="20"/>
              </w:rPr>
              <w:t>11,186,585.90</w:t>
            </w:r>
          </w:p>
        </w:tc>
      </w:tr>
      <w:tr>
        <w:tc>
          <w:tcPr>
            <w:tcW w:type="dxa" w:w="6048"/>
          </w:tcPr>
          <w:p>
            <w:pPr>
              <w:spacing w:line="240" w:lineRule="auto" w:before="40" w:after="40"/>
              <w:jc w:val="left"/>
            </w:pPr>
            <w:r/>
            <w:r>
              <w:rPr>
                <w:b w:val="0"/>
                <w:i w:val="0"/>
                <w:sz w:val="20"/>
              </w:rPr>
              <w:t>Part F — Deck, railings &amp; approaches</w:t>
            </w:r>
          </w:p>
        </w:tc>
        <w:tc>
          <w:tcPr>
            <w:tcW w:type="dxa" w:w="2592"/>
          </w:tcPr>
          <w:p>
            <w:pPr>
              <w:spacing w:line="240" w:lineRule="auto" w:before="40" w:after="40"/>
              <w:jc w:val="right"/>
            </w:pPr>
            <w:r/>
            <w:r>
              <w:rPr>
                <w:b w:val="0"/>
                <w:i w:val="0"/>
                <w:sz w:val="20"/>
              </w:rPr>
              <w:t>2,203,854.00</w:t>
            </w:r>
          </w:p>
        </w:tc>
      </w:tr>
      <w:tr>
        <w:tc>
          <w:tcPr>
            <w:tcW w:type="dxa" w:w="6048"/>
            <w:shd w:val="clear" w:color="auto" w:fill="EFEFEF"/>
          </w:tcPr>
          <w:p>
            <w:pPr>
              <w:spacing w:line="240" w:lineRule="auto" w:before="40" w:after="40"/>
              <w:jc w:val="left"/>
            </w:pPr>
            <w:r/>
            <w:r>
              <w:rPr>
                <w:b w:val="0"/>
                <w:i w:val="0"/>
                <w:sz w:val="20"/>
              </w:rPr>
              <w:t>Estimated direct cost</w:t>
            </w:r>
          </w:p>
        </w:tc>
        <w:tc>
          <w:tcPr>
            <w:tcW w:type="dxa" w:w="2592"/>
            <w:shd w:val="clear" w:color="auto" w:fill="EFEFEF"/>
          </w:tcPr>
          <w:p>
            <w:pPr>
              <w:spacing w:line="240" w:lineRule="auto" w:before="40" w:after="40"/>
              <w:jc w:val="right"/>
            </w:pPr>
            <w:r/>
            <w:r>
              <w:rPr>
                <w:b w:val="0"/>
                <w:i w:val="0"/>
                <w:sz w:val="20"/>
              </w:rPr>
              <w:t>33,362,467.36</w:t>
            </w:r>
          </w:p>
        </w:tc>
      </w:tr>
      <w:tr>
        <w:tc>
          <w:tcPr>
            <w:tcW w:type="dxa" w:w="6048"/>
          </w:tcPr>
          <w:p>
            <w:pPr>
              <w:spacing w:line="240" w:lineRule="auto" w:before="40" w:after="40"/>
              <w:jc w:val="left"/>
            </w:pPr>
            <w:r/>
            <w:r>
              <w:rPr>
                <w:b w:val="0"/>
                <w:i w:val="0"/>
                <w:sz w:val="20"/>
              </w:rPr>
              <w:t>Lean start quotation (ABC)</w:t>
            </w:r>
          </w:p>
        </w:tc>
        <w:tc>
          <w:tcPr>
            <w:tcW w:type="dxa" w:w="2592"/>
          </w:tcPr>
          <w:p>
            <w:pPr>
              <w:spacing w:line="240" w:lineRule="auto" w:before="40" w:after="40"/>
              <w:jc w:val="right"/>
            </w:pPr>
            <w:r/>
            <w:r>
              <w:rPr>
                <w:b w:val="0"/>
                <w:i w:val="0"/>
                <w:sz w:val="20"/>
              </w:rPr>
              <w:t>39,068,313.24</w:t>
            </w:r>
          </w:p>
        </w:tc>
      </w:tr>
      <w:tr>
        <w:tc>
          <w:tcPr>
            <w:tcW w:type="dxa" w:w="6048"/>
            <w:shd w:val="clear" w:color="auto" w:fill="EFEFEF"/>
          </w:tcPr>
          <w:p>
            <w:pPr>
              <w:spacing w:line="240" w:lineRule="auto" w:before="40" w:after="40"/>
              <w:jc w:val="left"/>
            </w:pPr>
            <w:r/>
            <w:r>
              <w:rPr>
                <w:b w:val="0"/>
                <w:i w:val="0"/>
                <w:sz w:val="20"/>
              </w:rPr>
              <w:t>Standard fair estimate (ABC)</w:t>
            </w:r>
          </w:p>
        </w:tc>
        <w:tc>
          <w:tcPr>
            <w:tcW w:type="dxa" w:w="2592"/>
            <w:shd w:val="clear" w:color="auto" w:fill="EFEFEF"/>
          </w:tcPr>
          <w:p>
            <w:pPr>
              <w:spacing w:line="240" w:lineRule="auto" w:before="40" w:after="40"/>
              <w:jc w:val="right"/>
            </w:pPr>
            <w:r/>
            <w:r>
              <w:rPr>
                <w:b w:val="0"/>
                <w:i w:val="0"/>
                <w:sz w:val="20"/>
              </w:rPr>
              <w:t>42,036,708.87</w:t>
            </w:r>
          </w:p>
        </w:tc>
      </w:tr>
      <w:tr>
        <w:tc>
          <w:tcPr>
            <w:tcW w:type="dxa" w:w="6048"/>
            <w:tcBorders>
              <w:bottom w:val="single" w:sz="12" w:color="000000"/>
            </w:tcBorders>
          </w:tcPr>
          <w:p>
            <w:pPr>
              <w:spacing w:line="240" w:lineRule="auto" w:before="40" w:after="40"/>
              <w:jc w:val="left"/>
            </w:pPr>
            <w:r/>
            <w:r>
              <w:rPr>
                <w:b w:val="0"/>
                <w:i w:val="0"/>
                <w:sz w:val="20"/>
              </w:rPr>
              <w:t>Ceiling (ABC)</w:t>
            </w:r>
          </w:p>
        </w:tc>
        <w:tc>
          <w:tcPr>
            <w:tcW w:type="dxa" w:w="2592"/>
            <w:tcBorders>
              <w:bottom w:val="single" w:sz="12" w:color="000000"/>
            </w:tcBorders>
          </w:tcPr>
          <w:p>
            <w:pPr>
              <w:spacing w:line="240" w:lineRule="auto" w:before="40" w:after="40"/>
              <w:jc w:val="right"/>
            </w:pPr>
            <w:r/>
            <w:r>
              <w:rPr>
                <w:b w:val="0"/>
                <w:i w:val="0"/>
                <w:sz w:val="20"/>
              </w:rPr>
              <w:t>50,122,187.05</w:t>
            </w:r>
          </w:p>
        </w:tc>
      </w:tr>
    </w:tbl>
    <w:p>
      <w:r>
        <w:br w:type="page"/>
      </w:r>
    </w:p>
    <w:p>
      <w:pPr>
        <w:spacing w:line="360" w:lineRule="auto" w:after="0"/>
        <w:jc w:val="center"/>
      </w:pPr>
      <w:r>
        <w:rPr>
          <w:b/>
          <w:i w:val="0"/>
        </w:rPr>
        <w:t>Appendix E. Snippets of Methodology (Quantity Take-Off Engine, JavaScript)</w:t>
      </w:r>
    </w:p>
    <w:p>
      <w:pPr>
        <w:spacing w:line="240" w:lineRule="auto"/>
      </w:pPr>
      <w:r>
        <w:rPr>
          <w:rFonts w:ascii="Courier New" w:hAnsi="Courier New" w:eastAsia="Courier New"/>
          <w:sz w:val="17"/>
        </w:rPr>
        <w:t xml:space="preserve">    // footings (isolated, sized from service load and allowable bearing)</w:t>
      </w:r>
    </w:p>
    <w:p>
      <w:pPr>
        <w:spacing w:line="240" w:lineRule="auto"/>
      </w:pPr>
      <w:r>
        <w:rPr>
          <w:rFonts w:ascii="Courier New" w:hAnsi="Courier New" w:eastAsia="Courier New"/>
          <w:sz w:val="17"/>
        </w:rPr>
        <w:t xml:space="preserve">    var Pcol = 0.75 * sx * sy * N * bt.w; // kN</w:t>
      </w:r>
    </w:p>
    <w:p>
      <w:pPr>
        <w:spacing w:line="240" w:lineRule="auto"/>
      </w:pPr>
      <w:r>
        <w:rPr>
          <w:rFonts w:ascii="Courier New" w:hAnsi="Courier New" w:eastAsia="Courier New"/>
          <w:sz w:val="17"/>
        </w:rPr>
        <w:t xml:space="preserve">    var B = Math.max(1.0, ceilTo(Math.sqrt(Pcol / p.soilBearing), 0.1));</w:t>
      </w:r>
    </w:p>
    <w:p>
      <w:pPr>
        <w:spacing w:line="240" w:lineRule="auto"/>
      </w:pPr>
      <w:r>
        <w:rPr>
          <w:rFonts w:ascii="Courier New" w:hAnsi="Courier New" w:eastAsia="Courier New"/>
          <w:sz w:val="17"/>
        </w:rPr>
        <w:t xml:space="preserve">    var tf = Math.max(0.30, ceilTo(0.25 + 0.10 * B, 0.05));</w:t>
      </w:r>
    </w:p>
    <w:p>
      <w:pPr>
        <w:spacing w:line="240" w:lineRule="auto"/>
      </w:pPr>
      <w:r>
        <w:rPr>
          <w:rFonts w:ascii="Courier New" w:hAnsi="Courier New" w:eastAsia="Courier New"/>
          <w:sz w:val="17"/>
        </w:rPr>
        <w:t xml:space="preserve"> </w:t>
      </w:r>
    </w:p>
    <w:p>
      <w:pPr>
        <w:spacing w:line="240" w:lineRule="auto"/>
      </w:pPr>
      <w:r>
        <w:rPr>
          <w:rFonts w:ascii="Courier New" w:hAnsi="Courier New" w:eastAsia="Courier New"/>
          <w:sz w:val="17"/>
        </w:rPr>
        <w:t xml:space="preserve">    var V = {}, F = {}, K = {};</w:t>
      </w:r>
    </w:p>
    <w:p>
      <w:pPr>
        <w:spacing w:line="240" w:lineRule="auto"/>
      </w:pPr>
      <w:r>
        <w:rPr>
          <w:rFonts w:ascii="Courier New" w:hAnsi="Courier New" w:eastAsia="Courier New"/>
          <w:sz w:val="17"/>
        </w:rPr>
        <w:t xml:space="preserve">    V.footing = nCol * B * B * tf * cf;</w:t>
      </w:r>
    </w:p>
    <w:p>
      <w:pPr>
        <w:spacing w:line="240" w:lineRule="auto"/>
      </w:pPr>
      <w:r>
        <w:rPr>
          <w:rFonts w:ascii="Courier New" w:hAnsi="Courier New" w:eastAsia="Courier New"/>
          <w:sz w:val="17"/>
        </w:rPr>
        <w:t xml:space="preserve">    V.pedestal = nCol * colB * colB * Df * cf;</w:t>
      </w:r>
    </w:p>
    <w:p>
      <w:pPr>
        <w:spacing w:line="240" w:lineRule="auto"/>
      </w:pPr>
      <w:r>
        <w:rPr>
          <w:rFonts w:ascii="Courier New" w:hAnsi="Courier New" w:eastAsia="Courier New"/>
          <w:sz w:val="17"/>
        </w:rPr>
        <w:t xml:space="preserve">    V.column = nCol * N * colB * colB * h * cf;</w:t>
      </w:r>
    </w:p>
    <w:p>
      <w:pPr>
        <w:spacing w:line="240" w:lineRule="auto"/>
      </w:pPr>
      <w:r>
        <w:rPr>
          <w:rFonts w:ascii="Courier New" w:hAnsi="Courier New" w:eastAsia="Courier New"/>
          <w:sz w:val="17"/>
        </w:rPr>
        <w:t xml:space="preserve">    var slabLevels = N - 1 + (p.roof === 'rc_deck' ? 1 : 0);</w:t>
      </w:r>
    </w:p>
    <w:p>
      <w:pPr>
        <w:spacing w:line="240" w:lineRule="auto"/>
      </w:pPr>
      <w:r>
        <w:rPr>
          <w:rFonts w:ascii="Courier New" w:hAnsi="Courier New" w:eastAsia="Courier New"/>
          <w:sz w:val="17"/>
        </w:rPr>
        <w:t xml:space="preserve">    V.beam = (slabLevels * beamLen * beamB * (beamD - ts) + (p.roof === 'rc_deck' ? 0 : beamLen * beamB * beamD)) * cf</w:t>
      </w:r>
    </w:p>
    <w:p>
      <w:pPr>
        <w:spacing w:line="240" w:lineRule="auto"/>
      </w:pPr>
      <w:r>
        <w:rPr>
          <w:rFonts w:ascii="Courier New" w:hAnsi="Courier New" w:eastAsia="Courier New"/>
          <w:sz w:val="17"/>
        </w:rPr>
        <w:t xml:space="preserve">    V.tiebeam = beamLen * 0.25 * 0.40 * cf;</w:t>
      </w:r>
    </w:p>
    <w:p>
      <w:pPr>
        <w:spacing w:line="240" w:lineRule="auto"/>
      </w:pPr>
      <w:r>
        <w:rPr>
          <w:rFonts w:ascii="Courier New" w:hAnsi="Courier New" w:eastAsia="Courier New"/>
          <w:sz w:val="17"/>
        </w:rPr>
        <w:t xml:space="preserve">    V.slab = slabLevels * A * ts * cf;</w:t>
      </w:r>
    </w:p>
    <w:p>
      <w:pPr>
        <w:spacing w:line="240" w:lineRule="auto"/>
      </w:pPr>
      <w:r>
        <w:rPr>
          <w:rFonts w:ascii="Courier New" w:hAnsi="Courier New" w:eastAsia="Courier New"/>
          <w:sz w:val="17"/>
        </w:rPr>
        <w:t xml:space="preserve">    var nStairs = N &gt; 1 ? (A &gt; 250 ? 2 : 1) : 0;</w:t>
      </w:r>
    </w:p>
    <w:p>
      <w:pPr>
        <w:spacing w:line="240" w:lineRule="auto"/>
      </w:pPr>
      <w:r>
        <w:rPr>
          <w:rFonts w:ascii="Courier New" w:hAnsi="Courier New" w:eastAsia="Courier New"/>
          <w:sz w:val="17"/>
        </w:rPr>
        <w:t xml:space="preserve">    V.stair = nStairs * (N - 1) * 4.2 * cf;</w:t>
      </w:r>
    </w:p>
    <w:p>
      <w:pPr>
        <w:spacing w:line="240" w:lineRule="auto"/>
      </w:pPr>
      <w:r>
        <w:rPr>
          <w:rFonts w:ascii="Courier New" w:hAnsi="Courier New" w:eastAsia="Courier New"/>
          <w:sz w:val="17"/>
        </w:rPr>
        <w:t xml:space="preserve">    V.sog = A * 0.10;</w:t>
      </w:r>
    </w:p>
    <w:p>
      <w:pPr>
        <w:spacing w:line="240" w:lineRule="auto"/>
      </w:pPr>
      <w:r>
        <w:rPr>
          <w:rFonts w:ascii="Courier New" w:hAnsi="Courier New" w:eastAsia="Courier New"/>
          <w:sz w:val="17"/>
        </w:rPr>
        <w:t xml:space="preserve"> </w:t>
      </w:r>
    </w:p>
    <w:p>
      <w:pPr>
        <w:spacing w:line="240" w:lineRule="auto"/>
      </w:pPr>
      <w:r>
        <w:rPr>
          <w:rFonts w:ascii="Courier New" w:hAnsi="Courier New" w:eastAsia="Courier New"/>
          <w:sz w:val="17"/>
        </w:rPr>
        <w:t xml:space="preserve">    // reinforcement intensities, kg per m³ (standard tier, seismic zone 4)</w:t>
      </w:r>
    </w:p>
    <w:p>
      <w:pPr>
        <w:spacing w:line="240" w:lineRule="auto"/>
      </w:pPr>
      <w:r>
        <w:rPr>
          <w:rFonts w:ascii="Courier New" w:hAnsi="Courier New" w:eastAsia="Courier New"/>
          <w:sz w:val="17"/>
        </w:rPr>
        <w:t xml:space="preserve">    K.footing = V.footing * 90 * rf; K.pedestal = V.pedestal * 210 * rf; K.column = V.column * 220 * rf;</w:t>
      </w:r>
    </w:p>
    <w:p>
      <w:pPr>
        <w:spacing w:line="240" w:lineRule="auto"/>
      </w:pPr>
      <w:r>
        <w:rPr>
          <w:rFonts w:ascii="Courier New" w:hAnsi="Courier New" w:eastAsia="Courier New"/>
          <w:sz w:val="17"/>
        </w:rPr>
        <w:t xml:space="preserve">    K.beam = V.beam * 190 * rf; K.tiebeam = V.tiebeam * 140 * rf; K.slab = V.slab * 100 * rf;</w:t>
      </w:r>
    </w:p>
    <w:p>
      <w:pPr>
        <w:spacing w:line="240" w:lineRule="auto"/>
      </w:pPr>
      <w:r>
        <w:rPr>
          <w:rFonts w:ascii="Courier New" w:hAnsi="Courier New" w:eastAsia="Courier New"/>
          <w:sz w:val="17"/>
        </w:rPr>
        <w:t xml:space="preserve">    K.stair = V.stair * 100 * rf; K.sog = V.sog * 30 * rf;</w:t>
      </w:r>
    </w:p>
    <w:p>
      <w:pPr>
        <w:spacing w:line="480" w:lineRule="auto" w:after="0"/>
        <w:jc w:val="both"/>
      </w:pPr>
    </w:p>
    <w:p>
      <w:pPr>
        <w:spacing w:line="240" w:lineRule="auto"/>
      </w:pPr>
      <w:r>
        <w:rPr>
          <w:rFonts w:ascii="Courier New" w:hAnsi="Courier New" w:eastAsia="Courier New"/>
          <w:sz w:val="17"/>
        </w:rPr>
        <w:t xml:space="preserve">  function indirect(edc, settings) {</w:t>
      </w:r>
    </w:p>
    <w:p>
      <w:pPr>
        <w:spacing w:line="240" w:lineRule="auto"/>
      </w:pPr>
      <w:r>
        <w:rPr>
          <w:rFonts w:ascii="Courier New" w:hAnsi="Courier New" w:eastAsia="Courier New"/>
          <w:sz w:val="17"/>
        </w:rPr>
        <w:t xml:space="preserve">    settings = settings || {};</w:t>
      </w:r>
    </w:p>
    <w:p>
      <w:pPr>
        <w:spacing w:line="240" w:lineRule="auto"/>
      </w:pPr>
      <w:r>
        <w:rPr>
          <w:rFonts w:ascii="Courier New" w:hAnsi="Courier New" w:eastAsia="Courier New"/>
          <w:sz w:val="17"/>
        </w:rPr>
        <w:t xml:space="preserve">    var row = INDIRECT_TABLE.filter(function (r) { return edc &lt;= r.upTo; })[0];</w:t>
      </w:r>
    </w:p>
    <w:p>
      <w:pPr>
        <w:spacing w:line="240" w:lineRule="auto"/>
      </w:pPr>
      <w:r>
        <w:rPr>
          <w:rFonts w:ascii="Courier New" w:hAnsi="Courier New" w:eastAsia="Courier New"/>
          <w:sz w:val="17"/>
        </w:rPr>
        <w:t xml:space="preserve">    var ocmR = settings.ocm != null ? settings.ocm : row.ocm;</w:t>
      </w:r>
    </w:p>
    <w:p>
      <w:pPr>
        <w:spacing w:line="240" w:lineRule="auto"/>
      </w:pPr>
      <w:r>
        <w:rPr>
          <w:rFonts w:ascii="Courier New" w:hAnsi="Courier New" w:eastAsia="Courier New"/>
          <w:sz w:val="17"/>
        </w:rPr>
        <w:t xml:space="preserve">    var prR = settings.profit != null ? settings.profit : row.profit;</w:t>
      </w:r>
    </w:p>
    <w:p>
      <w:pPr>
        <w:spacing w:line="240" w:lineRule="auto"/>
      </w:pPr>
      <w:r>
        <w:rPr>
          <w:rFonts w:ascii="Courier New" w:hAnsi="Courier New" w:eastAsia="Courier New"/>
          <w:sz w:val="17"/>
        </w:rPr>
        <w:t xml:space="preserve">    var vatR = settings.vat != null ? settings.vat : VAT_RATE;</w:t>
      </w:r>
    </w:p>
    <w:p>
      <w:pPr>
        <w:spacing w:line="240" w:lineRule="auto"/>
      </w:pPr>
      <w:r>
        <w:rPr>
          <w:rFonts w:ascii="Courier New" w:hAnsi="Courier New" w:eastAsia="Courier New"/>
          <w:sz w:val="17"/>
        </w:rPr>
        <w:t xml:space="preserve">    var ocm = edc * ocmR, profit = edc * prR, vat = (edc + ocm + profit) * vatR;</w:t>
      </w:r>
    </w:p>
    <w:p>
      <w:pPr>
        <w:spacing w:line="240" w:lineRule="auto"/>
      </w:pPr>
      <w:r>
        <w:rPr>
          <w:rFonts w:ascii="Courier New" w:hAnsi="Courier New" w:eastAsia="Courier New"/>
          <w:sz w:val="17"/>
        </w:rPr>
        <w:t xml:space="preserve">    return { edc: edc, ocmRate: ocmR, profitRate: prR, vatRate: vatR, ocm: ocm, profit: profit, vat: vat, total: edc +</w:t>
      </w:r>
    </w:p>
    <w:p>
      <w:pPr>
        <w:spacing w:line="240" w:lineRule="auto"/>
      </w:pPr>
      <w:r>
        <w:rPr>
          <w:rFonts w:ascii="Courier New" w:hAnsi="Courier New" w:eastAsia="Courier New"/>
          <w:sz w:val="17"/>
        </w:rPr>
        <w:t xml:space="preserve">  }</w:t>
      </w:r>
    </w:p>
    <w:p>
      <w:r>
        <w:br w:type="page"/>
      </w:r>
    </w:p>
    <w:p>
      <w:pPr>
        <w:spacing w:line="360" w:lineRule="auto" w:after="0"/>
        <w:jc w:val="center"/>
      </w:pPr>
      <w:r>
        <w:rPr>
          <w:b/>
          <w:i w:val="0"/>
        </w:rPr>
        <w:t>Appendix F. Snippets of Methodology (Model Training, Python)</w:t>
      </w:r>
    </w:p>
    <w:p>
      <w:pPr>
        <w:spacing w:line="240" w:lineRule="auto"/>
      </w:pPr>
      <w:r>
        <w:rPr>
          <w:rFonts w:ascii="Courier New" w:hAnsi="Courier New" w:eastAsia="Courier New"/>
          <w:sz w:val="17"/>
        </w:rPr>
        <w:t xml:space="preserve">    # ---- 2. XGBoost (log target), tuned then LOOCV</w:t>
      </w:r>
    </w:p>
    <w:p>
      <w:pPr>
        <w:spacing w:line="240" w:lineRule="auto"/>
      </w:pPr>
      <w:r>
        <w:rPr>
          <w:rFonts w:ascii="Courier New" w:hAnsi="Courier New" w:eastAsia="Courier New"/>
          <w:sz w:val="17"/>
        </w:rPr>
        <w:t xml:space="preserve">    ylog = np.log(y)</w:t>
      </w:r>
    </w:p>
    <w:p>
      <w:pPr>
        <w:spacing w:line="240" w:lineRule="auto"/>
      </w:pPr>
      <w:r>
        <w:rPr>
          <w:rFonts w:ascii="Courier New" w:hAnsi="Courier New" w:eastAsia="Courier New"/>
          <w:sz w:val="17"/>
        </w:rPr>
        <w:t xml:space="preserve">    scorer = make_scorer(lambda yt, yp: mean_absolute_percentage_error(np.exp(yt), np.exp(yp)), greater_is_better=Fals</w:t>
      </w:r>
    </w:p>
    <w:p>
      <w:pPr>
        <w:spacing w:line="240" w:lineRule="auto"/>
      </w:pPr>
      <w:r>
        <w:rPr>
          <w:rFonts w:ascii="Courier New" w:hAnsi="Courier New" w:eastAsia="Courier New"/>
          <w:sz w:val="17"/>
        </w:rPr>
        <w:t xml:space="preserve">    search = RandomizedSearchCV(XGBRegressor(objective='reg:squarederror', random_state=42, n_jobs=4), PARAMS, n_iter=</w:t>
      </w:r>
    </w:p>
    <w:p>
      <w:pPr>
        <w:spacing w:line="240" w:lineRule="auto"/>
      </w:pPr>
      <w:r>
        <w:rPr>
          <w:rFonts w:ascii="Courier New" w:hAnsi="Courier New" w:eastAsia="Courier New"/>
          <w:sz w:val="17"/>
        </w:rPr>
        <w:t xml:space="preserve">                                scoring=scorer, cv=KFold(5, shuffle=True, random_state=42), random_state=42, n_jobs=1)</w:t>
      </w:r>
    </w:p>
    <w:p>
      <w:pPr>
        <w:spacing w:line="240" w:lineRule="auto"/>
      </w:pPr>
      <w:r>
        <w:rPr>
          <w:rFonts w:ascii="Courier New" w:hAnsi="Courier New" w:eastAsia="Courier New"/>
          <w:sz w:val="17"/>
        </w:rPr>
        <w:t xml:space="preserve">    search.fit(X, ylog)</w:t>
      </w:r>
    </w:p>
    <w:p>
      <w:pPr>
        <w:spacing w:line="240" w:lineRule="auto"/>
      </w:pPr>
      <w:r>
        <w:rPr>
          <w:rFonts w:ascii="Courier New" w:hAnsi="Courier New" w:eastAsia="Courier New"/>
          <w:sz w:val="17"/>
        </w:rPr>
        <w:t xml:space="preserve">    best = search.best_params_</w:t>
      </w:r>
    </w:p>
    <w:p>
      <w:pPr>
        <w:spacing w:line="240" w:lineRule="auto"/>
      </w:pPr>
      <w:r>
        <w:rPr>
          <w:rFonts w:ascii="Courier New" w:hAnsi="Courier New" w:eastAsia="Courier New"/>
          <w:sz w:val="17"/>
        </w:rPr>
        <w:t xml:space="preserve">    R['xgb_params'] = {k: (float(v) if isinstance(v, float) else int(v)) for k, v in best.items()}</w:t>
      </w:r>
    </w:p>
    <w:p>
      <w:pPr>
        <w:spacing w:line="240" w:lineRule="auto"/>
      </w:pPr>
      <w:r>
        <w:rPr>
          <w:rFonts w:ascii="Courier New" w:hAnsi="Courier New" w:eastAsia="Courier New"/>
          <w:sz w:val="17"/>
        </w:rPr>
        <w:t xml:space="preserve">    xgb_pred = np.exp(cross_val_predict(XGBRegressor(objective='reg:squarederror', random_state=42, n_jobs=4, **best),</w:t>
      </w:r>
    </w:p>
    <w:p>
      <w:pPr>
        <w:spacing w:line="240" w:lineRule="auto"/>
      </w:pPr>
      <w:r>
        <w:rPr>
          <w:rFonts w:ascii="Courier New" w:hAnsi="Courier New" w:eastAsia="Courier New"/>
          <w:sz w:val="17"/>
        </w:rPr>
        <w:t xml:space="preserve">    R['xgb_loocv'] = metrics(y, xgb_pred)</w:t>
      </w:r>
    </w:p>
    <w:p>
      <w:pPr>
        <w:spacing w:line="240" w:lineRule="auto"/>
      </w:pPr>
      <w:r>
        <w:rPr>
          <w:rFonts w:ascii="Courier New" w:hAnsi="Courier New" w:eastAsia="Courier New"/>
          <w:sz w:val="17"/>
        </w:rPr>
        <w:t xml:space="preserve">    final = XGBRegressor(objective='reg:squarederror', random_state=42, n_jobs=4, **best).fit(X, ylog)</w:t>
      </w:r>
    </w:p>
    <w:p>
      <w:pPr>
        <w:spacing w:line="240" w:lineRule="auto"/>
      </w:pPr>
      <w:r>
        <w:rPr>
          <w:rFonts w:ascii="Courier New" w:hAnsi="Courier New" w:eastAsia="Courier New"/>
          <w:sz w:val="17"/>
        </w:rPr>
        <w:t xml:space="preserve">    imp = final.get_booster().get_score(importance_type='gain')</w:t>
      </w:r>
    </w:p>
    <w:p>
      <w:pPr>
        <w:spacing w:line="240" w:lineRule="auto"/>
      </w:pPr>
      <w:r>
        <w:rPr>
          <w:rFonts w:ascii="Courier New" w:hAnsi="Courier New" w:eastAsia="Courier New"/>
          <w:sz w:val="17"/>
        </w:rPr>
        <w:t xml:space="preserve">    tot = sum(imp.values())</w:t>
      </w:r>
    </w:p>
    <w:p>
      <w:pPr>
        <w:spacing w:line="240" w:lineRule="auto"/>
      </w:pPr>
      <w:r>
        <w:rPr>
          <w:rFonts w:ascii="Courier New" w:hAnsi="Courier New" w:eastAsia="Courier New"/>
          <w:sz w:val="17"/>
        </w:rPr>
        <w:t xml:space="preserve">    R['xgb_importance'] = {f: float(imp.get(f, 0) / tot) for f in feats}</w:t>
      </w:r>
    </w:p>
    <w:p>
      <w:pPr>
        <w:spacing w:line="480" w:lineRule="auto" w:after="0"/>
        <w:jc w:val="both"/>
      </w:pPr>
    </w:p>
    <w:p>
      <w:pPr>
        <w:spacing w:line="240" w:lineRule="auto"/>
      </w:pPr>
      <w:r>
        <w:rPr>
          <w:rFonts w:ascii="Courier New" w:hAnsi="Courier New" w:eastAsia="Courier New"/>
          <w:sz w:val="17"/>
        </w:rPr>
        <w:t xml:space="preserve">    # ---- 3. Isolation Forest</w:t>
      </w:r>
    </w:p>
    <w:p>
      <w:pPr>
        <w:spacing w:line="240" w:lineRule="auto"/>
      </w:pPr>
      <w:r>
        <w:rPr>
          <w:rFonts w:ascii="Courier New" w:hAnsi="Courier New" w:eastAsia="Courier New"/>
          <w:sz w:val="17"/>
        </w:rPr>
        <w:t xml:space="preserve">    obr = y / d.fair_estimate.values</w:t>
      </w:r>
    </w:p>
    <w:p>
      <w:pPr>
        <w:spacing w:line="240" w:lineRule="auto"/>
      </w:pPr>
      <w:r>
        <w:rPr>
          <w:rFonts w:ascii="Courier New" w:hAnsi="Courier New" w:eastAsia="Courier New"/>
          <w:sz w:val="17"/>
        </w:rPr>
        <w:t xml:space="preserve">    ceil_ratio = d.ceiling_estimate.values / d.fair_estimate.values</w:t>
      </w:r>
    </w:p>
    <w:p>
      <w:pPr>
        <w:spacing w:line="240" w:lineRule="auto"/>
      </w:pPr>
      <w:r>
        <w:rPr>
          <w:rFonts w:ascii="Courier New" w:hAnsi="Courier New" w:eastAsia="Courier New"/>
          <w:sz w:val="17"/>
        </w:rPr>
        <w:t xml:space="preserve">    ml_ratio = y / xgb_pred</w:t>
      </w:r>
    </w:p>
    <w:p>
      <w:pPr>
        <w:spacing w:line="240" w:lineRule="auto"/>
      </w:pPr>
      <w:r>
        <w:rPr>
          <w:rFonts w:ascii="Courier New" w:hAnsi="Courier New" w:eastAsia="Courier New"/>
          <w:sz w:val="17"/>
        </w:rPr>
        <w:t xml:space="preserve">    Z = X.copy(); Z['LogMLRatio'] = np.log(ml_ratio); Z['LogOBR'] = np.log(obr)</w:t>
      </w:r>
    </w:p>
    <w:p>
      <w:pPr>
        <w:spacing w:line="240" w:lineRule="auto"/>
      </w:pPr>
      <w:r>
        <w:rPr>
          <w:rFonts w:ascii="Courier New" w:hAnsi="Courier New" w:eastAsia="Courier New"/>
          <w:sz w:val="17"/>
        </w:rPr>
        <w:t xml:space="preserve">    scaler = StandardScaler().fit(Z.astype(float))</w:t>
      </w:r>
    </w:p>
    <w:p>
      <w:pPr>
        <w:spacing w:line="240" w:lineRule="auto"/>
      </w:pPr>
      <w:r>
        <w:rPr>
          <w:rFonts w:ascii="Courier New" w:hAnsi="Courier New" w:eastAsia="Courier New"/>
          <w:sz w:val="17"/>
        </w:rPr>
        <w:t xml:space="preserve">    Zs = scaler.transform(Z.astype(float))</w:t>
      </w:r>
    </w:p>
    <w:p>
      <w:pPr>
        <w:spacing w:line="240" w:lineRule="auto"/>
      </w:pPr>
      <w:r>
        <w:rPr>
          <w:rFonts w:ascii="Courier New" w:hAnsi="Courier New" w:eastAsia="Courier New"/>
          <w:sz w:val="17"/>
        </w:rPr>
        <w:t xml:space="preserve">    iso = IsolationForest(n_estimators=200, contamination=0.10, random_state=42).fit(Zs)</w:t>
      </w:r>
    </w:p>
    <w:p>
      <w:pPr>
        <w:spacing w:line="240" w:lineRule="auto"/>
      </w:pPr>
      <w:r>
        <w:rPr>
          <w:rFonts w:ascii="Courier New" w:hAnsi="Courier New" w:eastAsia="Courier New"/>
          <w:sz w:val="17"/>
        </w:rPr>
        <w:t xml:space="preserve">    iso_score = -iso.score_samples(Zs)            # 0..1, higher = easier to isolate</w:t>
      </w:r>
    </w:p>
    <w:p>
      <w:pPr>
        <w:spacing w:line="240" w:lineRule="auto"/>
      </w:pPr>
      <w:r>
        <w:rPr>
          <w:rFonts w:ascii="Courier New" w:hAnsi="Courier New" w:eastAsia="Courier New"/>
          <w:sz w:val="17"/>
        </w:rPr>
        <w:t xml:space="preserve">    iso_raw = iso.predict(Zs) == -1</w:t>
      </w:r>
    </w:p>
    <w:p>
      <w:pPr>
        <w:spacing w:line="240" w:lineRule="auto"/>
      </w:pPr>
      <w:r>
        <w:rPr>
          <w:rFonts w:ascii="Courier New" w:hAnsi="Courier New" w:eastAsia="Courier New"/>
          <w:sz w:val="17"/>
        </w:rPr>
        <w:t xml:space="preserve">    overcost = (ml_ratio &gt; 1) &amp; (obr &gt; 1)</w:t>
      </w:r>
    </w:p>
    <w:p>
      <w:pPr>
        <w:spacing w:line="240" w:lineRule="auto"/>
      </w:pPr>
      <w:r>
        <w:rPr>
          <w:rFonts w:ascii="Courier New" w:hAnsi="Courier New" w:eastAsia="Courier New"/>
          <w:sz w:val="17"/>
        </w:rPr>
        <w:t xml:space="preserve">    iso_flag = iso_raw &amp; overcost</w:t>
      </w:r>
    </w:p>
    <w:p>
      <w:pPr>
        <w:spacing w:line="240" w:lineRule="auto"/>
      </w:pPr>
      <w:r>
        <w:rPr>
          <w:rFonts w:ascii="Courier New" w:hAnsi="Courier New" w:eastAsia="Courier New"/>
          <w:sz w:val="17"/>
        </w:rPr>
        <w:t xml:space="preserve">    zabs = np.abs(Zs)</w:t>
      </w:r>
    </w:p>
    <w:p>
      <w:pPr>
        <w:spacing w:line="240" w:lineRule="auto"/>
      </w:pPr>
      <w:r>
        <w:rPr>
          <w:rFonts w:ascii="Courier New" w:hAnsi="Courier New" w:eastAsia="Courier New"/>
          <w:sz w:val="17"/>
        </w:rPr>
        <w:t xml:space="preserve">    zcols = list(Z.columns)</w:t>
      </w:r>
    </w:p>
    <w:p>
      <w:r>
        <w:br w:type="page"/>
      </w:r>
    </w:p>
    <w:p>
      <w:pPr>
        <w:spacing w:line="240" w:lineRule="auto"/>
        <w:jc w:val="center"/>
      </w:pPr>
      <w:r>
        <w:drawing>
          <wp:inline xmlns:a="http://schemas.openxmlformats.org/drawingml/2006/main" xmlns:pic="http://schemas.openxmlformats.org/drawingml/2006/picture">
            <wp:extent cx="4206240" cy="3455126"/>
            <wp:docPr id="91" name="Picture 91"/>
            <wp:cNvGraphicFramePr>
              <a:graphicFrameLocks noChangeAspect="1"/>
            </wp:cNvGraphicFramePr>
            <a:graphic>
              <a:graphicData uri="http://schemas.openxmlformats.org/drawingml/2006/picture">
                <pic:pic>
                  <pic:nvPicPr>
                    <pic:cNvPr id="0" name="mlr_building.png"/>
                    <pic:cNvPicPr/>
                  </pic:nvPicPr>
                  <pic:blipFill>
                    <a:blip r:embed="rId75"/>
                    <a:stretch>
                      <a:fillRect/>
                    </a:stretch>
                  </pic:blipFill>
                  <pic:spPr>
                    <a:xfrm>
                      <a:off x="0" y="0"/>
                      <a:ext cx="4206240" cy="3455126"/>
                    </a:xfrm>
                    <a:prstGeom prst="rect"/>
                  </pic:spPr>
                </pic:pic>
              </a:graphicData>
            </a:graphic>
          </wp:inline>
        </w:drawing>
      </w:r>
    </w:p>
    <w:p>
      <w:pPr>
        <w:spacing w:line="240" w:lineRule="auto" w:after="240"/>
        <w:jc w:val="center"/>
      </w:pPr>
    </w:p>
    <w:p>
      <w:pPr>
        <w:spacing w:line="240" w:lineRule="auto"/>
        <w:jc w:val="center"/>
      </w:pPr>
      <w:r>
        <w:drawing>
          <wp:inline xmlns:a="http://schemas.openxmlformats.org/drawingml/2006/main" xmlns:pic="http://schemas.openxmlformats.org/drawingml/2006/picture">
            <wp:extent cx="4206240" cy="3455126"/>
            <wp:docPr id="92" name="Picture 92"/>
            <wp:cNvGraphicFramePr>
              <a:graphicFrameLocks noChangeAspect="1"/>
            </wp:cNvGraphicFramePr>
            <a:graphic>
              <a:graphicData uri="http://schemas.openxmlformats.org/drawingml/2006/picture">
                <pic:pic>
                  <pic:nvPicPr>
                    <pic:cNvPr id="0" name="mlr_bridge.png"/>
                    <pic:cNvPicPr/>
                  </pic:nvPicPr>
                  <pic:blipFill>
                    <a:blip r:embed="rId76"/>
                    <a:stretch>
                      <a:fillRect/>
                    </a:stretch>
                  </pic:blipFill>
                  <pic:spPr>
                    <a:xfrm>
                      <a:off x="0" y="0"/>
                      <a:ext cx="4206240" cy="3455126"/>
                    </a:xfrm>
                    <a:prstGeom prst="rect"/>
                  </pic:spPr>
                </pic:pic>
              </a:graphicData>
            </a:graphic>
          </wp:inline>
        </w:drawing>
      </w:r>
    </w:p>
    <w:p>
      <w:pPr>
        <w:spacing w:line="240" w:lineRule="auto" w:after="240"/>
        <w:jc w:val="center"/>
      </w:pPr>
      <w:r>
        <w:rPr>
          <w:b/>
          <w:i w:val="0"/>
        </w:rPr>
        <w:t>Appendix G. Multiple Linear Regression: Actual vs. Predicted Cost</w:t>
      </w:r>
    </w:p>
    <w:p>
      <w:r>
        <w:br w:type="page"/>
      </w:r>
    </w:p>
    <w:p>
      <w:pPr>
        <w:spacing w:line="240" w:lineRule="auto"/>
        <w:jc w:val="center"/>
      </w:pPr>
      <w:r>
        <w:drawing>
          <wp:inline xmlns:a="http://schemas.openxmlformats.org/drawingml/2006/main" xmlns:pic="http://schemas.openxmlformats.org/drawingml/2006/picture">
            <wp:extent cx="4206240" cy="3455126"/>
            <wp:docPr id="93" name="Picture 93"/>
            <wp:cNvGraphicFramePr>
              <a:graphicFrameLocks noChangeAspect="1"/>
            </wp:cNvGraphicFramePr>
            <a:graphic>
              <a:graphicData uri="http://schemas.openxmlformats.org/drawingml/2006/picture">
                <pic:pic>
                  <pic:nvPicPr>
                    <pic:cNvPr id="0" name="xgb_building.png"/>
                    <pic:cNvPicPr/>
                  </pic:nvPicPr>
                  <pic:blipFill>
                    <a:blip r:embed="rId77"/>
                    <a:stretch>
                      <a:fillRect/>
                    </a:stretch>
                  </pic:blipFill>
                  <pic:spPr>
                    <a:xfrm>
                      <a:off x="0" y="0"/>
                      <a:ext cx="4206240" cy="3455126"/>
                    </a:xfrm>
                    <a:prstGeom prst="rect"/>
                  </pic:spPr>
                </pic:pic>
              </a:graphicData>
            </a:graphic>
          </wp:inline>
        </w:drawing>
      </w:r>
    </w:p>
    <w:p>
      <w:pPr>
        <w:spacing w:line="240" w:lineRule="auto" w:after="240"/>
        <w:jc w:val="center"/>
      </w:pPr>
    </w:p>
    <w:p>
      <w:pPr>
        <w:spacing w:line="240" w:lineRule="auto"/>
        <w:jc w:val="center"/>
      </w:pPr>
      <w:r>
        <w:drawing>
          <wp:inline xmlns:a="http://schemas.openxmlformats.org/drawingml/2006/main" xmlns:pic="http://schemas.openxmlformats.org/drawingml/2006/picture">
            <wp:extent cx="4206240" cy="3455126"/>
            <wp:docPr id="94" name="Picture 94"/>
            <wp:cNvGraphicFramePr>
              <a:graphicFrameLocks noChangeAspect="1"/>
            </wp:cNvGraphicFramePr>
            <a:graphic>
              <a:graphicData uri="http://schemas.openxmlformats.org/drawingml/2006/picture">
                <pic:pic>
                  <pic:nvPicPr>
                    <pic:cNvPr id="0" name="xgb_bridge.png"/>
                    <pic:cNvPicPr/>
                  </pic:nvPicPr>
                  <pic:blipFill>
                    <a:blip r:embed="rId78"/>
                    <a:stretch>
                      <a:fillRect/>
                    </a:stretch>
                  </pic:blipFill>
                  <pic:spPr>
                    <a:xfrm>
                      <a:off x="0" y="0"/>
                      <a:ext cx="4206240" cy="3455126"/>
                    </a:xfrm>
                    <a:prstGeom prst="rect"/>
                  </pic:spPr>
                </pic:pic>
              </a:graphicData>
            </a:graphic>
          </wp:inline>
        </w:drawing>
      </w:r>
    </w:p>
    <w:p>
      <w:pPr>
        <w:spacing w:line="240" w:lineRule="auto" w:after="240"/>
        <w:jc w:val="center"/>
      </w:pPr>
      <w:r>
        <w:rPr>
          <w:b/>
          <w:i w:val="0"/>
        </w:rPr>
        <w:t>Appendix H. Extreme Gradient Boosting: Actual vs. Predicted Cost</w:t>
      </w:r>
    </w:p>
    <w:p>
      <w:r>
        <w:br w:type="page"/>
      </w:r>
    </w:p>
    <w:p>
      <w:pPr>
        <w:spacing w:line="240" w:lineRule="auto"/>
        <w:jc w:val="center"/>
      </w:pPr>
      <w:r>
        <w:drawing>
          <wp:inline xmlns:a="http://schemas.openxmlformats.org/drawingml/2006/main" xmlns:pic="http://schemas.openxmlformats.org/drawingml/2006/picture">
            <wp:extent cx="4206240" cy="3304903"/>
            <wp:docPr id="95" name="Picture 95"/>
            <wp:cNvGraphicFramePr>
              <a:graphicFrameLocks noChangeAspect="1"/>
            </wp:cNvGraphicFramePr>
            <a:graphic>
              <a:graphicData uri="http://schemas.openxmlformats.org/drawingml/2006/picture">
                <pic:pic>
                  <pic:nvPicPr>
                    <pic:cNvPr id="0" name="iforest_building.png"/>
                    <pic:cNvPicPr/>
                  </pic:nvPicPr>
                  <pic:blipFill>
                    <a:blip r:embed="rId79"/>
                    <a:stretch>
                      <a:fillRect/>
                    </a:stretch>
                  </pic:blipFill>
                  <pic:spPr>
                    <a:xfrm>
                      <a:off x="0" y="0"/>
                      <a:ext cx="4206240" cy="3304903"/>
                    </a:xfrm>
                    <a:prstGeom prst="rect"/>
                  </pic:spPr>
                </pic:pic>
              </a:graphicData>
            </a:graphic>
          </wp:inline>
        </w:drawing>
      </w:r>
    </w:p>
    <w:p>
      <w:pPr>
        <w:spacing w:line="240" w:lineRule="auto" w:after="240"/>
        <w:jc w:val="center"/>
      </w:pPr>
    </w:p>
    <w:p>
      <w:pPr>
        <w:spacing w:line="240" w:lineRule="auto"/>
        <w:jc w:val="center"/>
      </w:pPr>
      <w:r>
        <w:drawing>
          <wp:inline xmlns:a="http://schemas.openxmlformats.org/drawingml/2006/main" xmlns:pic="http://schemas.openxmlformats.org/drawingml/2006/picture">
            <wp:extent cx="4206240" cy="3304903"/>
            <wp:docPr id="96" name="Picture 96"/>
            <wp:cNvGraphicFramePr>
              <a:graphicFrameLocks noChangeAspect="1"/>
            </wp:cNvGraphicFramePr>
            <a:graphic>
              <a:graphicData uri="http://schemas.openxmlformats.org/drawingml/2006/picture">
                <pic:pic>
                  <pic:nvPicPr>
                    <pic:cNvPr id="0" name="iforest_bridge.png"/>
                    <pic:cNvPicPr/>
                  </pic:nvPicPr>
                  <pic:blipFill>
                    <a:blip r:embed="rId80"/>
                    <a:stretch>
                      <a:fillRect/>
                    </a:stretch>
                  </pic:blipFill>
                  <pic:spPr>
                    <a:xfrm>
                      <a:off x="0" y="0"/>
                      <a:ext cx="4206240" cy="3304903"/>
                    </a:xfrm>
                    <a:prstGeom prst="rect"/>
                  </pic:spPr>
                </pic:pic>
              </a:graphicData>
            </a:graphic>
          </wp:inline>
        </w:drawing>
      </w:r>
    </w:p>
    <w:p>
      <w:pPr>
        <w:spacing w:line="240" w:lineRule="auto" w:after="240"/>
        <w:jc w:val="center"/>
      </w:pPr>
      <w:r>
        <w:rPr>
          <w:b/>
          <w:i w:val="0"/>
        </w:rPr>
        <w:t>Appendix I. Isolation Forest: Cost Residual vs. Anomaly Score</w:t>
      </w:r>
    </w:p>
    <w:p>
      <w:r>
        <w:br w:type="page"/>
      </w:r>
    </w:p>
    <w:p>
      <w:pPr>
        <w:spacing w:line="360" w:lineRule="auto" w:after="0"/>
        <w:jc w:val="center"/>
      </w:pPr>
      <w:r>
        <w:rPr>
          <w:b/>
          <w:i w:val="0"/>
        </w:rPr>
        <w:t>Appendix J. User Guide of the BUHAY-AH Application</w:t>
      </w:r>
    </w:p>
    <w:p>
      <w:pPr>
        <w:tabs>
          <w:tab w:pos="1080" w:val="left"/>
        </w:tabs>
        <w:spacing w:line="360" w:lineRule="auto"/>
        <w:ind w:left="1080" w:hanging="360"/>
        <w:jc w:val="both"/>
      </w:pPr>
      <w:r>
        <w:rPr>
          <w:b w:val="0"/>
          <w:i w:val="0"/>
        </w:rPr>
        <w:t>1.</w:t>
        <w:tab/>
        <w:t xml:space="preserve">Open the website and tap </w:t>
      </w:r>
      <w:r>
        <w:rPr>
          <w:b/>
          <w:i w:val="0"/>
        </w:rPr>
        <w:t>Download for Android</w:t>
      </w:r>
      <w:r>
        <w:rPr>
          <w:b w:val="0"/>
          <w:i w:val="0"/>
        </w:rPr>
        <w:t xml:space="preserve">, or open the web app and choose </w:t>
      </w:r>
      <w:r>
        <w:rPr>
          <w:b/>
          <w:i w:val="0"/>
        </w:rPr>
        <w:t>Install app</w:t>
      </w:r>
      <w:r>
        <w:rPr>
          <w:b w:val="0"/>
          <w:i w:val="0"/>
        </w:rPr>
        <w:t xml:space="preserve"> (Android, PC) or </w:t>
      </w:r>
      <w:r>
        <w:rPr>
          <w:b/>
          <w:i w:val="0"/>
        </w:rPr>
        <w:t>Share → Add to Home Screen</w:t>
      </w:r>
      <w:r>
        <w:rPr>
          <w:b w:val="0"/>
          <w:i w:val="0"/>
        </w:rPr>
        <w:t xml:space="preserve"> (iPhone).</w:t>
      </w:r>
    </w:p>
    <w:p>
      <w:pPr>
        <w:tabs>
          <w:tab w:pos="1080" w:val="left"/>
        </w:tabs>
        <w:spacing w:line="360" w:lineRule="auto"/>
        <w:ind w:left="1080" w:hanging="360"/>
        <w:jc w:val="both"/>
      </w:pPr>
      <w:r>
        <w:rPr>
          <w:b w:val="0"/>
          <w:i w:val="0"/>
        </w:rPr>
        <w:t>2.</w:t>
        <w:tab/>
        <w:t xml:space="preserve">In </w:t>
      </w:r>
      <w:r>
        <w:rPr>
          <w:b/>
          <w:i w:val="0"/>
        </w:rPr>
        <w:t>Quote</w:t>
      </w:r>
      <w:r>
        <w:rPr>
          <w:b w:val="0"/>
          <w:i w:val="0"/>
        </w:rPr>
        <w:t>, choose Building or Bridge, pick a reference plan or import a DXF or plan file, and adjust the plan variables. Read the lean start quotation, the standard estimate and the ceiling.</w:t>
      </w:r>
    </w:p>
    <w:p>
      <w:pPr>
        <w:tabs>
          <w:tab w:pos="1080" w:val="left"/>
        </w:tabs>
        <w:spacing w:line="360" w:lineRule="auto"/>
        <w:ind w:left="1080" w:hanging="360"/>
        <w:jc w:val="both"/>
      </w:pPr>
      <w:r>
        <w:rPr>
          <w:b w:val="0"/>
          <w:i w:val="0"/>
        </w:rPr>
        <w:t>3.</w:t>
        <w:tab/>
        <w:t xml:space="preserve">Open the </w:t>
      </w:r>
      <w:r>
        <w:rPr>
          <w:b/>
          <w:i w:val="0"/>
        </w:rPr>
        <w:t>Bill of quantities</w:t>
      </w:r>
      <w:r>
        <w:rPr>
          <w:b w:val="0"/>
          <w:i w:val="0"/>
        </w:rPr>
        <w:t xml:space="preserve"> tab to review or export the items. Save the plan to the Library.</w:t>
      </w:r>
    </w:p>
    <w:p>
      <w:pPr>
        <w:tabs>
          <w:tab w:pos="1080" w:val="left"/>
        </w:tabs>
        <w:spacing w:line="360" w:lineRule="auto"/>
        <w:ind w:left="1080" w:hanging="360"/>
        <w:jc w:val="both"/>
      </w:pPr>
      <w:r>
        <w:rPr>
          <w:b w:val="0"/>
          <w:i w:val="0"/>
        </w:rPr>
        <w:t>4.</w:t>
        <w:tab/>
        <w:t xml:space="preserve">In </w:t>
      </w:r>
      <w:r>
        <w:rPr>
          <w:b/>
          <w:i w:val="0"/>
        </w:rPr>
        <w:t>Check</w:t>
      </w:r>
      <w:r>
        <w:rPr>
          <w:b w:val="0"/>
          <w:i w:val="0"/>
        </w:rPr>
        <w:t>, enter the contract amount (and optionally the submitted EDC, OCM, profit and VAT). Read the verdict, risk index, drivers and SHAP explanation.</w:t>
      </w:r>
    </w:p>
    <w:p>
      <w:pPr>
        <w:tabs>
          <w:tab w:pos="1080" w:val="left"/>
        </w:tabs>
        <w:spacing w:line="360" w:lineRule="auto"/>
        <w:ind w:left="1080" w:hanging="360"/>
        <w:jc w:val="both"/>
      </w:pPr>
      <w:r>
        <w:rPr>
          <w:b w:val="0"/>
          <w:i w:val="0"/>
        </w:rPr>
        <w:t>5.</w:t>
        <w:tab/>
        <w:t xml:space="preserve">Paste or upload the contractor's BOQ in </w:t>
      </w:r>
      <w:r>
        <w:rPr>
          <w:b/>
          <w:i w:val="0"/>
        </w:rPr>
        <w:t>Line-item check</w:t>
      </w:r>
      <w:r>
        <w:rPr>
          <w:b w:val="0"/>
          <w:i w:val="0"/>
        </w:rPr>
        <w:t xml:space="preserve"> to find overpriced items.</w:t>
      </w:r>
    </w:p>
    <w:p>
      <w:pPr>
        <w:tabs>
          <w:tab w:pos="1080" w:val="left"/>
        </w:tabs>
        <w:spacing w:line="360" w:lineRule="auto"/>
        <w:ind w:left="1080" w:hanging="360"/>
        <w:jc w:val="both"/>
      </w:pPr>
      <w:r>
        <w:rPr>
          <w:b w:val="0"/>
          <w:i w:val="0"/>
        </w:rPr>
        <w:t>6.</w:t>
        <w:tab/>
        <w:t xml:space="preserve">In </w:t>
      </w:r>
      <w:r>
        <w:rPr>
          <w:b/>
          <w:i w:val="0"/>
        </w:rPr>
        <w:t>Design</w:t>
      </w:r>
      <w:r>
        <w:rPr>
          <w:b w:val="0"/>
          <w:i w:val="0"/>
        </w:rPr>
        <w:t xml:space="preserve">, pick a template, enter a requirement, or enter a budget; edit spaces, storeys and layout; add saved designs as wings; then press </w:t>
      </w:r>
      <w:r>
        <w:rPr>
          <w:b/>
          <w:i w:val="0"/>
        </w:rPr>
        <w:t>Quote this design</w:t>
      </w:r>
      <w:r>
        <w:rPr>
          <w:b w:val="0"/>
          <w:i w:val="0"/>
        </w:rPr>
        <w:t xml:space="preserve">. Edit unit rates in </w:t>
      </w:r>
      <w:r>
        <w:rPr>
          <w:b/>
          <w:i w:val="0"/>
        </w:rPr>
        <w:t>Library → Unit price book</w:t>
      </w:r>
      <w:r>
        <w:rPr>
          <w:b w:val="0"/>
          <w:i w:val="0"/>
        </w:rPr>
        <w:t>.</w:t>
      </w:r>
    </w:p>
    <w:p>
      <w:r>
        <w:br w:type="page"/>
      </w:r>
    </w:p>
    <w:p>
      <w:pPr>
        <w:spacing w:line="360" w:lineRule="auto" w:after="0"/>
        <w:jc w:val="center"/>
      </w:pPr>
      <w:r>
        <w:rPr>
          <w:b/>
          <w:i w:val="0"/>
        </w:rPr>
        <w:t>Appendix K. Design Template Library</w:t>
      </w:r>
    </w:p>
    <w:tbl>
      <w:tblPr>
        <w:tblW w:type="auto" w:w="0"/>
        <w:jc w:val="center"/>
        <w:tblLayout w:type="fixed"/>
        <w:tblLook w:firstColumn="1" w:firstRow="1" w:lastColumn="0" w:lastRow="0" w:noHBand="0" w:noVBand="1" w:val="04A0"/>
        <w:tblLayout w:type="fixed"/>
      </w:tblPr>
      <w:tblGrid>
        <w:gridCol w:w="3168"/>
        <w:gridCol w:w="503"/>
        <w:gridCol w:w="1296"/>
        <w:gridCol w:w="864"/>
        <w:gridCol w:w="1800"/>
        <w:gridCol w:w="864"/>
        <w:gridCol w:w="864"/>
      </w:tblGrid>
      <w:tr>
        <w:tc>
          <w:tcPr>
            <w:tcW w:type="dxa" w:w="3168"/>
            <w:tcBorders>
              <w:top w:val="single" w:sz="12" w:color="000000"/>
              <w:bottom w:val="single" w:sz="8" w:color="000000"/>
            </w:tcBorders>
          </w:tcPr>
          <w:p>
            <w:pPr>
              <w:spacing w:line="240" w:lineRule="auto" w:before="40" w:after="40"/>
              <w:jc w:val="center"/>
            </w:pPr>
            <w:r/>
            <w:r>
              <w:rPr>
                <w:b/>
                <w:i w:val="0"/>
                <w:sz w:val="15"/>
              </w:rPr>
              <w:t>DESIGN</w:t>
            </w:r>
          </w:p>
        </w:tc>
        <w:tc>
          <w:tcPr>
            <w:tcW w:type="dxa" w:w="504"/>
            <w:tcBorders>
              <w:top w:val="single" w:sz="12" w:color="000000"/>
              <w:bottom w:val="single" w:sz="8" w:color="000000"/>
            </w:tcBorders>
          </w:tcPr>
          <w:p>
            <w:pPr>
              <w:spacing w:line="240" w:lineRule="auto" w:before="40" w:after="40"/>
              <w:jc w:val="center"/>
            </w:pPr>
            <w:r/>
            <w:r>
              <w:rPr>
                <w:b/>
                <w:i w:val="0"/>
                <w:sz w:val="15"/>
              </w:rPr>
              <w:t>ST.</w:t>
            </w:r>
          </w:p>
        </w:tc>
        <w:tc>
          <w:tcPr>
            <w:tcW w:type="dxa" w:w="1296"/>
            <w:tcBorders>
              <w:top w:val="single" w:sz="12" w:color="000000"/>
              <w:bottom w:val="single" w:sz="8" w:color="000000"/>
            </w:tcBorders>
          </w:tcPr>
          <w:p>
            <w:pPr>
              <w:spacing w:line="240" w:lineRule="auto" w:before="40" w:after="40"/>
              <w:jc w:val="center"/>
            </w:pPr>
            <w:r/>
            <w:r>
              <w:rPr>
                <w:b/>
                <w:i w:val="0"/>
                <w:sz w:val="15"/>
              </w:rPr>
              <w:t>L × W (m)</w:t>
            </w:r>
          </w:p>
        </w:tc>
        <w:tc>
          <w:tcPr>
            <w:tcW w:type="dxa" w:w="864"/>
            <w:tcBorders>
              <w:top w:val="single" w:sz="12" w:color="000000"/>
              <w:bottom w:val="single" w:sz="8" w:color="000000"/>
            </w:tcBorders>
          </w:tcPr>
          <w:p>
            <w:pPr>
              <w:spacing w:line="240" w:lineRule="auto" w:before="40" w:after="40"/>
              <w:jc w:val="center"/>
            </w:pPr>
            <w:r/>
            <w:r>
              <w:rPr>
                <w:b/>
                <w:i w:val="0"/>
                <w:sz w:val="15"/>
              </w:rPr>
              <w:t>GFA m²</w:t>
            </w:r>
          </w:p>
        </w:tc>
        <w:tc>
          <w:tcPr>
            <w:tcW w:type="dxa" w:w="1800"/>
            <w:tcBorders>
              <w:top w:val="single" w:sz="12" w:color="000000"/>
              <w:bottom w:val="single" w:sz="8" w:color="000000"/>
            </w:tcBorders>
          </w:tcPr>
          <w:p>
            <w:pPr>
              <w:spacing w:line="240" w:lineRule="auto" w:before="40" w:after="40"/>
              <w:jc w:val="center"/>
            </w:pPr>
            <w:r/>
            <w:r>
              <w:rPr>
                <w:b/>
                <w:i w:val="0"/>
                <w:sz w:val="15"/>
              </w:rPr>
              <w:t>CAPACITY</w:t>
            </w:r>
          </w:p>
        </w:tc>
        <w:tc>
          <w:tcPr>
            <w:tcW w:type="dxa" w:w="864"/>
            <w:tcBorders>
              <w:top w:val="single" w:sz="12" w:color="000000"/>
              <w:bottom w:val="single" w:sz="8" w:color="000000"/>
            </w:tcBorders>
          </w:tcPr>
          <w:p>
            <w:pPr>
              <w:spacing w:line="240" w:lineRule="auto" w:before="40" w:after="40"/>
              <w:jc w:val="center"/>
            </w:pPr>
            <w:r/>
            <w:r>
              <w:rPr>
                <w:b/>
                <w:i w:val="0"/>
                <w:sz w:val="15"/>
              </w:rPr>
              <w:t>START ₱M</w:t>
            </w:r>
          </w:p>
        </w:tc>
        <w:tc>
          <w:tcPr>
            <w:tcW w:type="dxa" w:w="864"/>
            <w:tcBorders>
              <w:top w:val="single" w:sz="12" w:color="000000"/>
              <w:bottom w:val="single" w:sz="8" w:color="000000"/>
            </w:tcBorders>
          </w:tcPr>
          <w:p>
            <w:pPr>
              <w:spacing w:line="240" w:lineRule="auto" w:before="40" w:after="40"/>
              <w:jc w:val="center"/>
            </w:pPr>
            <w:r/>
            <w:r>
              <w:rPr>
                <w:b/>
                <w:i w:val="0"/>
                <w:sz w:val="15"/>
              </w:rPr>
              <w:t>STD ₱M</w:t>
            </w:r>
          </w:p>
        </w:tc>
      </w:tr>
      <w:tr>
        <w:tc>
          <w:tcPr>
            <w:tcW w:type="dxa" w:w="3168"/>
            <w:shd w:val="clear" w:color="auto" w:fill="EFEFEF"/>
          </w:tcPr>
          <w:p>
            <w:pPr>
              <w:spacing w:line="240" w:lineRule="auto" w:before="40" w:after="40"/>
              <w:jc w:val="left"/>
            </w:pPr>
            <w:r/>
            <w:r>
              <w:rPr>
                <w:b w:val="0"/>
                <w:i w:val="0"/>
                <w:sz w:val="15"/>
              </w:rPr>
              <w:t>1-storey 2-classroom school building</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22.5 × 9.5</w:t>
            </w:r>
          </w:p>
        </w:tc>
        <w:tc>
          <w:tcPr>
            <w:tcW w:type="dxa" w:w="864"/>
            <w:shd w:val="clear" w:color="auto" w:fill="EFEFEF"/>
          </w:tcPr>
          <w:p>
            <w:pPr>
              <w:spacing w:line="240" w:lineRule="auto" w:before="40" w:after="40"/>
              <w:jc w:val="right"/>
            </w:pPr>
            <w:r/>
            <w:r>
              <w:rPr>
                <w:b w:val="0"/>
                <w:i w:val="0"/>
                <w:sz w:val="15"/>
              </w:rPr>
              <w:t>214</w:t>
            </w:r>
          </w:p>
        </w:tc>
        <w:tc>
          <w:tcPr>
            <w:tcW w:type="dxa" w:w="1800"/>
            <w:shd w:val="clear" w:color="auto" w:fill="EFEFEF"/>
          </w:tcPr>
          <w:p>
            <w:pPr>
              <w:spacing w:line="240" w:lineRule="auto" w:before="40" w:after="40"/>
              <w:jc w:val="left"/>
            </w:pPr>
            <w:r/>
            <w:r>
              <w:rPr>
                <w:b w:val="0"/>
                <w:i w:val="0"/>
                <w:sz w:val="15"/>
              </w:rPr>
              <w:t>2 classrooms</w:t>
            </w:r>
          </w:p>
        </w:tc>
        <w:tc>
          <w:tcPr>
            <w:tcW w:type="dxa" w:w="864"/>
            <w:shd w:val="clear" w:color="auto" w:fill="EFEFEF"/>
          </w:tcPr>
          <w:p>
            <w:pPr>
              <w:spacing w:line="240" w:lineRule="auto" w:before="40" w:after="40"/>
              <w:jc w:val="right"/>
            </w:pPr>
            <w:r/>
            <w:r>
              <w:rPr>
                <w:b w:val="0"/>
                <w:i w:val="0"/>
                <w:sz w:val="15"/>
              </w:rPr>
              <w:t>5.97</w:t>
            </w:r>
          </w:p>
        </w:tc>
        <w:tc>
          <w:tcPr>
            <w:tcW w:type="dxa" w:w="864"/>
            <w:shd w:val="clear" w:color="auto" w:fill="EFEFEF"/>
          </w:tcPr>
          <w:p>
            <w:pPr>
              <w:spacing w:line="240" w:lineRule="auto" w:before="40" w:after="40"/>
              <w:jc w:val="right"/>
            </w:pPr>
            <w:r/>
            <w:r>
              <w:rPr>
                <w:b w:val="0"/>
                <w:i w:val="0"/>
                <w:sz w:val="15"/>
              </w:rPr>
              <w:t>6.58</w:t>
            </w:r>
          </w:p>
        </w:tc>
      </w:tr>
      <w:tr>
        <w:tc>
          <w:tcPr>
            <w:tcW w:type="dxa" w:w="3168"/>
          </w:tcPr>
          <w:p>
            <w:pPr>
              <w:spacing w:line="240" w:lineRule="auto" w:before="40" w:after="40"/>
              <w:jc w:val="left"/>
            </w:pPr>
            <w:r/>
            <w:r>
              <w:rPr>
                <w:b w:val="0"/>
                <w:i w:val="0"/>
                <w:sz w:val="15"/>
              </w:rPr>
              <w:t>1-storey 3-classroom school building</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31.5 × 9.5</w:t>
            </w:r>
          </w:p>
        </w:tc>
        <w:tc>
          <w:tcPr>
            <w:tcW w:type="dxa" w:w="864"/>
          </w:tcPr>
          <w:p>
            <w:pPr>
              <w:spacing w:line="240" w:lineRule="auto" w:before="40" w:after="40"/>
              <w:jc w:val="right"/>
            </w:pPr>
            <w:r/>
            <w:r>
              <w:rPr>
                <w:b w:val="0"/>
                <w:i w:val="0"/>
                <w:sz w:val="15"/>
              </w:rPr>
              <w:t>299</w:t>
            </w:r>
          </w:p>
        </w:tc>
        <w:tc>
          <w:tcPr>
            <w:tcW w:type="dxa" w:w="1800"/>
          </w:tcPr>
          <w:p>
            <w:pPr>
              <w:spacing w:line="240" w:lineRule="auto" w:before="40" w:after="40"/>
              <w:jc w:val="left"/>
            </w:pPr>
            <w:r/>
            <w:r>
              <w:rPr>
                <w:b w:val="0"/>
                <w:i w:val="0"/>
                <w:sz w:val="15"/>
              </w:rPr>
              <w:t>3 classrooms</w:t>
            </w:r>
          </w:p>
        </w:tc>
        <w:tc>
          <w:tcPr>
            <w:tcW w:type="dxa" w:w="864"/>
          </w:tcPr>
          <w:p>
            <w:pPr>
              <w:spacing w:line="240" w:lineRule="auto" w:before="40" w:after="40"/>
              <w:jc w:val="right"/>
            </w:pPr>
            <w:r/>
            <w:r>
              <w:rPr>
                <w:b w:val="0"/>
                <w:i w:val="0"/>
                <w:sz w:val="15"/>
              </w:rPr>
              <w:t>7.78</w:t>
            </w:r>
          </w:p>
        </w:tc>
        <w:tc>
          <w:tcPr>
            <w:tcW w:type="dxa" w:w="864"/>
          </w:tcPr>
          <w:p>
            <w:pPr>
              <w:spacing w:line="240" w:lineRule="auto" w:before="40" w:after="40"/>
              <w:jc w:val="right"/>
            </w:pPr>
            <w:r/>
            <w:r>
              <w:rPr>
                <w:b w:val="0"/>
                <w:i w:val="0"/>
                <w:sz w:val="15"/>
              </w:rPr>
              <w:t>8.93</w:t>
            </w:r>
          </w:p>
        </w:tc>
      </w:tr>
      <w:tr>
        <w:tc>
          <w:tcPr>
            <w:tcW w:type="dxa" w:w="3168"/>
            <w:shd w:val="clear" w:color="auto" w:fill="EFEFEF"/>
          </w:tcPr>
          <w:p>
            <w:pPr>
              <w:spacing w:line="240" w:lineRule="auto" w:before="40" w:after="40"/>
              <w:jc w:val="left"/>
            </w:pPr>
            <w:r/>
            <w:r>
              <w:rPr>
                <w:b w:val="0"/>
                <w:i w:val="0"/>
                <w:sz w:val="15"/>
              </w:rPr>
              <w:t>1-storey 4-classroom school building</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40.5 × 9.5</w:t>
            </w:r>
          </w:p>
        </w:tc>
        <w:tc>
          <w:tcPr>
            <w:tcW w:type="dxa" w:w="864"/>
            <w:shd w:val="clear" w:color="auto" w:fill="EFEFEF"/>
          </w:tcPr>
          <w:p>
            <w:pPr>
              <w:spacing w:line="240" w:lineRule="auto" w:before="40" w:after="40"/>
              <w:jc w:val="right"/>
            </w:pPr>
            <w:r/>
            <w:r>
              <w:rPr>
                <w:b w:val="0"/>
                <w:i w:val="0"/>
                <w:sz w:val="15"/>
              </w:rPr>
              <w:t>385</w:t>
            </w:r>
          </w:p>
        </w:tc>
        <w:tc>
          <w:tcPr>
            <w:tcW w:type="dxa" w:w="1800"/>
            <w:shd w:val="clear" w:color="auto" w:fill="EFEFEF"/>
          </w:tcPr>
          <w:p>
            <w:pPr>
              <w:spacing w:line="240" w:lineRule="auto" w:before="40" w:after="40"/>
              <w:jc w:val="left"/>
            </w:pPr>
            <w:r/>
            <w:r>
              <w:rPr>
                <w:b w:val="0"/>
                <w:i w:val="0"/>
                <w:sz w:val="15"/>
              </w:rPr>
              <w:t>4 classrooms</w:t>
            </w:r>
          </w:p>
        </w:tc>
        <w:tc>
          <w:tcPr>
            <w:tcW w:type="dxa" w:w="864"/>
            <w:shd w:val="clear" w:color="auto" w:fill="EFEFEF"/>
          </w:tcPr>
          <w:p>
            <w:pPr>
              <w:spacing w:line="240" w:lineRule="auto" w:before="40" w:after="40"/>
              <w:jc w:val="right"/>
            </w:pPr>
            <w:r/>
            <w:r>
              <w:rPr>
                <w:b w:val="0"/>
                <w:i w:val="0"/>
                <w:sz w:val="15"/>
              </w:rPr>
              <w:t>9.82</w:t>
            </w:r>
          </w:p>
        </w:tc>
        <w:tc>
          <w:tcPr>
            <w:tcW w:type="dxa" w:w="864"/>
            <w:shd w:val="clear" w:color="auto" w:fill="EFEFEF"/>
          </w:tcPr>
          <w:p>
            <w:pPr>
              <w:spacing w:line="240" w:lineRule="auto" w:before="40" w:after="40"/>
              <w:jc w:val="right"/>
            </w:pPr>
            <w:r/>
            <w:r>
              <w:rPr>
                <w:b w:val="0"/>
                <w:i w:val="0"/>
                <w:sz w:val="15"/>
              </w:rPr>
              <w:t>11.28</w:t>
            </w:r>
          </w:p>
        </w:tc>
      </w:tr>
      <w:tr>
        <w:tc>
          <w:tcPr>
            <w:tcW w:type="dxa" w:w="3168"/>
          </w:tcPr>
          <w:p>
            <w:pPr>
              <w:spacing w:line="240" w:lineRule="auto" w:before="40" w:after="40"/>
              <w:jc w:val="left"/>
            </w:pPr>
            <w:r/>
            <w:r>
              <w:rPr>
                <w:b w:val="0"/>
                <w:i w:val="0"/>
                <w:sz w:val="15"/>
              </w:rPr>
              <w:t>Kindergarten building (2 rooms)</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27.0 × 9.5</w:t>
            </w:r>
          </w:p>
        </w:tc>
        <w:tc>
          <w:tcPr>
            <w:tcW w:type="dxa" w:w="864"/>
          </w:tcPr>
          <w:p>
            <w:pPr>
              <w:spacing w:line="240" w:lineRule="auto" w:before="40" w:after="40"/>
              <w:jc w:val="right"/>
            </w:pPr>
            <w:r/>
            <w:r>
              <w:rPr>
                <w:b w:val="0"/>
                <w:i w:val="0"/>
                <w:sz w:val="15"/>
              </w:rPr>
              <w:t>256</w:t>
            </w:r>
          </w:p>
        </w:tc>
        <w:tc>
          <w:tcPr>
            <w:tcW w:type="dxa" w:w="1800"/>
          </w:tcPr>
          <w:p>
            <w:pPr>
              <w:spacing w:line="240" w:lineRule="auto" w:before="40" w:after="40"/>
              <w:jc w:val="left"/>
            </w:pPr>
            <w:r/>
            <w:r>
              <w:rPr>
                <w:b w:val="0"/>
                <w:i w:val="0"/>
                <w:sz w:val="15"/>
              </w:rPr>
              <w:t>2 classrooms</w:t>
            </w:r>
          </w:p>
        </w:tc>
        <w:tc>
          <w:tcPr>
            <w:tcW w:type="dxa" w:w="864"/>
          </w:tcPr>
          <w:p>
            <w:pPr>
              <w:spacing w:line="240" w:lineRule="auto" w:before="40" w:after="40"/>
              <w:jc w:val="right"/>
            </w:pPr>
            <w:r/>
            <w:r>
              <w:rPr>
                <w:b w:val="0"/>
                <w:i w:val="0"/>
                <w:sz w:val="15"/>
              </w:rPr>
              <w:t>6.78</w:t>
            </w:r>
          </w:p>
        </w:tc>
        <w:tc>
          <w:tcPr>
            <w:tcW w:type="dxa" w:w="864"/>
          </w:tcPr>
          <w:p>
            <w:pPr>
              <w:spacing w:line="240" w:lineRule="auto" w:before="40" w:after="40"/>
              <w:jc w:val="right"/>
            </w:pPr>
            <w:r/>
            <w:r>
              <w:rPr>
                <w:b w:val="0"/>
                <w:i w:val="0"/>
                <w:sz w:val="15"/>
              </w:rPr>
              <w:t>7.78</w:t>
            </w:r>
          </w:p>
        </w:tc>
      </w:tr>
      <w:tr>
        <w:tc>
          <w:tcPr>
            <w:tcW w:type="dxa" w:w="3168"/>
            <w:shd w:val="clear" w:color="auto" w:fill="EFEFEF"/>
          </w:tcPr>
          <w:p>
            <w:pPr>
              <w:spacing w:line="240" w:lineRule="auto" w:before="40" w:after="40"/>
              <w:jc w:val="left"/>
            </w:pPr>
            <w:r/>
            <w:r>
              <w:rPr>
                <w:b w:val="0"/>
                <w:i w:val="0"/>
                <w:sz w:val="15"/>
              </w:rPr>
              <w:t>2-storey 4-classroom school building</w:t>
            </w:r>
          </w:p>
        </w:tc>
        <w:tc>
          <w:tcPr>
            <w:tcW w:type="dxa" w:w="504"/>
            <w:shd w:val="clear" w:color="auto" w:fill="EFEFEF"/>
          </w:tcPr>
          <w:p>
            <w:pPr>
              <w:spacing w:line="240" w:lineRule="auto" w:before="40" w:after="40"/>
              <w:jc w:val="right"/>
            </w:pPr>
            <w:r/>
            <w:r>
              <w:rPr>
                <w:b w:val="0"/>
                <w:i w:val="0"/>
                <w:sz w:val="15"/>
              </w:rPr>
              <w:t>2</w:t>
            </w:r>
          </w:p>
        </w:tc>
        <w:tc>
          <w:tcPr>
            <w:tcW w:type="dxa" w:w="1296"/>
            <w:shd w:val="clear" w:color="auto" w:fill="EFEFEF"/>
          </w:tcPr>
          <w:p>
            <w:pPr>
              <w:spacing w:line="240" w:lineRule="auto" w:before="40" w:after="40"/>
              <w:jc w:val="left"/>
            </w:pPr>
            <w:r/>
            <w:r>
              <w:rPr>
                <w:b w:val="0"/>
                <w:i w:val="0"/>
                <w:sz w:val="15"/>
              </w:rPr>
              <w:t>26.0 × 9.5</w:t>
            </w:r>
          </w:p>
        </w:tc>
        <w:tc>
          <w:tcPr>
            <w:tcW w:type="dxa" w:w="864"/>
            <w:shd w:val="clear" w:color="auto" w:fill="EFEFEF"/>
          </w:tcPr>
          <w:p>
            <w:pPr>
              <w:spacing w:line="240" w:lineRule="auto" w:before="40" w:after="40"/>
              <w:jc w:val="right"/>
            </w:pPr>
            <w:r/>
            <w:r>
              <w:rPr>
                <w:b w:val="0"/>
                <w:i w:val="0"/>
                <w:sz w:val="15"/>
              </w:rPr>
              <w:t>494</w:t>
            </w:r>
          </w:p>
        </w:tc>
        <w:tc>
          <w:tcPr>
            <w:tcW w:type="dxa" w:w="1800"/>
            <w:shd w:val="clear" w:color="auto" w:fill="EFEFEF"/>
          </w:tcPr>
          <w:p>
            <w:pPr>
              <w:spacing w:line="240" w:lineRule="auto" w:before="40" w:after="40"/>
              <w:jc w:val="left"/>
            </w:pPr>
            <w:r/>
            <w:r>
              <w:rPr>
                <w:b w:val="0"/>
                <w:i w:val="0"/>
                <w:sz w:val="15"/>
              </w:rPr>
              <w:t>4 classrooms</w:t>
            </w:r>
          </w:p>
        </w:tc>
        <w:tc>
          <w:tcPr>
            <w:tcW w:type="dxa" w:w="864"/>
            <w:shd w:val="clear" w:color="auto" w:fill="EFEFEF"/>
          </w:tcPr>
          <w:p>
            <w:pPr>
              <w:spacing w:line="240" w:lineRule="auto" w:before="40" w:after="40"/>
              <w:jc w:val="right"/>
            </w:pPr>
            <w:r/>
            <w:r>
              <w:rPr>
                <w:b w:val="0"/>
                <w:i w:val="0"/>
                <w:sz w:val="15"/>
              </w:rPr>
              <w:t>11.31</w:t>
            </w:r>
          </w:p>
        </w:tc>
        <w:tc>
          <w:tcPr>
            <w:tcW w:type="dxa" w:w="864"/>
            <w:shd w:val="clear" w:color="auto" w:fill="EFEFEF"/>
          </w:tcPr>
          <w:p>
            <w:pPr>
              <w:spacing w:line="240" w:lineRule="auto" w:before="40" w:after="40"/>
              <w:jc w:val="right"/>
            </w:pPr>
            <w:r/>
            <w:r>
              <w:rPr>
                <w:b w:val="0"/>
                <w:i w:val="0"/>
                <w:sz w:val="15"/>
              </w:rPr>
              <w:t>13.05</w:t>
            </w:r>
          </w:p>
        </w:tc>
      </w:tr>
      <w:tr>
        <w:tc>
          <w:tcPr>
            <w:tcW w:type="dxa" w:w="3168"/>
          </w:tcPr>
          <w:p>
            <w:pPr>
              <w:spacing w:line="240" w:lineRule="auto" w:before="40" w:after="40"/>
              <w:jc w:val="left"/>
            </w:pPr>
            <w:r/>
            <w:r>
              <w:rPr>
                <w:b w:val="0"/>
                <w:i w:val="0"/>
                <w:sz w:val="15"/>
              </w:rPr>
              <w:t>2-storey 6-classroom school building</w:t>
            </w:r>
          </w:p>
        </w:tc>
        <w:tc>
          <w:tcPr>
            <w:tcW w:type="dxa" w:w="504"/>
          </w:tcPr>
          <w:p>
            <w:pPr>
              <w:spacing w:line="240" w:lineRule="auto" w:before="40" w:after="40"/>
              <w:jc w:val="right"/>
            </w:pPr>
            <w:r/>
            <w:r>
              <w:rPr>
                <w:b w:val="0"/>
                <w:i w:val="0"/>
                <w:sz w:val="15"/>
              </w:rPr>
              <w:t>2</w:t>
            </w:r>
          </w:p>
        </w:tc>
        <w:tc>
          <w:tcPr>
            <w:tcW w:type="dxa" w:w="1296"/>
          </w:tcPr>
          <w:p>
            <w:pPr>
              <w:spacing w:line="240" w:lineRule="auto" w:before="40" w:after="40"/>
              <w:jc w:val="left"/>
            </w:pPr>
            <w:r/>
            <w:r>
              <w:rPr>
                <w:b w:val="0"/>
                <w:i w:val="0"/>
                <w:sz w:val="15"/>
              </w:rPr>
              <w:t>38.5 × 9.5</w:t>
            </w:r>
          </w:p>
        </w:tc>
        <w:tc>
          <w:tcPr>
            <w:tcW w:type="dxa" w:w="864"/>
          </w:tcPr>
          <w:p>
            <w:pPr>
              <w:spacing w:line="240" w:lineRule="auto" w:before="40" w:after="40"/>
              <w:jc w:val="right"/>
            </w:pPr>
            <w:r/>
            <w:r>
              <w:rPr>
                <w:b w:val="0"/>
                <w:i w:val="0"/>
                <w:sz w:val="15"/>
              </w:rPr>
              <w:t>732</w:t>
            </w:r>
          </w:p>
        </w:tc>
        <w:tc>
          <w:tcPr>
            <w:tcW w:type="dxa" w:w="1800"/>
          </w:tcPr>
          <w:p>
            <w:pPr>
              <w:spacing w:line="240" w:lineRule="auto" w:before="40" w:after="40"/>
              <w:jc w:val="left"/>
            </w:pPr>
            <w:r/>
            <w:r>
              <w:rPr>
                <w:b w:val="0"/>
                <w:i w:val="0"/>
                <w:sz w:val="15"/>
              </w:rPr>
              <w:t>6 classrooms</w:t>
            </w:r>
          </w:p>
        </w:tc>
        <w:tc>
          <w:tcPr>
            <w:tcW w:type="dxa" w:w="864"/>
          </w:tcPr>
          <w:p>
            <w:pPr>
              <w:spacing w:line="240" w:lineRule="auto" w:before="40" w:after="40"/>
              <w:jc w:val="right"/>
            </w:pPr>
            <w:r/>
            <w:r>
              <w:rPr>
                <w:b w:val="0"/>
                <w:i w:val="0"/>
                <w:sz w:val="15"/>
              </w:rPr>
              <w:t>16.25</w:t>
            </w:r>
          </w:p>
        </w:tc>
        <w:tc>
          <w:tcPr>
            <w:tcW w:type="dxa" w:w="864"/>
          </w:tcPr>
          <w:p>
            <w:pPr>
              <w:spacing w:line="240" w:lineRule="auto" w:before="40" w:after="40"/>
              <w:jc w:val="right"/>
            </w:pPr>
            <w:r/>
            <w:r>
              <w:rPr>
                <w:b w:val="0"/>
                <w:i w:val="0"/>
                <w:sz w:val="15"/>
              </w:rPr>
              <w:t>18.77</w:t>
            </w:r>
          </w:p>
        </w:tc>
      </w:tr>
      <w:tr>
        <w:tc>
          <w:tcPr>
            <w:tcW w:type="dxa" w:w="3168"/>
            <w:shd w:val="clear" w:color="auto" w:fill="EFEFEF"/>
          </w:tcPr>
          <w:p>
            <w:pPr>
              <w:spacing w:line="240" w:lineRule="auto" w:before="40" w:after="40"/>
              <w:jc w:val="left"/>
            </w:pPr>
            <w:r/>
            <w:r>
              <w:rPr>
                <w:b w:val="0"/>
                <w:i w:val="0"/>
                <w:sz w:val="15"/>
              </w:rPr>
              <w:t>2-storey 8-classroom school building with library</w:t>
            </w:r>
          </w:p>
        </w:tc>
        <w:tc>
          <w:tcPr>
            <w:tcW w:type="dxa" w:w="504"/>
            <w:shd w:val="clear" w:color="auto" w:fill="EFEFEF"/>
          </w:tcPr>
          <w:p>
            <w:pPr>
              <w:spacing w:line="240" w:lineRule="auto" w:before="40" w:after="40"/>
              <w:jc w:val="right"/>
            </w:pPr>
            <w:r/>
            <w:r>
              <w:rPr>
                <w:b w:val="0"/>
                <w:i w:val="0"/>
                <w:sz w:val="15"/>
              </w:rPr>
              <w:t>2</w:t>
            </w:r>
          </w:p>
        </w:tc>
        <w:tc>
          <w:tcPr>
            <w:tcW w:type="dxa" w:w="1296"/>
            <w:shd w:val="clear" w:color="auto" w:fill="EFEFEF"/>
          </w:tcPr>
          <w:p>
            <w:pPr>
              <w:spacing w:line="240" w:lineRule="auto" w:before="40" w:after="40"/>
              <w:jc w:val="left"/>
            </w:pPr>
            <w:r/>
            <w:r>
              <w:rPr>
                <w:b w:val="0"/>
                <w:i w:val="0"/>
                <w:sz w:val="15"/>
              </w:rPr>
              <w:t>61.0 × 9.5</w:t>
            </w:r>
          </w:p>
        </w:tc>
        <w:tc>
          <w:tcPr>
            <w:tcW w:type="dxa" w:w="864"/>
            <w:shd w:val="clear" w:color="auto" w:fill="EFEFEF"/>
          </w:tcPr>
          <w:p>
            <w:pPr>
              <w:spacing w:line="240" w:lineRule="auto" w:before="40" w:after="40"/>
              <w:jc w:val="right"/>
            </w:pPr>
            <w:r/>
            <w:r>
              <w:rPr>
                <w:b w:val="0"/>
                <w:i w:val="0"/>
                <w:sz w:val="15"/>
              </w:rPr>
              <w:t>1,159</w:t>
            </w:r>
          </w:p>
        </w:tc>
        <w:tc>
          <w:tcPr>
            <w:tcW w:type="dxa" w:w="1800"/>
            <w:shd w:val="clear" w:color="auto" w:fill="EFEFEF"/>
          </w:tcPr>
          <w:p>
            <w:pPr>
              <w:spacing w:line="240" w:lineRule="auto" w:before="40" w:after="40"/>
              <w:jc w:val="left"/>
            </w:pPr>
            <w:r/>
            <w:r>
              <w:rPr>
                <w:b w:val="0"/>
                <w:i w:val="0"/>
                <w:sz w:val="15"/>
              </w:rPr>
              <w:t>8 classrooms</w:t>
            </w:r>
          </w:p>
        </w:tc>
        <w:tc>
          <w:tcPr>
            <w:tcW w:type="dxa" w:w="864"/>
            <w:shd w:val="clear" w:color="auto" w:fill="EFEFEF"/>
          </w:tcPr>
          <w:p>
            <w:pPr>
              <w:spacing w:line="240" w:lineRule="auto" w:before="40" w:after="40"/>
              <w:jc w:val="right"/>
            </w:pPr>
            <w:r/>
            <w:r>
              <w:rPr>
                <w:b w:val="0"/>
                <w:i w:val="0"/>
                <w:sz w:val="15"/>
              </w:rPr>
              <w:t>25.10</w:t>
            </w:r>
          </w:p>
        </w:tc>
        <w:tc>
          <w:tcPr>
            <w:tcW w:type="dxa" w:w="864"/>
            <w:shd w:val="clear" w:color="auto" w:fill="EFEFEF"/>
          </w:tcPr>
          <w:p>
            <w:pPr>
              <w:spacing w:line="240" w:lineRule="auto" w:before="40" w:after="40"/>
              <w:jc w:val="right"/>
            </w:pPr>
            <w:r/>
            <w:r>
              <w:rPr>
                <w:b w:val="0"/>
                <w:i w:val="0"/>
                <w:sz w:val="15"/>
              </w:rPr>
              <w:t>29.03</w:t>
            </w:r>
          </w:p>
        </w:tc>
      </w:tr>
      <w:tr>
        <w:tc>
          <w:tcPr>
            <w:tcW w:type="dxa" w:w="3168"/>
          </w:tcPr>
          <w:p>
            <w:pPr>
              <w:spacing w:line="240" w:lineRule="auto" w:before="40" w:after="40"/>
              <w:jc w:val="left"/>
            </w:pPr>
            <w:r/>
            <w:r>
              <w:rPr>
                <w:b w:val="0"/>
                <w:i w:val="0"/>
                <w:sz w:val="15"/>
              </w:rPr>
              <w:t>2-storey senior high school building (6 CL + labs)</w:t>
            </w:r>
          </w:p>
        </w:tc>
        <w:tc>
          <w:tcPr>
            <w:tcW w:type="dxa" w:w="504"/>
          </w:tcPr>
          <w:p>
            <w:pPr>
              <w:spacing w:line="240" w:lineRule="auto" w:before="40" w:after="40"/>
              <w:jc w:val="right"/>
            </w:pPr>
            <w:r/>
            <w:r>
              <w:rPr>
                <w:b w:val="0"/>
                <w:i w:val="0"/>
                <w:sz w:val="15"/>
              </w:rPr>
              <w:t>2</w:t>
            </w:r>
          </w:p>
        </w:tc>
        <w:tc>
          <w:tcPr>
            <w:tcW w:type="dxa" w:w="1296"/>
          </w:tcPr>
          <w:p>
            <w:pPr>
              <w:spacing w:line="240" w:lineRule="auto" w:before="40" w:after="40"/>
              <w:jc w:val="left"/>
            </w:pPr>
            <w:r/>
            <w:r>
              <w:rPr>
                <w:b w:val="0"/>
                <w:i w:val="0"/>
                <w:sz w:val="15"/>
              </w:rPr>
              <w:t>56.5 × 9.5</w:t>
            </w:r>
          </w:p>
        </w:tc>
        <w:tc>
          <w:tcPr>
            <w:tcW w:type="dxa" w:w="864"/>
          </w:tcPr>
          <w:p>
            <w:pPr>
              <w:spacing w:line="240" w:lineRule="auto" w:before="40" w:after="40"/>
              <w:jc w:val="right"/>
            </w:pPr>
            <w:r/>
            <w:r>
              <w:rPr>
                <w:b w:val="0"/>
                <w:i w:val="0"/>
                <w:sz w:val="15"/>
              </w:rPr>
              <w:t>1,074</w:t>
            </w:r>
          </w:p>
        </w:tc>
        <w:tc>
          <w:tcPr>
            <w:tcW w:type="dxa" w:w="1800"/>
          </w:tcPr>
          <w:p>
            <w:pPr>
              <w:spacing w:line="240" w:lineRule="auto" w:before="40" w:after="40"/>
              <w:jc w:val="left"/>
            </w:pPr>
            <w:r/>
            <w:r>
              <w:rPr>
                <w:b w:val="0"/>
                <w:i w:val="0"/>
                <w:sz w:val="15"/>
              </w:rPr>
              <w:t>6 classrooms</w:t>
            </w:r>
          </w:p>
        </w:tc>
        <w:tc>
          <w:tcPr>
            <w:tcW w:type="dxa" w:w="864"/>
          </w:tcPr>
          <w:p>
            <w:pPr>
              <w:spacing w:line="240" w:lineRule="auto" w:before="40" w:after="40"/>
              <w:jc w:val="right"/>
            </w:pPr>
            <w:r/>
            <w:r>
              <w:rPr>
                <w:b w:val="0"/>
                <w:i w:val="0"/>
                <w:sz w:val="15"/>
              </w:rPr>
              <w:t>23.35</w:t>
            </w:r>
          </w:p>
        </w:tc>
        <w:tc>
          <w:tcPr>
            <w:tcW w:type="dxa" w:w="864"/>
          </w:tcPr>
          <w:p>
            <w:pPr>
              <w:spacing w:line="240" w:lineRule="auto" w:before="40" w:after="40"/>
              <w:jc w:val="right"/>
            </w:pPr>
            <w:r/>
            <w:r>
              <w:rPr>
                <w:b w:val="0"/>
                <w:i w:val="0"/>
                <w:sz w:val="15"/>
              </w:rPr>
              <w:t>27.00</w:t>
            </w:r>
          </w:p>
        </w:tc>
      </w:tr>
      <w:tr>
        <w:tc>
          <w:tcPr>
            <w:tcW w:type="dxa" w:w="3168"/>
            <w:shd w:val="clear" w:color="auto" w:fill="EFEFEF"/>
          </w:tcPr>
          <w:p>
            <w:pPr>
              <w:spacing w:line="240" w:lineRule="auto" w:before="40" w:after="40"/>
              <w:jc w:val="left"/>
            </w:pPr>
            <w:r/>
            <w:r>
              <w:rPr>
                <w:b w:val="0"/>
                <w:i w:val="0"/>
                <w:sz w:val="15"/>
              </w:rPr>
              <w:t>TVL workshop building (2 shops + 2 CL)</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49.5 × 9.5</w:t>
            </w:r>
          </w:p>
        </w:tc>
        <w:tc>
          <w:tcPr>
            <w:tcW w:type="dxa" w:w="864"/>
            <w:shd w:val="clear" w:color="auto" w:fill="EFEFEF"/>
          </w:tcPr>
          <w:p>
            <w:pPr>
              <w:spacing w:line="240" w:lineRule="auto" w:before="40" w:after="40"/>
              <w:jc w:val="right"/>
            </w:pPr>
            <w:r/>
            <w:r>
              <w:rPr>
                <w:b w:val="0"/>
                <w:i w:val="0"/>
                <w:sz w:val="15"/>
              </w:rPr>
              <w:t>470</w:t>
            </w:r>
          </w:p>
        </w:tc>
        <w:tc>
          <w:tcPr>
            <w:tcW w:type="dxa" w:w="1800"/>
            <w:shd w:val="clear" w:color="auto" w:fill="EFEFEF"/>
          </w:tcPr>
          <w:p>
            <w:pPr>
              <w:spacing w:line="240" w:lineRule="auto" w:before="40" w:after="40"/>
              <w:jc w:val="left"/>
            </w:pPr>
            <w:r/>
            <w:r>
              <w:rPr>
                <w:b w:val="0"/>
                <w:i w:val="0"/>
                <w:sz w:val="15"/>
              </w:rPr>
              <w:t>2 classrooms</w:t>
            </w:r>
          </w:p>
        </w:tc>
        <w:tc>
          <w:tcPr>
            <w:tcW w:type="dxa" w:w="864"/>
            <w:shd w:val="clear" w:color="auto" w:fill="EFEFEF"/>
          </w:tcPr>
          <w:p>
            <w:pPr>
              <w:spacing w:line="240" w:lineRule="auto" w:before="40" w:after="40"/>
              <w:jc w:val="right"/>
            </w:pPr>
            <w:r/>
            <w:r>
              <w:rPr>
                <w:b w:val="0"/>
                <w:i w:val="0"/>
                <w:sz w:val="15"/>
              </w:rPr>
              <w:t>11.82</w:t>
            </w:r>
          </w:p>
        </w:tc>
        <w:tc>
          <w:tcPr>
            <w:tcW w:type="dxa" w:w="864"/>
            <w:shd w:val="clear" w:color="auto" w:fill="EFEFEF"/>
          </w:tcPr>
          <w:p>
            <w:pPr>
              <w:spacing w:line="240" w:lineRule="auto" w:before="40" w:after="40"/>
              <w:jc w:val="right"/>
            </w:pPr>
            <w:r/>
            <w:r>
              <w:rPr>
                <w:b w:val="0"/>
                <w:i w:val="0"/>
                <w:sz w:val="15"/>
              </w:rPr>
              <w:t>13.59</w:t>
            </w:r>
          </w:p>
        </w:tc>
      </w:tr>
      <w:tr>
        <w:tc>
          <w:tcPr>
            <w:tcW w:type="dxa" w:w="3168"/>
          </w:tcPr>
          <w:p>
            <w:pPr>
              <w:spacing w:line="240" w:lineRule="auto" w:before="40" w:after="40"/>
              <w:jc w:val="left"/>
            </w:pPr>
            <w:r/>
            <w:r>
              <w:rPr>
                <w:b w:val="0"/>
                <w:i w:val="0"/>
                <w:sz w:val="15"/>
              </w:rPr>
              <w:t>3-storey 9-classroom school building</w:t>
            </w:r>
          </w:p>
        </w:tc>
        <w:tc>
          <w:tcPr>
            <w:tcW w:type="dxa" w:w="504"/>
          </w:tcPr>
          <w:p>
            <w:pPr>
              <w:spacing w:line="240" w:lineRule="auto" w:before="40" w:after="40"/>
              <w:jc w:val="right"/>
            </w:pPr>
            <w:r/>
            <w:r>
              <w:rPr>
                <w:b w:val="0"/>
                <w:i w:val="0"/>
                <w:sz w:val="15"/>
              </w:rPr>
              <w:t>3</w:t>
            </w:r>
          </w:p>
        </w:tc>
        <w:tc>
          <w:tcPr>
            <w:tcW w:type="dxa" w:w="1296"/>
          </w:tcPr>
          <w:p>
            <w:pPr>
              <w:spacing w:line="240" w:lineRule="auto" w:before="40" w:after="40"/>
              <w:jc w:val="left"/>
            </w:pPr>
            <w:r/>
            <w:r>
              <w:rPr>
                <w:b w:val="0"/>
                <w:i w:val="0"/>
                <w:sz w:val="15"/>
              </w:rPr>
              <w:t>38.5 × 9.5</w:t>
            </w:r>
          </w:p>
        </w:tc>
        <w:tc>
          <w:tcPr>
            <w:tcW w:type="dxa" w:w="864"/>
          </w:tcPr>
          <w:p>
            <w:pPr>
              <w:spacing w:line="240" w:lineRule="auto" w:before="40" w:after="40"/>
              <w:jc w:val="right"/>
            </w:pPr>
            <w:r/>
            <w:r>
              <w:rPr>
                <w:b w:val="0"/>
                <w:i w:val="0"/>
                <w:sz w:val="15"/>
              </w:rPr>
              <w:t>1,097</w:t>
            </w:r>
          </w:p>
        </w:tc>
        <w:tc>
          <w:tcPr>
            <w:tcW w:type="dxa" w:w="1800"/>
          </w:tcPr>
          <w:p>
            <w:pPr>
              <w:spacing w:line="240" w:lineRule="auto" w:before="40" w:after="40"/>
              <w:jc w:val="left"/>
            </w:pPr>
            <w:r/>
            <w:r>
              <w:rPr>
                <w:b w:val="0"/>
                <w:i w:val="0"/>
                <w:sz w:val="15"/>
              </w:rPr>
              <w:t>9 classrooms</w:t>
            </w:r>
          </w:p>
        </w:tc>
        <w:tc>
          <w:tcPr>
            <w:tcW w:type="dxa" w:w="864"/>
          </w:tcPr>
          <w:p>
            <w:pPr>
              <w:spacing w:line="240" w:lineRule="auto" w:before="40" w:after="40"/>
              <w:jc w:val="right"/>
            </w:pPr>
            <w:r/>
            <w:r>
              <w:rPr>
                <w:b w:val="0"/>
                <w:i w:val="0"/>
                <w:sz w:val="15"/>
              </w:rPr>
              <w:t>24.68</w:t>
            </w:r>
          </w:p>
        </w:tc>
        <w:tc>
          <w:tcPr>
            <w:tcW w:type="dxa" w:w="864"/>
          </w:tcPr>
          <w:p>
            <w:pPr>
              <w:spacing w:line="240" w:lineRule="auto" w:before="40" w:after="40"/>
              <w:jc w:val="right"/>
            </w:pPr>
            <w:r/>
            <w:r>
              <w:rPr>
                <w:b w:val="0"/>
                <w:i w:val="0"/>
                <w:sz w:val="15"/>
              </w:rPr>
              <w:t>28.57</w:t>
            </w:r>
          </w:p>
        </w:tc>
      </w:tr>
      <w:tr>
        <w:tc>
          <w:tcPr>
            <w:tcW w:type="dxa" w:w="3168"/>
            <w:shd w:val="clear" w:color="auto" w:fill="EFEFEF"/>
          </w:tcPr>
          <w:p>
            <w:pPr>
              <w:spacing w:line="240" w:lineRule="auto" w:before="40" w:after="40"/>
              <w:jc w:val="left"/>
            </w:pPr>
            <w:r/>
            <w:r>
              <w:rPr>
                <w:b w:val="0"/>
                <w:i w:val="0"/>
                <w:sz w:val="15"/>
              </w:rPr>
              <w:t>3-storey 12-classroom school building with labs</w:t>
            </w:r>
          </w:p>
        </w:tc>
        <w:tc>
          <w:tcPr>
            <w:tcW w:type="dxa" w:w="504"/>
            <w:shd w:val="clear" w:color="auto" w:fill="EFEFEF"/>
          </w:tcPr>
          <w:p>
            <w:pPr>
              <w:spacing w:line="240" w:lineRule="auto" w:before="40" w:after="40"/>
              <w:jc w:val="right"/>
            </w:pPr>
            <w:r/>
            <w:r>
              <w:rPr>
                <w:b w:val="0"/>
                <w:i w:val="0"/>
                <w:sz w:val="15"/>
              </w:rPr>
              <w:t>3</w:t>
            </w:r>
          </w:p>
        </w:tc>
        <w:tc>
          <w:tcPr>
            <w:tcW w:type="dxa" w:w="1296"/>
            <w:shd w:val="clear" w:color="auto" w:fill="EFEFEF"/>
          </w:tcPr>
          <w:p>
            <w:pPr>
              <w:spacing w:line="240" w:lineRule="auto" w:before="40" w:after="40"/>
              <w:jc w:val="left"/>
            </w:pPr>
            <w:r/>
            <w:r>
              <w:rPr>
                <w:b w:val="0"/>
                <w:i w:val="0"/>
                <w:sz w:val="15"/>
              </w:rPr>
              <w:t>56.5 × 9.5</w:t>
            </w:r>
          </w:p>
        </w:tc>
        <w:tc>
          <w:tcPr>
            <w:tcW w:type="dxa" w:w="864"/>
            <w:shd w:val="clear" w:color="auto" w:fill="EFEFEF"/>
          </w:tcPr>
          <w:p>
            <w:pPr>
              <w:spacing w:line="240" w:lineRule="auto" w:before="40" w:after="40"/>
              <w:jc w:val="right"/>
            </w:pPr>
            <w:r/>
            <w:r>
              <w:rPr>
                <w:b w:val="0"/>
                <w:i w:val="0"/>
                <w:sz w:val="15"/>
              </w:rPr>
              <w:t>1,610</w:t>
            </w:r>
          </w:p>
        </w:tc>
        <w:tc>
          <w:tcPr>
            <w:tcW w:type="dxa" w:w="1800"/>
            <w:shd w:val="clear" w:color="auto" w:fill="EFEFEF"/>
          </w:tcPr>
          <w:p>
            <w:pPr>
              <w:spacing w:line="240" w:lineRule="auto" w:before="40" w:after="40"/>
              <w:jc w:val="left"/>
            </w:pPr>
            <w:r/>
            <w:r>
              <w:rPr>
                <w:b w:val="0"/>
                <w:i w:val="0"/>
                <w:sz w:val="15"/>
              </w:rPr>
              <w:t>12 classrooms</w:t>
            </w:r>
          </w:p>
        </w:tc>
        <w:tc>
          <w:tcPr>
            <w:tcW w:type="dxa" w:w="864"/>
            <w:shd w:val="clear" w:color="auto" w:fill="EFEFEF"/>
          </w:tcPr>
          <w:p>
            <w:pPr>
              <w:spacing w:line="240" w:lineRule="auto" w:before="40" w:after="40"/>
              <w:jc w:val="right"/>
            </w:pPr>
            <w:r/>
            <w:r>
              <w:rPr>
                <w:b w:val="0"/>
                <w:i w:val="0"/>
                <w:sz w:val="15"/>
              </w:rPr>
              <w:t>35.05</w:t>
            </w:r>
          </w:p>
        </w:tc>
        <w:tc>
          <w:tcPr>
            <w:tcW w:type="dxa" w:w="864"/>
            <w:shd w:val="clear" w:color="auto" w:fill="EFEFEF"/>
          </w:tcPr>
          <w:p>
            <w:pPr>
              <w:spacing w:line="240" w:lineRule="auto" w:before="40" w:after="40"/>
              <w:jc w:val="right"/>
            </w:pPr>
            <w:r/>
            <w:r>
              <w:rPr>
                <w:b w:val="0"/>
                <w:i w:val="0"/>
                <w:sz w:val="15"/>
              </w:rPr>
              <w:t>40.66</w:t>
            </w:r>
          </w:p>
        </w:tc>
      </w:tr>
      <w:tr>
        <w:tc>
          <w:tcPr>
            <w:tcW w:type="dxa" w:w="3168"/>
          </w:tcPr>
          <w:p>
            <w:pPr>
              <w:spacing w:line="240" w:lineRule="auto" w:before="40" w:after="40"/>
              <w:jc w:val="left"/>
            </w:pPr>
            <w:r/>
            <w:r>
              <w:rPr>
                <w:b w:val="0"/>
                <w:i w:val="0"/>
                <w:sz w:val="15"/>
              </w:rPr>
              <w:t>4-storey 16-classroom school building</w:t>
            </w:r>
          </w:p>
        </w:tc>
        <w:tc>
          <w:tcPr>
            <w:tcW w:type="dxa" w:w="504"/>
          </w:tcPr>
          <w:p>
            <w:pPr>
              <w:spacing w:line="240" w:lineRule="auto" w:before="40" w:after="40"/>
              <w:jc w:val="right"/>
            </w:pPr>
            <w:r/>
            <w:r>
              <w:rPr>
                <w:b w:val="0"/>
                <w:i w:val="0"/>
                <w:sz w:val="15"/>
              </w:rPr>
              <w:t>4</w:t>
            </w:r>
          </w:p>
        </w:tc>
        <w:tc>
          <w:tcPr>
            <w:tcW w:type="dxa" w:w="1296"/>
          </w:tcPr>
          <w:p>
            <w:pPr>
              <w:spacing w:line="240" w:lineRule="auto" w:before="40" w:after="40"/>
              <w:jc w:val="left"/>
            </w:pPr>
            <w:r/>
            <w:r>
              <w:rPr>
                <w:b w:val="0"/>
                <w:i w:val="0"/>
                <w:sz w:val="15"/>
              </w:rPr>
              <w:t>47.5 × 9.5</w:t>
            </w:r>
          </w:p>
        </w:tc>
        <w:tc>
          <w:tcPr>
            <w:tcW w:type="dxa" w:w="864"/>
          </w:tcPr>
          <w:p>
            <w:pPr>
              <w:spacing w:line="240" w:lineRule="auto" w:before="40" w:after="40"/>
              <w:jc w:val="right"/>
            </w:pPr>
            <w:r/>
            <w:r>
              <w:rPr>
                <w:b w:val="0"/>
                <w:i w:val="0"/>
                <w:sz w:val="15"/>
              </w:rPr>
              <w:t>1,805</w:t>
            </w:r>
          </w:p>
        </w:tc>
        <w:tc>
          <w:tcPr>
            <w:tcW w:type="dxa" w:w="1800"/>
          </w:tcPr>
          <w:p>
            <w:pPr>
              <w:spacing w:line="240" w:lineRule="auto" w:before="40" w:after="40"/>
              <w:jc w:val="left"/>
            </w:pPr>
            <w:r/>
            <w:r>
              <w:rPr>
                <w:b w:val="0"/>
                <w:i w:val="0"/>
                <w:sz w:val="15"/>
              </w:rPr>
              <w:t>16 classrooms</w:t>
            </w:r>
          </w:p>
        </w:tc>
        <w:tc>
          <w:tcPr>
            <w:tcW w:type="dxa" w:w="864"/>
          </w:tcPr>
          <w:p>
            <w:pPr>
              <w:spacing w:line="240" w:lineRule="auto" w:before="40" w:after="40"/>
              <w:jc w:val="right"/>
            </w:pPr>
            <w:r/>
            <w:r>
              <w:rPr>
                <w:b w:val="0"/>
                <w:i w:val="0"/>
                <w:sz w:val="15"/>
              </w:rPr>
              <w:t>38.87</w:t>
            </w:r>
          </w:p>
        </w:tc>
        <w:tc>
          <w:tcPr>
            <w:tcW w:type="dxa" w:w="864"/>
          </w:tcPr>
          <w:p>
            <w:pPr>
              <w:spacing w:line="240" w:lineRule="auto" w:before="40" w:after="40"/>
              <w:jc w:val="right"/>
            </w:pPr>
            <w:r/>
            <w:r>
              <w:rPr>
                <w:b w:val="0"/>
                <w:i w:val="0"/>
                <w:sz w:val="15"/>
              </w:rPr>
              <w:t>45.09</w:t>
            </w:r>
          </w:p>
        </w:tc>
      </w:tr>
      <w:tr>
        <w:tc>
          <w:tcPr>
            <w:tcW w:type="dxa" w:w="3168"/>
            <w:shd w:val="clear" w:color="auto" w:fill="EFEFEF"/>
          </w:tcPr>
          <w:p>
            <w:pPr>
              <w:spacing w:line="240" w:lineRule="auto" w:before="40" w:after="40"/>
              <w:jc w:val="left"/>
            </w:pPr>
            <w:r/>
            <w:r>
              <w:rPr>
                <w:b w:val="0"/>
                <w:i w:val="0"/>
                <w:sz w:val="15"/>
              </w:rPr>
              <w:t>4-storey 20-classroom school building with support rooms</w:t>
            </w:r>
          </w:p>
        </w:tc>
        <w:tc>
          <w:tcPr>
            <w:tcW w:type="dxa" w:w="504"/>
            <w:shd w:val="clear" w:color="auto" w:fill="EFEFEF"/>
          </w:tcPr>
          <w:p>
            <w:pPr>
              <w:spacing w:line="240" w:lineRule="auto" w:before="40" w:after="40"/>
              <w:jc w:val="right"/>
            </w:pPr>
            <w:r/>
            <w:r>
              <w:rPr>
                <w:b w:val="0"/>
                <w:i w:val="0"/>
                <w:sz w:val="15"/>
              </w:rPr>
              <w:t>4</w:t>
            </w:r>
          </w:p>
        </w:tc>
        <w:tc>
          <w:tcPr>
            <w:tcW w:type="dxa" w:w="1296"/>
            <w:shd w:val="clear" w:color="auto" w:fill="EFEFEF"/>
          </w:tcPr>
          <w:p>
            <w:pPr>
              <w:spacing w:line="240" w:lineRule="auto" w:before="40" w:after="40"/>
              <w:jc w:val="left"/>
            </w:pPr>
            <w:r/>
            <w:r>
              <w:rPr>
                <w:b w:val="0"/>
                <w:i w:val="0"/>
                <w:sz w:val="15"/>
              </w:rPr>
              <w:t>65.5 × 9.5</w:t>
            </w:r>
          </w:p>
        </w:tc>
        <w:tc>
          <w:tcPr>
            <w:tcW w:type="dxa" w:w="864"/>
            <w:shd w:val="clear" w:color="auto" w:fill="EFEFEF"/>
          </w:tcPr>
          <w:p>
            <w:pPr>
              <w:spacing w:line="240" w:lineRule="auto" w:before="40" w:after="40"/>
              <w:jc w:val="right"/>
            </w:pPr>
            <w:r/>
            <w:r>
              <w:rPr>
                <w:b w:val="0"/>
                <w:i w:val="0"/>
                <w:sz w:val="15"/>
              </w:rPr>
              <w:t>2,489</w:t>
            </w:r>
          </w:p>
        </w:tc>
        <w:tc>
          <w:tcPr>
            <w:tcW w:type="dxa" w:w="1800"/>
            <w:shd w:val="clear" w:color="auto" w:fill="EFEFEF"/>
          </w:tcPr>
          <w:p>
            <w:pPr>
              <w:spacing w:line="240" w:lineRule="auto" w:before="40" w:after="40"/>
              <w:jc w:val="left"/>
            </w:pPr>
            <w:r/>
            <w:r>
              <w:rPr>
                <w:b w:val="0"/>
                <w:i w:val="0"/>
                <w:sz w:val="15"/>
              </w:rPr>
              <w:t>20 classrooms</w:t>
            </w:r>
          </w:p>
        </w:tc>
        <w:tc>
          <w:tcPr>
            <w:tcW w:type="dxa" w:w="864"/>
            <w:shd w:val="clear" w:color="auto" w:fill="EFEFEF"/>
          </w:tcPr>
          <w:p>
            <w:pPr>
              <w:spacing w:line="240" w:lineRule="auto" w:before="40" w:after="40"/>
              <w:jc w:val="right"/>
            </w:pPr>
            <w:r/>
            <w:r>
              <w:rPr>
                <w:b w:val="0"/>
                <w:i w:val="0"/>
                <w:sz w:val="15"/>
              </w:rPr>
              <w:t>52.38</w:t>
            </w:r>
          </w:p>
        </w:tc>
        <w:tc>
          <w:tcPr>
            <w:tcW w:type="dxa" w:w="864"/>
            <w:shd w:val="clear" w:color="auto" w:fill="EFEFEF"/>
          </w:tcPr>
          <w:p>
            <w:pPr>
              <w:spacing w:line="240" w:lineRule="auto" w:before="40" w:after="40"/>
              <w:jc w:val="right"/>
            </w:pPr>
            <w:r/>
            <w:r>
              <w:rPr>
                <w:b w:val="0"/>
                <w:i w:val="0"/>
                <w:sz w:val="15"/>
              </w:rPr>
              <w:t>60.86</w:t>
            </w:r>
          </w:p>
        </w:tc>
      </w:tr>
      <w:tr>
        <w:tc>
          <w:tcPr>
            <w:tcW w:type="dxa" w:w="3168"/>
          </w:tcPr>
          <w:p>
            <w:pPr>
              <w:spacing w:line="240" w:lineRule="auto" w:before="40" w:after="40"/>
              <w:jc w:val="left"/>
            </w:pPr>
            <w:r/>
            <w:r>
              <w:rPr>
                <w:b w:val="0"/>
                <w:i w:val="0"/>
                <w:sz w:val="15"/>
              </w:rPr>
              <w:t>School admin &amp; library building</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40.5 × 9.5</w:t>
            </w:r>
          </w:p>
        </w:tc>
        <w:tc>
          <w:tcPr>
            <w:tcW w:type="dxa" w:w="864"/>
          </w:tcPr>
          <w:p>
            <w:pPr>
              <w:spacing w:line="240" w:lineRule="auto" w:before="40" w:after="40"/>
              <w:jc w:val="right"/>
            </w:pPr>
            <w:r/>
            <w:r>
              <w:rPr>
                <w:b w:val="0"/>
                <w:i w:val="0"/>
                <w:sz w:val="15"/>
              </w:rPr>
              <w:t>385</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9.87</w:t>
            </w:r>
          </w:p>
        </w:tc>
        <w:tc>
          <w:tcPr>
            <w:tcW w:type="dxa" w:w="864"/>
          </w:tcPr>
          <w:p>
            <w:pPr>
              <w:spacing w:line="240" w:lineRule="auto" w:before="40" w:after="40"/>
              <w:jc w:val="right"/>
            </w:pPr>
            <w:r/>
            <w:r>
              <w:rPr>
                <w:b w:val="0"/>
                <w:i w:val="0"/>
                <w:sz w:val="15"/>
              </w:rPr>
              <w:t>11.33</w:t>
            </w:r>
          </w:p>
        </w:tc>
      </w:tr>
      <w:tr>
        <w:tc>
          <w:tcPr>
            <w:tcW w:type="dxa" w:w="3168"/>
            <w:shd w:val="clear" w:color="auto" w:fill="EFEFEF"/>
          </w:tcPr>
          <w:p>
            <w:pPr>
              <w:spacing w:line="240" w:lineRule="auto" w:before="40" w:after="40"/>
              <w:jc w:val="left"/>
            </w:pPr>
            <w:r/>
            <w:r>
              <w:rPr>
                <w:b w:val="0"/>
                <w:i w:val="0"/>
                <w:sz w:val="15"/>
              </w:rPr>
              <w:t>Barangay health station</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12.0 × 12.4</w:t>
            </w:r>
          </w:p>
        </w:tc>
        <w:tc>
          <w:tcPr>
            <w:tcW w:type="dxa" w:w="864"/>
            <w:shd w:val="clear" w:color="auto" w:fill="EFEFEF"/>
          </w:tcPr>
          <w:p>
            <w:pPr>
              <w:spacing w:line="240" w:lineRule="auto" w:before="40" w:after="40"/>
              <w:jc w:val="right"/>
            </w:pPr>
            <w:r/>
            <w:r>
              <w:rPr>
                <w:b w:val="0"/>
                <w:i w:val="0"/>
                <w:sz w:val="15"/>
              </w:rPr>
              <w:t>149</w:t>
            </w:r>
          </w:p>
        </w:tc>
        <w:tc>
          <w:tcPr>
            <w:tcW w:type="dxa" w:w="1800"/>
            <w:shd w:val="clear" w:color="auto" w:fill="EFEFEF"/>
          </w:tcPr>
          <w:p>
            <w:pPr>
              <w:spacing w:line="240" w:lineRule="auto" w:before="40" w:after="40"/>
              <w:jc w:val="left"/>
            </w:pPr>
            <w:r/>
            <w:r>
              <w:rPr>
                <w:b w:val="0"/>
                <w:i w:val="0"/>
                <w:sz w:val="15"/>
              </w:rPr>
              <w:t>1 consult rooms</w:t>
            </w:r>
          </w:p>
        </w:tc>
        <w:tc>
          <w:tcPr>
            <w:tcW w:type="dxa" w:w="864"/>
            <w:shd w:val="clear" w:color="auto" w:fill="EFEFEF"/>
          </w:tcPr>
          <w:p>
            <w:pPr>
              <w:spacing w:line="240" w:lineRule="auto" w:before="40" w:after="40"/>
              <w:jc w:val="right"/>
            </w:pPr>
            <w:r/>
            <w:r>
              <w:rPr>
                <w:b w:val="0"/>
                <w:i w:val="0"/>
                <w:sz w:val="15"/>
              </w:rPr>
              <w:t>5.17</w:t>
            </w:r>
          </w:p>
        </w:tc>
        <w:tc>
          <w:tcPr>
            <w:tcW w:type="dxa" w:w="864"/>
            <w:shd w:val="clear" w:color="auto" w:fill="EFEFEF"/>
          </w:tcPr>
          <w:p>
            <w:pPr>
              <w:spacing w:line="240" w:lineRule="auto" w:before="40" w:after="40"/>
              <w:jc w:val="right"/>
            </w:pPr>
            <w:r/>
            <w:r>
              <w:rPr>
                <w:b w:val="0"/>
                <w:i w:val="0"/>
                <w:sz w:val="15"/>
              </w:rPr>
              <w:t>6.20</w:t>
            </w:r>
          </w:p>
        </w:tc>
      </w:tr>
      <w:tr>
        <w:tc>
          <w:tcPr>
            <w:tcW w:type="dxa" w:w="3168"/>
          </w:tcPr>
          <w:p>
            <w:pPr>
              <w:spacing w:line="240" w:lineRule="auto" w:before="40" w:after="40"/>
              <w:jc w:val="left"/>
            </w:pPr>
            <w:r/>
            <w:r>
              <w:rPr>
                <w:b w:val="0"/>
                <w:i w:val="0"/>
                <w:sz w:val="15"/>
              </w:rPr>
              <w:t>Barangay health station with birthing room</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18.0 × 12.4</w:t>
            </w:r>
          </w:p>
        </w:tc>
        <w:tc>
          <w:tcPr>
            <w:tcW w:type="dxa" w:w="864"/>
          </w:tcPr>
          <w:p>
            <w:pPr>
              <w:spacing w:line="240" w:lineRule="auto" w:before="40" w:after="40"/>
              <w:jc w:val="right"/>
            </w:pPr>
            <w:r/>
            <w:r>
              <w:rPr>
                <w:b w:val="0"/>
                <w:i w:val="0"/>
                <w:sz w:val="15"/>
              </w:rPr>
              <w:t>223</w:t>
            </w:r>
          </w:p>
        </w:tc>
        <w:tc>
          <w:tcPr>
            <w:tcW w:type="dxa" w:w="1800"/>
          </w:tcPr>
          <w:p>
            <w:pPr>
              <w:spacing w:line="240" w:lineRule="auto" w:before="40" w:after="40"/>
              <w:jc w:val="left"/>
            </w:pPr>
            <w:r/>
            <w:r>
              <w:rPr>
                <w:b w:val="0"/>
                <w:i w:val="0"/>
                <w:sz w:val="15"/>
              </w:rPr>
              <w:t>2 beds</w:t>
            </w:r>
          </w:p>
        </w:tc>
        <w:tc>
          <w:tcPr>
            <w:tcW w:type="dxa" w:w="864"/>
          </w:tcPr>
          <w:p>
            <w:pPr>
              <w:spacing w:line="240" w:lineRule="auto" w:before="40" w:after="40"/>
              <w:jc w:val="right"/>
            </w:pPr>
            <w:r/>
            <w:r>
              <w:rPr>
                <w:b w:val="0"/>
                <w:i w:val="0"/>
                <w:sz w:val="15"/>
              </w:rPr>
              <w:t>7.04</w:t>
            </w:r>
          </w:p>
        </w:tc>
        <w:tc>
          <w:tcPr>
            <w:tcW w:type="dxa" w:w="864"/>
          </w:tcPr>
          <w:p>
            <w:pPr>
              <w:spacing w:line="240" w:lineRule="auto" w:before="40" w:after="40"/>
              <w:jc w:val="right"/>
            </w:pPr>
            <w:r/>
            <w:r>
              <w:rPr>
                <w:b w:val="0"/>
                <w:i w:val="0"/>
                <w:sz w:val="15"/>
              </w:rPr>
              <w:t>8.47</w:t>
            </w:r>
          </w:p>
        </w:tc>
      </w:tr>
      <w:tr>
        <w:tc>
          <w:tcPr>
            <w:tcW w:type="dxa" w:w="3168"/>
            <w:shd w:val="clear" w:color="auto" w:fill="EFEFEF"/>
          </w:tcPr>
          <w:p>
            <w:pPr>
              <w:spacing w:line="240" w:lineRule="auto" w:before="40" w:after="40"/>
              <w:jc w:val="left"/>
            </w:pPr>
            <w:r/>
            <w:r>
              <w:rPr>
                <w:b w:val="0"/>
                <w:i w:val="0"/>
                <w:sz w:val="15"/>
              </w:rPr>
              <w:t>Rural health unit (1-storey)</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28.5 × 12.4</w:t>
            </w:r>
          </w:p>
        </w:tc>
        <w:tc>
          <w:tcPr>
            <w:tcW w:type="dxa" w:w="864"/>
            <w:shd w:val="clear" w:color="auto" w:fill="EFEFEF"/>
          </w:tcPr>
          <w:p>
            <w:pPr>
              <w:spacing w:line="240" w:lineRule="auto" w:before="40" w:after="40"/>
              <w:jc w:val="right"/>
            </w:pPr>
            <w:r/>
            <w:r>
              <w:rPr>
                <w:b w:val="0"/>
                <w:i w:val="0"/>
                <w:sz w:val="15"/>
              </w:rPr>
              <w:t>353</w:t>
            </w:r>
          </w:p>
        </w:tc>
        <w:tc>
          <w:tcPr>
            <w:tcW w:type="dxa" w:w="1800"/>
            <w:shd w:val="clear" w:color="auto" w:fill="EFEFEF"/>
          </w:tcPr>
          <w:p>
            <w:pPr>
              <w:spacing w:line="240" w:lineRule="auto" w:before="40" w:after="40"/>
              <w:jc w:val="left"/>
            </w:pPr>
            <w:r/>
            <w:r>
              <w:rPr>
                <w:b w:val="0"/>
                <w:i w:val="0"/>
                <w:sz w:val="15"/>
              </w:rPr>
              <w:t>3 consult rooms</w:t>
            </w:r>
          </w:p>
        </w:tc>
        <w:tc>
          <w:tcPr>
            <w:tcW w:type="dxa" w:w="864"/>
            <w:shd w:val="clear" w:color="auto" w:fill="EFEFEF"/>
          </w:tcPr>
          <w:p>
            <w:pPr>
              <w:spacing w:line="240" w:lineRule="auto" w:before="40" w:after="40"/>
              <w:jc w:val="right"/>
            </w:pPr>
            <w:r/>
            <w:r>
              <w:rPr>
                <w:b w:val="0"/>
                <w:i w:val="0"/>
                <w:sz w:val="15"/>
              </w:rPr>
              <w:t>10.69</w:t>
            </w:r>
          </w:p>
        </w:tc>
        <w:tc>
          <w:tcPr>
            <w:tcW w:type="dxa" w:w="864"/>
            <w:shd w:val="clear" w:color="auto" w:fill="EFEFEF"/>
          </w:tcPr>
          <w:p>
            <w:pPr>
              <w:spacing w:line="240" w:lineRule="auto" w:before="40" w:after="40"/>
              <w:jc w:val="right"/>
            </w:pPr>
            <w:r/>
            <w:r>
              <w:rPr>
                <w:b w:val="0"/>
                <w:i w:val="0"/>
                <w:sz w:val="15"/>
              </w:rPr>
              <w:t>12.89</w:t>
            </w:r>
          </w:p>
        </w:tc>
      </w:tr>
      <w:tr>
        <w:tc>
          <w:tcPr>
            <w:tcW w:type="dxa" w:w="3168"/>
          </w:tcPr>
          <w:p>
            <w:pPr>
              <w:spacing w:line="240" w:lineRule="auto" w:before="40" w:after="40"/>
              <w:jc w:val="left"/>
            </w:pPr>
            <w:r/>
            <w:r>
              <w:rPr>
                <w:b w:val="0"/>
                <w:i w:val="0"/>
                <w:sz w:val="15"/>
              </w:rPr>
              <w:t>Rural health unit with birthing (2-storey)</w:t>
            </w:r>
          </w:p>
        </w:tc>
        <w:tc>
          <w:tcPr>
            <w:tcW w:type="dxa" w:w="504"/>
          </w:tcPr>
          <w:p>
            <w:pPr>
              <w:spacing w:line="240" w:lineRule="auto" w:before="40" w:after="40"/>
              <w:jc w:val="right"/>
            </w:pPr>
            <w:r/>
            <w:r>
              <w:rPr>
                <w:b w:val="0"/>
                <w:i w:val="0"/>
                <w:sz w:val="15"/>
              </w:rPr>
              <w:t>2</w:t>
            </w:r>
          </w:p>
        </w:tc>
        <w:tc>
          <w:tcPr>
            <w:tcW w:type="dxa" w:w="1296"/>
          </w:tcPr>
          <w:p>
            <w:pPr>
              <w:spacing w:line="240" w:lineRule="auto" w:before="40" w:after="40"/>
              <w:jc w:val="left"/>
            </w:pPr>
            <w:r/>
            <w:r>
              <w:rPr>
                <w:b w:val="0"/>
                <w:i w:val="0"/>
                <w:sz w:val="15"/>
              </w:rPr>
              <w:t>19.0 × 12.4</w:t>
            </w:r>
          </w:p>
        </w:tc>
        <w:tc>
          <w:tcPr>
            <w:tcW w:type="dxa" w:w="864"/>
          </w:tcPr>
          <w:p>
            <w:pPr>
              <w:spacing w:line="240" w:lineRule="auto" w:before="40" w:after="40"/>
              <w:jc w:val="right"/>
            </w:pPr>
            <w:r/>
            <w:r>
              <w:rPr>
                <w:b w:val="0"/>
                <w:i w:val="0"/>
                <w:sz w:val="15"/>
              </w:rPr>
              <w:t>471</w:t>
            </w:r>
          </w:p>
        </w:tc>
        <w:tc>
          <w:tcPr>
            <w:tcW w:type="dxa" w:w="1800"/>
          </w:tcPr>
          <w:p>
            <w:pPr>
              <w:spacing w:line="240" w:lineRule="auto" w:before="40" w:after="40"/>
              <w:jc w:val="left"/>
            </w:pPr>
            <w:r/>
            <w:r>
              <w:rPr>
                <w:b w:val="0"/>
                <w:i w:val="0"/>
                <w:sz w:val="15"/>
              </w:rPr>
              <w:t>4 beds</w:t>
            </w:r>
          </w:p>
        </w:tc>
        <w:tc>
          <w:tcPr>
            <w:tcW w:type="dxa" w:w="864"/>
          </w:tcPr>
          <w:p>
            <w:pPr>
              <w:spacing w:line="240" w:lineRule="auto" w:before="40" w:after="40"/>
              <w:jc w:val="right"/>
            </w:pPr>
            <w:r/>
            <w:r>
              <w:rPr>
                <w:b w:val="0"/>
                <w:i w:val="0"/>
                <w:sz w:val="15"/>
              </w:rPr>
              <w:t>12.79</w:t>
            </w:r>
          </w:p>
        </w:tc>
        <w:tc>
          <w:tcPr>
            <w:tcW w:type="dxa" w:w="864"/>
          </w:tcPr>
          <w:p>
            <w:pPr>
              <w:spacing w:line="240" w:lineRule="auto" w:before="40" w:after="40"/>
              <w:jc w:val="right"/>
            </w:pPr>
            <w:r/>
            <w:r>
              <w:rPr>
                <w:b w:val="0"/>
                <w:i w:val="0"/>
                <w:sz w:val="15"/>
              </w:rPr>
              <w:t>15.58</w:t>
            </w:r>
          </w:p>
        </w:tc>
      </w:tr>
      <w:tr>
        <w:tc>
          <w:tcPr>
            <w:tcW w:type="dxa" w:w="3168"/>
            <w:shd w:val="clear" w:color="auto" w:fill="EFEFEF"/>
          </w:tcPr>
          <w:p>
            <w:pPr>
              <w:spacing w:line="240" w:lineRule="auto" w:before="40" w:after="40"/>
              <w:jc w:val="left"/>
            </w:pPr>
            <w:r/>
            <w:r>
              <w:rPr>
                <w:b w:val="0"/>
                <w:i w:val="0"/>
                <w:sz w:val="15"/>
              </w:rPr>
              <w:t>10-bed infirmary</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32.0 × 12.4</w:t>
            </w:r>
          </w:p>
        </w:tc>
        <w:tc>
          <w:tcPr>
            <w:tcW w:type="dxa" w:w="864"/>
            <w:shd w:val="clear" w:color="auto" w:fill="EFEFEF"/>
          </w:tcPr>
          <w:p>
            <w:pPr>
              <w:spacing w:line="240" w:lineRule="auto" w:before="40" w:after="40"/>
              <w:jc w:val="right"/>
            </w:pPr>
            <w:r/>
            <w:r>
              <w:rPr>
                <w:b w:val="0"/>
                <w:i w:val="0"/>
                <w:sz w:val="15"/>
              </w:rPr>
              <w:t>397</w:t>
            </w:r>
          </w:p>
        </w:tc>
        <w:tc>
          <w:tcPr>
            <w:tcW w:type="dxa" w:w="1800"/>
            <w:shd w:val="clear" w:color="auto" w:fill="EFEFEF"/>
          </w:tcPr>
          <w:p>
            <w:pPr>
              <w:spacing w:line="240" w:lineRule="auto" w:before="40" w:after="40"/>
              <w:jc w:val="left"/>
            </w:pPr>
            <w:r/>
            <w:r>
              <w:rPr>
                <w:b w:val="0"/>
                <w:i w:val="0"/>
                <w:sz w:val="15"/>
              </w:rPr>
              <w:t>10 beds</w:t>
            </w:r>
          </w:p>
        </w:tc>
        <w:tc>
          <w:tcPr>
            <w:tcW w:type="dxa" w:w="864"/>
            <w:shd w:val="clear" w:color="auto" w:fill="EFEFEF"/>
          </w:tcPr>
          <w:p>
            <w:pPr>
              <w:spacing w:line="240" w:lineRule="auto" w:before="40" w:after="40"/>
              <w:jc w:val="right"/>
            </w:pPr>
            <w:r/>
            <w:r>
              <w:rPr>
                <w:b w:val="0"/>
                <w:i w:val="0"/>
                <w:sz w:val="15"/>
              </w:rPr>
              <w:t>11.86</w:t>
            </w:r>
          </w:p>
        </w:tc>
        <w:tc>
          <w:tcPr>
            <w:tcW w:type="dxa" w:w="864"/>
            <w:shd w:val="clear" w:color="auto" w:fill="EFEFEF"/>
          </w:tcPr>
          <w:p>
            <w:pPr>
              <w:spacing w:line="240" w:lineRule="auto" w:before="40" w:after="40"/>
              <w:jc w:val="right"/>
            </w:pPr>
            <w:r/>
            <w:r>
              <w:rPr>
                <w:b w:val="0"/>
                <w:i w:val="0"/>
                <w:sz w:val="15"/>
              </w:rPr>
              <w:t>14.31</w:t>
            </w:r>
          </w:p>
        </w:tc>
      </w:tr>
      <w:tr>
        <w:tc>
          <w:tcPr>
            <w:tcW w:type="dxa" w:w="3168"/>
          </w:tcPr>
          <w:p>
            <w:pPr>
              <w:spacing w:line="240" w:lineRule="auto" w:before="40" w:after="40"/>
              <w:jc w:val="left"/>
            </w:pPr>
            <w:r/>
            <w:r>
              <w:rPr>
                <w:b w:val="0"/>
                <w:i w:val="0"/>
                <w:sz w:val="15"/>
              </w:rPr>
              <w:t>25-bed community hospital (2-storey)</w:t>
            </w:r>
          </w:p>
        </w:tc>
        <w:tc>
          <w:tcPr>
            <w:tcW w:type="dxa" w:w="504"/>
          </w:tcPr>
          <w:p>
            <w:pPr>
              <w:spacing w:line="240" w:lineRule="auto" w:before="40" w:after="40"/>
              <w:jc w:val="right"/>
            </w:pPr>
            <w:r/>
            <w:r>
              <w:rPr>
                <w:b w:val="0"/>
                <w:i w:val="0"/>
                <w:sz w:val="15"/>
              </w:rPr>
              <w:t>2</w:t>
            </w:r>
          </w:p>
        </w:tc>
        <w:tc>
          <w:tcPr>
            <w:tcW w:type="dxa" w:w="1296"/>
          </w:tcPr>
          <w:p>
            <w:pPr>
              <w:spacing w:line="240" w:lineRule="auto" w:before="40" w:after="40"/>
              <w:jc w:val="left"/>
            </w:pPr>
            <w:r/>
            <w:r>
              <w:rPr>
                <w:b w:val="0"/>
                <w:i w:val="0"/>
                <w:sz w:val="15"/>
              </w:rPr>
              <w:t>30.0 × 12.4</w:t>
            </w:r>
          </w:p>
        </w:tc>
        <w:tc>
          <w:tcPr>
            <w:tcW w:type="dxa" w:w="864"/>
          </w:tcPr>
          <w:p>
            <w:pPr>
              <w:spacing w:line="240" w:lineRule="auto" w:before="40" w:after="40"/>
              <w:jc w:val="right"/>
            </w:pPr>
            <w:r/>
            <w:r>
              <w:rPr>
                <w:b w:val="0"/>
                <w:i w:val="0"/>
                <w:sz w:val="15"/>
              </w:rPr>
              <w:t>744</w:t>
            </w:r>
          </w:p>
        </w:tc>
        <w:tc>
          <w:tcPr>
            <w:tcW w:type="dxa" w:w="1800"/>
          </w:tcPr>
          <w:p>
            <w:pPr>
              <w:spacing w:line="240" w:lineRule="auto" w:before="40" w:after="40"/>
              <w:jc w:val="left"/>
            </w:pPr>
            <w:r/>
            <w:r>
              <w:rPr>
                <w:b w:val="0"/>
                <w:i w:val="0"/>
                <w:sz w:val="15"/>
              </w:rPr>
              <w:t>25 beds</w:t>
            </w:r>
          </w:p>
        </w:tc>
        <w:tc>
          <w:tcPr>
            <w:tcW w:type="dxa" w:w="864"/>
          </w:tcPr>
          <w:p>
            <w:pPr>
              <w:spacing w:line="240" w:lineRule="auto" w:before="40" w:after="40"/>
              <w:jc w:val="right"/>
            </w:pPr>
            <w:r/>
            <w:r>
              <w:rPr>
                <w:b w:val="0"/>
                <w:i w:val="0"/>
                <w:sz w:val="15"/>
              </w:rPr>
              <w:t>19.52</w:t>
            </w:r>
          </w:p>
        </w:tc>
        <w:tc>
          <w:tcPr>
            <w:tcW w:type="dxa" w:w="864"/>
          </w:tcPr>
          <w:p>
            <w:pPr>
              <w:spacing w:line="240" w:lineRule="auto" w:before="40" w:after="40"/>
              <w:jc w:val="right"/>
            </w:pPr>
            <w:r/>
            <w:r>
              <w:rPr>
                <w:b w:val="0"/>
                <w:i w:val="0"/>
                <w:sz w:val="15"/>
              </w:rPr>
              <w:t>23.86</w:t>
            </w:r>
          </w:p>
        </w:tc>
      </w:tr>
      <w:tr>
        <w:tc>
          <w:tcPr>
            <w:tcW w:type="dxa" w:w="3168"/>
            <w:shd w:val="clear" w:color="auto" w:fill="EFEFEF"/>
          </w:tcPr>
          <w:p>
            <w:pPr>
              <w:spacing w:line="240" w:lineRule="auto" w:before="40" w:after="40"/>
              <w:jc w:val="left"/>
            </w:pPr>
            <w:r/>
            <w:r>
              <w:rPr>
                <w:b w:val="0"/>
                <w:i w:val="0"/>
                <w:sz w:val="15"/>
              </w:rPr>
              <w:t>Barangay hall</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20.0 × 14.4</w:t>
            </w:r>
          </w:p>
        </w:tc>
        <w:tc>
          <w:tcPr>
            <w:tcW w:type="dxa" w:w="864"/>
            <w:shd w:val="clear" w:color="auto" w:fill="EFEFEF"/>
          </w:tcPr>
          <w:p>
            <w:pPr>
              <w:spacing w:line="240" w:lineRule="auto" w:before="40" w:after="40"/>
              <w:jc w:val="right"/>
            </w:pPr>
            <w:r/>
            <w:r>
              <w:rPr>
                <w:b w:val="0"/>
                <w:i w:val="0"/>
                <w:sz w:val="15"/>
              </w:rPr>
              <w:t>288</w:t>
            </w:r>
          </w:p>
        </w:tc>
        <w:tc>
          <w:tcPr>
            <w:tcW w:type="dxa" w:w="1800"/>
            <w:shd w:val="clear" w:color="auto" w:fill="EFEFEF"/>
          </w:tcPr>
          <w:p>
            <w:pPr>
              <w:spacing w:line="240" w:lineRule="auto" w:before="40" w:after="40"/>
              <w:jc w:val="left"/>
            </w:pPr>
            <w:r/>
            <w:r>
              <w:rPr>
                <w:b w:val="0"/>
                <w:i w:val="0"/>
                <w:sz w:val="15"/>
              </w:rPr>
              <w:t>7 staff</w:t>
            </w:r>
          </w:p>
        </w:tc>
        <w:tc>
          <w:tcPr>
            <w:tcW w:type="dxa" w:w="864"/>
            <w:shd w:val="clear" w:color="auto" w:fill="EFEFEF"/>
          </w:tcPr>
          <w:p>
            <w:pPr>
              <w:spacing w:line="240" w:lineRule="auto" w:before="40" w:after="40"/>
              <w:jc w:val="right"/>
            </w:pPr>
            <w:r/>
            <w:r>
              <w:rPr>
                <w:b w:val="0"/>
                <w:i w:val="0"/>
                <w:sz w:val="15"/>
              </w:rPr>
              <w:t>7.83</w:t>
            </w:r>
          </w:p>
        </w:tc>
        <w:tc>
          <w:tcPr>
            <w:tcW w:type="dxa" w:w="864"/>
            <w:shd w:val="clear" w:color="auto" w:fill="EFEFEF"/>
          </w:tcPr>
          <w:p>
            <w:pPr>
              <w:spacing w:line="240" w:lineRule="auto" w:before="40" w:after="40"/>
              <w:jc w:val="right"/>
            </w:pPr>
            <w:r/>
            <w:r>
              <w:rPr>
                <w:b w:val="0"/>
                <w:i w:val="0"/>
                <w:sz w:val="15"/>
              </w:rPr>
              <w:t>9.33</w:t>
            </w:r>
          </w:p>
        </w:tc>
      </w:tr>
      <w:tr>
        <w:tc>
          <w:tcPr>
            <w:tcW w:type="dxa" w:w="3168"/>
          </w:tcPr>
          <w:p>
            <w:pPr>
              <w:spacing w:line="240" w:lineRule="auto" w:before="40" w:after="40"/>
              <w:jc w:val="left"/>
            </w:pPr>
            <w:r/>
            <w:r>
              <w:rPr>
                <w:b w:val="0"/>
                <w:i w:val="0"/>
                <w:sz w:val="15"/>
              </w:rPr>
              <w:t>Barangay hall with multi-purpose floor (2-storey)</w:t>
            </w:r>
          </w:p>
        </w:tc>
        <w:tc>
          <w:tcPr>
            <w:tcW w:type="dxa" w:w="504"/>
          </w:tcPr>
          <w:p>
            <w:pPr>
              <w:spacing w:line="240" w:lineRule="auto" w:before="40" w:after="40"/>
              <w:jc w:val="right"/>
            </w:pPr>
            <w:r/>
            <w:r>
              <w:rPr>
                <w:b w:val="0"/>
                <w:i w:val="0"/>
                <w:sz w:val="15"/>
              </w:rPr>
              <w:t>2</w:t>
            </w:r>
          </w:p>
        </w:tc>
        <w:tc>
          <w:tcPr>
            <w:tcW w:type="dxa" w:w="1296"/>
          </w:tcPr>
          <w:p>
            <w:pPr>
              <w:spacing w:line="240" w:lineRule="auto" w:before="40" w:after="40"/>
              <w:jc w:val="left"/>
            </w:pPr>
            <w:r/>
            <w:r>
              <w:rPr>
                <w:b w:val="0"/>
                <w:i w:val="0"/>
                <w:sz w:val="15"/>
              </w:rPr>
              <w:t>17.5 × 14.4</w:t>
            </w:r>
          </w:p>
        </w:tc>
        <w:tc>
          <w:tcPr>
            <w:tcW w:type="dxa" w:w="864"/>
          </w:tcPr>
          <w:p>
            <w:pPr>
              <w:spacing w:line="240" w:lineRule="auto" w:before="40" w:after="40"/>
              <w:jc w:val="right"/>
            </w:pPr>
            <w:r/>
            <w:r>
              <w:rPr>
                <w:b w:val="0"/>
                <w:i w:val="0"/>
                <w:sz w:val="15"/>
              </w:rPr>
              <w:t>504</w:t>
            </w:r>
          </w:p>
        </w:tc>
        <w:tc>
          <w:tcPr>
            <w:tcW w:type="dxa" w:w="1800"/>
          </w:tcPr>
          <w:p>
            <w:pPr>
              <w:spacing w:line="240" w:lineRule="auto" w:before="40" w:after="40"/>
              <w:jc w:val="left"/>
            </w:pPr>
            <w:r/>
            <w:r>
              <w:rPr>
                <w:b w:val="0"/>
                <w:i w:val="0"/>
                <w:sz w:val="15"/>
              </w:rPr>
              <w:t>14 staff</w:t>
            </w:r>
          </w:p>
        </w:tc>
        <w:tc>
          <w:tcPr>
            <w:tcW w:type="dxa" w:w="864"/>
          </w:tcPr>
          <w:p>
            <w:pPr>
              <w:spacing w:line="240" w:lineRule="auto" w:before="40" w:after="40"/>
              <w:jc w:val="right"/>
            </w:pPr>
            <w:r/>
            <w:r>
              <w:rPr>
                <w:b w:val="0"/>
                <w:i w:val="0"/>
                <w:sz w:val="15"/>
              </w:rPr>
              <w:t>11.97</w:t>
            </w:r>
          </w:p>
        </w:tc>
        <w:tc>
          <w:tcPr>
            <w:tcW w:type="dxa" w:w="864"/>
          </w:tcPr>
          <w:p>
            <w:pPr>
              <w:spacing w:line="240" w:lineRule="auto" w:before="40" w:after="40"/>
              <w:jc w:val="right"/>
            </w:pPr>
            <w:r/>
            <w:r>
              <w:rPr>
                <w:b w:val="0"/>
                <w:i w:val="0"/>
                <w:sz w:val="15"/>
              </w:rPr>
              <w:t>14.40</w:t>
            </w:r>
          </w:p>
        </w:tc>
      </w:tr>
      <w:tr>
        <w:tc>
          <w:tcPr>
            <w:tcW w:type="dxa" w:w="3168"/>
            <w:shd w:val="clear" w:color="auto" w:fill="EFEFEF"/>
          </w:tcPr>
          <w:p>
            <w:pPr>
              <w:spacing w:line="240" w:lineRule="auto" w:before="40" w:after="40"/>
              <w:jc w:val="left"/>
            </w:pPr>
            <w:r/>
            <w:r>
              <w:rPr>
                <w:b w:val="0"/>
                <w:i w:val="0"/>
                <w:sz w:val="15"/>
              </w:rPr>
              <w:t>Municipal hall (2-storey)</w:t>
            </w:r>
          </w:p>
        </w:tc>
        <w:tc>
          <w:tcPr>
            <w:tcW w:type="dxa" w:w="504"/>
            <w:shd w:val="clear" w:color="auto" w:fill="EFEFEF"/>
          </w:tcPr>
          <w:p>
            <w:pPr>
              <w:spacing w:line="240" w:lineRule="auto" w:before="40" w:after="40"/>
              <w:jc w:val="right"/>
            </w:pPr>
            <w:r/>
            <w:r>
              <w:rPr>
                <w:b w:val="0"/>
                <w:i w:val="0"/>
                <w:sz w:val="15"/>
              </w:rPr>
              <w:t>2</w:t>
            </w:r>
          </w:p>
        </w:tc>
        <w:tc>
          <w:tcPr>
            <w:tcW w:type="dxa" w:w="1296"/>
            <w:shd w:val="clear" w:color="auto" w:fill="EFEFEF"/>
          </w:tcPr>
          <w:p>
            <w:pPr>
              <w:spacing w:line="240" w:lineRule="auto" w:before="40" w:after="40"/>
              <w:jc w:val="left"/>
            </w:pPr>
            <w:r/>
            <w:r>
              <w:rPr>
                <w:b w:val="0"/>
                <w:i w:val="0"/>
                <w:sz w:val="15"/>
              </w:rPr>
              <w:t>35.5 × 14.4</w:t>
            </w:r>
          </w:p>
        </w:tc>
        <w:tc>
          <w:tcPr>
            <w:tcW w:type="dxa" w:w="864"/>
            <w:shd w:val="clear" w:color="auto" w:fill="EFEFEF"/>
          </w:tcPr>
          <w:p>
            <w:pPr>
              <w:spacing w:line="240" w:lineRule="auto" w:before="40" w:after="40"/>
              <w:jc w:val="right"/>
            </w:pPr>
            <w:r/>
            <w:r>
              <w:rPr>
                <w:b w:val="0"/>
                <w:i w:val="0"/>
                <w:sz w:val="15"/>
              </w:rPr>
              <w:t>1,022</w:t>
            </w:r>
          </w:p>
        </w:tc>
        <w:tc>
          <w:tcPr>
            <w:tcW w:type="dxa" w:w="1800"/>
            <w:shd w:val="clear" w:color="auto" w:fill="EFEFEF"/>
          </w:tcPr>
          <w:p>
            <w:pPr>
              <w:spacing w:line="240" w:lineRule="auto" w:before="40" w:after="40"/>
              <w:jc w:val="left"/>
            </w:pPr>
            <w:r/>
            <w:r>
              <w:rPr>
                <w:b w:val="0"/>
                <w:i w:val="0"/>
                <w:sz w:val="15"/>
              </w:rPr>
              <w:t>63 staff</w:t>
            </w:r>
          </w:p>
        </w:tc>
        <w:tc>
          <w:tcPr>
            <w:tcW w:type="dxa" w:w="864"/>
            <w:shd w:val="clear" w:color="auto" w:fill="EFEFEF"/>
          </w:tcPr>
          <w:p>
            <w:pPr>
              <w:spacing w:line="240" w:lineRule="auto" w:before="40" w:after="40"/>
              <w:jc w:val="right"/>
            </w:pPr>
            <w:r/>
            <w:r>
              <w:rPr>
                <w:b w:val="0"/>
                <w:i w:val="0"/>
                <w:sz w:val="15"/>
              </w:rPr>
              <w:t>22.80</w:t>
            </w:r>
          </w:p>
        </w:tc>
        <w:tc>
          <w:tcPr>
            <w:tcW w:type="dxa" w:w="864"/>
            <w:shd w:val="clear" w:color="auto" w:fill="EFEFEF"/>
          </w:tcPr>
          <w:p>
            <w:pPr>
              <w:spacing w:line="240" w:lineRule="auto" w:before="40" w:after="40"/>
              <w:jc w:val="right"/>
            </w:pPr>
            <w:r/>
            <w:r>
              <w:rPr>
                <w:b w:val="0"/>
                <w:i w:val="0"/>
                <w:sz w:val="15"/>
              </w:rPr>
              <w:t>27.57</w:t>
            </w:r>
          </w:p>
        </w:tc>
      </w:tr>
      <w:tr>
        <w:tc>
          <w:tcPr>
            <w:tcW w:type="dxa" w:w="3168"/>
          </w:tcPr>
          <w:p>
            <w:pPr>
              <w:spacing w:line="240" w:lineRule="auto" w:before="40" w:after="40"/>
              <w:jc w:val="left"/>
            </w:pPr>
            <w:r/>
            <w:r>
              <w:rPr>
                <w:b w:val="0"/>
                <w:i w:val="0"/>
                <w:sz w:val="15"/>
              </w:rPr>
              <w:t>Provincial office building (3-storey)</w:t>
            </w:r>
          </w:p>
        </w:tc>
        <w:tc>
          <w:tcPr>
            <w:tcW w:type="dxa" w:w="504"/>
          </w:tcPr>
          <w:p>
            <w:pPr>
              <w:spacing w:line="240" w:lineRule="auto" w:before="40" w:after="40"/>
              <w:jc w:val="right"/>
            </w:pPr>
            <w:r/>
            <w:r>
              <w:rPr>
                <w:b w:val="0"/>
                <w:i w:val="0"/>
                <w:sz w:val="15"/>
              </w:rPr>
              <w:t>3</w:t>
            </w:r>
          </w:p>
        </w:tc>
        <w:tc>
          <w:tcPr>
            <w:tcW w:type="dxa" w:w="1296"/>
          </w:tcPr>
          <w:p>
            <w:pPr>
              <w:spacing w:line="240" w:lineRule="auto" w:before="40" w:after="40"/>
              <w:jc w:val="left"/>
            </w:pPr>
            <w:r/>
            <w:r>
              <w:rPr>
                <w:b w:val="0"/>
                <w:i w:val="0"/>
                <w:sz w:val="15"/>
              </w:rPr>
              <w:t>41.5 × 14.4</w:t>
            </w:r>
          </w:p>
        </w:tc>
        <w:tc>
          <w:tcPr>
            <w:tcW w:type="dxa" w:w="864"/>
          </w:tcPr>
          <w:p>
            <w:pPr>
              <w:spacing w:line="240" w:lineRule="auto" w:before="40" w:after="40"/>
              <w:jc w:val="right"/>
            </w:pPr>
            <w:r/>
            <w:r>
              <w:rPr>
                <w:b w:val="0"/>
                <w:i w:val="0"/>
                <w:sz w:val="15"/>
              </w:rPr>
              <w:t>1,793</w:t>
            </w:r>
          </w:p>
        </w:tc>
        <w:tc>
          <w:tcPr>
            <w:tcW w:type="dxa" w:w="1800"/>
          </w:tcPr>
          <w:p>
            <w:pPr>
              <w:spacing w:line="240" w:lineRule="auto" w:before="40" w:after="40"/>
              <w:jc w:val="left"/>
            </w:pPr>
            <w:r/>
            <w:r>
              <w:rPr>
                <w:b w:val="0"/>
                <w:i w:val="0"/>
                <w:sz w:val="15"/>
              </w:rPr>
              <w:t>126 staff</w:t>
            </w:r>
          </w:p>
        </w:tc>
        <w:tc>
          <w:tcPr>
            <w:tcW w:type="dxa" w:w="864"/>
          </w:tcPr>
          <w:p>
            <w:pPr>
              <w:spacing w:line="240" w:lineRule="auto" w:before="40" w:after="40"/>
              <w:jc w:val="right"/>
            </w:pPr>
            <w:r/>
            <w:r>
              <w:rPr>
                <w:b w:val="0"/>
                <w:i w:val="0"/>
                <w:sz w:val="15"/>
              </w:rPr>
              <w:t>37.74</w:t>
            </w:r>
          </w:p>
        </w:tc>
        <w:tc>
          <w:tcPr>
            <w:tcW w:type="dxa" w:w="864"/>
          </w:tcPr>
          <w:p>
            <w:pPr>
              <w:spacing w:line="240" w:lineRule="auto" w:before="40" w:after="40"/>
              <w:jc w:val="right"/>
            </w:pPr>
            <w:r/>
            <w:r>
              <w:rPr>
                <w:b w:val="0"/>
                <w:i w:val="0"/>
                <w:sz w:val="15"/>
              </w:rPr>
              <w:t>45.95</w:t>
            </w:r>
          </w:p>
        </w:tc>
      </w:tr>
      <w:tr>
        <w:tc>
          <w:tcPr>
            <w:tcW w:type="dxa" w:w="3168"/>
            <w:shd w:val="clear" w:color="auto" w:fill="EFEFEF"/>
          </w:tcPr>
          <w:p>
            <w:pPr>
              <w:spacing w:line="240" w:lineRule="auto" w:before="40" w:after="40"/>
              <w:jc w:val="left"/>
            </w:pPr>
            <w:r/>
            <w:r>
              <w:rPr>
                <w:b w:val="0"/>
                <w:i w:val="0"/>
                <w:sz w:val="15"/>
              </w:rPr>
              <w:t>Municipal police station</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22.0 × 14.4</w:t>
            </w:r>
          </w:p>
        </w:tc>
        <w:tc>
          <w:tcPr>
            <w:tcW w:type="dxa" w:w="864"/>
            <w:shd w:val="clear" w:color="auto" w:fill="EFEFEF"/>
          </w:tcPr>
          <w:p>
            <w:pPr>
              <w:spacing w:line="240" w:lineRule="auto" w:before="40" w:after="40"/>
              <w:jc w:val="right"/>
            </w:pPr>
            <w:r/>
            <w:r>
              <w:rPr>
                <w:b w:val="0"/>
                <w:i w:val="0"/>
                <w:sz w:val="15"/>
              </w:rPr>
              <w:t>317</w:t>
            </w:r>
          </w:p>
        </w:tc>
        <w:tc>
          <w:tcPr>
            <w:tcW w:type="dxa" w:w="1800"/>
            <w:shd w:val="clear" w:color="auto" w:fill="EFEFEF"/>
          </w:tcPr>
          <w:p>
            <w:pPr>
              <w:spacing w:line="240" w:lineRule="auto" w:before="40" w:after="40"/>
              <w:jc w:val="left"/>
            </w:pPr>
            <w:r/>
            <w:r>
              <w:rPr>
                <w:b w:val="0"/>
                <w:i w:val="0"/>
                <w:sz w:val="15"/>
              </w:rPr>
              <w:t>14 staff</w:t>
            </w:r>
          </w:p>
        </w:tc>
        <w:tc>
          <w:tcPr>
            <w:tcW w:type="dxa" w:w="864"/>
            <w:shd w:val="clear" w:color="auto" w:fill="EFEFEF"/>
          </w:tcPr>
          <w:p>
            <w:pPr>
              <w:spacing w:line="240" w:lineRule="auto" w:before="40" w:after="40"/>
              <w:jc w:val="right"/>
            </w:pPr>
            <w:r/>
            <w:r>
              <w:rPr>
                <w:b w:val="0"/>
                <w:i w:val="0"/>
                <w:sz w:val="15"/>
              </w:rPr>
              <w:t>8.56</w:t>
            </w:r>
          </w:p>
        </w:tc>
        <w:tc>
          <w:tcPr>
            <w:tcW w:type="dxa" w:w="864"/>
            <w:shd w:val="clear" w:color="auto" w:fill="EFEFEF"/>
          </w:tcPr>
          <w:p>
            <w:pPr>
              <w:spacing w:line="240" w:lineRule="auto" w:before="40" w:after="40"/>
              <w:jc w:val="right"/>
            </w:pPr>
            <w:r/>
            <w:r>
              <w:rPr>
                <w:b w:val="0"/>
                <w:i w:val="0"/>
                <w:sz w:val="15"/>
              </w:rPr>
              <w:t>10.19</w:t>
            </w:r>
          </w:p>
        </w:tc>
      </w:tr>
      <w:tr>
        <w:tc>
          <w:tcPr>
            <w:tcW w:type="dxa" w:w="3168"/>
          </w:tcPr>
          <w:p>
            <w:pPr>
              <w:spacing w:line="240" w:lineRule="auto" w:before="40" w:after="40"/>
              <w:jc w:val="left"/>
            </w:pPr>
            <w:r/>
            <w:r>
              <w:rPr>
                <w:b w:val="0"/>
                <w:i w:val="0"/>
                <w:sz w:val="15"/>
              </w:rPr>
              <w:t>Public library</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45.0 × 9.5</w:t>
            </w:r>
          </w:p>
        </w:tc>
        <w:tc>
          <w:tcPr>
            <w:tcW w:type="dxa" w:w="864"/>
          </w:tcPr>
          <w:p>
            <w:pPr>
              <w:spacing w:line="240" w:lineRule="auto" w:before="40" w:after="40"/>
              <w:jc w:val="right"/>
            </w:pPr>
            <w:r/>
            <w:r>
              <w:rPr>
                <w:b w:val="0"/>
                <w:i w:val="0"/>
                <w:sz w:val="15"/>
              </w:rPr>
              <w:t>428</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10.82</w:t>
            </w:r>
          </w:p>
        </w:tc>
        <w:tc>
          <w:tcPr>
            <w:tcW w:type="dxa" w:w="864"/>
          </w:tcPr>
          <w:p>
            <w:pPr>
              <w:spacing w:line="240" w:lineRule="auto" w:before="40" w:after="40"/>
              <w:jc w:val="right"/>
            </w:pPr>
            <w:r/>
            <w:r>
              <w:rPr>
                <w:b w:val="0"/>
                <w:i w:val="0"/>
                <w:sz w:val="15"/>
              </w:rPr>
              <w:t>12.44</w:t>
            </w:r>
          </w:p>
        </w:tc>
      </w:tr>
      <w:tr>
        <w:tc>
          <w:tcPr>
            <w:tcW w:type="dxa" w:w="3168"/>
            <w:shd w:val="clear" w:color="auto" w:fill="EFEFEF"/>
          </w:tcPr>
          <w:p>
            <w:pPr>
              <w:spacing w:line="240" w:lineRule="auto" w:before="40" w:after="40"/>
              <w:jc w:val="left"/>
            </w:pPr>
            <w:r/>
            <w:r>
              <w:rPr>
                <w:b w:val="0"/>
                <w:i w:val="0"/>
                <w:sz w:val="15"/>
              </w:rPr>
              <w:t>Child development center</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31.5 × 9.5</w:t>
            </w:r>
          </w:p>
        </w:tc>
        <w:tc>
          <w:tcPr>
            <w:tcW w:type="dxa" w:w="864"/>
            <w:shd w:val="clear" w:color="auto" w:fill="EFEFEF"/>
          </w:tcPr>
          <w:p>
            <w:pPr>
              <w:spacing w:line="240" w:lineRule="auto" w:before="40" w:after="40"/>
              <w:jc w:val="right"/>
            </w:pPr>
            <w:r/>
            <w:r>
              <w:rPr>
                <w:b w:val="0"/>
                <w:i w:val="0"/>
                <w:sz w:val="15"/>
              </w:rPr>
              <w:t>299</w:t>
            </w:r>
          </w:p>
        </w:tc>
        <w:tc>
          <w:tcPr>
            <w:tcW w:type="dxa" w:w="1800"/>
            <w:shd w:val="clear" w:color="auto" w:fill="EFEFEF"/>
          </w:tcPr>
          <w:p>
            <w:pPr>
              <w:spacing w:line="240" w:lineRule="auto" w:before="40" w:after="40"/>
              <w:jc w:val="left"/>
            </w:pPr>
            <w:r/>
            <w:r>
              <w:rPr>
                <w:b w:val="0"/>
                <w:i w:val="0"/>
                <w:sz w:val="15"/>
              </w:rPr>
              <w:t>2 classrooms</w:t>
            </w:r>
          </w:p>
        </w:tc>
        <w:tc>
          <w:tcPr>
            <w:tcW w:type="dxa" w:w="864"/>
            <w:shd w:val="clear" w:color="auto" w:fill="EFEFEF"/>
          </w:tcPr>
          <w:p>
            <w:pPr>
              <w:spacing w:line="240" w:lineRule="auto" w:before="40" w:after="40"/>
              <w:jc w:val="right"/>
            </w:pPr>
            <w:r/>
            <w:r>
              <w:rPr>
                <w:b w:val="0"/>
                <w:i w:val="0"/>
                <w:sz w:val="15"/>
              </w:rPr>
              <w:t>7.83</w:t>
            </w:r>
          </w:p>
        </w:tc>
        <w:tc>
          <w:tcPr>
            <w:tcW w:type="dxa" w:w="864"/>
            <w:shd w:val="clear" w:color="auto" w:fill="EFEFEF"/>
          </w:tcPr>
          <w:p>
            <w:pPr>
              <w:spacing w:line="240" w:lineRule="auto" w:before="40" w:after="40"/>
              <w:jc w:val="right"/>
            </w:pPr>
            <w:r/>
            <w:r>
              <w:rPr>
                <w:b w:val="0"/>
                <w:i w:val="0"/>
                <w:sz w:val="15"/>
              </w:rPr>
              <w:t>8.98</w:t>
            </w:r>
          </w:p>
        </w:tc>
      </w:tr>
      <w:tr>
        <w:tc>
          <w:tcPr>
            <w:tcW w:type="dxa" w:w="3168"/>
          </w:tcPr>
          <w:p>
            <w:pPr>
              <w:spacing w:line="240" w:lineRule="auto" w:before="40" w:after="40"/>
              <w:jc w:val="left"/>
            </w:pPr>
            <w:r/>
            <w:r>
              <w:rPr>
                <w:b w:val="0"/>
                <w:i w:val="0"/>
                <w:sz w:val="15"/>
              </w:rPr>
              <w:t>Evacuation center, 100 persons</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26.0 × 24.0</w:t>
            </w:r>
          </w:p>
        </w:tc>
        <w:tc>
          <w:tcPr>
            <w:tcW w:type="dxa" w:w="864"/>
          </w:tcPr>
          <w:p>
            <w:pPr>
              <w:spacing w:line="240" w:lineRule="auto" w:before="40" w:after="40"/>
              <w:jc w:val="right"/>
            </w:pPr>
            <w:r/>
            <w:r>
              <w:rPr>
                <w:b w:val="0"/>
                <w:i w:val="0"/>
                <w:sz w:val="15"/>
              </w:rPr>
              <w:t>624</w:t>
            </w:r>
          </w:p>
        </w:tc>
        <w:tc>
          <w:tcPr>
            <w:tcW w:type="dxa" w:w="1800"/>
          </w:tcPr>
          <w:p>
            <w:pPr>
              <w:spacing w:line="240" w:lineRule="auto" w:before="40" w:after="40"/>
              <w:jc w:val="left"/>
            </w:pPr>
            <w:r/>
            <w:r>
              <w:rPr>
                <w:b w:val="0"/>
                <w:i w:val="0"/>
                <w:sz w:val="15"/>
              </w:rPr>
              <w:t>100 persons</w:t>
            </w:r>
          </w:p>
        </w:tc>
        <w:tc>
          <w:tcPr>
            <w:tcW w:type="dxa" w:w="864"/>
          </w:tcPr>
          <w:p>
            <w:pPr>
              <w:spacing w:line="240" w:lineRule="auto" w:before="40" w:after="40"/>
              <w:jc w:val="right"/>
            </w:pPr>
            <w:r/>
            <w:r>
              <w:rPr>
                <w:b w:val="0"/>
                <w:i w:val="0"/>
                <w:sz w:val="15"/>
              </w:rPr>
              <w:t>15.33</w:t>
            </w:r>
          </w:p>
        </w:tc>
        <w:tc>
          <w:tcPr>
            <w:tcW w:type="dxa" w:w="864"/>
          </w:tcPr>
          <w:p>
            <w:pPr>
              <w:spacing w:line="240" w:lineRule="auto" w:before="40" w:after="40"/>
              <w:jc w:val="right"/>
            </w:pPr>
            <w:r/>
            <w:r>
              <w:rPr>
                <w:b w:val="0"/>
                <w:i w:val="0"/>
                <w:sz w:val="15"/>
              </w:rPr>
              <w:t>17.58</w:t>
            </w:r>
          </w:p>
        </w:tc>
      </w:tr>
      <w:tr>
        <w:tc>
          <w:tcPr>
            <w:tcW w:type="dxa" w:w="3168"/>
            <w:shd w:val="clear" w:color="auto" w:fill="EFEFEF"/>
          </w:tcPr>
          <w:p>
            <w:pPr>
              <w:spacing w:line="240" w:lineRule="auto" w:before="40" w:after="40"/>
              <w:jc w:val="left"/>
            </w:pPr>
            <w:r/>
            <w:r>
              <w:rPr>
                <w:b w:val="0"/>
                <w:i w:val="0"/>
                <w:sz w:val="15"/>
              </w:rPr>
              <w:t>Evacuation center, 200 persons</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43.0 × 24.0</w:t>
            </w:r>
          </w:p>
        </w:tc>
        <w:tc>
          <w:tcPr>
            <w:tcW w:type="dxa" w:w="864"/>
            <w:shd w:val="clear" w:color="auto" w:fill="EFEFEF"/>
          </w:tcPr>
          <w:p>
            <w:pPr>
              <w:spacing w:line="240" w:lineRule="auto" w:before="40" w:after="40"/>
              <w:jc w:val="right"/>
            </w:pPr>
            <w:r/>
            <w:r>
              <w:rPr>
                <w:b w:val="0"/>
                <w:i w:val="0"/>
                <w:sz w:val="15"/>
              </w:rPr>
              <w:t>1,032</w:t>
            </w:r>
          </w:p>
        </w:tc>
        <w:tc>
          <w:tcPr>
            <w:tcW w:type="dxa" w:w="1800"/>
            <w:shd w:val="clear" w:color="auto" w:fill="EFEFEF"/>
          </w:tcPr>
          <w:p>
            <w:pPr>
              <w:spacing w:line="240" w:lineRule="auto" w:before="40" w:after="40"/>
              <w:jc w:val="left"/>
            </w:pPr>
            <w:r/>
            <w:r>
              <w:rPr>
                <w:b w:val="0"/>
                <w:i w:val="0"/>
                <w:sz w:val="15"/>
              </w:rPr>
              <w:t>200 persons</w:t>
            </w:r>
          </w:p>
        </w:tc>
        <w:tc>
          <w:tcPr>
            <w:tcW w:type="dxa" w:w="864"/>
            <w:shd w:val="clear" w:color="auto" w:fill="EFEFEF"/>
          </w:tcPr>
          <w:p>
            <w:pPr>
              <w:spacing w:line="240" w:lineRule="auto" w:before="40" w:after="40"/>
              <w:jc w:val="right"/>
            </w:pPr>
            <w:r/>
            <w:r>
              <w:rPr>
                <w:b w:val="0"/>
                <w:i w:val="0"/>
                <w:sz w:val="15"/>
              </w:rPr>
              <w:t>24.57</w:t>
            </w:r>
          </w:p>
        </w:tc>
        <w:tc>
          <w:tcPr>
            <w:tcW w:type="dxa" w:w="864"/>
            <w:shd w:val="clear" w:color="auto" w:fill="EFEFEF"/>
          </w:tcPr>
          <w:p>
            <w:pPr>
              <w:spacing w:line="240" w:lineRule="auto" w:before="40" w:after="40"/>
              <w:jc w:val="right"/>
            </w:pPr>
            <w:r/>
            <w:r>
              <w:rPr>
                <w:b w:val="0"/>
                <w:i w:val="0"/>
                <w:sz w:val="15"/>
              </w:rPr>
              <w:t>28.21</w:t>
            </w:r>
          </w:p>
        </w:tc>
      </w:tr>
      <w:tr>
        <w:tc>
          <w:tcPr>
            <w:tcW w:type="dxa" w:w="3168"/>
          </w:tcPr>
          <w:p>
            <w:pPr>
              <w:spacing w:line="240" w:lineRule="auto" w:before="40" w:after="40"/>
              <w:jc w:val="left"/>
            </w:pPr>
            <w:r/>
            <w:r>
              <w:rPr>
                <w:b w:val="0"/>
                <w:i w:val="0"/>
                <w:sz w:val="15"/>
              </w:rPr>
              <w:t>Evacuation center, 400 persons</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55.0 × 36.0</w:t>
            </w:r>
          </w:p>
        </w:tc>
        <w:tc>
          <w:tcPr>
            <w:tcW w:type="dxa" w:w="864"/>
          </w:tcPr>
          <w:p>
            <w:pPr>
              <w:spacing w:line="240" w:lineRule="auto" w:before="40" w:after="40"/>
              <w:jc w:val="right"/>
            </w:pPr>
            <w:r/>
            <w:r>
              <w:rPr>
                <w:b w:val="0"/>
                <w:i w:val="0"/>
                <w:sz w:val="15"/>
              </w:rPr>
              <w:t>1,980</w:t>
            </w:r>
          </w:p>
        </w:tc>
        <w:tc>
          <w:tcPr>
            <w:tcW w:type="dxa" w:w="1800"/>
          </w:tcPr>
          <w:p>
            <w:pPr>
              <w:spacing w:line="240" w:lineRule="auto" w:before="40" w:after="40"/>
              <w:jc w:val="left"/>
            </w:pPr>
            <w:r/>
            <w:r>
              <w:rPr>
                <w:b w:val="0"/>
                <w:i w:val="0"/>
                <w:sz w:val="15"/>
              </w:rPr>
              <w:t>400 persons</w:t>
            </w:r>
          </w:p>
        </w:tc>
        <w:tc>
          <w:tcPr>
            <w:tcW w:type="dxa" w:w="864"/>
          </w:tcPr>
          <w:p>
            <w:pPr>
              <w:spacing w:line="240" w:lineRule="auto" w:before="40" w:after="40"/>
              <w:jc w:val="right"/>
            </w:pPr>
            <w:r/>
            <w:r>
              <w:rPr>
                <w:b w:val="0"/>
                <w:i w:val="0"/>
                <w:sz w:val="15"/>
              </w:rPr>
              <w:t>47.26</w:t>
            </w:r>
          </w:p>
        </w:tc>
        <w:tc>
          <w:tcPr>
            <w:tcW w:type="dxa" w:w="864"/>
          </w:tcPr>
          <w:p>
            <w:pPr>
              <w:spacing w:line="240" w:lineRule="auto" w:before="40" w:after="40"/>
              <w:jc w:val="right"/>
            </w:pPr>
            <w:r/>
            <w:r>
              <w:rPr>
                <w:b w:val="0"/>
                <w:i w:val="0"/>
                <w:sz w:val="15"/>
              </w:rPr>
              <w:t>54.30</w:t>
            </w:r>
          </w:p>
        </w:tc>
      </w:tr>
      <w:tr>
        <w:tc>
          <w:tcPr>
            <w:tcW w:type="dxa" w:w="3168"/>
            <w:shd w:val="clear" w:color="auto" w:fill="EFEFEF"/>
          </w:tcPr>
          <w:p>
            <w:pPr>
              <w:spacing w:line="240" w:lineRule="auto" w:before="40" w:after="40"/>
              <w:jc w:val="left"/>
            </w:pPr>
            <w:r/>
            <w:r>
              <w:rPr>
                <w:b w:val="0"/>
                <w:i w:val="0"/>
                <w:sz w:val="15"/>
              </w:rPr>
              <w:t>Evacuation center, 600 persons (2-storey)</w:t>
            </w:r>
          </w:p>
        </w:tc>
        <w:tc>
          <w:tcPr>
            <w:tcW w:type="dxa" w:w="504"/>
            <w:shd w:val="clear" w:color="auto" w:fill="EFEFEF"/>
          </w:tcPr>
          <w:p>
            <w:pPr>
              <w:spacing w:line="240" w:lineRule="auto" w:before="40" w:after="40"/>
              <w:jc w:val="right"/>
            </w:pPr>
            <w:r/>
            <w:r>
              <w:rPr>
                <w:b w:val="0"/>
                <w:i w:val="0"/>
                <w:sz w:val="15"/>
              </w:rPr>
              <w:t>2</w:t>
            </w:r>
          </w:p>
        </w:tc>
        <w:tc>
          <w:tcPr>
            <w:tcW w:type="dxa" w:w="1296"/>
            <w:shd w:val="clear" w:color="auto" w:fill="EFEFEF"/>
          </w:tcPr>
          <w:p>
            <w:pPr>
              <w:spacing w:line="240" w:lineRule="auto" w:before="40" w:after="40"/>
              <w:jc w:val="left"/>
            </w:pPr>
            <w:r/>
            <w:r>
              <w:rPr>
                <w:b w:val="0"/>
                <w:i w:val="0"/>
                <w:sz w:val="15"/>
              </w:rPr>
              <w:t>42.0 × 36.0</w:t>
            </w:r>
          </w:p>
        </w:tc>
        <w:tc>
          <w:tcPr>
            <w:tcW w:type="dxa" w:w="864"/>
            <w:shd w:val="clear" w:color="auto" w:fill="EFEFEF"/>
          </w:tcPr>
          <w:p>
            <w:pPr>
              <w:spacing w:line="240" w:lineRule="auto" w:before="40" w:after="40"/>
              <w:jc w:val="right"/>
            </w:pPr>
            <w:r/>
            <w:r>
              <w:rPr>
                <w:b w:val="0"/>
                <w:i w:val="0"/>
                <w:sz w:val="15"/>
              </w:rPr>
              <w:t>3,024</w:t>
            </w:r>
          </w:p>
        </w:tc>
        <w:tc>
          <w:tcPr>
            <w:tcW w:type="dxa" w:w="1800"/>
            <w:shd w:val="clear" w:color="auto" w:fill="EFEFEF"/>
          </w:tcPr>
          <w:p>
            <w:pPr>
              <w:spacing w:line="240" w:lineRule="auto" w:before="40" w:after="40"/>
              <w:jc w:val="left"/>
            </w:pPr>
            <w:r/>
            <w:r>
              <w:rPr>
                <w:b w:val="0"/>
                <w:i w:val="0"/>
                <w:sz w:val="15"/>
              </w:rPr>
              <w:t>600 persons</w:t>
            </w:r>
          </w:p>
        </w:tc>
        <w:tc>
          <w:tcPr>
            <w:tcW w:type="dxa" w:w="864"/>
            <w:shd w:val="clear" w:color="auto" w:fill="EFEFEF"/>
          </w:tcPr>
          <w:p>
            <w:pPr>
              <w:spacing w:line="240" w:lineRule="auto" w:before="40" w:after="40"/>
              <w:jc w:val="right"/>
            </w:pPr>
            <w:r/>
            <w:r>
              <w:rPr>
                <w:b w:val="0"/>
                <w:i w:val="0"/>
                <w:sz w:val="15"/>
              </w:rPr>
              <w:t>59.04</w:t>
            </w:r>
          </w:p>
        </w:tc>
        <w:tc>
          <w:tcPr>
            <w:tcW w:type="dxa" w:w="864"/>
            <w:shd w:val="clear" w:color="auto" w:fill="EFEFEF"/>
          </w:tcPr>
          <w:p>
            <w:pPr>
              <w:spacing w:line="240" w:lineRule="auto" w:before="40" w:after="40"/>
              <w:jc w:val="right"/>
            </w:pPr>
            <w:r/>
            <w:r>
              <w:rPr>
                <w:b w:val="0"/>
                <w:i w:val="0"/>
                <w:sz w:val="15"/>
              </w:rPr>
              <w:t>67.33</w:t>
            </w:r>
          </w:p>
        </w:tc>
      </w:tr>
      <w:tr>
        <w:tc>
          <w:tcPr>
            <w:tcW w:type="dxa" w:w="3168"/>
          </w:tcPr>
          <w:p>
            <w:pPr>
              <w:spacing w:line="240" w:lineRule="auto" w:before="40" w:after="40"/>
              <w:jc w:val="left"/>
            </w:pPr>
            <w:r/>
            <w:r>
              <w:rPr>
                <w:b w:val="0"/>
                <w:i w:val="0"/>
                <w:sz w:val="15"/>
              </w:rPr>
              <w:t>Senior citizens center</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25.0 × 12.0</w:t>
            </w:r>
          </w:p>
        </w:tc>
        <w:tc>
          <w:tcPr>
            <w:tcW w:type="dxa" w:w="864"/>
          </w:tcPr>
          <w:p>
            <w:pPr>
              <w:spacing w:line="240" w:lineRule="auto" w:before="40" w:after="40"/>
              <w:jc w:val="right"/>
            </w:pPr>
            <w:r/>
            <w:r>
              <w:rPr>
                <w:b w:val="0"/>
                <w:i w:val="0"/>
                <w:sz w:val="15"/>
              </w:rPr>
              <w:t>300</w:t>
            </w:r>
          </w:p>
        </w:tc>
        <w:tc>
          <w:tcPr>
            <w:tcW w:type="dxa" w:w="1800"/>
          </w:tcPr>
          <w:p>
            <w:pPr>
              <w:spacing w:line="240" w:lineRule="auto" w:before="40" w:after="40"/>
              <w:jc w:val="left"/>
            </w:pPr>
            <w:r/>
            <w:r>
              <w:rPr>
                <w:b w:val="0"/>
                <w:i w:val="0"/>
                <w:sz w:val="15"/>
              </w:rPr>
              <w:t>40 persons</w:t>
            </w:r>
          </w:p>
        </w:tc>
        <w:tc>
          <w:tcPr>
            <w:tcW w:type="dxa" w:w="864"/>
          </w:tcPr>
          <w:p>
            <w:pPr>
              <w:spacing w:line="240" w:lineRule="auto" w:before="40" w:after="40"/>
              <w:jc w:val="right"/>
            </w:pPr>
            <w:r/>
            <w:r>
              <w:rPr>
                <w:b w:val="0"/>
                <w:i w:val="0"/>
                <w:sz w:val="15"/>
              </w:rPr>
              <w:t>7.92</w:t>
            </w:r>
          </w:p>
        </w:tc>
        <w:tc>
          <w:tcPr>
            <w:tcW w:type="dxa" w:w="864"/>
          </w:tcPr>
          <w:p>
            <w:pPr>
              <w:spacing w:line="240" w:lineRule="auto" w:before="40" w:after="40"/>
              <w:jc w:val="right"/>
            </w:pPr>
            <w:r/>
            <w:r>
              <w:rPr>
                <w:b w:val="0"/>
                <w:i w:val="0"/>
                <w:sz w:val="15"/>
              </w:rPr>
              <w:t>9.05</w:t>
            </w:r>
          </w:p>
        </w:tc>
      </w:tr>
      <w:tr>
        <w:tc>
          <w:tcPr>
            <w:tcW w:type="dxa" w:w="3168"/>
            <w:shd w:val="clear" w:color="auto" w:fill="EFEFEF"/>
          </w:tcPr>
          <w:p>
            <w:pPr>
              <w:spacing w:line="240" w:lineRule="auto" w:before="40" w:after="40"/>
              <w:jc w:val="left"/>
            </w:pPr>
            <w:r/>
            <w:r>
              <w:rPr>
                <w:b w:val="0"/>
                <w:i w:val="0"/>
                <w:sz w:val="15"/>
              </w:rPr>
              <w:t>Multi-purpose hall with stage</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41.0 × 12.0</w:t>
            </w:r>
          </w:p>
        </w:tc>
        <w:tc>
          <w:tcPr>
            <w:tcW w:type="dxa" w:w="864"/>
            <w:shd w:val="clear" w:color="auto" w:fill="EFEFEF"/>
          </w:tcPr>
          <w:p>
            <w:pPr>
              <w:spacing w:line="240" w:lineRule="auto" w:before="40" w:after="40"/>
              <w:jc w:val="right"/>
            </w:pPr>
            <w:r/>
            <w:r>
              <w:rPr>
                <w:b w:val="0"/>
                <w:i w:val="0"/>
                <w:sz w:val="15"/>
              </w:rPr>
              <w:t>492</w:t>
            </w:r>
          </w:p>
        </w:tc>
        <w:tc>
          <w:tcPr>
            <w:tcW w:type="dxa" w:w="1800"/>
            <w:shd w:val="clear" w:color="auto" w:fill="EFEFEF"/>
          </w:tcPr>
          <w:p>
            <w:pPr>
              <w:spacing w:line="240" w:lineRule="auto" w:before="40" w:after="40"/>
              <w:jc w:val="left"/>
            </w:pPr>
            <w:r/>
            <w:r>
              <w:rPr>
                <w:b w:val="0"/>
                <w:i w:val="0"/>
                <w:sz w:val="15"/>
              </w:rPr>
              <w:t>80 persons</w:t>
            </w:r>
          </w:p>
        </w:tc>
        <w:tc>
          <w:tcPr>
            <w:tcW w:type="dxa" w:w="864"/>
            <w:shd w:val="clear" w:color="auto" w:fill="EFEFEF"/>
          </w:tcPr>
          <w:p>
            <w:pPr>
              <w:spacing w:line="240" w:lineRule="auto" w:before="40" w:after="40"/>
              <w:jc w:val="right"/>
            </w:pPr>
            <w:r/>
            <w:r>
              <w:rPr>
                <w:b w:val="0"/>
                <w:i w:val="0"/>
                <w:sz w:val="15"/>
              </w:rPr>
              <w:t>12.21</w:t>
            </w:r>
          </w:p>
        </w:tc>
        <w:tc>
          <w:tcPr>
            <w:tcW w:type="dxa" w:w="864"/>
            <w:shd w:val="clear" w:color="auto" w:fill="EFEFEF"/>
          </w:tcPr>
          <w:p>
            <w:pPr>
              <w:spacing w:line="240" w:lineRule="auto" w:before="40" w:after="40"/>
              <w:jc w:val="right"/>
            </w:pPr>
            <w:r/>
            <w:r>
              <w:rPr>
                <w:b w:val="0"/>
                <w:i w:val="0"/>
                <w:sz w:val="15"/>
              </w:rPr>
              <w:t>13.98</w:t>
            </w:r>
          </w:p>
        </w:tc>
      </w:tr>
      <w:tr>
        <w:tc>
          <w:tcPr>
            <w:tcW w:type="dxa" w:w="3168"/>
          </w:tcPr>
          <w:p>
            <w:pPr>
              <w:spacing w:line="240" w:lineRule="auto" w:before="40" w:after="40"/>
              <w:jc w:val="left"/>
            </w:pPr>
            <w:r/>
            <w:r>
              <w:rPr>
                <w:b w:val="0"/>
                <w:i w:val="0"/>
                <w:sz w:val="15"/>
              </w:rPr>
              <w:t>Public market, 40 stalls</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44.0 × 12.0</w:t>
            </w:r>
          </w:p>
        </w:tc>
        <w:tc>
          <w:tcPr>
            <w:tcW w:type="dxa" w:w="864"/>
          </w:tcPr>
          <w:p>
            <w:pPr>
              <w:spacing w:line="240" w:lineRule="auto" w:before="40" w:after="40"/>
              <w:jc w:val="right"/>
            </w:pPr>
            <w:r/>
            <w:r>
              <w:rPr>
                <w:b w:val="0"/>
                <w:i w:val="0"/>
                <w:sz w:val="15"/>
              </w:rPr>
              <w:t>528</w:t>
            </w:r>
          </w:p>
        </w:tc>
        <w:tc>
          <w:tcPr>
            <w:tcW w:type="dxa" w:w="1800"/>
          </w:tcPr>
          <w:p>
            <w:pPr>
              <w:spacing w:line="240" w:lineRule="auto" w:before="40" w:after="40"/>
              <w:jc w:val="left"/>
            </w:pPr>
            <w:r/>
            <w:r>
              <w:rPr>
                <w:b w:val="0"/>
                <w:i w:val="0"/>
                <w:sz w:val="15"/>
              </w:rPr>
              <w:t>50 stalls</w:t>
            </w:r>
          </w:p>
        </w:tc>
        <w:tc>
          <w:tcPr>
            <w:tcW w:type="dxa" w:w="864"/>
          </w:tcPr>
          <w:p>
            <w:pPr>
              <w:spacing w:line="240" w:lineRule="auto" w:before="40" w:after="40"/>
              <w:jc w:val="right"/>
            </w:pPr>
            <w:r/>
            <w:r>
              <w:rPr>
                <w:b w:val="0"/>
                <w:i w:val="0"/>
                <w:sz w:val="15"/>
              </w:rPr>
              <w:t>13.78</w:t>
            </w:r>
          </w:p>
        </w:tc>
        <w:tc>
          <w:tcPr>
            <w:tcW w:type="dxa" w:w="864"/>
          </w:tcPr>
          <w:p>
            <w:pPr>
              <w:spacing w:line="240" w:lineRule="auto" w:before="40" w:after="40"/>
              <w:jc w:val="right"/>
            </w:pPr>
            <w:r/>
            <w:r>
              <w:rPr>
                <w:b w:val="0"/>
                <w:i w:val="0"/>
                <w:sz w:val="15"/>
              </w:rPr>
              <w:t>15.83</w:t>
            </w:r>
          </w:p>
        </w:tc>
      </w:tr>
      <w:tr>
        <w:tc>
          <w:tcPr>
            <w:tcW w:type="dxa" w:w="3168"/>
            <w:shd w:val="clear" w:color="auto" w:fill="EFEFEF"/>
          </w:tcPr>
          <w:p>
            <w:pPr>
              <w:spacing w:line="240" w:lineRule="auto" w:before="40" w:after="40"/>
              <w:jc w:val="left"/>
            </w:pPr>
            <w:r/>
            <w:r>
              <w:rPr>
                <w:b w:val="0"/>
                <w:i w:val="0"/>
                <w:sz w:val="15"/>
              </w:rPr>
              <w:t>Public market, 100 stalls</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42.0 × 24.0</w:t>
            </w:r>
          </w:p>
        </w:tc>
        <w:tc>
          <w:tcPr>
            <w:tcW w:type="dxa" w:w="864"/>
            <w:shd w:val="clear" w:color="auto" w:fill="EFEFEF"/>
          </w:tcPr>
          <w:p>
            <w:pPr>
              <w:spacing w:line="240" w:lineRule="auto" w:before="40" w:after="40"/>
              <w:jc w:val="right"/>
            </w:pPr>
            <w:r/>
            <w:r>
              <w:rPr>
                <w:b w:val="0"/>
                <w:i w:val="0"/>
                <w:sz w:val="15"/>
              </w:rPr>
              <w:t>1,008</w:t>
            </w:r>
          </w:p>
        </w:tc>
        <w:tc>
          <w:tcPr>
            <w:tcW w:type="dxa" w:w="1800"/>
            <w:shd w:val="clear" w:color="auto" w:fill="EFEFEF"/>
          </w:tcPr>
          <w:p>
            <w:pPr>
              <w:spacing w:line="240" w:lineRule="auto" w:before="40" w:after="40"/>
              <w:jc w:val="left"/>
            </w:pPr>
            <w:r/>
            <w:r>
              <w:rPr>
                <w:b w:val="0"/>
                <w:i w:val="0"/>
                <w:sz w:val="15"/>
              </w:rPr>
              <w:t>106 stalls</w:t>
            </w:r>
          </w:p>
        </w:tc>
        <w:tc>
          <w:tcPr>
            <w:tcW w:type="dxa" w:w="864"/>
            <w:shd w:val="clear" w:color="auto" w:fill="EFEFEF"/>
          </w:tcPr>
          <w:p>
            <w:pPr>
              <w:spacing w:line="240" w:lineRule="auto" w:before="40" w:after="40"/>
              <w:jc w:val="right"/>
            </w:pPr>
            <w:r/>
            <w:r>
              <w:rPr>
                <w:b w:val="0"/>
                <w:i w:val="0"/>
                <w:sz w:val="15"/>
              </w:rPr>
              <w:t>24.73</w:t>
            </w:r>
          </w:p>
        </w:tc>
        <w:tc>
          <w:tcPr>
            <w:tcW w:type="dxa" w:w="864"/>
            <w:shd w:val="clear" w:color="auto" w:fill="EFEFEF"/>
          </w:tcPr>
          <w:p>
            <w:pPr>
              <w:spacing w:line="240" w:lineRule="auto" w:before="40" w:after="40"/>
              <w:jc w:val="right"/>
            </w:pPr>
            <w:r/>
            <w:r>
              <w:rPr>
                <w:b w:val="0"/>
                <w:i w:val="0"/>
                <w:sz w:val="15"/>
              </w:rPr>
              <w:t>28.51</w:t>
            </w:r>
          </w:p>
        </w:tc>
      </w:tr>
      <w:tr>
        <w:tc>
          <w:tcPr>
            <w:tcW w:type="dxa" w:w="3168"/>
          </w:tcPr>
          <w:p>
            <w:pPr>
              <w:spacing w:line="240" w:lineRule="auto" w:before="40" w:after="40"/>
              <w:jc w:val="left"/>
            </w:pPr>
            <w:r/>
            <w:r>
              <w:rPr>
                <w:b w:val="0"/>
                <w:i w:val="0"/>
                <w:sz w:val="15"/>
              </w:rPr>
              <w:t>Public market, 200 stalls (2-storey)</w:t>
            </w:r>
          </w:p>
        </w:tc>
        <w:tc>
          <w:tcPr>
            <w:tcW w:type="dxa" w:w="504"/>
          </w:tcPr>
          <w:p>
            <w:pPr>
              <w:spacing w:line="240" w:lineRule="auto" w:before="40" w:after="40"/>
              <w:jc w:val="right"/>
            </w:pPr>
            <w:r/>
            <w:r>
              <w:rPr>
                <w:b w:val="0"/>
                <w:i w:val="0"/>
                <w:sz w:val="15"/>
              </w:rPr>
              <w:t>2</w:t>
            </w:r>
          </w:p>
        </w:tc>
        <w:tc>
          <w:tcPr>
            <w:tcW w:type="dxa" w:w="1296"/>
          </w:tcPr>
          <w:p>
            <w:pPr>
              <w:spacing w:line="240" w:lineRule="auto" w:before="40" w:after="40"/>
              <w:jc w:val="left"/>
            </w:pPr>
            <w:r/>
            <w:r>
              <w:rPr>
                <w:b w:val="0"/>
                <w:i w:val="0"/>
                <w:sz w:val="15"/>
              </w:rPr>
              <w:t>45.5 × 24.0</w:t>
            </w:r>
          </w:p>
        </w:tc>
        <w:tc>
          <w:tcPr>
            <w:tcW w:type="dxa" w:w="864"/>
          </w:tcPr>
          <w:p>
            <w:pPr>
              <w:spacing w:line="240" w:lineRule="auto" w:before="40" w:after="40"/>
              <w:jc w:val="right"/>
            </w:pPr>
            <w:r/>
            <w:r>
              <w:rPr>
                <w:b w:val="0"/>
                <w:i w:val="0"/>
                <w:sz w:val="15"/>
              </w:rPr>
              <w:t>2,184</w:t>
            </w:r>
          </w:p>
        </w:tc>
        <w:tc>
          <w:tcPr>
            <w:tcW w:type="dxa" w:w="1800"/>
          </w:tcPr>
          <w:p>
            <w:pPr>
              <w:spacing w:line="240" w:lineRule="auto" w:before="40" w:after="40"/>
              <w:jc w:val="left"/>
            </w:pPr>
            <w:r/>
            <w:r>
              <w:rPr>
                <w:b w:val="0"/>
                <w:i w:val="0"/>
                <w:sz w:val="15"/>
              </w:rPr>
              <w:t>206 stalls</w:t>
            </w:r>
          </w:p>
        </w:tc>
        <w:tc>
          <w:tcPr>
            <w:tcW w:type="dxa" w:w="864"/>
          </w:tcPr>
          <w:p>
            <w:pPr>
              <w:spacing w:line="240" w:lineRule="auto" w:before="40" w:after="40"/>
              <w:jc w:val="right"/>
            </w:pPr>
            <w:r/>
            <w:r>
              <w:rPr>
                <w:b w:val="0"/>
                <w:i w:val="0"/>
                <w:sz w:val="15"/>
              </w:rPr>
              <w:t>45.65</w:t>
            </w:r>
          </w:p>
        </w:tc>
        <w:tc>
          <w:tcPr>
            <w:tcW w:type="dxa" w:w="864"/>
          </w:tcPr>
          <w:p>
            <w:pPr>
              <w:spacing w:line="240" w:lineRule="auto" w:before="40" w:after="40"/>
              <w:jc w:val="right"/>
            </w:pPr>
            <w:r/>
            <w:r>
              <w:rPr>
                <w:b w:val="0"/>
                <w:i w:val="0"/>
                <w:sz w:val="15"/>
              </w:rPr>
              <w:t>53.07</w:t>
            </w:r>
          </w:p>
        </w:tc>
      </w:tr>
      <w:tr>
        <w:tc>
          <w:tcPr>
            <w:tcW w:type="dxa" w:w="3168"/>
            <w:shd w:val="clear" w:color="auto" w:fill="EFEFEF"/>
          </w:tcPr>
          <w:p>
            <w:pPr>
              <w:spacing w:line="240" w:lineRule="auto" w:before="40" w:after="40"/>
              <w:jc w:val="left"/>
            </w:pPr>
            <w:r/>
            <w:r>
              <w:rPr>
                <w:b w:val="0"/>
                <w:i w:val="0"/>
                <w:sz w:val="15"/>
              </w:rPr>
              <w:t>Dormitory, 48 beds</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23.5 × 12.0</w:t>
            </w:r>
          </w:p>
        </w:tc>
        <w:tc>
          <w:tcPr>
            <w:tcW w:type="dxa" w:w="864"/>
            <w:shd w:val="clear" w:color="auto" w:fill="EFEFEF"/>
          </w:tcPr>
          <w:p>
            <w:pPr>
              <w:spacing w:line="240" w:lineRule="auto" w:before="40" w:after="40"/>
              <w:jc w:val="right"/>
            </w:pPr>
            <w:r/>
            <w:r>
              <w:rPr>
                <w:b w:val="0"/>
                <w:i w:val="0"/>
                <w:sz w:val="15"/>
              </w:rPr>
              <w:t>282</w:t>
            </w:r>
          </w:p>
        </w:tc>
        <w:tc>
          <w:tcPr>
            <w:tcW w:type="dxa" w:w="1800"/>
            <w:shd w:val="clear" w:color="auto" w:fill="EFEFEF"/>
          </w:tcPr>
          <w:p>
            <w:pPr>
              <w:spacing w:line="240" w:lineRule="auto" w:before="40" w:after="40"/>
              <w:jc w:val="left"/>
            </w:pPr>
            <w:r/>
            <w:r>
              <w:rPr>
                <w:b w:val="0"/>
                <w:i w:val="0"/>
                <w:sz w:val="15"/>
              </w:rPr>
              <w:t>48 beds</w:t>
            </w:r>
          </w:p>
        </w:tc>
        <w:tc>
          <w:tcPr>
            <w:tcW w:type="dxa" w:w="864"/>
            <w:shd w:val="clear" w:color="auto" w:fill="EFEFEF"/>
          </w:tcPr>
          <w:p>
            <w:pPr>
              <w:spacing w:line="240" w:lineRule="auto" w:before="40" w:after="40"/>
              <w:jc w:val="right"/>
            </w:pPr>
            <w:r/>
            <w:r>
              <w:rPr>
                <w:b w:val="0"/>
                <w:i w:val="0"/>
                <w:sz w:val="15"/>
              </w:rPr>
              <w:t>7.81</w:t>
            </w:r>
          </w:p>
        </w:tc>
        <w:tc>
          <w:tcPr>
            <w:tcW w:type="dxa" w:w="864"/>
            <w:shd w:val="clear" w:color="auto" w:fill="EFEFEF"/>
          </w:tcPr>
          <w:p>
            <w:pPr>
              <w:spacing w:line="240" w:lineRule="auto" w:before="40" w:after="40"/>
              <w:jc w:val="right"/>
            </w:pPr>
            <w:r/>
            <w:r>
              <w:rPr>
                <w:b w:val="0"/>
                <w:i w:val="0"/>
                <w:sz w:val="15"/>
              </w:rPr>
              <w:t>8.97</w:t>
            </w:r>
          </w:p>
        </w:tc>
      </w:tr>
      <w:tr>
        <w:tc>
          <w:tcPr>
            <w:tcW w:type="dxa" w:w="3168"/>
          </w:tcPr>
          <w:p>
            <w:pPr>
              <w:spacing w:line="240" w:lineRule="auto" w:before="40" w:after="40"/>
              <w:jc w:val="left"/>
            </w:pPr>
            <w:r/>
            <w:r>
              <w:rPr>
                <w:b w:val="0"/>
                <w:i w:val="0"/>
                <w:sz w:val="15"/>
              </w:rPr>
              <w:t>Dormitory, 96 beds (3-storey)</w:t>
            </w:r>
          </w:p>
        </w:tc>
        <w:tc>
          <w:tcPr>
            <w:tcW w:type="dxa" w:w="504"/>
          </w:tcPr>
          <w:p>
            <w:pPr>
              <w:spacing w:line="240" w:lineRule="auto" w:before="40" w:after="40"/>
              <w:jc w:val="right"/>
            </w:pPr>
            <w:r/>
            <w:r>
              <w:rPr>
                <w:b w:val="0"/>
                <w:i w:val="0"/>
                <w:sz w:val="15"/>
              </w:rPr>
              <w:t>3</w:t>
            </w:r>
          </w:p>
        </w:tc>
        <w:tc>
          <w:tcPr>
            <w:tcW w:type="dxa" w:w="1296"/>
          </w:tcPr>
          <w:p>
            <w:pPr>
              <w:spacing w:line="240" w:lineRule="auto" w:before="40" w:after="40"/>
              <w:jc w:val="left"/>
            </w:pPr>
            <w:r/>
            <w:r>
              <w:rPr>
                <w:b w:val="0"/>
                <w:i w:val="0"/>
                <w:sz w:val="15"/>
              </w:rPr>
              <w:t>17.0 × 12.0</w:t>
            </w:r>
          </w:p>
        </w:tc>
        <w:tc>
          <w:tcPr>
            <w:tcW w:type="dxa" w:w="864"/>
          </w:tcPr>
          <w:p>
            <w:pPr>
              <w:spacing w:line="240" w:lineRule="auto" w:before="40" w:after="40"/>
              <w:jc w:val="right"/>
            </w:pPr>
            <w:r/>
            <w:r>
              <w:rPr>
                <w:b w:val="0"/>
                <w:i w:val="0"/>
                <w:sz w:val="15"/>
              </w:rPr>
              <w:t>612</w:t>
            </w:r>
          </w:p>
        </w:tc>
        <w:tc>
          <w:tcPr>
            <w:tcW w:type="dxa" w:w="1800"/>
          </w:tcPr>
          <w:p>
            <w:pPr>
              <w:spacing w:line="240" w:lineRule="auto" w:before="40" w:after="40"/>
              <w:jc w:val="left"/>
            </w:pPr>
            <w:r/>
            <w:r>
              <w:rPr>
                <w:b w:val="0"/>
                <w:i w:val="0"/>
                <w:sz w:val="15"/>
              </w:rPr>
              <w:t>96 beds</w:t>
            </w:r>
          </w:p>
        </w:tc>
        <w:tc>
          <w:tcPr>
            <w:tcW w:type="dxa" w:w="864"/>
          </w:tcPr>
          <w:p>
            <w:pPr>
              <w:spacing w:line="240" w:lineRule="auto" w:before="40" w:after="40"/>
              <w:jc w:val="right"/>
            </w:pPr>
            <w:r/>
            <w:r>
              <w:rPr>
                <w:b w:val="0"/>
                <w:i w:val="0"/>
                <w:sz w:val="15"/>
              </w:rPr>
              <w:t>14.82</w:t>
            </w:r>
          </w:p>
        </w:tc>
        <w:tc>
          <w:tcPr>
            <w:tcW w:type="dxa" w:w="864"/>
          </w:tcPr>
          <w:p>
            <w:pPr>
              <w:spacing w:line="240" w:lineRule="auto" w:before="40" w:after="40"/>
              <w:jc w:val="right"/>
            </w:pPr>
            <w:r/>
            <w:r>
              <w:rPr>
                <w:b w:val="0"/>
                <w:i w:val="0"/>
                <w:sz w:val="15"/>
              </w:rPr>
              <w:t>17.15</w:t>
            </w:r>
          </w:p>
        </w:tc>
      </w:tr>
      <w:tr>
        <w:tc>
          <w:tcPr>
            <w:tcW w:type="dxa" w:w="3168"/>
            <w:shd w:val="clear" w:color="auto" w:fill="EFEFEF"/>
          </w:tcPr>
          <w:p>
            <w:pPr>
              <w:spacing w:line="240" w:lineRule="auto" w:before="40" w:after="40"/>
              <w:jc w:val="left"/>
            </w:pPr>
            <w:r/>
            <w:r>
              <w:rPr>
                <w:b w:val="0"/>
                <w:i w:val="0"/>
                <w:sz w:val="15"/>
              </w:rPr>
              <w:t>Teachers' quarters (8 units)</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27.5 × 12.0</w:t>
            </w:r>
          </w:p>
        </w:tc>
        <w:tc>
          <w:tcPr>
            <w:tcW w:type="dxa" w:w="864"/>
            <w:shd w:val="clear" w:color="auto" w:fill="EFEFEF"/>
          </w:tcPr>
          <w:p>
            <w:pPr>
              <w:spacing w:line="240" w:lineRule="auto" w:before="40" w:after="40"/>
              <w:jc w:val="right"/>
            </w:pPr>
            <w:r/>
            <w:r>
              <w:rPr>
                <w:b w:val="0"/>
                <w:i w:val="0"/>
                <w:sz w:val="15"/>
              </w:rPr>
              <w:t>330</w:t>
            </w:r>
          </w:p>
        </w:tc>
        <w:tc>
          <w:tcPr>
            <w:tcW w:type="dxa" w:w="1800"/>
            <w:shd w:val="clear" w:color="auto" w:fill="EFEFEF"/>
          </w:tcPr>
          <w:p>
            <w:pPr>
              <w:spacing w:line="240" w:lineRule="auto" w:before="40" w:after="40"/>
              <w:jc w:val="left"/>
            </w:pPr>
            <w:r/>
            <w:r>
              <w:rPr>
                <w:b w:val="0"/>
                <w:i w:val="0"/>
                <w:sz w:val="15"/>
              </w:rPr>
              <w:t>16 beds</w:t>
            </w:r>
          </w:p>
        </w:tc>
        <w:tc>
          <w:tcPr>
            <w:tcW w:type="dxa" w:w="864"/>
            <w:shd w:val="clear" w:color="auto" w:fill="EFEFEF"/>
          </w:tcPr>
          <w:p>
            <w:pPr>
              <w:spacing w:line="240" w:lineRule="auto" w:before="40" w:after="40"/>
              <w:jc w:val="right"/>
            </w:pPr>
            <w:r/>
            <w:r>
              <w:rPr>
                <w:b w:val="0"/>
                <w:i w:val="0"/>
                <w:sz w:val="15"/>
              </w:rPr>
              <w:t>9.03</w:t>
            </w:r>
          </w:p>
        </w:tc>
        <w:tc>
          <w:tcPr>
            <w:tcW w:type="dxa" w:w="864"/>
            <w:shd w:val="clear" w:color="auto" w:fill="EFEFEF"/>
          </w:tcPr>
          <w:p>
            <w:pPr>
              <w:spacing w:line="240" w:lineRule="auto" w:before="40" w:after="40"/>
              <w:jc w:val="right"/>
            </w:pPr>
            <w:r/>
            <w:r>
              <w:rPr>
                <w:b w:val="0"/>
                <w:i w:val="0"/>
                <w:sz w:val="15"/>
              </w:rPr>
              <w:t>10.38</w:t>
            </w:r>
          </w:p>
        </w:tc>
      </w:tr>
      <w:tr>
        <w:tc>
          <w:tcPr>
            <w:tcW w:type="dxa" w:w="3168"/>
          </w:tcPr>
          <w:p>
            <w:pPr>
              <w:spacing w:line="240" w:lineRule="auto" w:before="40" w:after="40"/>
              <w:jc w:val="left"/>
            </w:pPr>
            <w:r/>
            <w:r>
              <w:rPr>
                <w:b w:val="0"/>
                <w:i w:val="0"/>
                <w:sz w:val="15"/>
              </w:rPr>
              <w:t>Barangay covered court</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45.0 × 20.0</w:t>
            </w:r>
          </w:p>
        </w:tc>
        <w:tc>
          <w:tcPr>
            <w:tcW w:type="dxa" w:w="864"/>
          </w:tcPr>
          <w:p>
            <w:pPr>
              <w:spacing w:line="240" w:lineRule="auto" w:before="40" w:after="40"/>
              <w:jc w:val="right"/>
            </w:pPr>
            <w:r/>
            <w:r>
              <w:rPr>
                <w:b w:val="0"/>
                <w:i w:val="0"/>
                <w:sz w:val="15"/>
              </w:rPr>
              <w:t>900</w:t>
            </w:r>
          </w:p>
        </w:tc>
        <w:tc>
          <w:tcPr>
            <w:tcW w:type="dxa" w:w="1800"/>
          </w:tcPr>
          <w:p>
            <w:pPr>
              <w:spacing w:line="240" w:lineRule="auto" w:before="40" w:after="40"/>
              <w:jc w:val="left"/>
            </w:pPr>
            <w:r/>
            <w:r>
              <w:rPr>
                <w:b w:val="0"/>
                <w:i w:val="0"/>
                <w:sz w:val="15"/>
              </w:rPr>
              <w:t>300 persons</w:t>
            </w:r>
          </w:p>
        </w:tc>
        <w:tc>
          <w:tcPr>
            <w:tcW w:type="dxa" w:w="864"/>
          </w:tcPr>
          <w:p>
            <w:pPr>
              <w:spacing w:line="240" w:lineRule="auto" w:before="40" w:after="40"/>
              <w:jc w:val="right"/>
            </w:pPr>
            <w:r/>
            <w:r>
              <w:rPr>
                <w:b w:val="0"/>
                <w:i w:val="0"/>
                <w:sz w:val="15"/>
              </w:rPr>
              <w:t>13.70</w:t>
            </w:r>
          </w:p>
        </w:tc>
        <w:tc>
          <w:tcPr>
            <w:tcW w:type="dxa" w:w="864"/>
          </w:tcPr>
          <w:p>
            <w:pPr>
              <w:spacing w:line="240" w:lineRule="auto" w:before="40" w:after="40"/>
              <w:jc w:val="right"/>
            </w:pPr>
            <w:r/>
            <w:r>
              <w:rPr>
                <w:b w:val="0"/>
                <w:i w:val="0"/>
                <w:sz w:val="15"/>
              </w:rPr>
              <w:t>15.06</w:t>
            </w:r>
          </w:p>
        </w:tc>
      </w:tr>
      <w:tr>
        <w:tc>
          <w:tcPr>
            <w:tcW w:type="dxa" w:w="3168"/>
            <w:shd w:val="clear" w:color="auto" w:fill="EFEFEF"/>
          </w:tcPr>
          <w:p>
            <w:pPr>
              <w:spacing w:line="240" w:lineRule="auto" w:before="40" w:after="40"/>
              <w:jc w:val="left"/>
            </w:pPr>
            <w:r/>
            <w:r>
              <w:rPr>
                <w:b w:val="0"/>
                <w:i w:val="0"/>
                <w:sz w:val="15"/>
              </w:rPr>
              <w:t>Covered court with bleachers and showers</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53.0 × 20.0</w:t>
            </w:r>
          </w:p>
        </w:tc>
        <w:tc>
          <w:tcPr>
            <w:tcW w:type="dxa" w:w="864"/>
            <w:shd w:val="clear" w:color="auto" w:fill="EFEFEF"/>
          </w:tcPr>
          <w:p>
            <w:pPr>
              <w:spacing w:line="240" w:lineRule="auto" w:before="40" w:after="40"/>
              <w:jc w:val="right"/>
            </w:pPr>
            <w:r/>
            <w:r>
              <w:rPr>
                <w:b w:val="0"/>
                <w:i w:val="0"/>
                <w:sz w:val="15"/>
              </w:rPr>
              <w:t>1,060</w:t>
            </w:r>
          </w:p>
        </w:tc>
        <w:tc>
          <w:tcPr>
            <w:tcW w:type="dxa" w:w="1800"/>
            <w:shd w:val="clear" w:color="auto" w:fill="EFEFEF"/>
          </w:tcPr>
          <w:p>
            <w:pPr>
              <w:spacing w:line="240" w:lineRule="auto" w:before="40" w:after="40"/>
              <w:jc w:val="left"/>
            </w:pPr>
            <w:r/>
            <w:r>
              <w:rPr>
                <w:b w:val="0"/>
                <w:i w:val="0"/>
                <w:sz w:val="15"/>
              </w:rPr>
              <w:t>540 persons</w:t>
            </w:r>
          </w:p>
        </w:tc>
        <w:tc>
          <w:tcPr>
            <w:tcW w:type="dxa" w:w="864"/>
            <w:shd w:val="clear" w:color="auto" w:fill="EFEFEF"/>
          </w:tcPr>
          <w:p>
            <w:pPr>
              <w:spacing w:line="240" w:lineRule="auto" w:before="40" w:after="40"/>
              <w:jc w:val="right"/>
            </w:pPr>
            <w:r/>
            <w:r>
              <w:rPr>
                <w:b w:val="0"/>
                <w:i w:val="0"/>
                <w:sz w:val="15"/>
              </w:rPr>
              <w:t>15.83</w:t>
            </w:r>
          </w:p>
        </w:tc>
        <w:tc>
          <w:tcPr>
            <w:tcW w:type="dxa" w:w="864"/>
            <w:shd w:val="clear" w:color="auto" w:fill="EFEFEF"/>
          </w:tcPr>
          <w:p>
            <w:pPr>
              <w:spacing w:line="240" w:lineRule="auto" w:before="40" w:after="40"/>
              <w:jc w:val="right"/>
            </w:pPr>
            <w:r/>
            <w:r>
              <w:rPr>
                <w:b w:val="0"/>
                <w:i w:val="0"/>
                <w:sz w:val="15"/>
              </w:rPr>
              <w:t>17.40</w:t>
            </w:r>
          </w:p>
        </w:tc>
      </w:tr>
      <w:tr>
        <w:tc>
          <w:tcPr>
            <w:tcW w:type="dxa" w:w="3168"/>
          </w:tcPr>
          <w:p>
            <w:pPr>
              <w:spacing w:line="240" w:lineRule="auto" w:before="40" w:after="40"/>
              <w:jc w:val="left"/>
            </w:pPr>
            <w:r/>
            <w:r>
              <w:rPr>
                <w:b w:val="0"/>
                <w:i w:val="0"/>
                <w:sz w:val="15"/>
              </w:rPr>
              <w:t>Pedestrian footbridge 1 × 15 m</w:t>
            </w:r>
          </w:p>
        </w:tc>
        <w:tc>
          <w:tcPr>
            <w:tcW w:type="dxa" w:w="504"/>
          </w:tcPr>
          <w:p>
            <w:pPr>
              <w:spacing w:line="240" w:lineRule="auto" w:before="40" w:after="40"/>
              <w:jc w:val="left"/>
            </w:pPr>
            <w:r/>
            <w:r>
              <w:rPr>
                <w:b w:val="0"/>
                <w:i w:val="0"/>
                <w:sz w:val="15"/>
              </w:rPr>
              <w:t>–</w:t>
            </w:r>
          </w:p>
        </w:tc>
        <w:tc>
          <w:tcPr>
            <w:tcW w:type="dxa" w:w="1296"/>
          </w:tcPr>
          <w:p>
            <w:pPr>
              <w:spacing w:line="240" w:lineRule="auto" w:before="40" w:after="40"/>
              <w:jc w:val="left"/>
            </w:pPr>
            <w:r/>
            <w:r>
              <w:rPr>
                <w:b w:val="0"/>
                <w:i w:val="0"/>
                <w:sz w:val="15"/>
              </w:rPr>
              <w:t>–</w:t>
            </w:r>
          </w:p>
        </w:tc>
        <w:tc>
          <w:tcPr>
            <w:tcW w:type="dxa" w:w="864"/>
          </w:tcPr>
          <w:p>
            <w:pPr>
              <w:spacing w:line="240" w:lineRule="auto" w:before="40" w:after="40"/>
              <w:jc w:val="left"/>
            </w:pPr>
            <w:r/>
            <w:r>
              <w:rPr>
                <w:b w:val="0"/>
                <w:i w:val="0"/>
                <w:sz w:val="15"/>
              </w:rPr>
              <w:t>–</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3.23</w:t>
            </w:r>
          </w:p>
        </w:tc>
        <w:tc>
          <w:tcPr>
            <w:tcW w:type="dxa" w:w="864"/>
          </w:tcPr>
          <w:p>
            <w:pPr>
              <w:spacing w:line="240" w:lineRule="auto" w:before="40" w:after="40"/>
              <w:jc w:val="right"/>
            </w:pPr>
            <w:r/>
            <w:r>
              <w:rPr>
                <w:b w:val="0"/>
                <w:i w:val="0"/>
                <w:sz w:val="15"/>
              </w:rPr>
              <w:t>3.49</w:t>
            </w:r>
          </w:p>
        </w:tc>
      </w:tr>
      <w:tr>
        <w:tc>
          <w:tcPr>
            <w:tcW w:type="dxa" w:w="3168"/>
            <w:shd w:val="clear" w:color="auto" w:fill="EFEFEF"/>
          </w:tcPr>
          <w:p>
            <w:pPr>
              <w:spacing w:line="240" w:lineRule="auto" w:before="40" w:after="40"/>
              <w:jc w:val="left"/>
            </w:pPr>
            <w:r/>
            <w:r>
              <w:rPr>
                <w:b w:val="0"/>
                <w:i w:val="0"/>
                <w:sz w:val="15"/>
              </w:rPr>
              <w:t>Single-cell RC box culvert 3.0 m</w:t>
            </w:r>
          </w:p>
        </w:tc>
        <w:tc>
          <w:tcPr>
            <w:tcW w:type="dxa" w:w="504"/>
            <w:shd w:val="clear" w:color="auto" w:fill="EFEFEF"/>
          </w:tcPr>
          <w:p>
            <w:pPr>
              <w:spacing w:line="240" w:lineRule="auto" w:before="40" w:after="40"/>
              <w:jc w:val="left"/>
            </w:pPr>
            <w:r/>
            <w:r>
              <w:rPr>
                <w:b w:val="0"/>
                <w:i w:val="0"/>
                <w:sz w:val="15"/>
              </w:rPr>
              <w:t>–</w:t>
            </w:r>
          </w:p>
        </w:tc>
        <w:tc>
          <w:tcPr>
            <w:tcW w:type="dxa" w:w="1296"/>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left"/>
            </w:pPr>
            <w:r/>
            <w:r>
              <w:rPr>
                <w:b w:val="0"/>
                <w:i w:val="0"/>
                <w:sz w:val="15"/>
              </w:rPr>
              <w:t>–</w:t>
            </w:r>
          </w:p>
        </w:tc>
        <w:tc>
          <w:tcPr>
            <w:tcW w:type="dxa" w:w="1800"/>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right"/>
            </w:pPr>
            <w:r/>
            <w:r>
              <w:rPr>
                <w:b w:val="0"/>
                <w:i w:val="0"/>
                <w:sz w:val="15"/>
              </w:rPr>
              <w:t>1.73</w:t>
            </w:r>
          </w:p>
        </w:tc>
        <w:tc>
          <w:tcPr>
            <w:tcW w:type="dxa" w:w="864"/>
            <w:shd w:val="clear" w:color="auto" w:fill="EFEFEF"/>
          </w:tcPr>
          <w:p>
            <w:pPr>
              <w:spacing w:line="240" w:lineRule="auto" w:before="40" w:after="40"/>
              <w:jc w:val="right"/>
            </w:pPr>
            <w:r/>
            <w:r>
              <w:rPr>
                <w:b w:val="0"/>
                <w:i w:val="0"/>
                <w:sz w:val="15"/>
              </w:rPr>
              <w:t>1.87</w:t>
            </w:r>
          </w:p>
        </w:tc>
      </w:tr>
      <w:tr>
        <w:tc>
          <w:tcPr>
            <w:tcW w:type="dxa" w:w="3168"/>
          </w:tcPr>
          <w:p>
            <w:pPr>
              <w:spacing w:line="240" w:lineRule="auto" w:before="40" w:after="40"/>
              <w:jc w:val="left"/>
            </w:pPr>
            <w:r/>
            <w:r>
              <w:rPr>
                <w:b w:val="0"/>
                <w:i w:val="0"/>
                <w:sz w:val="15"/>
              </w:rPr>
              <w:t>Double-barrel RC box culvert 2 × 3.0 m</w:t>
            </w:r>
          </w:p>
        </w:tc>
        <w:tc>
          <w:tcPr>
            <w:tcW w:type="dxa" w:w="504"/>
          </w:tcPr>
          <w:p>
            <w:pPr>
              <w:spacing w:line="240" w:lineRule="auto" w:before="40" w:after="40"/>
              <w:jc w:val="left"/>
            </w:pPr>
            <w:r/>
            <w:r>
              <w:rPr>
                <w:b w:val="0"/>
                <w:i w:val="0"/>
                <w:sz w:val="15"/>
              </w:rPr>
              <w:t>–</w:t>
            </w:r>
          </w:p>
        </w:tc>
        <w:tc>
          <w:tcPr>
            <w:tcW w:type="dxa" w:w="1296"/>
          </w:tcPr>
          <w:p>
            <w:pPr>
              <w:spacing w:line="240" w:lineRule="auto" w:before="40" w:after="40"/>
              <w:jc w:val="left"/>
            </w:pPr>
            <w:r/>
            <w:r>
              <w:rPr>
                <w:b w:val="0"/>
                <w:i w:val="0"/>
                <w:sz w:val="15"/>
              </w:rPr>
              <w:t>–</w:t>
            </w:r>
          </w:p>
        </w:tc>
        <w:tc>
          <w:tcPr>
            <w:tcW w:type="dxa" w:w="864"/>
          </w:tcPr>
          <w:p>
            <w:pPr>
              <w:spacing w:line="240" w:lineRule="auto" w:before="40" w:after="40"/>
              <w:jc w:val="left"/>
            </w:pPr>
            <w:r/>
            <w:r>
              <w:rPr>
                <w:b w:val="0"/>
                <w:i w:val="0"/>
                <w:sz w:val="15"/>
              </w:rPr>
              <w:t>–</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2.48</w:t>
            </w:r>
          </w:p>
        </w:tc>
        <w:tc>
          <w:tcPr>
            <w:tcW w:type="dxa" w:w="864"/>
          </w:tcPr>
          <w:p>
            <w:pPr>
              <w:spacing w:line="240" w:lineRule="auto" w:before="40" w:after="40"/>
              <w:jc w:val="right"/>
            </w:pPr>
            <w:r/>
            <w:r>
              <w:rPr>
                <w:b w:val="0"/>
                <w:i w:val="0"/>
                <w:sz w:val="15"/>
              </w:rPr>
              <w:t>2.68</w:t>
            </w:r>
          </w:p>
        </w:tc>
      </w:tr>
      <w:tr>
        <w:tc>
          <w:tcPr>
            <w:tcW w:type="dxa" w:w="3168"/>
            <w:shd w:val="clear" w:color="auto" w:fill="EFEFEF"/>
          </w:tcPr>
          <w:p>
            <w:pPr>
              <w:spacing w:line="240" w:lineRule="auto" w:before="40" w:after="40"/>
              <w:jc w:val="left"/>
            </w:pPr>
            <w:r/>
            <w:r>
              <w:rPr>
                <w:b w:val="0"/>
                <w:i w:val="0"/>
                <w:sz w:val="15"/>
              </w:rPr>
              <w:t>Triple-barrel RC box culvert 3 × 3.5 m</w:t>
            </w:r>
          </w:p>
        </w:tc>
        <w:tc>
          <w:tcPr>
            <w:tcW w:type="dxa" w:w="504"/>
            <w:shd w:val="clear" w:color="auto" w:fill="EFEFEF"/>
          </w:tcPr>
          <w:p>
            <w:pPr>
              <w:spacing w:line="240" w:lineRule="auto" w:before="40" w:after="40"/>
              <w:jc w:val="left"/>
            </w:pPr>
            <w:r/>
            <w:r>
              <w:rPr>
                <w:b w:val="0"/>
                <w:i w:val="0"/>
                <w:sz w:val="15"/>
              </w:rPr>
              <w:t>–</w:t>
            </w:r>
          </w:p>
        </w:tc>
        <w:tc>
          <w:tcPr>
            <w:tcW w:type="dxa" w:w="1296"/>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left"/>
            </w:pPr>
            <w:r/>
            <w:r>
              <w:rPr>
                <w:b w:val="0"/>
                <w:i w:val="0"/>
                <w:sz w:val="15"/>
              </w:rPr>
              <w:t>–</w:t>
            </w:r>
          </w:p>
        </w:tc>
        <w:tc>
          <w:tcPr>
            <w:tcW w:type="dxa" w:w="1800"/>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right"/>
            </w:pPr>
            <w:r/>
            <w:r>
              <w:rPr>
                <w:b w:val="0"/>
                <w:i w:val="0"/>
                <w:sz w:val="15"/>
              </w:rPr>
              <w:t>4.14</w:t>
            </w:r>
          </w:p>
        </w:tc>
        <w:tc>
          <w:tcPr>
            <w:tcW w:type="dxa" w:w="864"/>
            <w:shd w:val="clear" w:color="auto" w:fill="EFEFEF"/>
          </w:tcPr>
          <w:p>
            <w:pPr>
              <w:spacing w:line="240" w:lineRule="auto" w:before="40" w:after="40"/>
              <w:jc w:val="right"/>
            </w:pPr>
            <w:r/>
            <w:r>
              <w:rPr>
                <w:b w:val="0"/>
                <w:i w:val="0"/>
                <w:sz w:val="15"/>
              </w:rPr>
              <w:t>4.48</w:t>
            </w:r>
          </w:p>
        </w:tc>
      </w:tr>
      <w:tr>
        <w:tc>
          <w:tcPr>
            <w:tcW w:type="dxa" w:w="3168"/>
          </w:tcPr>
          <w:p>
            <w:pPr>
              <w:spacing w:line="240" w:lineRule="auto" w:before="40" w:after="40"/>
              <w:jc w:val="left"/>
            </w:pPr>
            <w:r/>
            <w:r>
              <w:rPr>
                <w:b w:val="0"/>
                <w:i w:val="0"/>
                <w:sz w:val="15"/>
              </w:rPr>
              <w:t>Farm-to-market RCDG bridge 1 × 12 m (1 lane)</w:t>
            </w:r>
          </w:p>
        </w:tc>
        <w:tc>
          <w:tcPr>
            <w:tcW w:type="dxa" w:w="504"/>
          </w:tcPr>
          <w:p>
            <w:pPr>
              <w:spacing w:line="240" w:lineRule="auto" w:before="40" w:after="40"/>
              <w:jc w:val="left"/>
            </w:pPr>
            <w:r/>
            <w:r>
              <w:rPr>
                <w:b w:val="0"/>
                <w:i w:val="0"/>
                <w:sz w:val="15"/>
              </w:rPr>
              <w:t>–</w:t>
            </w:r>
          </w:p>
        </w:tc>
        <w:tc>
          <w:tcPr>
            <w:tcW w:type="dxa" w:w="1296"/>
          </w:tcPr>
          <w:p>
            <w:pPr>
              <w:spacing w:line="240" w:lineRule="auto" w:before="40" w:after="40"/>
              <w:jc w:val="left"/>
            </w:pPr>
            <w:r/>
            <w:r>
              <w:rPr>
                <w:b w:val="0"/>
                <w:i w:val="0"/>
                <w:sz w:val="15"/>
              </w:rPr>
              <w:t>–</w:t>
            </w:r>
          </w:p>
        </w:tc>
        <w:tc>
          <w:tcPr>
            <w:tcW w:type="dxa" w:w="864"/>
          </w:tcPr>
          <w:p>
            <w:pPr>
              <w:spacing w:line="240" w:lineRule="auto" w:before="40" w:after="40"/>
              <w:jc w:val="left"/>
            </w:pPr>
            <w:r/>
            <w:r>
              <w:rPr>
                <w:b w:val="0"/>
                <w:i w:val="0"/>
                <w:sz w:val="15"/>
              </w:rPr>
              <w:t>–</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5.78</w:t>
            </w:r>
          </w:p>
        </w:tc>
        <w:tc>
          <w:tcPr>
            <w:tcW w:type="dxa" w:w="864"/>
          </w:tcPr>
          <w:p>
            <w:pPr>
              <w:spacing w:line="240" w:lineRule="auto" w:before="40" w:after="40"/>
              <w:jc w:val="right"/>
            </w:pPr>
            <w:r/>
            <w:r>
              <w:rPr>
                <w:b w:val="0"/>
                <w:i w:val="0"/>
                <w:sz w:val="15"/>
              </w:rPr>
              <w:t>6.22</w:t>
            </w:r>
          </w:p>
        </w:tc>
      </w:tr>
      <w:tr>
        <w:tc>
          <w:tcPr>
            <w:tcW w:type="dxa" w:w="3168"/>
            <w:shd w:val="clear" w:color="auto" w:fill="EFEFEF"/>
          </w:tcPr>
          <w:p>
            <w:pPr>
              <w:spacing w:line="240" w:lineRule="auto" w:before="40" w:after="40"/>
              <w:jc w:val="left"/>
            </w:pPr>
            <w:r/>
            <w:r>
              <w:rPr>
                <w:b w:val="0"/>
                <w:i w:val="0"/>
                <w:sz w:val="15"/>
              </w:rPr>
              <w:t>RCDG bridge 1 × 15 m (2 lanes)</w:t>
            </w:r>
          </w:p>
        </w:tc>
        <w:tc>
          <w:tcPr>
            <w:tcW w:type="dxa" w:w="504"/>
            <w:shd w:val="clear" w:color="auto" w:fill="EFEFEF"/>
          </w:tcPr>
          <w:p>
            <w:pPr>
              <w:spacing w:line="240" w:lineRule="auto" w:before="40" w:after="40"/>
              <w:jc w:val="left"/>
            </w:pPr>
            <w:r/>
            <w:r>
              <w:rPr>
                <w:b w:val="0"/>
                <w:i w:val="0"/>
                <w:sz w:val="15"/>
              </w:rPr>
              <w:t>–</w:t>
            </w:r>
          </w:p>
        </w:tc>
        <w:tc>
          <w:tcPr>
            <w:tcW w:type="dxa" w:w="1296"/>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left"/>
            </w:pPr>
            <w:r/>
            <w:r>
              <w:rPr>
                <w:b w:val="0"/>
                <w:i w:val="0"/>
                <w:sz w:val="15"/>
              </w:rPr>
              <w:t>–</w:t>
            </w:r>
          </w:p>
        </w:tc>
        <w:tc>
          <w:tcPr>
            <w:tcW w:type="dxa" w:w="1800"/>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right"/>
            </w:pPr>
            <w:r/>
            <w:r>
              <w:rPr>
                <w:b w:val="0"/>
                <w:i w:val="0"/>
                <w:sz w:val="15"/>
              </w:rPr>
              <w:t>17.37</w:t>
            </w:r>
          </w:p>
        </w:tc>
        <w:tc>
          <w:tcPr>
            <w:tcW w:type="dxa" w:w="864"/>
            <w:shd w:val="clear" w:color="auto" w:fill="EFEFEF"/>
          </w:tcPr>
          <w:p>
            <w:pPr>
              <w:spacing w:line="240" w:lineRule="auto" w:before="40" w:after="40"/>
              <w:jc w:val="right"/>
            </w:pPr>
            <w:r/>
            <w:r>
              <w:rPr>
                <w:b w:val="0"/>
                <w:i w:val="0"/>
                <w:sz w:val="15"/>
              </w:rPr>
              <w:t>18.26</w:t>
            </w:r>
          </w:p>
        </w:tc>
      </w:tr>
      <w:tr>
        <w:tc>
          <w:tcPr>
            <w:tcW w:type="dxa" w:w="3168"/>
          </w:tcPr>
          <w:p>
            <w:pPr>
              <w:spacing w:line="240" w:lineRule="auto" w:before="40" w:after="40"/>
              <w:jc w:val="left"/>
            </w:pPr>
            <w:r/>
            <w:r>
              <w:rPr>
                <w:b w:val="0"/>
                <w:i w:val="0"/>
                <w:sz w:val="15"/>
              </w:rPr>
              <w:t>RCDG bridge 2 × 20 m (2 lanes)</w:t>
            </w:r>
          </w:p>
        </w:tc>
        <w:tc>
          <w:tcPr>
            <w:tcW w:type="dxa" w:w="504"/>
          </w:tcPr>
          <w:p>
            <w:pPr>
              <w:spacing w:line="240" w:lineRule="auto" w:before="40" w:after="40"/>
              <w:jc w:val="left"/>
            </w:pPr>
            <w:r/>
            <w:r>
              <w:rPr>
                <w:b w:val="0"/>
                <w:i w:val="0"/>
                <w:sz w:val="15"/>
              </w:rPr>
              <w:t>–</w:t>
            </w:r>
          </w:p>
        </w:tc>
        <w:tc>
          <w:tcPr>
            <w:tcW w:type="dxa" w:w="1296"/>
          </w:tcPr>
          <w:p>
            <w:pPr>
              <w:spacing w:line="240" w:lineRule="auto" w:before="40" w:after="40"/>
              <w:jc w:val="left"/>
            </w:pPr>
            <w:r/>
            <w:r>
              <w:rPr>
                <w:b w:val="0"/>
                <w:i w:val="0"/>
                <w:sz w:val="15"/>
              </w:rPr>
              <w:t>–</w:t>
            </w:r>
          </w:p>
        </w:tc>
        <w:tc>
          <w:tcPr>
            <w:tcW w:type="dxa" w:w="864"/>
          </w:tcPr>
          <w:p>
            <w:pPr>
              <w:spacing w:line="240" w:lineRule="auto" w:before="40" w:after="40"/>
              <w:jc w:val="left"/>
            </w:pPr>
            <w:r/>
            <w:r>
              <w:rPr>
                <w:b w:val="0"/>
                <w:i w:val="0"/>
                <w:sz w:val="15"/>
              </w:rPr>
              <w:t>–</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29.59</w:t>
            </w:r>
          </w:p>
        </w:tc>
        <w:tc>
          <w:tcPr>
            <w:tcW w:type="dxa" w:w="864"/>
          </w:tcPr>
          <w:p>
            <w:pPr>
              <w:spacing w:line="240" w:lineRule="auto" w:before="40" w:after="40"/>
              <w:jc w:val="right"/>
            </w:pPr>
            <w:r/>
            <w:r>
              <w:rPr>
                <w:b w:val="0"/>
                <w:i w:val="0"/>
                <w:sz w:val="15"/>
              </w:rPr>
              <w:t>31.61</w:t>
            </w:r>
          </w:p>
        </w:tc>
      </w:tr>
      <w:tr>
        <w:tc>
          <w:tcPr>
            <w:tcW w:type="dxa" w:w="3168"/>
            <w:shd w:val="clear" w:color="auto" w:fill="EFEFEF"/>
          </w:tcPr>
          <w:p>
            <w:pPr>
              <w:spacing w:line="240" w:lineRule="auto" w:before="40" w:after="40"/>
              <w:jc w:val="left"/>
            </w:pPr>
            <w:r/>
            <w:r>
              <w:rPr>
                <w:b w:val="0"/>
                <w:i w:val="0"/>
                <w:sz w:val="15"/>
              </w:rPr>
              <w:t>RCDG bridge 3 × 20 m (2 lanes)</w:t>
            </w:r>
          </w:p>
        </w:tc>
        <w:tc>
          <w:tcPr>
            <w:tcW w:type="dxa" w:w="504"/>
            <w:shd w:val="clear" w:color="auto" w:fill="EFEFEF"/>
          </w:tcPr>
          <w:p>
            <w:pPr>
              <w:spacing w:line="240" w:lineRule="auto" w:before="40" w:after="40"/>
              <w:jc w:val="left"/>
            </w:pPr>
            <w:r/>
            <w:r>
              <w:rPr>
                <w:b w:val="0"/>
                <w:i w:val="0"/>
                <w:sz w:val="15"/>
              </w:rPr>
              <w:t>–</w:t>
            </w:r>
          </w:p>
        </w:tc>
        <w:tc>
          <w:tcPr>
            <w:tcW w:type="dxa" w:w="1296"/>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left"/>
            </w:pPr>
            <w:r/>
            <w:r>
              <w:rPr>
                <w:b w:val="0"/>
                <w:i w:val="0"/>
                <w:sz w:val="15"/>
              </w:rPr>
              <w:t>–</w:t>
            </w:r>
          </w:p>
        </w:tc>
        <w:tc>
          <w:tcPr>
            <w:tcW w:type="dxa" w:w="1800"/>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right"/>
            </w:pPr>
            <w:r/>
            <w:r>
              <w:rPr>
                <w:b w:val="0"/>
                <w:i w:val="0"/>
                <w:sz w:val="15"/>
              </w:rPr>
              <w:t>39.07</w:t>
            </w:r>
          </w:p>
        </w:tc>
        <w:tc>
          <w:tcPr>
            <w:tcW w:type="dxa" w:w="864"/>
            <w:shd w:val="clear" w:color="auto" w:fill="EFEFEF"/>
          </w:tcPr>
          <w:p>
            <w:pPr>
              <w:spacing w:line="240" w:lineRule="auto" w:before="40" w:after="40"/>
              <w:jc w:val="right"/>
            </w:pPr>
            <w:r/>
            <w:r>
              <w:rPr>
                <w:b w:val="0"/>
                <w:i w:val="0"/>
                <w:sz w:val="15"/>
              </w:rPr>
              <w:t>42.04</w:t>
            </w:r>
          </w:p>
        </w:tc>
      </w:tr>
      <w:tr>
        <w:tc>
          <w:tcPr>
            <w:tcW w:type="dxa" w:w="3168"/>
          </w:tcPr>
          <w:p>
            <w:pPr>
              <w:spacing w:line="240" w:lineRule="auto" w:before="40" w:after="40"/>
              <w:jc w:val="left"/>
            </w:pPr>
            <w:r/>
            <w:r>
              <w:rPr>
                <w:b w:val="0"/>
                <w:i w:val="0"/>
                <w:sz w:val="15"/>
              </w:rPr>
              <w:t>PSCG bridge 1 × 30 m (2 lanes)</w:t>
            </w:r>
          </w:p>
        </w:tc>
        <w:tc>
          <w:tcPr>
            <w:tcW w:type="dxa" w:w="504"/>
          </w:tcPr>
          <w:p>
            <w:pPr>
              <w:spacing w:line="240" w:lineRule="auto" w:before="40" w:after="40"/>
              <w:jc w:val="left"/>
            </w:pPr>
            <w:r/>
            <w:r>
              <w:rPr>
                <w:b w:val="0"/>
                <w:i w:val="0"/>
                <w:sz w:val="15"/>
              </w:rPr>
              <w:t>–</w:t>
            </w:r>
          </w:p>
        </w:tc>
        <w:tc>
          <w:tcPr>
            <w:tcW w:type="dxa" w:w="1296"/>
          </w:tcPr>
          <w:p>
            <w:pPr>
              <w:spacing w:line="240" w:lineRule="auto" w:before="40" w:after="40"/>
              <w:jc w:val="left"/>
            </w:pPr>
            <w:r/>
            <w:r>
              <w:rPr>
                <w:b w:val="0"/>
                <w:i w:val="0"/>
                <w:sz w:val="15"/>
              </w:rPr>
              <w:t>–</w:t>
            </w:r>
          </w:p>
        </w:tc>
        <w:tc>
          <w:tcPr>
            <w:tcW w:type="dxa" w:w="864"/>
          </w:tcPr>
          <w:p>
            <w:pPr>
              <w:spacing w:line="240" w:lineRule="auto" w:before="40" w:after="40"/>
              <w:jc w:val="left"/>
            </w:pPr>
            <w:r/>
            <w:r>
              <w:rPr>
                <w:b w:val="0"/>
                <w:i w:val="0"/>
                <w:sz w:val="15"/>
              </w:rPr>
              <w:t>–</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36.65</w:t>
            </w:r>
          </w:p>
        </w:tc>
        <w:tc>
          <w:tcPr>
            <w:tcW w:type="dxa" w:w="864"/>
          </w:tcPr>
          <w:p>
            <w:pPr>
              <w:spacing w:line="240" w:lineRule="auto" w:before="40" w:after="40"/>
              <w:jc w:val="right"/>
            </w:pPr>
            <w:r/>
            <w:r>
              <w:rPr>
                <w:b w:val="0"/>
                <w:i w:val="0"/>
                <w:sz w:val="15"/>
              </w:rPr>
              <w:t>38.38</w:t>
            </w:r>
          </w:p>
        </w:tc>
      </w:tr>
      <w:tr>
        <w:tc>
          <w:tcPr>
            <w:tcW w:type="dxa" w:w="3168"/>
            <w:shd w:val="clear" w:color="auto" w:fill="EFEFEF"/>
          </w:tcPr>
          <w:p>
            <w:pPr>
              <w:spacing w:line="240" w:lineRule="auto" w:before="40" w:after="40"/>
              <w:jc w:val="left"/>
            </w:pPr>
            <w:r/>
            <w:r>
              <w:rPr>
                <w:b w:val="0"/>
                <w:i w:val="0"/>
                <w:sz w:val="15"/>
              </w:rPr>
              <w:t>PSCG bridge 3 × 30 m (2 lanes)</w:t>
            </w:r>
          </w:p>
        </w:tc>
        <w:tc>
          <w:tcPr>
            <w:tcW w:type="dxa" w:w="504"/>
            <w:shd w:val="clear" w:color="auto" w:fill="EFEFEF"/>
          </w:tcPr>
          <w:p>
            <w:pPr>
              <w:spacing w:line="240" w:lineRule="auto" w:before="40" w:after="40"/>
              <w:jc w:val="left"/>
            </w:pPr>
            <w:r/>
            <w:r>
              <w:rPr>
                <w:b w:val="0"/>
                <w:i w:val="0"/>
                <w:sz w:val="15"/>
              </w:rPr>
              <w:t>–</w:t>
            </w:r>
          </w:p>
        </w:tc>
        <w:tc>
          <w:tcPr>
            <w:tcW w:type="dxa" w:w="1296"/>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left"/>
            </w:pPr>
            <w:r/>
            <w:r>
              <w:rPr>
                <w:b w:val="0"/>
                <w:i w:val="0"/>
                <w:sz w:val="15"/>
              </w:rPr>
              <w:t>–</w:t>
            </w:r>
          </w:p>
        </w:tc>
        <w:tc>
          <w:tcPr>
            <w:tcW w:type="dxa" w:w="1800"/>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right"/>
            </w:pPr>
            <w:r/>
            <w:r>
              <w:rPr>
                <w:b w:val="0"/>
                <w:i w:val="0"/>
                <w:sz w:val="15"/>
              </w:rPr>
              <w:t>77.80</w:t>
            </w:r>
          </w:p>
        </w:tc>
        <w:tc>
          <w:tcPr>
            <w:tcW w:type="dxa" w:w="864"/>
            <w:shd w:val="clear" w:color="auto" w:fill="EFEFEF"/>
          </w:tcPr>
          <w:p>
            <w:pPr>
              <w:spacing w:line="240" w:lineRule="auto" w:before="40" w:after="40"/>
              <w:jc w:val="right"/>
            </w:pPr>
            <w:r/>
            <w:r>
              <w:rPr>
                <w:b w:val="0"/>
                <w:i w:val="0"/>
                <w:sz w:val="15"/>
              </w:rPr>
              <w:t>81.61</w:t>
            </w:r>
          </w:p>
        </w:tc>
      </w:tr>
      <w:tr>
        <w:tc>
          <w:tcPr>
            <w:tcW w:type="dxa" w:w="3168"/>
          </w:tcPr>
          <w:p>
            <w:pPr>
              <w:spacing w:line="240" w:lineRule="auto" w:before="40" w:after="40"/>
              <w:jc w:val="left"/>
            </w:pPr>
            <w:r/>
            <w:r>
              <w:rPr>
                <w:b w:val="0"/>
                <w:i w:val="0"/>
                <w:sz w:val="15"/>
              </w:rPr>
              <w:t>PSCG bridge 3 × 30 m (4 lanes)</w:t>
            </w:r>
          </w:p>
        </w:tc>
        <w:tc>
          <w:tcPr>
            <w:tcW w:type="dxa" w:w="504"/>
          </w:tcPr>
          <w:p>
            <w:pPr>
              <w:spacing w:line="240" w:lineRule="auto" w:before="40" w:after="40"/>
              <w:jc w:val="left"/>
            </w:pPr>
            <w:r/>
            <w:r>
              <w:rPr>
                <w:b w:val="0"/>
                <w:i w:val="0"/>
                <w:sz w:val="15"/>
              </w:rPr>
              <w:t>–</w:t>
            </w:r>
          </w:p>
        </w:tc>
        <w:tc>
          <w:tcPr>
            <w:tcW w:type="dxa" w:w="1296"/>
          </w:tcPr>
          <w:p>
            <w:pPr>
              <w:spacing w:line="240" w:lineRule="auto" w:before="40" w:after="40"/>
              <w:jc w:val="left"/>
            </w:pPr>
            <w:r/>
            <w:r>
              <w:rPr>
                <w:b w:val="0"/>
                <w:i w:val="0"/>
                <w:sz w:val="15"/>
              </w:rPr>
              <w:t>–</w:t>
            </w:r>
          </w:p>
        </w:tc>
        <w:tc>
          <w:tcPr>
            <w:tcW w:type="dxa" w:w="864"/>
          </w:tcPr>
          <w:p>
            <w:pPr>
              <w:spacing w:line="240" w:lineRule="auto" w:before="40" w:after="40"/>
              <w:jc w:val="left"/>
            </w:pPr>
            <w:r/>
            <w:r>
              <w:rPr>
                <w:b w:val="0"/>
                <w:i w:val="0"/>
                <w:sz w:val="15"/>
              </w:rPr>
              <w:t>–</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123.49</w:t>
            </w:r>
          </w:p>
        </w:tc>
        <w:tc>
          <w:tcPr>
            <w:tcW w:type="dxa" w:w="864"/>
          </w:tcPr>
          <w:p>
            <w:pPr>
              <w:spacing w:line="240" w:lineRule="auto" w:before="40" w:after="40"/>
              <w:jc w:val="right"/>
            </w:pPr>
            <w:r/>
            <w:r>
              <w:rPr>
                <w:b w:val="0"/>
                <w:i w:val="0"/>
                <w:sz w:val="15"/>
              </w:rPr>
              <w:t>129.37</w:t>
            </w:r>
          </w:p>
        </w:tc>
      </w:tr>
      <w:tr>
        <w:tc>
          <w:tcPr>
            <w:tcW w:type="dxa" w:w="3168"/>
            <w:shd w:val="clear" w:color="auto" w:fill="EFEFEF"/>
          </w:tcPr>
          <w:p>
            <w:pPr>
              <w:spacing w:line="240" w:lineRule="auto" w:before="40" w:after="40"/>
              <w:jc w:val="left"/>
            </w:pPr>
            <w:r/>
            <w:r>
              <w:rPr>
                <w:b w:val="0"/>
                <w:i w:val="0"/>
                <w:sz w:val="15"/>
              </w:rPr>
              <w:t>Steel truss bridge 1 × 45 m</w:t>
            </w:r>
          </w:p>
        </w:tc>
        <w:tc>
          <w:tcPr>
            <w:tcW w:type="dxa" w:w="504"/>
            <w:shd w:val="clear" w:color="auto" w:fill="EFEFEF"/>
          </w:tcPr>
          <w:p>
            <w:pPr>
              <w:spacing w:line="240" w:lineRule="auto" w:before="40" w:after="40"/>
              <w:jc w:val="left"/>
            </w:pPr>
            <w:r/>
            <w:r>
              <w:rPr>
                <w:b w:val="0"/>
                <w:i w:val="0"/>
                <w:sz w:val="15"/>
              </w:rPr>
              <w:t>–</w:t>
            </w:r>
          </w:p>
        </w:tc>
        <w:tc>
          <w:tcPr>
            <w:tcW w:type="dxa" w:w="1296"/>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left"/>
            </w:pPr>
            <w:r/>
            <w:r>
              <w:rPr>
                <w:b w:val="0"/>
                <w:i w:val="0"/>
                <w:sz w:val="15"/>
              </w:rPr>
              <w:t>–</w:t>
            </w:r>
          </w:p>
        </w:tc>
        <w:tc>
          <w:tcPr>
            <w:tcW w:type="dxa" w:w="1800"/>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right"/>
            </w:pPr>
            <w:r/>
            <w:r>
              <w:rPr>
                <w:b w:val="0"/>
                <w:i w:val="0"/>
                <w:sz w:val="15"/>
              </w:rPr>
              <w:t>56.73</w:t>
            </w:r>
          </w:p>
        </w:tc>
        <w:tc>
          <w:tcPr>
            <w:tcW w:type="dxa" w:w="864"/>
            <w:shd w:val="clear" w:color="auto" w:fill="EFEFEF"/>
          </w:tcPr>
          <w:p>
            <w:pPr>
              <w:spacing w:line="240" w:lineRule="auto" w:before="40" w:after="40"/>
              <w:jc w:val="right"/>
            </w:pPr>
            <w:r/>
            <w:r>
              <w:rPr>
                <w:b w:val="0"/>
                <w:i w:val="0"/>
                <w:sz w:val="15"/>
              </w:rPr>
              <w:t>60.94</w:t>
            </w:r>
          </w:p>
        </w:tc>
      </w:tr>
      <w:tr>
        <w:tc>
          <w:tcPr>
            <w:tcW w:type="dxa" w:w="3168"/>
            <w:tcBorders>
              <w:bottom w:val="single" w:sz="12" w:color="000000"/>
            </w:tcBorders>
          </w:tcPr>
          <w:p>
            <w:pPr>
              <w:spacing w:line="240" w:lineRule="auto" w:before="40" w:after="40"/>
              <w:jc w:val="left"/>
            </w:pPr>
            <w:r/>
            <w:r>
              <w:rPr>
                <w:b w:val="0"/>
                <w:i w:val="0"/>
                <w:sz w:val="15"/>
              </w:rPr>
              <w:t>Steel truss bridge 2 × 60 m</w:t>
            </w:r>
          </w:p>
        </w:tc>
        <w:tc>
          <w:tcPr>
            <w:tcW w:type="dxa" w:w="504"/>
            <w:tcBorders>
              <w:bottom w:val="single" w:sz="12" w:color="000000"/>
            </w:tcBorders>
          </w:tcPr>
          <w:p>
            <w:pPr>
              <w:spacing w:line="240" w:lineRule="auto" w:before="40" w:after="40"/>
              <w:jc w:val="left"/>
            </w:pPr>
            <w:r/>
            <w:r>
              <w:rPr>
                <w:b w:val="0"/>
                <w:i w:val="0"/>
                <w:sz w:val="15"/>
              </w:rPr>
              <w:t>–</w:t>
            </w:r>
          </w:p>
        </w:tc>
        <w:tc>
          <w:tcPr>
            <w:tcW w:type="dxa" w:w="1296"/>
            <w:tcBorders>
              <w:bottom w:val="single" w:sz="12" w:color="000000"/>
            </w:tcBorders>
          </w:tcPr>
          <w:p>
            <w:pPr>
              <w:spacing w:line="240" w:lineRule="auto" w:before="40" w:after="40"/>
              <w:jc w:val="left"/>
            </w:pPr>
            <w:r/>
            <w:r>
              <w:rPr>
                <w:b w:val="0"/>
                <w:i w:val="0"/>
                <w:sz w:val="15"/>
              </w:rPr>
              <w:t>–</w:t>
            </w:r>
          </w:p>
        </w:tc>
        <w:tc>
          <w:tcPr>
            <w:tcW w:type="dxa" w:w="864"/>
            <w:tcBorders>
              <w:bottom w:val="single" w:sz="12" w:color="000000"/>
            </w:tcBorders>
          </w:tcPr>
          <w:p>
            <w:pPr>
              <w:spacing w:line="240" w:lineRule="auto" w:before="40" w:after="40"/>
              <w:jc w:val="left"/>
            </w:pPr>
            <w:r/>
            <w:r>
              <w:rPr>
                <w:b w:val="0"/>
                <w:i w:val="0"/>
                <w:sz w:val="15"/>
              </w:rPr>
              <w:t>–</w:t>
            </w:r>
          </w:p>
        </w:tc>
        <w:tc>
          <w:tcPr>
            <w:tcW w:type="dxa" w:w="1800"/>
            <w:tcBorders>
              <w:bottom w:val="single" w:sz="12" w:color="000000"/>
            </w:tcBorders>
          </w:tcPr>
          <w:p>
            <w:pPr>
              <w:spacing w:line="240" w:lineRule="auto" w:before="40" w:after="40"/>
              <w:jc w:val="left"/>
            </w:pPr>
            <w:r/>
            <w:r>
              <w:rPr>
                <w:b w:val="0"/>
                <w:i w:val="0"/>
                <w:sz w:val="15"/>
              </w:rPr>
              <w:t>–</w:t>
            </w:r>
          </w:p>
        </w:tc>
        <w:tc>
          <w:tcPr>
            <w:tcW w:type="dxa" w:w="864"/>
            <w:tcBorders>
              <w:bottom w:val="single" w:sz="12" w:color="000000"/>
            </w:tcBorders>
          </w:tcPr>
          <w:p>
            <w:pPr>
              <w:spacing w:line="240" w:lineRule="auto" w:before="40" w:after="40"/>
              <w:jc w:val="right"/>
            </w:pPr>
            <w:r/>
            <w:r>
              <w:rPr>
                <w:b w:val="0"/>
                <w:i w:val="0"/>
                <w:sz w:val="15"/>
              </w:rPr>
              <w:t>132.71</w:t>
            </w:r>
          </w:p>
        </w:tc>
        <w:tc>
          <w:tcPr>
            <w:tcW w:type="dxa" w:w="864"/>
            <w:tcBorders>
              <w:bottom w:val="single" w:sz="12" w:color="000000"/>
            </w:tcBorders>
          </w:tcPr>
          <w:p>
            <w:pPr>
              <w:spacing w:line="240" w:lineRule="auto" w:before="40" w:after="40"/>
              <w:jc w:val="right"/>
            </w:pPr>
            <w:r/>
            <w:r>
              <w:rPr>
                <w:b w:val="0"/>
                <w:i w:val="0"/>
                <w:sz w:val="15"/>
              </w:rPr>
              <w:t>143.65</w:t>
            </w:r>
          </w:p>
        </w:tc>
      </w:tr>
    </w:tbl>
    <w:p>
      <w:r>
        <w:br w:type="page"/>
      </w:r>
    </w:p>
    <w:p>
      <w:pPr>
        <w:spacing w:line="360" w:lineRule="auto" w:after="0"/>
        <w:jc w:val="center"/>
      </w:pPr>
      <w:r>
        <w:rPr>
          <w:b/>
          <w:i w:val="0"/>
        </w:rPr>
        <w:t>Appendix L. Research Plan</w:t>
      </w:r>
    </w:p>
    <w:p>
      <w:pPr>
        <w:spacing w:line="360" w:lineRule="auto" w:after="120"/>
        <w:jc w:val="both"/>
      </w:pPr>
      <w:r>
        <w:rPr>
          <w:b/>
          <w:i w:val="0"/>
        </w:rPr>
        <w:t>Rationale.</w:t>
      </w:r>
      <w:r>
        <w:rPr>
          <w:b w:val="0"/>
          <w:i w:val="0"/>
        </w:rPr>
        <w:t xml:space="preserve"> Public buildings and bridges lose value to overpricing, and communities without plans cannot tell what their budget should buy. An open tool that designs, prices and screens projects from national standards can make padding visible before and after award.</w:t>
      </w:r>
    </w:p>
    <w:p>
      <w:pPr>
        <w:spacing w:line="360" w:lineRule="auto" w:after="120"/>
        <w:jc w:val="both"/>
      </w:pPr>
      <w:r>
        <w:rPr>
          <w:b/>
          <w:i w:val="0"/>
        </w:rPr>
        <w:t>Research questions.</w:t>
      </w:r>
      <w:r>
        <w:rPr>
          <w:b w:val="0"/>
          <w:i w:val="0"/>
        </w:rPr>
        <w:t xml:space="preserve"> The seven research questions in the Objective of the Study: plan variables, design generation, take-off accuracy, cost models, detection performance and deployment.</w:t>
      </w:r>
    </w:p>
    <w:p>
      <w:pPr>
        <w:spacing w:line="360" w:lineRule="auto" w:after="120"/>
        <w:jc w:val="both"/>
      </w:pPr>
      <w:r>
        <w:rPr>
          <w:b/>
          <w:i w:val="0"/>
        </w:rPr>
        <w:t>Engineering goals.</w:t>
      </w:r>
      <w:r>
        <w:rPr>
          <w:b w:val="0"/>
          <w:i w:val="0"/>
        </w:rPr>
        <w:t xml:space="preserve"> A design generator that turns a requirement or a budget into a standards-compliant schematic design; a quantity take-off engine with itemized lean, standard and ceiling ABCs; a hybrid screening model with measured recall and precision; and an offline mobile application, Android package and website.</w:t>
      </w:r>
    </w:p>
    <w:p>
      <w:pPr>
        <w:spacing w:line="360" w:lineRule="auto" w:after="120"/>
        <w:jc w:val="both"/>
      </w:pPr>
      <w:r>
        <w:rPr>
          <w:b/>
          <w:i w:val="0"/>
        </w:rPr>
        <w:t>Procedures.</w:t>
      </w:r>
      <w:r>
        <w:rPr>
          <w:b w:val="0"/>
          <w:i w:val="0"/>
        </w:rPr>
        <w:t xml:space="preserve"> Codify DPWH pay items and NSCP, DPWH, AASHTO, PD 1096, BP 344, DepEd, DOH and DSWD rules; build the take-off engine and design generator; generate the SBD-300 benchmark with known overpricing; train and validate MLR, XGBoost and Isolation Forest with LOOCV; compute SHAP values and the risk index; run the budget-to-design and bridge scenarios; build and test the application and website.</w:t>
      </w:r>
    </w:p>
    <w:p>
      <w:pPr>
        <w:spacing w:line="360" w:lineRule="auto" w:after="120"/>
        <w:jc w:val="both"/>
      </w:pPr>
      <w:r>
        <w:rPr>
          <w:b/>
          <w:i w:val="0"/>
        </w:rPr>
        <w:t>Data analysis.</w:t>
      </w:r>
      <w:r>
        <w:rPr>
          <w:b w:val="0"/>
          <w:i w:val="0"/>
        </w:rPr>
        <w:t xml:space="preserve"> Descriptive statistics; VIF screening and OLS; R², RMSE and MAPE under LOOCV; precision, recall, F1-score and ROC AUC against injected labels; Pareto filtering, capacity frontiers and timing for the design search.</w:t>
      </w:r>
    </w:p>
    <w:p>
      <w:pPr>
        <w:spacing w:line="360" w:lineRule="auto" w:after="120"/>
        <w:jc w:val="both"/>
      </w:pPr>
      <w:r>
        <w:rPr>
          <w:b/>
          <w:i w:val="0"/>
        </w:rPr>
        <w:t>Risk and safety.</w:t>
      </w:r>
      <w:r>
        <w:rPr>
          <w:b w:val="0"/>
          <w:i w:val="0"/>
        </w:rPr>
        <w:t xml:space="preserve"> Purely computational study on a personal computer. No human participants, vertebrate animals, potentially hazardous biological agents, hazardous chemicals, activities or devices were involved. All data are simulated or drawn from public documents; no personal information was collected.</w:t>
      </w:r>
    </w:p>
    <w:p>
      <w:pPr>
        <w:spacing w:line="360" w:lineRule="auto" w:after="120"/>
        <w:jc w:val="both"/>
      </w:pPr>
      <w:r>
        <w:rPr>
          <w:b/>
          <w:i w:val="0"/>
        </w:rPr>
        <w:t>Bibliography.</w:t>
      </w:r>
      <w:r>
        <w:rPr>
          <w:b w:val="0"/>
          <w:i w:val="0"/>
        </w:rPr>
        <w:t xml:space="preserve"> See References.</w:t>
      </w:r>
    </w:p>
    <w:p>
      <w:r>
        <w:br w:type="page"/>
      </w:r>
    </w:p>
    <w:p>
      <w:pPr>
        <w:spacing w:line="360" w:lineRule="auto" w:after="0"/>
        <w:jc w:val="center"/>
      </w:pPr>
      <w:r>
        <w:rPr>
          <w:b/>
          <w:i w:val="0"/>
        </w:rPr>
        <w:t>Appendix M. Risk and Safety Assessment</w:t>
      </w:r>
    </w:p>
    <w:tbl>
      <w:tblPr>
        <w:tblW w:type="auto" w:w="0"/>
        <w:jc w:val="center"/>
        <w:tblLayout w:type="fixed"/>
        <w:tblLook w:firstColumn="1" w:firstRow="1" w:lastColumn="0" w:lastRow="0" w:noHBand="0" w:noVBand="1" w:val="04A0"/>
        <w:tblLayout w:type="fixed"/>
      </w:tblPr>
      <w:tblGrid>
        <w:gridCol w:w="3168"/>
        <w:gridCol w:w="6192"/>
      </w:tblGrid>
      <w:tr>
        <w:tc>
          <w:tcPr>
            <w:tcW w:type="dxa" w:w="3168"/>
            <w:tcBorders>
              <w:top w:val="single" w:sz="12" w:color="000000"/>
              <w:bottom w:val="single" w:sz="8" w:color="000000"/>
            </w:tcBorders>
          </w:tcPr>
          <w:p>
            <w:pPr>
              <w:spacing w:line="240" w:lineRule="auto" w:before="40" w:after="40"/>
              <w:jc w:val="center"/>
            </w:pPr>
            <w:r/>
            <w:r>
              <w:rPr>
                <w:b/>
                <w:i w:val="0"/>
                <w:sz w:val="18"/>
              </w:rPr>
              <w:t>ITEM</w:t>
            </w:r>
          </w:p>
        </w:tc>
        <w:tc>
          <w:tcPr>
            <w:tcW w:type="dxa" w:w="6192"/>
            <w:tcBorders>
              <w:top w:val="single" w:sz="12" w:color="000000"/>
              <w:bottom w:val="single" w:sz="8" w:color="000000"/>
            </w:tcBorders>
          </w:tcPr>
          <w:p>
            <w:pPr>
              <w:spacing w:line="240" w:lineRule="auto" w:before="40" w:after="40"/>
              <w:jc w:val="center"/>
            </w:pPr>
            <w:r/>
            <w:r>
              <w:rPr>
                <w:b/>
                <w:i w:val="0"/>
                <w:sz w:val="18"/>
              </w:rPr>
              <w:t>ASSESSMENT</w:t>
            </w:r>
          </w:p>
        </w:tc>
      </w:tr>
      <w:tr>
        <w:tc>
          <w:tcPr>
            <w:tcW w:type="dxa" w:w="3168"/>
            <w:shd w:val="clear" w:color="auto" w:fill="EFEFEF"/>
          </w:tcPr>
          <w:p>
            <w:pPr>
              <w:spacing w:line="240" w:lineRule="auto" w:before="40" w:after="40"/>
              <w:jc w:val="left"/>
            </w:pPr>
            <w:r/>
            <w:r>
              <w:rPr>
                <w:b w:val="0"/>
                <w:i w:val="0"/>
                <w:sz w:val="18"/>
              </w:rPr>
              <w:t>Human participants</w:t>
            </w:r>
          </w:p>
        </w:tc>
        <w:tc>
          <w:tcPr>
            <w:tcW w:type="dxa" w:w="6192"/>
            <w:shd w:val="clear" w:color="auto" w:fill="EFEFEF"/>
          </w:tcPr>
          <w:p>
            <w:pPr>
              <w:spacing w:line="240" w:lineRule="auto" w:before="40" w:after="40"/>
              <w:jc w:val="left"/>
            </w:pPr>
            <w:r/>
            <w:r>
              <w:rPr>
                <w:b w:val="0"/>
                <w:i w:val="0"/>
                <w:sz w:val="18"/>
              </w:rPr>
              <w:t>None. No surveys, interviews or personal data.</w:t>
            </w:r>
          </w:p>
        </w:tc>
      </w:tr>
      <w:tr>
        <w:tc>
          <w:tcPr>
            <w:tcW w:type="dxa" w:w="3168"/>
          </w:tcPr>
          <w:p>
            <w:pPr>
              <w:spacing w:line="240" w:lineRule="auto" w:before="40" w:after="40"/>
              <w:jc w:val="left"/>
            </w:pPr>
            <w:r/>
            <w:r>
              <w:rPr>
                <w:b w:val="0"/>
                <w:i w:val="0"/>
                <w:sz w:val="18"/>
              </w:rPr>
              <w:t>Vertebrate animals</w:t>
            </w:r>
          </w:p>
        </w:tc>
        <w:tc>
          <w:tcPr>
            <w:tcW w:type="dxa" w:w="6192"/>
          </w:tcPr>
          <w:p>
            <w:pPr>
              <w:spacing w:line="240" w:lineRule="auto" w:before="40" w:after="40"/>
              <w:jc w:val="left"/>
            </w:pPr>
            <w:r/>
            <w:r>
              <w:rPr>
                <w:b w:val="0"/>
                <w:i w:val="0"/>
                <w:sz w:val="18"/>
              </w:rPr>
              <w:t>None.</w:t>
            </w:r>
          </w:p>
        </w:tc>
      </w:tr>
      <w:tr>
        <w:tc>
          <w:tcPr>
            <w:tcW w:type="dxa" w:w="3168"/>
            <w:shd w:val="clear" w:color="auto" w:fill="EFEFEF"/>
          </w:tcPr>
          <w:p>
            <w:pPr>
              <w:spacing w:line="240" w:lineRule="auto" w:before="40" w:after="40"/>
              <w:jc w:val="left"/>
            </w:pPr>
            <w:r/>
            <w:r>
              <w:rPr>
                <w:b w:val="0"/>
                <w:i w:val="0"/>
                <w:sz w:val="18"/>
              </w:rPr>
              <w:t>Potentially hazardous biological agents</w:t>
            </w:r>
          </w:p>
        </w:tc>
        <w:tc>
          <w:tcPr>
            <w:tcW w:type="dxa" w:w="6192"/>
            <w:shd w:val="clear" w:color="auto" w:fill="EFEFEF"/>
          </w:tcPr>
          <w:p>
            <w:pPr>
              <w:spacing w:line="240" w:lineRule="auto" w:before="40" w:after="40"/>
              <w:jc w:val="left"/>
            </w:pPr>
            <w:r/>
            <w:r>
              <w:rPr>
                <w:b w:val="0"/>
                <w:i w:val="0"/>
                <w:sz w:val="18"/>
              </w:rPr>
              <w:t>None.</w:t>
            </w:r>
          </w:p>
        </w:tc>
      </w:tr>
      <w:tr>
        <w:tc>
          <w:tcPr>
            <w:tcW w:type="dxa" w:w="3168"/>
          </w:tcPr>
          <w:p>
            <w:pPr>
              <w:spacing w:line="240" w:lineRule="auto" w:before="40" w:after="40"/>
              <w:jc w:val="left"/>
            </w:pPr>
            <w:r/>
            <w:r>
              <w:rPr>
                <w:b w:val="0"/>
                <w:i w:val="0"/>
                <w:sz w:val="18"/>
              </w:rPr>
              <w:t>Hazardous chemicals, activities or devices</w:t>
            </w:r>
          </w:p>
        </w:tc>
        <w:tc>
          <w:tcPr>
            <w:tcW w:type="dxa" w:w="6192"/>
          </w:tcPr>
          <w:p>
            <w:pPr>
              <w:spacing w:line="240" w:lineRule="auto" w:before="40" w:after="40"/>
              <w:jc w:val="left"/>
            </w:pPr>
            <w:r/>
            <w:r>
              <w:rPr>
                <w:b w:val="0"/>
                <w:i w:val="0"/>
                <w:sz w:val="18"/>
              </w:rPr>
              <w:t>None. Work done on a laptop and in a web browser.</w:t>
            </w:r>
          </w:p>
        </w:tc>
      </w:tr>
      <w:tr>
        <w:tc>
          <w:tcPr>
            <w:tcW w:type="dxa" w:w="3168"/>
            <w:shd w:val="clear" w:color="auto" w:fill="EFEFEF"/>
          </w:tcPr>
          <w:p>
            <w:pPr>
              <w:spacing w:line="240" w:lineRule="auto" w:before="40" w:after="40"/>
              <w:jc w:val="left"/>
            </w:pPr>
            <w:r/>
            <w:r>
              <w:rPr>
                <w:b w:val="0"/>
                <w:i w:val="0"/>
                <w:sz w:val="18"/>
              </w:rPr>
              <w:t>Data sources</w:t>
            </w:r>
          </w:p>
        </w:tc>
        <w:tc>
          <w:tcPr>
            <w:tcW w:type="dxa" w:w="6192"/>
            <w:shd w:val="clear" w:color="auto" w:fill="EFEFEF"/>
          </w:tcPr>
          <w:p>
            <w:pPr>
              <w:spacing w:line="240" w:lineRule="auto" w:before="40" w:after="40"/>
              <w:jc w:val="left"/>
            </w:pPr>
            <w:r/>
            <w:r>
              <w:rPr>
                <w:b w:val="0"/>
                <w:i w:val="0"/>
                <w:sz w:val="18"/>
              </w:rPr>
              <w:t>Simulated benchmark (SBD-300) and public standards, issuances and news reports.</w:t>
            </w:r>
          </w:p>
        </w:tc>
      </w:tr>
      <w:tr>
        <w:tc>
          <w:tcPr>
            <w:tcW w:type="dxa" w:w="3168"/>
          </w:tcPr>
          <w:p>
            <w:pPr>
              <w:spacing w:line="240" w:lineRule="auto" w:before="40" w:after="40"/>
              <w:jc w:val="left"/>
            </w:pPr>
            <w:r/>
            <w:r>
              <w:rPr>
                <w:b w:val="0"/>
                <w:i w:val="0"/>
                <w:sz w:val="18"/>
              </w:rPr>
              <w:t>Responsible use</w:t>
            </w:r>
          </w:p>
        </w:tc>
        <w:tc>
          <w:tcPr>
            <w:tcW w:type="dxa" w:w="6192"/>
          </w:tcPr>
          <w:p>
            <w:pPr>
              <w:spacing w:line="240" w:lineRule="auto" w:before="40" w:after="40"/>
              <w:jc w:val="left"/>
            </w:pPr>
            <w:r/>
            <w:r>
              <w:rPr>
                <w:b w:val="0"/>
                <w:i w:val="0"/>
                <w:sz w:val="18"/>
              </w:rPr>
              <w:t>Results are screening signals for review by COA, the Ombudsman, the ICI or the implementing office, not findings of wrongdoing; generated designs are schematic and not for construction.</w:t>
            </w:r>
          </w:p>
        </w:tc>
      </w:tr>
      <w:tr>
        <w:tc>
          <w:tcPr>
            <w:tcW w:type="dxa" w:w="3168"/>
            <w:shd w:val="clear" w:color="auto" w:fill="EFEFEF"/>
            <w:tcBorders>
              <w:bottom w:val="single" w:sz="12" w:color="000000"/>
            </w:tcBorders>
          </w:tcPr>
          <w:p>
            <w:pPr>
              <w:spacing w:line="240" w:lineRule="auto" w:before="40" w:after="40"/>
              <w:jc w:val="left"/>
            </w:pPr>
            <w:r/>
            <w:r>
              <w:rPr>
                <w:b w:val="0"/>
                <w:i w:val="0"/>
                <w:sz w:val="18"/>
              </w:rPr>
              <w:t>Duration</w:t>
            </w:r>
          </w:p>
        </w:tc>
        <w:tc>
          <w:tcPr>
            <w:tcW w:type="dxa" w:w="6192"/>
            <w:shd w:val="clear" w:color="auto" w:fill="EFEFEF"/>
            <w:tcBorders>
              <w:bottom w:val="single" w:sz="12" w:color="000000"/>
            </w:tcBorders>
          </w:tcPr>
          <w:p>
            <w:pPr>
              <w:spacing w:line="240" w:lineRule="auto" w:before="40" w:after="40"/>
              <w:jc w:val="left"/>
            </w:pPr>
            <w:r/>
            <w:r>
              <w:rPr>
                <w:b w:val="0"/>
                <w:i w:val="0"/>
                <w:sz w:val="18"/>
              </w:rPr>
              <w:t>The research was conducted within the twelve-month limit for continuing projects.</w:t>
            </w:r>
          </w:p>
        </w:tc>
      </w:tr>
    </w:tbl>
    <w:p>
      <w:r>
        <w:br w:type="page"/>
      </w:r>
    </w:p>
    <w:p>
      <w:pPr>
        <w:spacing w:line="360" w:lineRule="auto" w:after="0"/>
        <w:jc w:val="center"/>
      </w:pPr>
      <w:r>
        <w:rPr>
          <w:b/>
          <w:i w:val="0"/>
        </w:rPr>
        <w:t>Appendix N. Algorithms and Code Availability</w:t>
      </w:r>
    </w:p>
    <w:p>
      <w:pPr>
        <w:spacing w:line="360" w:lineRule="auto" w:after="0"/>
        <w:jc w:val="both"/>
      </w:pPr>
      <w:r>
        <w:rPr>
          <w:b w:val="0"/>
          <w:i w:val="0"/>
        </w:rPr>
        <w:t>All code and data are in the project repository: the shared cost engine (docs/app/js/engine.js), the design generator (docs/app/js/designs.js), the in-browser models (docs/app/js/ml.js), and the research pipeline (research/pipeline: simulate.py, train.py, design_results.js, build_paper.py). Running the pipeline in order reproduces every table and figure in this paper.</w:t>
      </w:r>
    </w:p>
    <w:p>
      <w:pPr>
        <w:spacing w:line="240" w:lineRule="auto"/>
      </w:pPr>
      <w:r>
        <w:rPr>
          <w:rFonts w:ascii="Courier New" w:hAnsi="Courier New" w:eastAsia="Courier New"/>
          <w:sz w:val="17"/>
        </w:rPr>
        <w:t xml:space="preserve">  function fromBudget(usage, budget, opt) {</w:t>
      </w:r>
    </w:p>
    <w:p>
      <w:pPr>
        <w:spacing w:line="240" w:lineRule="auto"/>
      </w:pPr>
      <w:r>
        <w:rPr>
          <w:rFonts w:ascii="Courier New" w:hAnsi="Courier New" w:eastAsia="Courier New"/>
          <w:sz w:val="17"/>
        </w:rPr>
        <w:t xml:space="preserve">    opt = opt || {};</w:t>
      </w:r>
    </w:p>
    <w:p>
      <w:pPr>
        <w:spacing w:line="240" w:lineRule="auto"/>
      </w:pPr>
      <w:r>
        <w:rPr>
          <w:rFonts w:ascii="Courier New" w:hAnsi="Courier New" w:eastAsia="Courier New"/>
          <w:sz w:val="17"/>
        </w:rPr>
        <w:t xml:space="preserve">    var U = USAGE[usage], maxN = opt.maxStoreys || (usage === 'hospital' ? 5 : usage === 'court' || usage === 'market'</w:t>
      </w:r>
    </w:p>
    <w:p>
      <w:pPr>
        <w:spacing w:line="240" w:lineRule="auto"/>
      </w:pPr>
      <w:r>
        <w:rPr>
          <w:rFonts w:ascii="Courier New" w:hAnsi="Courier New" w:eastAsia="Courier New"/>
          <w:sz w:val="17"/>
        </w:rPr>
        <w:t xml:space="preserve">    var basis = opt.basis || 'start', maxL = opt.maxLength || U.lot || 60;</w:t>
      </w:r>
    </w:p>
    <w:p>
      <w:pPr>
        <w:spacing w:line="240" w:lineRule="auto"/>
      </w:pPr>
      <w:r>
        <w:rPr>
          <w:rFonts w:ascii="Courier New" w:hAnsi="Courier New" w:eastAsia="Courier New"/>
          <w:sz w:val="17"/>
        </w:rPr>
        <w:t xml:space="preserve">    var cost = function (q) { return basis === 'standard' ? q.fair : q.start; };</w:t>
      </w:r>
    </w:p>
    <w:p>
      <w:pPr>
        <w:spacing w:line="240" w:lineRule="auto"/>
      </w:pPr>
      <w:r>
        <w:rPr>
          <w:rFonts w:ascii="Courier New" w:hAnsi="Courier New" w:eastAsia="Courier New"/>
          <w:sz w:val="17"/>
        </w:rPr>
        <w:t xml:space="preserve">    var make = function (k, N) {</w:t>
      </w:r>
    </w:p>
    <w:p>
      <w:pPr>
        <w:spacing w:line="240" w:lineRule="auto"/>
      </w:pPr>
      <w:r>
        <w:rPr>
          <w:rFonts w:ascii="Courier New" w:hAnsi="Courier New" w:eastAsia="Courier New"/>
          <w:sz w:val="17"/>
        </w:rPr>
        <w:t xml:space="preserve">      var d = build(Object.assign(programFor(usage, k, N), { name: U.label + ', ' + k + ' ' + U.capLabel + ', ' + N + </w:t>
      </w:r>
    </w:p>
    <w:p>
      <w:pPr>
        <w:spacing w:line="240" w:lineRule="auto"/>
      </w:pPr>
      <w:r>
        <w:rPr>
          <w:rFonts w:ascii="Courier New" w:hAnsi="Courier New" w:eastAsia="Courier New"/>
          <w:sz w:val="17"/>
        </w:rPr>
        <w:t xml:space="preserve">      return { k: k, N: N, design: d, quote: quote(d, opt) };</w:t>
      </w:r>
    </w:p>
    <w:p>
      <w:pPr>
        <w:spacing w:line="240" w:lineRule="auto"/>
      </w:pPr>
      <w:r>
        <w:rPr>
          <w:rFonts w:ascii="Courier New" w:hAnsi="Courier New" w:eastAsia="Courier New"/>
          <w:sz w:val="17"/>
        </w:rPr>
        <w:t xml:space="preserve">    };</w:t>
      </w:r>
    </w:p>
    <w:p>
      <w:pPr>
        <w:spacing w:line="240" w:lineRule="auto"/>
      </w:pPr>
      <w:r>
        <w:rPr>
          <w:rFonts w:ascii="Courier New" w:hAnsi="Courier New" w:eastAsia="Courier New"/>
          <w:sz w:val="17"/>
        </w:rPr>
        <w:t xml:space="preserve">    var r = U.range, results = [], evals = 0;</w:t>
      </w:r>
    </w:p>
    <w:p>
      <w:pPr>
        <w:spacing w:line="240" w:lineRule="auto"/>
      </w:pPr>
      <w:r>
        <w:rPr>
          <w:rFonts w:ascii="Courier New" w:hAnsi="Courier New" w:eastAsia="Courier New"/>
          <w:sz w:val="17"/>
        </w:rPr>
        <w:t xml:space="preserve">    if (usage === 'court') maxN = 1;</w:t>
      </w:r>
    </w:p>
    <w:p>
      <w:pPr>
        <w:spacing w:line="240" w:lineRule="auto"/>
      </w:pPr>
      <w:r>
        <w:rPr>
          <w:rFonts w:ascii="Courier New" w:hAnsi="Courier New" w:eastAsia="Courier New"/>
          <w:sz w:val="17"/>
        </w:rPr>
        <w:t xml:space="preserve">    // exhaustive enumeration of the discrete design space (storeys × capacity step); support rooms make</w:t>
      </w:r>
    </w:p>
    <w:p>
      <w:pPr>
        <w:spacing w:line="240" w:lineRule="auto"/>
      </w:pPr>
      <w:r>
        <w:rPr>
          <w:rFonts w:ascii="Courier New" w:hAnsi="Courier New" w:eastAsia="Courier New"/>
          <w:sz w:val="17"/>
        </w:rPr>
        <w:t xml:space="preserve">    // cost non-monotonic in capacity, so every point is evaluated rather than bisected</w:t>
      </w:r>
    </w:p>
    <w:p>
      <w:pPr>
        <w:spacing w:line="240" w:lineRule="auto"/>
      </w:pPr>
      <w:r>
        <w:rPr>
          <w:rFonts w:ascii="Courier New" w:hAnsi="Courier New" w:eastAsia="Courier New"/>
          <w:sz w:val="17"/>
        </w:rPr>
        <w:t xml:space="preserve">    for (var N = 1; N &lt;= maxN; N++) {</w:t>
      </w:r>
    </w:p>
    <w:p>
      <w:pPr>
        <w:spacing w:line="240" w:lineRule="auto"/>
      </w:pPr>
      <w:r>
        <w:rPr>
          <w:rFonts w:ascii="Courier New" w:hAnsi="Courier New" w:eastAsia="Courier New"/>
          <w:sz w:val="17"/>
        </w:rPr>
        <w:t xml:space="preserve">      var best = null, over = 0;</w:t>
      </w:r>
    </w:p>
    <w:p>
      <w:pPr>
        <w:spacing w:line="240" w:lineRule="auto"/>
      </w:pPr>
      <w:r>
        <w:rPr>
          <w:rFonts w:ascii="Courier New" w:hAnsi="Courier New" w:eastAsia="Courier New"/>
          <w:sz w:val="17"/>
        </w:rPr>
        <w:t xml:space="preserve">      for (var k = Math.max(r[0], usage === 'school' ? N : r[0]); k &lt;= r[1]; k += r[2]) {</w:t>
      </w:r>
    </w:p>
    <w:p>
      <w:pPr>
        <w:spacing w:line="240" w:lineRule="auto"/>
      </w:pPr>
      <w:r>
        <w:rPr>
          <w:rFonts w:ascii="Courier New" w:hAnsi="Courier New" w:eastAsia="Courier New"/>
          <w:sz w:val="17"/>
        </w:rPr>
        <w:t xml:space="preserve">        var t = make(k, N); evals++;</w:t>
      </w:r>
    </w:p>
    <w:p>
      <w:pPr>
        <w:spacing w:line="240" w:lineRule="auto"/>
      </w:pPr>
      <w:r>
        <w:rPr>
          <w:rFonts w:ascii="Courier New" w:hAnsi="Courier New" w:eastAsia="Courier New"/>
          <w:sz w:val="17"/>
        </w:rPr>
        <w:t xml:space="preserve">        var c = cost(t.quote);</w:t>
      </w:r>
    </w:p>
    <w:p>
      <w:pPr>
        <w:spacing w:line="240" w:lineRule="auto"/>
      </w:pPr>
      <w:r>
        <w:rPr>
          <w:rFonts w:ascii="Courier New" w:hAnsi="Courier New" w:eastAsia="Courier New"/>
          <w:sz w:val="17"/>
        </w:rPr>
        <w:t xml:space="preserve">        if (c &lt;= budget &amp;&amp; t.design.L &lt;= maxL) { if (!best || k &gt; best.k || (k === best.k &amp;&amp; c &lt; cost(best.quote))) be</w:t>
      </w:r>
    </w:p>
    <w:p>
      <w:pPr>
        <w:spacing w:line="240" w:lineRule="auto"/>
      </w:pPr>
      <w:r>
        <w:rPr>
          <w:rFonts w:ascii="Courier New" w:hAnsi="Courier New" w:eastAsia="Courier New"/>
          <w:sz w:val="17"/>
        </w:rPr>
        <w:t xml:space="preserve">        else if (c &gt; budget * 1.5 &amp;&amp; ++over &gt;= 3) break;</w:t>
      </w:r>
    </w:p>
    <w:p>
      <w:pPr>
        <w:spacing w:line="240" w:lineRule="auto"/>
      </w:pPr>
      <w:r>
        <w:rPr>
          <w:rFonts w:ascii="Courier New" w:hAnsi="Courier New" w:eastAsia="Courier New"/>
          <w:sz w:val="17"/>
        </w:rPr>
        <w:t xml:space="preserve">      }</w:t>
      </w:r>
    </w:p>
    <w:p>
      <w:pPr>
        <w:spacing w:line="240" w:lineRule="auto"/>
      </w:pPr>
      <w:r>
        <w:rPr>
          <w:rFonts w:ascii="Courier New" w:hAnsi="Courier New" w:eastAsia="Courier New"/>
          <w:sz w:val="17"/>
        </w:rPr>
        <w:t xml:space="preserve">      if (best) results.push(best);</w:t>
      </w:r>
    </w:p>
    <w:p>
      <w:pPr>
        <w:spacing w:line="240" w:lineRule="auto"/>
      </w:pPr>
      <w:r>
        <w:rPr>
          <w:rFonts w:ascii="Courier New" w:hAnsi="Courier New" w:eastAsia="Courier New"/>
          <w:sz w:val="17"/>
        </w:rPr>
        <w:t xml:space="preserve">    }</w:t>
      </w:r>
    </w:p>
    <w:p>
      <w:pPr>
        <w:spacing w:line="240" w:lineRule="auto"/>
      </w:pPr>
      <w:r>
        <w:rPr>
          <w:rFonts w:ascii="Courier New" w:hAnsi="Courier New" w:eastAsia="Courier New"/>
          <w:sz w:val="17"/>
        </w:rPr>
        <w:t xml:space="preserve">    results.forEach(function (x) { x.cost = cost(x.quote); });</w:t>
      </w:r>
    </w:p>
    <w:p>
      <w:pPr>
        <w:spacing w:line="240" w:lineRule="auto"/>
      </w:pPr>
      <w:r>
        <w:rPr>
          <w:rFonts w:ascii="Courier New" w:hAnsi="Courier New" w:eastAsia="Courier New"/>
          <w:sz w:val="17"/>
        </w:rPr>
        <w:t xml:space="preserve">    // keep Pareto-efficient options: no other option gives at least the capacity for less</w:t>
      </w:r>
    </w:p>
    <w:p>
      <w:pPr>
        <w:spacing w:line="240" w:lineRule="auto"/>
      </w:pPr>
      <w:r>
        <w:rPr>
          <w:rFonts w:ascii="Courier New" w:hAnsi="Courier New" w:eastAsia="Courier New"/>
          <w:sz w:val="17"/>
        </w:rPr>
        <w:t xml:space="preserve">    results = results.filter(function (x) { return !results.some(function (y) { return y !== x &amp;&amp; y.k &gt;= x.k &amp;&amp; y.cost</w:t>
      </w:r>
    </w:p>
    <w:p>
      <w:pPr>
        <w:spacing w:line="240" w:lineRule="auto"/>
      </w:pPr>
      <w:r>
        <w:rPr>
          <w:rFonts w:ascii="Courier New" w:hAnsi="Courier New" w:eastAsia="Courier New"/>
          <w:sz w:val="17"/>
        </w:rPr>
        <w:t xml:space="preserve">    results.forEach(function (x) { x.cost = cost(x.quote); x.utilization = x.cost / budget; x.perUnit = x.k &gt; 0 ? x.co</w:t>
      </w:r>
    </w:p>
    <w:p>
      <w:pPr>
        <w:spacing w:line="240" w:lineRule="auto"/>
      </w:pPr>
      <w:r>
        <w:rPr>
          <w:rFonts w:ascii="Courier New" w:hAnsi="Courier New" w:eastAsia="Courier New"/>
          <w:sz w:val="17"/>
        </w:rPr>
        <w:t xml:space="preserve">    results.sort(function (x, y) { return y.k - x.k || x.cost - y.cost; });</w:t>
      </w:r>
    </w:p>
    <w:p>
      <w:pPr>
        <w:spacing w:line="240" w:lineRule="auto"/>
      </w:pPr>
      <w:r>
        <w:rPr>
          <w:rFonts w:ascii="Courier New" w:hAnsi="Courier New" w:eastAsia="Courier New"/>
          <w:sz w:val="17"/>
        </w:rPr>
        <w:t xml:space="preserve">    if (results[0]) results[0].best = true;</w:t>
      </w:r>
    </w:p>
    <w:p>
      <w:pPr>
        <w:spacing w:line="240" w:lineRule="auto"/>
      </w:pPr>
      <w:r>
        <w:rPr>
          <w:rFonts w:ascii="Courier New" w:hAnsi="Courier New" w:eastAsia="Courier New"/>
          <w:sz w:val="17"/>
        </w:rPr>
        <w:t xml:space="preserve">    return { usage: usage, budget: budget, basis: basis, options: results, evaluations: evals };</w:t>
      </w:r>
    </w:p>
    <w:p>
      <w:r>
        <w:br w:type="page"/>
      </w:r>
    </w:p>
    <w:p>
      <w:pPr>
        <w:spacing w:line="360" w:lineRule="auto" w:after="0"/>
        <w:jc w:val="center"/>
      </w:pPr>
      <w:r>
        <w:rPr>
          <w:b/>
          <w:i w:val="0"/>
        </w:rPr>
        <w:t>Appendix O. Additional References Cited</w:t>
      </w:r>
    </w:p>
    <w:p>
      <w:pPr>
        <w:spacing w:line="240" w:lineRule="auto" w:after="80"/>
        <w:ind w:left="720" w:hanging="720"/>
        <w:jc w:val="left"/>
      </w:pPr>
      <w:r>
        <w:rPr>
          <w:b w:val="0"/>
          <w:i w:val="0"/>
          <w:sz w:val="20"/>
        </w:rPr>
        <w:t xml:space="preserve">American Association of State Highway and Transportation Officials. (2018). </w:t>
      </w:r>
      <w:r>
        <w:rPr>
          <w:b w:val="0"/>
          <w:i/>
          <w:sz w:val="20"/>
        </w:rPr>
        <w:t>A policy on geometric design of highways and streets</w:t>
      </w:r>
      <w:r>
        <w:rPr>
          <w:b w:val="0"/>
          <w:i w:val="0"/>
          <w:sz w:val="20"/>
        </w:rPr>
        <w:t xml:space="preserve"> (7th ed.).</w:t>
      </w:r>
    </w:p>
    <w:p>
      <w:pPr>
        <w:spacing w:line="240" w:lineRule="auto" w:after="80"/>
        <w:ind w:left="720" w:hanging="720"/>
        <w:jc w:val="left"/>
      </w:pPr>
      <w:r>
        <w:rPr>
          <w:b w:val="0"/>
          <w:i w:val="0"/>
          <w:sz w:val="20"/>
        </w:rPr>
        <w:t xml:space="preserve">American Association of State Highway and Transportation Officials. (2020). </w:t>
      </w:r>
      <w:r>
        <w:rPr>
          <w:b w:val="0"/>
          <w:i/>
          <w:sz w:val="20"/>
        </w:rPr>
        <w:t>AASHTO LRFD bridge design specifications</w:t>
      </w:r>
      <w:r>
        <w:rPr>
          <w:b w:val="0"/>
          <w:i w:val="0"/>
          <w:sz w:val="20"/>
        </w:rPr>
        <w:t xml:space="preserve"> (9th ed.).</w:t>
      </w:r>
    </w:p>
    <w:p>
      <w:pPr>
        <w:spacing w:line="240" w:lineRule="auto" w:after="80"/>
        <w:ind w:left="720" w:hanging="720"/>
        <w:jc w:val="left"/>
      </w:pPr>
      <w:r>
        <w:rPr>
          <w:b w:val="0"/>
          <w:i w:val="0"/>
          <w:sz w:val="20"/>
        </w:rPr>
        <w:t xml:space="preserve">Batas Pambansa Blg. 344. (1983). </w:t>
      </w:r>
      <w:r>
        <w:rPr>
          <w:b w:val="0"/>
          <w:i/>
          <w:sz w:val="20"/>
        </w:rPr>
        <w:t>Accessibility law</w:t>
      </w:r>
      <w:r>
        <w:rPr>
          <w:b w:val="0"/>
          <w:i w:val="0"/>
          <w:sz w:val="20"/>
        </w:rPr>
        <w:t>.</w:t>
      </w:r>
    </w:p>
    <w:p>
      <w:pPr>
        <w:spacing w:line="240" w:lineRule="auto" w:after="80"/>
        <w:ind w:left="720" w:hanging="720"/>
        <w:jc w:val="left"/>
      </w:pPr>
      <w:r>
        <w:rPr>
          <w:b w:val="0"/>
          <w:i w:val="0"/>
          <w:sz w:val="20"/>
        </w:rPr>
        <w:t xml:space="preserve">Cebu Daily News. (2023, July 21). </w:t>
      </w:r>
      <w:r>
        <w:rPr>
          <w:b w:val="0"/>
          <w:i/>
          <w:sz w:val="20"/>
        </w:rPr>
        <w:t>COA: CCMC project contract price was bloated by P62M</w:t>
      </w:r>
      <w:r>
        <w:rPr>
          <w:b w:val="0"/>
          <w:i w:val="0"/>
          <w:sz w:val="20"/>
        </w:rPr>
        <w:t>. https://cebudailynews.inquirer.net/517377/coa-ccmc-project-contract-price-was-bloated-by-p62m</w:t>
      </w:r>
    </w:p>
    <w:p>
      <w:pPr>
        <w:spacing w:line="240" w:lineRule="auto" w:after="80"/>
        <w:ind w:left="720" w:hanging="720"/>
        <w:jc w:val="left"/>
      </w:pPr>
      <w:r>
        <w:rPr>
          <w:b w:val="0"/>
          <w:i w:val="0"/>
          <w:sz w:val="20"/>
        </w:rPr>
        <w:t xml:space="preserve">Coffie, G. H., &amp; Cudjoe, S. K. F. (2024). Using extreme gradient boosting (XGBoost) machine learning to predict construction cost overruns. </w:t>
      </w:r>
      <w:r>
        <w:rPr>
          <w:b w:val="0"/>
          <w:i/>
          <w:sz w:val="20"/>
        </w:rPr>
        <w:t>International Journal of Construction Management, 24</w:t>
      </w:r>
      <w:r>
        <w:rPr>
          <w:b w:val="0"/>
          <w:i w:val="0"/>
          <w:sz w:val="20"/>
        </w:rPr>
        <w:t>(16), 1742–1750. https://doi.org/10.1080/15623599.2023.2289754</w:t>
      </w:r>
    </w:p>
    <w:p>
      <w:pPr>
        <w:spacing w:line="240" w:lineRule="auto" w:after="80"/>
        <w:ind w:left="720" w:hanging="720"/>
        <w:jc w:val="left"/>
      </w:pPr>
      <w:r>
        <w:rPr>
          <w:b w:val="0"/>
          <w:i w:val="0"/>
          <w:sz w:val="20"/>
        </w:rPr>
        <w:t xml:space="preserve">CoST – The Infrastructure Transparency Initiative. (n.d.). </w:t>
      </w:r>
      <w:r>
        <w:rPr>
          <w:b w:val="0"/>
          <w:i/>
          <w:sz w:val="20"/>
        </w:rPr>
        <w:t>Why infrastructure transparency matters</w:t>
      </w:r>
      <w:r>
        <w:rPr>
          <w:b w:val="0"/>
          <w:i w:val="0"/>
          <w:sz w:val="20"/>
        </w:rPr>
        <w:t>. https://infrastructuretransparency.org/</w:t>
      </w:r>
    </w:p>
    <w:p>
      <w:pPr>
        <w:spacing w:line="240" w:lineRule="auto" w:after="80"/>
        <w:ind w:left="720" w:hanging="720"/>
        <w:jc w:val="left"/>
      </w:pPr>
      <w:r>
        <w:rPr>
          <w:b w:val="0"/>
          <w:i w:val="0"/>
          <w:sz w:val="20"/>
        </w:rPr>
        <w:t xml:space="preserve">Department of Education. (2010). </w:t>
      </w:r>
      <w:r>
        <w:rPr>
          <w:b w:val="0"/>
          <w:i/>
          <w:sz w:val="20"/>
        </w:rPr>
        <w:t>Educational facilities manual</w:t>
      </w:r>
      <w:r>
        <w:rPr>
          <w:b w:val="0"/>
          <w:i w:val="0"/>
          <w:sz w:val="20"/>
        </w:rPr>
        <w:t xml:space="preserve"> (Rev. ed.).</w:t>
      </w:r>
    </w:p>
    <w:p>
      <w:pPr>
        <w:spacing w:line="240" w:lineRule="auto" w:after="80"/>
        <w:ind w:left="720" w:hanging="720"/>
        <w:jc w:val="left"/>
      </w:pPr>
      <w:r>
        <w:rPr>
          <w:b w:val="0"/>
          <w:i w:val="0"/>
          <w:sz w:val="20"/>
        </w:rPr>
        <w:t xml:space="preserve">Department of Health. (2012). </w:t>
      </w:r>
      <w:r>
        <w:rPr>
          <w:b w:val="0"/>
          <w:i/>
          <w:sz w:val="20"/>
        </w:rPr>
        <w:t>Administrative Order No. 2012-0012: Rules and regulations governing the new classification of hospitals and other health facilities in the Philippines</w:t>
      </w:r>
      <w:r>
        <w:rPr>
          <w:b w:val="0"/>
          <w:i w:val="0"/>
          <w:sz w:val="20"/>
        </w:rPr>
        <w:t>.</w:t>
      </w:r>
    </w:p>
    <w:p>
      <w:pPr>
        <w:spacing w:line="240" w:lineRule="auto" w:after="80"/>
        <w:ind w:left="720" w:hanging="720"/>
        <w:jc w:val="left"/>
      </w:pPr>
      <w:r>
        <w:rPr>
          <w:b w:val="0"/>
          <w:i w:val="0"/>
          <w:sz w:val="20"/>
        </w:rPr>
        <w:t xml:space="preserve">Department of Health. (2016). </w:t>
      </w:r>
      <w:r>
        <w:rPr>
          <w:b w:val="0"/>
          <w:i/>
          <w:sz w:val="20"/>
        </w:rPr>
        <w:t>Guidelines in the planning and design of hospitals and other health facilities</w:t>
      </w:r>
      <w:r>
        <w:rPr>
          <w:b w:val="0"/>
          <w:i w:val="0"/>
          <w:sz w:val="20"/>
        </w:rPr>
        <w:t xml:space="preserve"> (Administrative Order No. 2016-0042).</w:t>
      </w:r>
    </w:p>
    <w:p>
      <w:pPr>
        <w:spacing w:line="240" w:lineRule="auto" w:after="80"/>
        <w:ind w:left="720" w:hanging="720"/>
        <w:jc w:val="left"/>
      </w:pPr>
      <w:r>
        <w:rPr>
          <w:b w:val="0"/>
          <w:i w:val="0"/>
          <w:sz w:val="20"/>
        </w:rPr>
        <w:t xml:space="preserve">Department of Transportation. (2017). </w:t>
      </w:r>
      <w:r>
        <w:rPr>
          <w:b w:val="0"/>
          <w:i/>
          <w:sz w:val="20"/>
        </w:rPr>
        <w:t>Department Order No. 2017-011: Omnibus guidelines on the planning and identification of public road transportation services and franchise issuance</w:t>
      </w:r>
      <w:r>
        <w:rPr>
          <w:b w:val="0"/>
          <w:i w:val="0"/>
          <w:sz w:val="20"/>
        </w:rPr>
        <w:t>.</w:t>
      </w:r>
    </w:p>
    <w:p>
      <w:pPr>
        <w:spacing w:line="240" w:lineRule="auto" w:after="80"/>
        <w:ind w:left="720" w:hanging="720"/>
        <w:jc w:val="left"/>
      </w:pPr>
      <w:r>
        <w:rPr>
          <w:b w:val="0"/>
          <w:i w:val="0"/>
          <w:sz w:val="20"/>
        </w:rPr>
        <w:t xml:space="preserve">DZRH News. (2025, August 11). </w:t>
      </w:r>
      <w:r>
        <w:rPr>
          <w:b w:val="0"/>
          <w:i/>
          <w:sz w:val="20"/>
        </w:rPr>
        <w:t>20 percent of the entire P545-B flood control project went to 15 contractors — Pres. Marcos</w:t>
      </w:r>
      <w:r>
        <w:rPr>
          <w:b w:val="0"/>
          <w:i w:val="0"/>
          <w:sz w:val="20"/>
        </w:rPr>
        <w:t>. https://dzrh.com.ph/</w:t>
      </w:r>
    </w:p>
    <w:p>
      <w:pPr>
        <w:spacing w:line="240" w:lineRule="auto" w:after="80"/>
        <w:ind w:left="720" w:hanging="720"/>
        <w:jc w:val="left"/>
      </w:pPr>
      <w:r>
        <w:rPr>
          <w:b w:val="0"/>
          <w:i w:val="0"/>
          <w:sz w:val="20"/>
        </w:rPr>
        <w:t xml:space="preserve">Elmousalami, H. H. (2020). Artificial intelligence and parametric construction cost estimate modeling: State-of-the-art review. </w:t>
      </w:r>
      <w:r>
        <w:rPr>
          <w:b w:val="0"/>
          <w:i/>
          <w:sz w:val="20"/>
        </w:rPr>
        <w:t>Journal of Construction Engineering and Management, 146</w:t>
      </w:r>
      <w:r>
        <w:rPr>
          <w:b w:val="0"/>
          <w:i w:val="0"/>
          <w:sz w:val="20"/>
        </w:rPr>
        <w:t>(1), 03119008. https://doi.org/10.1061/(ASCE)CO.1943-7862.0001678</w:t>
      </w:r>
    </w:p>
    <w:p>
      <w:pPr>
        <w:spacing w:line="240" w:lineRule="auto" w:after="80"/>
        <w:ind w:left="720" w:hanging="720"/>
        <w:jc w:val="left"/>
      </w:pPr>
      <w:r>
        <w:rPr>
          <w:b w:val="0"/>
          <w:i w:val="0"/>
          <w:sz w:val="20"/>
        </w:rPr>
        <w:t xml:space="preserve">Fazekas, M., &amp; Tóth, I. J. (2016). From corruption to state capture: A new analytical framework with empirical applications from Hungary. </w:t>
      </w:r>
      <w:r>
        <w:rPr>
          <w:b w:val="0"/>
          <w:i/>
          <w:sz w:val="20"/>
        </w:rPr>
        <w:t>Political Research Quarterly, 69</w:t>
      </w:r>
      <w:r>
        <w:rPr>
          <w:b w:val="0"/>
          <w:i w:val="0"/>
          <w:sz w:val="20"/>
        </w:rPr>
        <w:t>(2), 320–334. https://doi.org/10.1177/1065912916639137</w:t>
      </w:r>
    </w:p>
    <w:p>
      <w:pPr>
        <w:spacing w:line="240" w:lineRule="auto" w:after="80"/>
        <w:ind w:left="720" w:hanging="720"/>
        <w:jc w:val="left"/>
      </w:pPr>
      <w:r>
        <w:rPr>
          <w:b w:val="0"/>
          <w:i w:val="0"/>
          <w:sz w:val="20"/>
        </w:rPr>
        <w:t xml:space="preserve">Flyvbjerg, B., Holm, M. S., &amp; Buhl, S. (2002). Underestimating costs in public works projects: Error or lie? </w:t>
      </w:r>
      <w:r>
        <w:rPr>
          <w:b w:val="0"/>
          <w:i/>
          <w:sz w:val="20"/>
        </w:rPr>
        <w:t>Journal of the American Planning Association, 68</w:t>
      </w:r>
      <w:r>
        <w:rPr>
          <w:b w:val="0"/>
          <w:i w:val="0"/>
          <w:sz w:val="20"/>
        </w:rPr>
        <w:t>(3), 279–295. https://doi.org/10.1080/01944360208976273</w:t>
      </w:r>
    </w:p>
    <w:p>
      <w:pPr>
        <w:spacing w:line="240" w:lineRule="auto" w:after="80"/>
        <w:ind w:left="720" w:hanging="720"/>
        <w:jc w:val="left"/>
      </w:pPr>
      <w:r>
        <w:rPr>
          <w:b w:val="0"/>
          <w:i w:val="0"/>
          <w:sz w:val="20"/>
        </w:rPr>
        <w:t xml:space="preserve">Interaksyon. (2025, September 11). </w:t>
      </w:r>
      <w:r>
        <w:rPr>
          <w:b w:val="0"/>
          <w:i/>
          <w:sz w:val="20"/>
        </w:rPr>
        <w:t>Philippines forms independent body to probe anomalies in infrastructure projects</w:t>
      </w:r>
      <w:r>
        <w:rPr>
          <w:b w:val="0"/>
          <w:i w:val="0"/>
          <w:sz w:val="20"/>
        </w:rPr>
        <w:t>. https://interaksyon.philstar.com/politics-issues/2025/09/11/302050/</w:t>
      </w:r>
    </w:p>
    <w:p>
      <w:pPr>
        <w:spacing w:line="240" w:lineRule="auto" w:after="80"/>
        <w:ind w:left="720" w:hanging="720"/>
        <w:jc w:val="left"/>
      </w:pPr>
      <w:r>
        <w:rPr>
          <w:b w:val="0"/>
          <w:i w:val="0"/>
          <w:sz w:val="20"/>
        </w:rPr>
        <w:t xml:space="preserve">International Air Transport Association. (2019). </w:t>
      </w:r>
      <w:r>
        <w:rPr>
          <w:b w:val="0"/>
          <w:i/>
          <w:sz w:val="20"/>
        </w:rPr>
        <w:t>Airport development reference manual</w:t>
      </w:r>
      <w:r>
        <w:rPr>
          <w:b w:val="0"/>
          <w:i w:val="0"/>
          <w:sz w:val="20"/>
        </w:rPr>
        <w:t xml:space="preserve"> (11th ed.).</w:t>
      </w:r>
    </w:p>
    <w:p>
      <w:pPr>
        <w:spacing w:line="240" w:lineRule="auto" w:after="80"/>
        <w:ind w:left="720" w:hanging="720"/>
        <w:jc w:val="left"/>
      </w:pPr>
      <w:r>
        <w:rPr>
          <w:b w:val="0"/>
          <w:i w:val="0"/>
          <w:sz w:val="20"/>
        </w:rPr>
        <w:t xml:space="preserve">Jensen, M. C., &amp; Meckling, W. H. (1976). Theory of the firm: Managerial behavior, agency costs and ownership structure. </w:t>
      </w:r>
      <w:r>
        <w:rPr>
          <w:b w:val="0"/>
          <w:i/>
          <w:sz w:val="20"/>
        </w:rPr>
        <w:t>Journal of Financial Economics, 3</w:t>
      </w:r>
      <w:r>
        <w:rPr>
          <w:b w:val="0"/>
          <w:i w:val="0"/>
          <w:sz w:val="20"/>
        </w:rPr>
        <w:t>(4), 305–360. https://doi.org/10.1016/0304-405X(76)90026-X</w:t>
      </w:r>
    </w:p>
    <w:p>
      <w:pPr>
        <w:spacing w:line="240" w:lineRule="auto" w:after="80"/>
        <w:ind w:left="720" w:hanging="720"/>
        <w:jc w:val="left"/>
      </w:pPr>
      <w:r>
        <w:rPr>
          <w:b w:val="0"/>
          <w:i w:val="0"/>
          <w:sz w:val="20"/>
        </w:rPr>
        <w:t xml:space="preserve">Kenny, C. (2007). </w:t>
      </w:r>
      <w:r>
        <w:rPr>
          <w:b w:val="0"/>
          <w:i/>
          <w:sz w:val="20"/>
        </w:rPr>
        <w:t>Construction, corruption, and developing countries</w:t>
      </w:r>
      <w:r>
        <w:rPr>
          <w:b w:val="0"/>
          <w:i w:val="0"/>
          <w:sz w:val="20"/>
        </w:rPr>
        <w:t xml:space="preserve"> (Policy Research Working Paper No. 4271). World Bank.</w:t>
      </w:r>
    </w:p>
    <w:p>
      <w:pPr>
        <w:spacing w:line="240" w:lineRule="auto" w:after="80"/>
        <w:ind w:left="720" w:hanging="720"/>
        <w:jc w:val="left"/>
      </w:pPr>
      <w:r>
        <w:rPr>
          <w:b w:val="0"/>
          <w:i w:val="0"/>
          <w:sz w:val="20"/>
        </w:rPr>
        <w:t xml:space="preserve">Kutner, M. H., Nachtsheim, C. J., &amp; Neter, J. (2004). </w:t>
      </w:r>
      <w:r>
        <w:rPr>
          <w:b w:val="0"/>
          <w:i/>
          <w:sz w:val="20"/>
        </w:rPr>
        <w:t>Applied linear regression models</w:t>
      </w:r>
      <w:r>
        <w:rPr>
          <w:b w:val="0"/>
          <w:i w:val="0"/>
          <w:sz w:val="20"/>
        </w:rPr>
        <w:t xml:space="preserve"> (4th ed.). McGraw-Hill/Irwin.</w:t>
      </w:r>
    </w:p>
    <w:p>
      <w:pPr>
        <w:spacing w:line="240" w:lineRule="auto" w:after="80"/>
        <w:ind w:left="720" w:hanging="720"/>
        <w:jc w:val="left"/>
      </w:pPr>
      <w:r>
        <w:rPr>
          <w:b w:val="0"/>
          <w:i w:val="0"/>
          <w:sz w:val="20"/>
        </w:rPr>
        <w:t xml:space="preserve">Larocque, R., Boulé, A.-M., &amp; Cappart, Q. (2025). Estimating road construction costs with explainable machine learning. </w:t>
      </w:r>
      <w:r>
        <w:rPr>
          <w:b w:val="0"/>
          <w:i/>
          <w:sz w:val="20"/>
        </w:rPr>
        <w:t>INFORMS Journal on Applied Analytics, 55</w:t>
      </w:r>
      <w:r>
        <w:rPr>
          <w:b w:val="0"/>
          <w:i w:val="0"/>
          <w:sz w:val="20"/>
        </w:rPr>
        <w:t>(2), 137–153. https://doi.org/10.1287/inte.2023.0027</w:t>
      </w:r>
    </w:p>
    <w:p>
      <w:pPr>
        <w:spacing w:line="240" w:lineRule="auto" w:after="80"/>
        <w:ind w:left="720" w:hanging="720"/>
        <w:jc w:val="left"/>
      </w:pPr>
      <w:r>
        <w:rPr>
          <w:b w:val="0"/>
          <w:i w:val="0"/>
          <w:sz w:val="20"/>
        </w:rPr>
        <w:t xml:space="preserve">Locatelli, G., Mariani, G., Sainati, T., &amp; Greco, M. (2017). Corruption in public projects and megaprojects: There is an elephant in the room! </w:t>
      </w:r>
      <w:r>
        <w:rPr>
          <w:b w:val="0"/>
          <w:i/>
          <w:sz w:val="20"/>
        </w:rPr>
        <w:t>International Journal of Project Management, 35</w:t>
      </w:r>
      <w:r>
        <w:rPr>
          <w:b w:val="0"/>
          <w:i w:val="0"/>
          <w:sz w:val="20"/>
        </w:rPr>
        <w:t>(3), 252–268. https://doi.org/10.1016/j.ijproman.2016.09.010</w:t>
      </w:r>
    </w:p>
    <w:p>
      <w:pPr>
        <w:spacing w:line="240" w:lineRule="auto" w:after="80"/>
        <w:ind w:left="720" w:hanging="720"/>
        <w:jc w:val="left"/>
      </w:pPr>
      <w:r>
        <w:rPr>
          <w:b w:val="0"/>
          <w:i w:val="0"/>
          <w:sz w:val="20"/>
        </w:rPr>
        <w:t xml:space="preserve">Mahamid, I. (2011). Early cost estimating for road construction projects using multiple regression techniques. </w:t>
      </w:r>
      <w:r>
        <w:rPr>
          <w:b w:val="0"/>
          <w:i/>
          <w:sz w:val="20"/>
        </w:rPr>
        <w:t>Australasian Journal of Construction Economics and Building, 11</w:t>
      </w:r>
      <w:r>
        <w:rPr>
          <w:b w:val="0"/>
          <w:i w:val="0"/>
          <w:sz w:val="20"/>
        </w:rPr>
        <w:t>(4), 87–101. https://doi.org/10.5130/AJCEB.v11i4.2195</w:t>
      </w:r>
    </w:p>
    <w:p>
      <w:pPr>
        <w:spacing w:line="240" w:lineRule="auto" w:after="80"/>
        <w:ind w:left="720" w:hanging="720"/>
        <w:jc w:val="left"/>
      </w:pPr>
      <w:r>
        <w:rPr>
          <w:b w:val="0"/>
          <w:i w:val="0"/>
          <w:sz w:val="20"/>
        </w:rPr>
        <w:t xml:space="preserve">Molinaro, A. M., Simon, R., &amp; Pfeiffer, R. M. (2005). Prediction error estimation: A comparison of resampling methods. </w:t>
      </w:r>
      <w:r>
        <w:rPr>
          <w:b w:val="0"/>
          <w:i/>
          <w:sz w:val="20"/>
        </w:rPr>
        <w:t>Bioinformatics, 21</w:t>
      </w:r>
      <w:r>
        <w:rPr>
          <w:b w:val="0"/>
          <w:i w:val="0"/>
          <w:sz w:val="20"/>
        </w:rPr>
        <w:t>(15), 3301–3307. https://doi.org/10.1093/bioinformatics/bti499</w:t>
      </w:r>
    </w:p>
    <w:p>
      <w:pPr>
        <w:spacing w:line="240" w:lineRule="auto" w:after="80"/>
        <w:ind w:left="720" w:hanging="720"/>
        <w:jc w:val="left"/>
      </w:pPr>
      <w:r>
        <w:rPr>
          <w:b w:val="0"/>
          <w:i w:val="0"/>
          <w:sz w:val="20"/>
        </w:rPr>
        <w:t xml:space="preserve">Nemhauser, G. L., &amp; Wolsey, L. A. (1988). </w:t>
      </w:r>
      <w:r>
        <w:rPr>
          <w:b w:val="0"/>
          <w:i/>
          <w:sz w:val="20"/>
        </w:rPr>
        <w:t>Integer and combinatorial optimization</w:t>
      </w:r>
      <w:r>
        <w:rPr>
          <w:b w:val="0"/>
          <w:i w:val="0"/>
          <w:sz w:val="20"/>
        </w:rPr>
        <w:t>. Wiley.</w:t>
      </w:r>
    </w:p>
    <w:p>
      <w:pPr>
        <w:spacing w:line="240" w:lineRule="auto" w:after="80"/>
        <w:ind w:left="720" w:hanging="720"/>
        <w:jc w:val="left"/>
      </w:pPr>
      <w:r>
        <w:rPr>
          <w:b w:val="0"/>
          <w:i w:val="0"/>
          <w:sz w:val="20"/>
        </w:rPr>
        <w:t xml:space="preserve">O'Brien, R. M. (2007). A caution regarding rules of thumb for variance inflation factors. </w:t>
      </w:r>
      <w:r>
        <w:rPr>
          <w:b w:val="0"/>
          <w:i/>
          <w:sz w:val="20"/>
        </w:rPr>
        <w:t>Quality &amp; Quantity, 41</w:t>
      </w:r>
      <w:r>
        <w:rPr>
          <w:b w:val="0"/>
          <w:i w:val="0"/>
          <w:sz w:val="20"/>
        </w:rPr>
        <w:t>(5), 673–690. https://doi.org/10.1007/s11135-006-9018-6</w:t>
      </w:r>
    </w:p>
    <w:p>
      <w:pPr>
        <w:spacing w:line="240" w:lineRule="auto" w:after="80"/>
        <w:ind w:left="720" w:hanging="720"/>
        <w:jc w:val="left"/>
      </w:pPr>
      <w:r>
        <w:rPr>
          <w:b w:val="0"/>
          <w:i w:val="0"/>
          <w:sz w:val="20"/>
        </w:rPr>
        <w:t xml:space="preserve">OECD. (2016). </w:t>
      </w:r>
      <w:r>
        <w:rPr>
          <w:b w:val="0"/>
          <w:i/>
          <w:sz w:val="20"/>
        </w:rPr>
        <w:t>Preventing corruption in public procurement</w:t>
      </w:r>
      <w:r>
        <w:rPr>
          <w:b w:val="0"/>
          <w:i w:val="0"/>
          <w:sz w:val="20"/>
        </w:rPr>
        <w:t>. OECD Publishing.</w:t>
      </w:r>
    </w:p>
    <w:p>
      <w:pPr>
        <w:spacing w:line="240" w:lineRule="auto" w:after="80"/>
        <w:ind w:left="720" w:hanging="720"/>
        <w:jc w:val="left"/>
      </w:pPr>
      <w:r>
        <w:rPr>
          <w:b w:val="0"/>
          <w:i w:val="0"/>
          <w:sz w:val="20"/>
        </w:rPr>
        <w:t xml:space="preserve">Pareto, V. (1906). </w:t>
      </w:r>
      <w:r>
        <w:rPr>
          <w:b w:val="0"/>
          <w:i/>
          <w:sz w:val="20"/>
        </w:rPr>
        <w:t>Manuale di economia politica</w:t>
      </w:r>
      <w:r>
        <w:rPr>
          <w:b w:val="0"/>
          <w:i w:val="0"/>
          <w:sz w:val="20"/>
        </w:rPr>
        <w:t>. Società Editrice Libraria.</w:t>
      </w:r>
    </w:p>
    <w:p>
      <w:pPr>
        <w:spacing w:line="240" w:lineRule="auto" w:after="80"/>
        <w:ind w:left="720" w:hanging="720"/>
        <w:jc w:val="left"/>
      </w:pPr>
      <w:r>
        <w:rPr>
          <w:b w:val="0"/>
          <w:i w:val="0"/>
          <w:sz w:val="20"/>
        </w:rPr>
        <w:t xml:space="preserve">Pedregosa, F., Varoquaux, G., Gramfort, A., Michel, V., Thirion, B., Grisel, O., Blondel, M., Prettenhofer, P., Weiss, R., Dubourg, V., Vanderplas, J., Passos, A., Cournapeau, D., Brucher, M., Perrot, M., &amp; Duchesnay, É. (2011). Scikit-learn: Machine learning in Python. </w:t>
      </w:r>
      <w:r>
        <w:rPr>
          <w:b w:val="0"/>
          <w:i/>
          <w:sz w:val="20"/>
        </w:rPr>
        <w:t>Journal of Machine Learning Research, 12</w:t>
      </w:r>
      <w:r>
        <w:rPr>
          <w:b w:val="0"/>
          <w:i w:val="0"/>
          <w:sz w:val="20"/>
        </w:rPr>
        <w:t>, 2825–2830.</w:t>
      </w:r>
    </w:p>
    <w:p>
      <w:pPr>
        <w:spacing w:line="240" w:lineRule="auto" w:after="80"/>
        <w:ind w:left="720" w:hanging="720"/>
        <w:jc w:val="left"/>
      </w:pPr>
      <w:r>
        <w:rPr>
          <w:b w:val="0"/>
          <w:i w:val="0"/>
          <w:sz w:val="20"/>
        </w:rPr>
        <w:t xml:space="preserve">Philippine Center for Investigative Journalism. (2025, August 31). </w:t>
      </w:r>
      <w:r>
        <w:rPr>
          <w:b w:val="0"/>
          <w:i/>
          <w:sz w:val="20"/>
        </w:rPr>
        <w:t>5 reveals from the flood control data</w:t>
      </w:r>
      <w:r>
        <w:rPr>
          <w:b w:val="0"/>
          <w:i w:val="0"/>
          <w:sz w:val="20"/>
        </w:rPr>
        <w:t>. https://pcij.org/2025/08/31/5-reveals-from-the-flood-control-data/</w:t>
      </w:r>
    </w:p>
    <w:p>
      <w:pPr>
        <w:spacing w:line="240" w:lineRule="auto" w:after="80"/>
        <w:ind w:left="720" w:hanging="720"/>
        <w:jc w:val="left"/>
      </w:pPr>
      <w:r>
        <w:rPr>
          <w:b w:val="0"/>
          <w:i w:val="0"/>
          <w:sz w:val="20"/>
        </w:rPr>
        <w:t xml:space="preserve">Philstar. (2025, March 1). </w:t>
      </w:r>
      <w:r>
        <w:rPr>
          <w:b w:val="0"/>
          <w:i/>
          <w:sz w:val="20"/>
        </w:rPr>
        <w:t>Newly opened P1.2 billion Isabela bridge collapses</w:t>
      </w:r>
      <w:r>
        <w:rPr>
          <w:b w:val="0"/>
          <w:i w:val="0"/>
          <w:sz w:val="20"/>
        </w:rPr>
        <w:t>. https://www.philstar.com/headlines/2025/03/01/2425019/newly-opened-p12-billion-isabela-bridge-collapses</w:t>
      </w:r>
    </w:p>
    <w:p>
      <w:pPr>
        <w:spacing w:line="240" w:lineRule="auto" w:after="80"/>
        <w:ind w:left="720" w:hanging="720"/>
        <w:jc w:val="left"/>
      </w:pPr>
      <w:r>
        <w:rPr>
          <w:b w:val="0"/>
          <w:i w:val="0"/>
          <w:sz w:val="20"/>
        </w:rPr>
        <w:t xml:space="preserve">Philstar. (2026, February 12). </w:t>
      </w:r>
      <w:r>
        <w:rPr>
          <w:b w:val="0"/>
          <w:i/>
          <w:sz w:val="20"/>
        </w:rPr>
        <w:t>Philippines falls in corruption index, among worst in SEA</w:t>
      </w:r>
      <w:r>
        <w:rPr>
          <w:b w:val="0"/>
          <w:i w:val="0"/>
          <w:sz w:val="20"/>
        </w:rPr>
        <w:t>. https://www.philstar.com/headlines/2026/02/12/2507429/philippines-falls-corruption-index-among-worst-sea</w:t>
      </w:r>
    </w:p>
    <w:p>
      <w:pPr>
        <w:spacing w:line="240" w:lineRule="auto" w:after="80"/>
        <w:ind w:left="720" w:hanging="720"/>
        <w:jc w:val="left"/>
      </w:pPr>
      <w:r>
        <w:rPr>
          <w:b w:val="0"/>
          <w:i w:val="0"/>
          <w:sz w:val="20"/>
        </w:rPr>
        <w:t xml:space="preserve">PIANC. (2002). </w:t>
      </w:r>
      <w:r>
        <w:rPr>
          <w:b w:val="0"/>
          <w:i/>
          <w:sz w:val="20"/>
        </w:rPr>
        <w:t>Guidelines for the design of fender systems</w:t>
      </w:r>
      <w:r>
        <w:rPr>
          <w:b w:val="0"/>
          <w:i w:val="0"/>
          <w:sz w:val="20"/>
        </w:rPr>
        <w:t xml:space="preserve"> (Report of MarCom Working Group 33).</w:t>
      </w:r>
    </w:p>
    <w:p>
      <w:pPr>
        <w:spacing w:line="240" w:lineRule="auto" w:after="80"/>
        <w:ind w:left="720" w:hanging="720"/>
        <w:jc w:val="left"/>
      </w:pPr>
      <w:r>
        <w:rPr>
          <w:b w:val="0"/>
          <w:i w:val="0"/>
          <w:sz w:val="20"/>
        </w:rPr>
        <w:t xml:space="preserve">Presidential Decree No. 1096. (1977). </w:t>
      </w:r>
      <w:r>
        <w:rPr>
          <w:b w:val="0"/>
          <w:i/>
          <w:sz w:val="20"/>
        </w:rPr>
        <w:t>National building code of the Philippines</w:t>
      </w:r>
      <w:r>
        <w:rPr>
          <w:b w:val="0"/>
          <w:i w:val="0"/>
          <w:sz w:val="20"/>
        </w:rPr>
        <w:t>.</w:t>
      </w:r>
    </w:p>
    <w:p>
      <w:pPr>
        <w:spacing w:line="240" w:lineRule="auto" w:after="80"/>
        <w:ind w:left="720" w:hanging="720"/>
        <w:jc w:val="left"/>
      </w:pPr>
      <w:r>
        <w:rPr>
          <w:b w:val="0"/>
          <w:i w:val="0"/>
          <w:sz w:val="20"/>
        </w:rPr>
        <w:t xml:space="preserve">Republic Act No. 11223. (2019). </w:t>
      </w:r>
      <w:r>
        <w:rPr>
          <w:b w:val="0"/>
          <w:i/>
          <w:sz w:val="20"/>
        </w:rPr>
        <w:t>Universal health care act</w:t>
      </w:r>
      <w:r>
        <w:rPr>
          <w:b w:val="0"/>
          <w:i w:val="0"/>
          <w:sz w:val="20"/>
        </w:rPr>
        <w:t>.</w:t>
      </w:r>
    </w:p>
    <w:p>
      <w:pPr>
        <w:spacing w:line="240" w:lineRule="auto" w:after="80"/>
        <w:ind w:left="720" w:hanging="720"/>
        <w:jc w:val="left"/>
      </w:pPr>
      <w:r>
        <w:rPr>
          <w:b w:val="0"/>
          <w:i w:val="0"/>
          <w:sz w:val="20"/>
        </w:rPr>
        <w:t xml:space="preserve">Republic Act No. 12009. (2024). </w:t>
      </w:r>
      <w:r>
        <w:rPr>
          <w:b w:val="0"/>
          <w:i/>
          <w:sz w:val="20"/>
        </w:rPr>
        <w:t>New government procurement act</w:t>
      </w:r>
      <w:r>
        <w:rPr>
          <w:b w:val="0"/>
          <w:i w:val="0"/>
          <w:sz w:val="20"/>
        </w:rPr>
        <w:t>.</w:t>
      </w:r>
    </w:p>
    <w:p>
      <w:pPr>
        <w:spacing w:line="240" w:lineRule="auto" w:after="80"/>
        <w:ind w:left="720" w:hanging="720"/>
        <w:jc w:val="left"/>
      </w:pPr>
      <w:r>
        <w:rPr>
          <w:b w:val="0"/>
          <w:i w:val="0"/>
          <w:sz w:val="20"/>
        </w:rPr>
        <w:t xml:space="preserve">Republic Act No. 9514. (2008). </w:t>
      </w:r>
      <w:r>
        <w:rPr>
          <w:b w:val="0"/>
          <w:i/>
          <w:sz w:val="20"/>
        </w:rPr>
        <w:t>Fire code of the Philippines of 2008</w:t>
      </w:r>
      <w:r>
        <w:rPr>
          <w:b w:val="0"/>
          <w:i w:val="0"/>
          <w:sz w:val="20"/>
        </w:rPr>
        <w:t>.</w:t>
      </w:r>
    </w:p>
    <w:p>
      <w:pPr>
        <w:spacing w:line="240" w:lineRule="auto" w:after="80"/>
        <w:ind w:left="720" w:hanging="720"/>
        <w:jc w:val="left"/>
      </w:pPr>
      <w:r>
        <w:rPr>
          <w:b w:val="0"/>
          <w:i w:val="0"/>
          <w:sz w:val="20"/>
        </w:rPr>
        <w:t xml:space="preserve">Seabold, S., &amp; Perktold, J. (2010). Statsmodels: Econometric and statistical modeling with Python. In </w:t>
      </w:r>
      <w:r>
        <w:rPr>
          <w:b w:val="0"/>
          <w:i/>
          <w:sz w:val="20"/>
        </w:rPr>
        <w:t>Proceedings of the 9th Python in Science Conference</w:t>
      </w:r>
      <w:r>
        <w:rPr>
          <w:b w:val="0"/>
          <w:i w:val="0"/>
          <w:sz w:val="20"/>
        </w:rPr>
        <w:t xml:space="preserve"> (pp. 92–96).</w:t>
      </w:r>
    </w:p>
    <w:p>
      <w:pPr>
        <w:spacing w:line="240" w:lineRule="auto" w:after="80"/>
        <w:ind w:left="720" w:hanging="720"/>
        <w:jc w:val="left"/>
      </w:pPr>
      <w:r>
        <w:rPr>
          <w:b w:val="0"/>
          <w:i w:val="0"/>
          <w:sz w:val="20"/>
        </w:rPr>
        <w:t xml:space="preserve">Sphere Association. (2018). </w:t>
      </w:r>
      <w:r>
        <w:rPr>
          <w:b w:val="0"/>
          <w:i/>
          <w:sz w:val="20"/>
        </w:rPr>
        <w:t>The Sphere handbook: Humanitarian charter and minimum standards in humanitarian response</w:t>
      </w:r>
      <w:r>
        <w:rPr>
          <w:b w:val="0"/>
          <w:i w:val="0"/>
          <w:sz w:val="20"/>
        </w:rPr>
        <w:t xml:space="preserve"> (4th ed.).</w:t>
      </w:r>
    </w:p>
    <w:p>
      <w:pPr>
        <w:spacing w:line="240" w:lineRule="auto" w:after="80"/>
        <w:ind w:left="720" w:hanging="720"/>
        <w:jc w:val="left"/>
      </w:pPr>
      <w:r>
        <w:rPr>
          <w:b w:val="0"/>
          <w:i w:val="0"/>
          <w:sz w:val="20"/>
        </w:rPr>
        <w:t xml:space="preserve">United Nations. (2015). </w:t>
      </w:r>
      <w:r>
        <w:rPr>
          <w:b w:val="0"/>
          <w:i/>
          <w:sz w:val="20"/>
        </w:rPr>
        <w:t>Transforming our world: The 2030 agenda for sustainable development</w:t>
      </w:r>
      <w:r>
        <w:rPr>
          <w:b w:val="0"/>
          <w:i w:val="0"/>
          <w:sz w:val="20"/>
        </w:rPr>
        <w:t xml:space="preserve"> (A/RES/70/1).</w:t>
      </w:r>
    </w:p>
    <w:p>
      <w:pPr>
        <w:spacing w:line="240" w:lineRule="auto" w:after="80"/>
        <w:ind w:left="720" w:hanging="720"/>
        <w:jc w:val="left"/>
      </w:pPr>
      <w:r>
        <w:rPr>
          <w:b w:val="0"/>
          <w:i w:val="0"/>
          <w:sz w:val="20"/>
        </w:rPr>
        <w:t xml:space="preserve">Vapnik, V. N. (1998). </w:t>
      </w:r>
      <w:r>
        <w:rPr>
          <w:b w:val="0"/>
          <w:i/>
          <w:sz w:val="20"/>
        </w:rPr>
        <w:t>Statistical learning theory</w:t>
      </w:r>
      <w:r>
        <w:rPr>
          <w:b w:val="0"/>
          <w:i w:val="0"/>
          <w:sz w:val="20"/>
        </w:rPr>
        <w:t>. Wiley.</w:t>
      </w:r>
    </w:p>
    <w:sectPr w:rsidR="00FC693F" w:rsidRPr="0006063C" w:rsidSect="00034616">
      <w:headerReference w:type="default" r:id="rId36"/>
      <w:pgSz w:w="11906" w:h="16838"/>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PAGE</w:instrText>
    </w:r>
    <w: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PAGE</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header" Target="header2.xml"/><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