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t xml:space="preserve">BICOL COLLEGE</w:t>
      </w:r>
    </w:p>
    <w:p>
      <w:pPr>
        <w:spacing w:after="0" w:line="240"/>
        <w:jc w:val="center"/>
      </w:pPr>
      <w:r>
        <w:t xml:space="preserve">Daraga, Albay</w:t>
      </w:r>
    </w:p>
    <w:p>
      <w:pPr>
        <w:spacing w:after="0" w:line="240"/>
        <w:jc w:val="center"/>
      </w:pPr>
      <w:r>
        <w:t xml:space="preserve">Graduate School</w:t>
      </w:r>
    </w:p>
    <w:p>
      <w:pPr>
        <w:spacing w:after="0" w:line="240"/>
        <w:jc w:val="center"/>
      </w:pPr>
      <w:r>
        <w:t xml:space="preserve">1</w:t>
      </w:r>
      <w:r>
        <w:rPr>
          <w:vertAlign w:val="superscript"/>
        </w:rPr>
        <w:t xml:space="preserve">st</w:t>
      </w:r>
      <w:r>
        <w:t xml:space="preserve"> Sem AY 2026-27</w:t>
      </w:r>
    </w:p>
    <w:p>
      <w:pPr>
        <w:spacing w:after="0"/>
      </w:pPr>
    </w:p>
    <w:p>
      <w:pPr>
        <w:spacing w:after="0" w:line="240"/>
        <w:jc w:val="center"/>
      </w:pPr>
      <w:r>
        <w:rPr>
          <w:b/>
          <w:bCs/>
        </w:rPr>
        <w:t xml:space="preserve">MEd Curriculum Instruction</w:t>
      </w:r>
    </w:p>
    <w:p>
      <w:pPr>
        <w:spacing w:after="0" w:line="240"/>
        <w:jc w:val="center"/>
      </w:pPr>
      <w:r>
        <w:rPr>
          <w:b/>
          <w:bCs/>
        </w:rPr>
        <w:t xml:space="preserve">Research Methods in Education</w:t>
      </w:r>
    </w:p>
    <w:p>
      <w:pPr>
        <w:spacing w:after="0"/>
      </w:pPr>
    </w:p>
    <w:p>
      <w:pPr>
        <w:spacing w:after="0"/>
      </w:pPr>
    </w:p>
    <w:p>
      <w:pPr>
        <w:tabs>
          <w:tab w:val="right" w:pos="9360"/>
        </w:tabs>
        <w:spacing w:after="0"/>
      </w:pPr>
      <w:r>
        <w:rPr>
          <w:b/>
          <w:bCs/>
        </w:rPr>
        <w:t xml:space="preserve">Irene A. Loria</w:t>
      </w:r>
      <w:r>
        <w:rPr>
          <w:b/>
          <w:bCs/>
        </w:rPr>
        <w:t xml:space="preserve">	Professor: Dr. Manny B. Macabeo</w:t>
      </w:r>
    </w:p>
    <w:p>
      <w:pPr>
        <w:spacing w:after="0"/>
      </w:pPr>
    </w:p>
    <w:p>
      <w:pPr>
        <w:spacing w:after="0"/>
      </w:pPr>
    </w:p>
    <w:p>
      <w:pPr>
        <w:spacing w:after="240"/>
      </w:pPr>
      <w:r>
        <w:t xml:space="preserve">Research Title:</w:t>
      </w:r>
    </w:p>
    <w:p>
      <w:pPr>
        <w:spacing w:after="0" w:line="276"/>
        <w:jc w:val="center"/>
      </w:pPr>
      <w:r>
        <w:rPr>
          <w:b/>
          <w:bCs/>
        </w:rPr>
        <w:t xml:space="preserve">Enhancing Reading Proficiency Among Grade 2 Struggling Readers Through Reading Intervention Materials (RIM) in Albay Central School</w:t>
      </w:r>
    </w:p>
    <w:p>
      <w:pPr>
        <w:spacing w:after="0"/>
      </w:pPr>
    </w:p>
    <w:p>
      <w:pPr>
        <w:keepNext/>
        <w:spacing w:after="240" w:before="240" w:line="360"/>
        <w:jc w:val="center"/>
      </w:pPr>
      <w:r>
        <w:rPr>
          <w:b/>
          <w:bCs/>
        </w:rPr>
        <w:t xml:space="preserve">ASSUMPTIONS OF THE STUDY</w:t>
      </w:r>
    </w:p>
    <w:p>
      <w:pPr>
        <w:spacing w:after="60" w:line="360"/>
        <w:ind w:firstLine="720"/>
        <w:jc w:val="both"/>
      </w:pPr>
      <w:r>
        <w:t xml:space="preserve">This study is anchored on the following assumptions:</w:t>
      </w:r>
    </w:p>
    <w:p>
      <w:pPr>
        <w:pStyle w:val="ListParagraph"/>
        <w:numPr>
          <w:ilvl w:val="0"/>
          <w:numId w:val="2"/>
        </w:numPr>
        <w:spacing w:after="60" w:line="360"/>
        <w:jc w:val="both"/>
      </w:pPr>
      <w:r>
        <w:t xml:space="preserve">The reading proficiency of the Grade 2 struggling readers in letter-sound knowledge, word recognition, reading fluency, and reading comprehension can be measured before and after the use of the Reading Intervention Materials (RIM).</w:t>
      </w:r>
    </w:p>
    <w:p>
      <w:pPr>
        <w:pStyle w:val="ListParagraph"/>
        <w:numPr>
          <w:ilvl w:val="0"/>
          <w:numId w:val="2"/>
        </w:numPr>
        <w:spacing w:after="60" w:line="360"/>
        <w:jc w:val="both"/>
      </w:pPr>
      <w:r>
        <w:t xml:space="preserve">The content, activities, and mode of delivery of the RIM are suited to the reading levels, needs, and local context of the learners.</w:t>
      </w:r>
    </w:p>
    <w:p>
      <w:pPr>
        <w:pStyle w:val="ListParagraph"/>
        <w:numPr>
          <w:ilvl w:val="0"/>
          <w:numId w:val="2"/>
        </w:numPr>
        <w:spacing w:after="60" w:line="360"/>
        <w:jc w:val="both"/>
      </w:pPr>
      <w:r>
        <w:t xml:space="preserve">The systematic progression of the RIM from letter-sound knowledge to comprehension can enhance the learners' reading proficiency in all four areas assessed.</w:t>
      </w:r>
    </w:p>
    <w:p>
      <w:pPr>
        <w:pStyle w:val="ListParagraph"/>
        <w:numPr>
          <w:ilvl w:val="0"/>
          <w:numId w:val="2"/>
        </w:numPr>
        <w:spacing w:after="60" w:line="360"/>
        <w:jc w:val="both"/>
      </w:pPr>
      <w:r>
        <w:t xml:space="preserve">The learners will regularly attend the small-group and one-on-one sessions and participate actively throughout the intervention.</w:t>
      </w:r>
    </w:p>
    <w:p>
      <w:pPr>
        <w:pStyle w:val="ListParagraph"/>
        <w:numPr>
          <w:ilvl w:val="0"/>
          <w:numId w:val="2"/>
        </w:numPr>
        <w:spacing w:after="60" w:line="360"/>
        <w:jc w:val="both"/>
      </w:pPr>
      <w:r>
        <w:t xml:space="preserve">Any difference between the pre-test and post-test reading proficiency levels of the learners is attributable mainly to the use of the RIM.</w:t>
      </w:r>
    </w:p>
    <w:p>
      <w:pPr>
        <w:pStyle w:val="ListParagraph"/>
        <w:numPr>
          <w:ilvl w:val="0"/>
          <w:numId w:val="2"/>
        </w:numPr>
        <w:spacing w:after="60" w:line="360"/>
        <w:jc w:val="both"/>
      </w:pPr>
      <w:r>
        <w:t xml:space="preserve">The pre-test and post-test reading assessment and the acceptability evaluation tool are valid and reliable.</w:t>
      </w:r>
    </w:p>
    <w:p>
      <w:pPr>
        <w:pStyle w:val="ListParagraph"/>
        <w:numPr>
          <w:ilvl w:val="0"/>
          <w:numId w:val="2"/>
        </w:numPr>
        <w:spacing w:after="60" w:line="360"/>
        <w:jc w:val="both"/>
      </w:pPr>
      <w:r>
        <w:t xml:space="preserve">The teachers and reading experts serving as evaluators are competent and objective in rating the content, format and design, language and readability, and usefulness of the RIM.</w:t>
      </w:r>
    </w:p>
    <w:p>
      <w:pPr>
        <w:pStyle w:val="ListParagraph"/>
        <w:numPr>
          <w:ilvl w:val="0"/>
          <w:numId w:val="2"/>
        </w:numPr>
        <w:spacing w:after="60" w:line="360"/>
        <w:jc w:val="both"/>
      </w:pPr>
      <w:r>
        <w:t xml:space="preserve">The challenges encountered by the teacher and the learners in utilizing the RIM can be identified and, together with the other findings, can guide the proposed reading enhancement action plan.</w:t>
      </w:r>
    </w:p>
    <w:p>
      <w:pPr>
        <w:keepNext/>
        <w:spacing w:after="240" w:before="240" w:line="360"/>
        <w:jc w:val="center"/>
      </w:pPr>
      <w:r>
        <w:rPr>
          <w:b/>
          <w:bCs/>
        </w:rPr>
        <w:t xml:space="preserve">SIGNIFICANCE OF THE STUDY</w:t>
      </w:r>
    </w:p>
    <w:p>
      <w:pPr>
        <w:spacing w:after="60" w:line="360"/>
        <w:ind w:firstLine="720"/>
        <w:jc w:val="both"/>
      </w:pPr>
      <w:r>
        <w:t xml:space="preserve">This study will be significant because learners who fall behind in reading in the primary grades tend to remain poor readers and to fall further behind (Juel, 1988; Stanovich, 1986). By developing, utilizing, and evaluating contextualized Reading Intervention Materials (RIM), the researcher will generate classroom-based evidence that will benefit the following:</w:t>
      </w:r>
    </w:p>
    <w:p>
      <w:pPr>
        <w:spacing w:after="60" w:line="360"/>
        <w:ind w:firstLine="720"/>
        <w:jc w:val="both"/>
      </w:pPr>
      <w:r>
        <w:rPr>
          <w:b/>
          <w:bCs/>
        </w:rPr>
        <w:t xml:space="preserve">Learners.</w:t>
      </w:r>
      <w:r>
        <w:t xml:space="preserve"> The Grade 2 struggling readers will be the primary beneficiaries, as the pre-test will reveal their level in each of the four reading areas and the RIM will give them systematic support from letter-sound knowledge to comprehension. Through small-group and one-on-one sessions, they will receive guided assistance within their zone of proximal development (Vygotsky, 1978), while passages and stories drawn from familiar local settings are meant to make reading more meaningful.</w:t>
      </w:r>
    </w:p>
    <w:p>
      <w:pPr>
        <w:spacing w:after="60" w:line="360"/>
        <w:ind w:firstLine="720"/>
        <w:jc w:val="both"/>
      </w:pPr>
      <w:r>
        <w:rPr>
          <w:b/>
          <w:bCs/>
        </w:rPr>
        <w:t xml:space="preserve">Teachers.</w:t>
      </w:r>
      <w:r>
        <w:t xml:space="preserve"> Teachers will gain a tested and evaluated set of intervention materials that they may adopt or adapt for their own struggling readers. The pre-test and post-test results will show the extent to which each reading skill responded to the intervention, and the documented challenges will help them anticipate difficulties in using the materials in regular classes and during Catch-Up Fridays (Department of Education, 2024).</w:t>
      </w:r>
    </w:p>
    <w:p>
      <w:pPr>
        <w:spacing w:after="60" w:line="360"/>
        <w:ind w:firstLine="720"/>
        <w:jc w:val="both"/>
      </w:pPr>
      <w:r>
        <w:rPr>
          <w:b/>
          <w:bCs/>
        </w:rPr>
        <w:t xml:space="preserve">Parents.</w:t>
      </w:r>
      <w:r>
        <w:t xml:space="preserve"> Parents, once informed of the results, will better understand which reading skills their children find difficult and how their children performed before and after the intervention. Simple RIM activities, such as sounding out letters, reading sight words, and reading short stories, may also guide them in reinforcing reading at home.</w:t>
      </w:r>
    </w:p>
    <w:p>
      <w:pPr>
        <w:spacing w:after="60" w:line="360"/>
        <w:ind w:firstLine="720"/>
        <w:jc w:val="both"/>
      </w:pPr>
      <w:r>
        <w:rPr>
          <w:b/>
          <w:bCs/>
        </w:rPr>
        <w:t xml:space="preserve">School Heads and Administrators.</w:t>
      </w:r>
      <w:r>
        <w:t xml:space="preserve"> School heads and administrators will have an empirical basis for planning, resourcing, and monitoring reading interventions. The acceptability ratings and documented challenges will inform decisions on reproducing the materials, scheduling intervention sessions, and providing technical assistance, while the proposed reading enhancement action plan may be integrated into school initiatives under Hamon: Bawat Bata Bumabasa (Department of Education, 2019).</w:t>
      </w:r>
    </w:p>
    <w:p>
      <w:pPr>
        <w:spacing w:after="60" w:line="360"/>
        <w:ind w:firstLine="720"/>
        <w:jc w:val="both"/>
      </w:pPr>
      <w:r>
        <w:rPr>
          <w:b/>
          <w:bCs/>
        </w:rPr>
        <w:t xml:space="preserve">Department of Education.</w:t>
      </w:r>
      <w:r>
        <w:t xml:space="preserve"> The Department of Education, particularly its division curriculum planners and reading coordinators, will gain a locally developed and evaluated intervention aligned with the National Learning Recovery Program (Department of Education, 2023) and the ARAL Program (Republic Act No. 12028, 2024). The results may guide the design of division-wide reading interventions and the contextualization of materials for learners who speak Bikol at home but learn to read in Filipino and English.</w:t>
      </w:r>
    </w:p>
    <w:p>
      <w:pPr>
        <w:spacing w:after="60" w:line="360"/>
        <w:ind w:firstLine="720"/>
        <w:jc w:val="both"/>
      </w:pPr>
      <w:r>
        <w:rPr>
          <w:b/>
          <w:bCs/>
        </w:rPr>
        <w:t xml:space="preserve">Learning Action Cell and Materials Developers.</w:t>
      </w:r>
      <w:r>
        <w:t xml:space="preserve"> Members of the Learning Action Cell (Department of Education, 2016) may use the RIM, its acceptability ratings, and the challenges encountered as material for collaborative study and refinement of intervention practices. Materials developers may draw on the evaluation of the content, format and design, language and readability, and usefulness of the RIM, which will reveal strengths and weaknesses to consider in developing similar materials.</w:t>
      </w:r>
    </w:p>
    <w:p>
      <w:pPr>
        <w:spacing w:after="60" w:line="360"/>
        <w:ind w:firstLine="720"/>
        <w:jc w:val="both"/>
      </w:pPr>
      <w:r>
        <w:rPr>
          <w:b/>
          <w:bCs/>
        </w:rPr>
        <w:t xml:space="preserve">Future Researchers.</w:t>
      </w:r>
      <w:r>
        <w:t xml:space="preserve"> Future researchers may use the design, findings, and identified challenges of this study as a basis for similar studies on early reading intervention in other grade levels, schools, or languages of instruction.</w:t>
      </w:r>
    </w:p>
    <w:p>
      <w:pPr>
        <w:keepNext/>
        <w:spacing w:after="240" w:before="240" w:line="360"/>
        <w:jc w:val="center"/>
      </w:pPr>
      <w:r>
        <w:rPr>
          <w:b/>
          <w:bCs/>
        </w:rPr>
        <w:t xml:space="preserve">DEFINITION OF TERMS</w:t>
      </w:r>
    </w:p>
    <w:p>
      <w:pPr>
        <w:spacing w:after="60" w:line="360"/>
        <w:ind w:firstLine="720"/>
        <w:jc w:val="both"/>
      </w:pPr>
      <w:r>
        <w:t xml:space="preserve">For clarity and better understanding, the following terms are defined conceptually and operationally as used in this study:</w:t>
      </w:r>
    </w:p>
    <w:p>
      <w:pPr>
        <w:spacing w:after="60" w:line="360"/>
        <w:ind w:firstLine="720"/>
        <w:jc w:val="both"/>
      </w:pPr>
      <w:r>
        <w:rPr>
          <w:b/>
          <w:bCs/>
        </w:rPr>
        <w:t xml:space="preserve">Acceptability.</w:t>
      </w:r>
      <w:r>
        <w:t xml:space="preserve"> This refers to the degree to which instructional materials are judged suitable for their intended users and purpose. In this study, it refers to the teachers' and reading experts' ratings of the RIM on the acceptability evaluation tool in terms of content, format and design, language and readability, and usefulness.</w:t>
      </w:r>
    </w:p>
    <w:p>
      <w:pPr>
        <w:spacing w:after="60" w:line="360"/>
        <w:ind w:firstLine="720"/>
        <w:jc w:val="both"/>
      </w:pPr>
      <w:r>
        <w:rPr>
          <w:b/>
          <w:bCs/>
        </w:rPr>
        <w:t xml:space="preserve">Challenges.</w:t>
      </w:r>
      <w:r>
        <w:t xml:space="preserve"> These refer to difficulties that hinder the smooth implementation of an instructional intervention. In this study, they are the difficulties that the teacher and the Grade 2 struggling readers will encounter in the utilization of the RIM during the intervention.</w:t>
      </w:r>
    </w:p>
    <w:p>
      <w:pPr>
        <w:spacing w:after="60" w:line="360"/>
        <w:ind w:firstLine="720"/>
        <w:jc w:val="both"/>
      </w:pPr>
      <w:r>
        <w:rPr>
          <w:b/>
          <w:bCs/>
        </w:rPr>
        <w:t xml:space="preserve">Intervention.</w:t>
      </w:r>
      <w:r>
        <w:t xml:space="preserve"> This refers to systematic, more intensive instruction for learners who do not progress adequately with regular classroom teaching (Fuchs &amp; Fuchs, 2006; Wanzek &amp; Vaughn, 2007). In this study, it refers to the use of the RIM with the Grade 2 struggling readers in small-group and one-on-one sessions between the pre-test and post-test.</w:t>
      </w:r>
    </w:p>
    <w:p>
      <w:pPr>
        <w:spacing w:after="60" w:line="360"/>
        <w:ind w:firstLine="720"/>
        <w:jc w:val="both"/>
      </w:pPr>
      <w:r>
        <w:rPr>
          <w:b/>
          <w:bCs/>
        </w:rPr>
        <w:t xml:space="preserve">Letter-Sound Knowledge.</w:t>
      </w:r>
      <w:r>
        <w:t xml:space="preserve"> This pertains to knowledge of the relationships between letters and the sounds they represent, which systematic phonics instruction develops (National Reading Panel, 2000). In this study, it refers to the Grade 2 struggling readers' ability to identify letters and produce their corresponding sounds, as measured by the pre-test and post-test.</w:t>
      </w:r>
    </w:p>
    <w:p>
      <w:pPr>
        <w:spacing w:after="60" w:line="360"/>
        <w:ind w:firstLine="720"/>
        <w:jc w:val="both"/>
      </w:pPr>
      <w:r>
        <w:rPr>
          <w:b/>
          <w:bCs/>
        </w:rPr>
        <w:t xml:space="preserve">Pre-test and Post-test.</w:t>
      </w:r>
      <w:r>
        <w:t xml:space="preserve"> These refer to assessments administered before and after an intervention to establish learners' initial performance and measure their resulting performance. In this study, they are the reading assessments to be administered to the Grade 2 struggling readers before and after the use of the RIM, respectively, to determine their reading proficiency levels in letter-sound knowledge, word recognition, reading fluency, and reading comprehension.</w:t>
      </w:r>
    </w:p>
    <w:p>
      <w:pPr>
        <w:spacing w:after="60" w:line="360"/>
        <w:ind w:firstLine="720"/>
        <w:jc w:val="both"/>
      </w:pPr>
      <w:r>
        <w:rPr>
          <w:b/>
          <w:bCs/>
        </w:rPr>
        <w:t xml:space="preserve">Reading Comprehension.</w:t>
      </w:r>
      <w:r>
        <w:t xml:space="preserve"> This refers to the active and intentional process of constructing meaning through interaction between the reader and the text (National Reading Panel, 2000). In this study, it refers to the Grade 2 struggling readers' ability to understand passages and answer questions about them, as measured by the pre-test and post-test.</w:t>
      </w:r>
    </w:p>
    <w:p>
      <w:pPr>
        <w:spacing w:after="60" w:line="360"/>
        <w:ind w:firstLine="720"/>
        <w:jc w:val="both"/>
      </w:pPr>
      <w:r>
        <w:rPr>
          <w:b/>
          <w:bCs/>
        </w:rPr>
        <w:t xml:space="preserve">Reading Enhancement Action Plan.</w:t>
      </w:r>
      <w:r>
        <w:t xml:space="preserve"> This refers to a structured set of goals, strategies, and activities for improving learners' reading performance. In this study, it refers to the plan the researcher will propose, based on the findings on reading proficiency, RIM acceptability, and utilization challenges, to sustain reading support for Grade 2 struggling readers at Albay Central School.</w:t>
      </w:r>
    </w:p>
    <w:p>
      <w:pPr>
        <w:spacing w:after="60" w:line="360"/>
        <w:ind w:firstLine="720"/>
        <w:jc w:val="both"/>
      </w:pPr>
      <w:r>
        <w:rPr>
          <w:b/>
          <w:bCs/>
        </w:rPr>
        <w:t xml:space="preserve">Reading Fluency.</w:t>
      </w:r>
      <w:r>
        <w:t xml:space="preserve"> This refers to the ability to read text accurately, quickly, and with proper expression (National Reading Panel, 2000), commonly gauged through accuracy and rate (Hasbrouck &amp; Tindal, 2006). In this study, it refers to the accuracy and rate with which the Grade 2 struggling readers read passages aloud in the pre-test and post-test.</w:t>
      </w:r>
    </w:p>
    <w:p>
      <w:pPr>
        <w:spacing w:after="60" w:line="360"/>
        <w:ind w:firstLine="720"/>
        <w:jc w:val="both"/>
      </w:pPr>
      <w:r>
        <w:rPr>
          <w:b/>
          <w:bCs/>
        </w:rPr>
        <w:t xml:space="preserve">Reading Intervention Materials (RIM).</w:t>
      </w:r>
      <w:r>
        <w:t xml:space="preserve"> These refer to supplementary materials addressing learners' specific reading difficulties. In this study, these are the teacher-developed and contextualized letter-sound cards, decodable word lists, sight word cards, phrase and sentence strips, leveled passages and short stories set in familiar local settings, and guided comprehension activities for Grade 2 struggling readers, anchored on the five components of reading.</w:t>
      </w:r>
    </w:p>
    <w:p>
      <w:pPr>
        <w:spacing w:after="60" w:line="360"/>
        <w:ind w:firstLine="720"/>
        <w:jc w:val="both"/>
      </w:pPr>
      <w:r>
        <w:rPr>
          <w:b/>
          <w:bCs/>
        </w:rPr>
        <w:t xml:space="preserve">Reading Proficiency.</w:t>
      </w:r>
      <w:r>
        <w:t xml:space="preserve"> This refers to the ability to read accurately, fluently, and with understanding, which rests on both decoding and linguistic comprehension (Gough &amp; Tunmer, 1986). In this study, it refers to the Grade 2 struggling readers' level of performance in letter-sound knowledge, word recognition, reading fluency, and reading comprehension in the pre-test and post-test.</w:t>
      </w:r>
    </w:p>
    <w:p>
      <w:pPr>
        <w:spacing w:after="60" w:line="360"/>
        <w:ind w:firstLine="720"/>
        <w:jc w:val="both"/>
      </w:pPr>
      <w:r>
        <w:rPr>
          <w:b/>
          <w:bCs/>
        </w:rPr>
        <w:t xml:space="preserve">Struggling Readers.</w:t>
      </w:r>
      <w:r>
        <w:t xml:space="preserve"> These are learners who read below grade-level expectations and, without timely support, tend to remain poor readers and fall further behind (Juel, 1988; Stanovich, 1986). In this study, they are the Grade 2 learners of Albay Central School in School Year 2026–2027 who are identified as reading below grade level and who will undergo the intervention using the RIM.</w:t>
      </w:r>
    </w:p>
    <w:p>
      <w:pPr>
        <w:spacing w:after="60" w:line="360"/>
        <w:ind w:firstLine="720"/>
        <w:jc w:val="both"/>
      </w:pPr>
      <w:r>
        <w:rPr>
          <w:b/>
          <w:bCs/>
        </w:rPr>
        <w:t xml:space="preserve">Word Recognition.</w:t>
      </w:r>
      <w:r>
        <w:t xml:space="preserve"> This refers to the ability to read words accurately and quickly, either by decoding their letter-sound patterns or by retrieving familiar words from memory (Ehri, 2005). In this study, it refers to the Grade 2 struggling readers' ability to accurately read words presented in isolation, as measured by the pre-test and post-test.</w:t>
      </w:r>
    </w:p>
    <w:p>
      <w:pPr>
        <w:keepNext/>
        <w:spacing w:after="240" w:before="240" w:line="360"/>
        <w:jc w:val="center"/>
      </w:pPr>
      <w:r>
        <w:rPr>
          <w:b/>
          <w:bCs/>
        </w:rPr>
        <w:t xml:space="preserve">REFERENCES</w:t>
      </w:r>
    </w:p>
    <w:p>
      <w:pPr>
        <w:spacing w:after="40" w:line="240"/>
        <w:ind w:left="720" w:hanging="720"/>
        <w:jc w:val="left"/>
      </w:pPr>
      <w:r>
        <w:t xml:space="preserve">Department of Education. (2016). </w:t>
      </w:r>
      <w:r>
        <w:rPr>
          <w:i/>
          <w:iCs/>
        </w:rPr>
        <w:t xml:space="preserve">DepEd Order No. 35, s. 2016: The Learning Action Cell as a K to 12 Basic Education Program school-based continuing professional development strategy for the improvement of teaching and learning</w:t>
      </w:r>
      <w:r>
        <w:t xml:space="preserve">. DepEd.</w:t>
      </w:r>
    </w:p>
    <w:p>
      <w:pPr>
        <w:spacing w:after="40" w:line="240"/>
        <w:ind w:left="720" w:hanging="720"/>
        <w:jc w:val="left"/>
      </w:pPr>
      <w:r>
        <w:t xml:space="preserve">Department of Education. (2019). </w:t>
      </w:r>
      <w:r>
        <w:rPr>
          <w:i/>
          <w:iCs/>
        </w:rPr>
        <w:t xml:space="preserve">DepEd Memorandum No. 173, s. 2019: Hamon: Bawat Bata Bumabasa (3Bs Initiative)</w:t>
      </w:r>
      <w:r>
        <w:t xml:space="preserve">. DepEd.</w:t>
      </w:r>
    </w:p>
    <w:p>
      <w:pPr>
        <w:spacing w:after="40" w:line="240"/>
        <w:ind w:left="720" w:hanging="720"/>
        <w:jc w:val="left"/>
      </w:pPr>
      <w:r>
        <w:t xml:space="preserve">Department of Education. (2023). </w:t>
      </w:r>
      <w:r>
        <w:rPr>
          <w:i/>
          <w:iCs/>
        </w:rPr>
        <w:t xml:space="preserve">DepEd Order No. 13, s. 2023: Policy guidelines on the implementation of the National Learning Recovery Program</w:t>
      </w:r>
      <w:r>
        <w:t xml:space="preserve">. DepEd.</w:t>
      </w:r>
    </w:p>
    <w:p>
      <w:pPr>
        <w:spacing w:after="40" w:line="240"/>
        <w:ind w:left="720" w:hanging="720"/>
        <w:jc w:val="left"/>
      </w:pPr>
      <w:r>
        <w:t xml:space="preserve">Department of Education. (2024). </w:t>
      </w:r>
      <w:r>
        <w:rPr>
          <w:i/>
          <w:iCs/>
        </w:rPr>
        <w:t xml:space="preserve">DepEd Memorandum No. 001, s. 2024: Implementation of Catch-Up Fridays</w:t>
      </w:r>
      <w:r>
        <w:t xml:space="preserve">. DepEd.</w:t>
      </w:r>
    </w:p>
    <w:p>
      <w:pPr>
        <w:spacing w:after="40" w:line="240"/>
        <w:ind w:left="720" w:hanging="720"/>
        <w:jc w:val="left"/>
      </w:pPr>
      <w:r>
        <w:t xml:space="preserve">Ehri, L. C. (2005). Learning to read words: Theory, findings, and issues. </w:t>
      </w:r>
      <w:r>
        <w:rPr>
          <w:i/>
          <w:iCs/>
        </w:rPr>
        <w:t xml:space="preserve">Scientific Studies of Reading, 9</w:t>
      </w:r>
      <w:r>
        <w:t xml:space="preserve">(2), 167–188.</w:t>
      </w:r>
    </w:p>
    <w:p>
      <w:pPr>
        <w:spacing w:after="40" w:line="240"/>
        <w:ind w:left="720" w:hanging="720"/>
        <w:jc w:val="left"/>
      </w:pPr>
      <w:r>
        <w:t xml:space="preserve">Fuchs, D., &amp; Fuchs, L. S. (2006). Introduction to response to intervention: What, why, and how valid is it? </w:t>
      </w:r>
      <w:r>
        <w:rPr>
          <w:i/>
          <w:iCs/>
        </w:rPr>
        <w:t xml:space="preserve">Reading Research Quarterly, 41</w:t>
      </w:r>
      <w:r>
        <w:t xml:space="preserve">(1), 93–99.</w:t>
      </w:r>
    </w:p>
    <w:p>
      <w:pPr>
        <w:spacing w:after="40" w:line="240"/>
        <w:ind w:left="720" w:hanging="720"/>
        <w:jc w:val="left"/>
      </w:pPr>
      <w:r>
        <w:t xml:space="preserve">Gough, P. B., &amp; Tunmer, W. E. (1986). Decoding, reading, and reading disability. </w:t>
      </w:r>
      <w:r>
        <w:rPr>
          <w:i/>
          <w:iCs/>
        </w:rPr>
        <w:t xml:space="preserve">Remedial and Special Education, 7</w:t>
      </w:r>
      <w:r>
        <w:t xml:space="preserve">(1), 6–10.</w:t>
      </w:r>
    </w:p>
    <w:p>
      <w:pPr>
        <w:spacing w:after="40" w:line="240"/>
        <w:ind w:left="720" w:hanging="720"/>
        <w:jc w:val="left"/>
      </w:pPr>
      <w:r>
        <w:t xml:space="preserve">Hasbrouck, J., &amp; Tindal, G. A. (2006). Oral reading fluency norms: A valuable assessment tool for reading teachers. </w:t>
      </w:r>
      <w:r>
        <w:rPr>
          <w:i/>
          <w:iCs/>
        </w:rPr>
        <w:t xml:space="preserve">The Reading Teacher, 59</w:t>
      </w:r>
      <w:r>
        <w:t xml:space="preserve">(7), 636–644.</w:t>
      </w:r>
    </w:p>
    <w:p>
      <w:pPr>
        <w:spacing w:after="40" w:line="240"/>
        <w:ind w:left="720" w:hanging="720"/>
        <w:jc w:val="left"/>
      </w:pPr>
      <w:r>
        <w:t xml:space="preserve">Juel, C. (1988). Learning to read and write: A longitudinal study of 54 children from first through fourth grades. </w:t>
      </w:r>
      <w:r>
        <w:rPr>
          <w:i/>
          <w:iCs/>
        </w:rPr>
        <w:t xml:space="preserve">Journal of Educational Psychology, 80</w:t>
      </w:r>
      <w:r>
        <w:t xml:space="preserve">(4), 437–447.</w:t>
      </w:r>
    </w:p>
    <w:p>
      <w:pPr>
        <w:spacing w:after="40" w:line="240"/>
        <w:ind w:left="720" w:hanging="720"/>
        <w:jc w:val="left"/>
      </w:pPr>
      <w:r>
        <w:t xml:space="preserve">National Reading Panel. (2000). </w:t>
      </w:r>
      <w:r>
        <w:rPr>
          <w:i/>
          <w:iCs/>
        </w:rPr>
        <w:t xml:space="preserve">Teaching children to read: An evidence-based assessment of the scientific research literature on reading and its implications for reading instruction</w:t>
      </w:r>
      <w:r>
        <w:t xml:space="preserve">. National Institute of Child Health and Human Development.</w:t>
      </w:r>
    </w:p>
    <w:p>
      <w:pPr>
        <w:spacing w:after="40" w:line="240"/>
        <w:ind w:left="720" w:hanging="720"/>
        <w:jc w:val="left"/>
      </w:pPr>
      <w:r>
        <w:t xml:space="preserve">Republic Act No. 12028. (2024). </w:t>
      </w:r>
      <w:r>
        <w:rPr>
          <w:i/>
          <w:iCs/>
        </w:rPr>
        <w:t xml:space="preserve">Academic Recovery and Accessible Learning (ARAL) Program Act</w:t>
      </w:r>
      <w:r>
        <w:t xml:space="preserve">. Congress of the Philippines.</w:t>
      </w:r>
    </w:p>
    <w:p>
      <w:pPr>
        <w:spacing w:after="40" w:line="240"/>
        <w:ind w:left="720" w:hanging="720"/>
        <w:jc w:val="left"/>
      </w:pPr>
      <w:r>
        <w:t xml:space="preserve">Stanovich, K. E. (1986). Matthew effects in reading: Some consequences of individual differences in the acquisition of literacy. </w:t>
      </w:r>
      <w:r>
        <w:rPr>
          <w:i/>
          <w:iCs/>
        </w:rPr>
        <w:t xml:space="preserve">Reading Research Quarterly, 21</w:t>
      </w:r>
      <w:r>
        <w:t xml:space="preserve">(4), 360–407.</w:t>
      </w:r>
    </w:p>
    <w:p>
      <w:pPr>
        <w:spacing w:after="40" w:line="240"/>
        <w:ind w:left="720" w:hanging="720"/>
        <w:jc w:val="left"/>
      </w:pPr>
      <w:r>
        <w:t xml:space="preserve">Vygotsky, L. S. (1978). </w:t>
      </w:r>
      <w:r>
        <w:rPr>
          <w:i/>
          <w:iCs/>
        </w:rPr>
        <w:t xml:space="preserve">Mind in society: The development of higher psychological processes</w:t>
      </w:r>
      <w:r>
        <w:t xml:space="preserve">. Harvard University Press.</w:t>
      </w:r>
    </w:p>
    <w:p>
      <w:pPr>
        <w:spacing w:after="40" w:line="240"/>
        <w:ind w:left="720" w:hanging="720"/>
        <w:jc w:val="left"/>
      </w:pPr>
      <w:r>
        <w:t xml:space="preserve">Wanzek, J., &amp; Vaughn, S. (2007). Research-based implications from extensive early reading interventions. </w:t>
      </w:r>
      <w:r>
        <w:rPr>
          <w:i/>
          <w:iCs/>
        </w:rPr>
        <w:t xml:space="preserve">School Psychology Review, 36</w:t>
      </w:r>
      <w:r>
        <w:t xml:space="preserve">(4), 541–561.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Assumptions, Significance of the Study, and Definition of Terms</dc:title>
  <dc:creator>Irene A. Loria</dc:creator>
  <cp:lastModifiedBy>Un-named</cp:lastModifiedBy>
  <cp:revision>1</cp:revision>
  <dcterms:created xsi:type="dcterms:W3CDTF">2026-10-17T19:56:59.400Z</dcterms:created>
  <dcterms:modified xsi:type="dcterms:W3CDTF">2026-10-17T19:56:59.400Z</dcterms:modified>
</cp:coreProperties>
</file>

<file path=docProps/custom.xml><?xml version="1.0" encoding="utf-8"?>
<Properties xmlns="http://schemas.openxmlformats.org/officeDocument/2006/custom-properties" xmlns:vt="http://schemas.openxmlformats.org/officeDocument/2006/docPropsVTypes"/>
</file>