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33.png" ContentType="image/png"/>
  <Override PartName="/word/media/rId124.png" ContentType="image/png"/>
  <Override PartName="/word/media/rId127.png" ContentType="image/png"/>
  <Override PartName="/word/media/rId118.png" ContentType="image/png"/>
  <Override PartName="/word/media/rId82.png" ContentType="image/png"/>
  <Override PartName="/word/media/rId97.png" ContentType="image/png"/>
  <Override PartName="/word/media/rId57.png" ContentType="image/png"/>
  <Override PartName="/word/media/rId47.png" ContentType="image/png"/>
  <Override PartName="/word/media/rId75.png" ContentType="image/png"/>
  <Override PartName="/word/media/rId103.png" ContentType="image/png"/>
  <Override PartName="/word/media/rId100.png" ContentType="image/png"/>
  <Override PartName="/word/media/rId50.png" ContentType="image/png"/>
  <Override PartName="/word/media/rId54.png" ContentType="image/png"/>
  <Override PartName="/word/media/rId115.png" ContentType="image/png"/>
  <Override PartName="/word/media/rId78.png" ContentType="image/png"/>
  <Override PartName="/word/media/rId61.png" ContentType="image/png"/>
  <Override PartName="/word/media/rId112.png" ContentType="image/png"/>
  <Override PartName="/word/media/rId86.png" ContentType="image/png"/>
  <Override PartName="/word/media/rId109.png" ContentType="image/png"/>
  <Override PartName="/word/media/rId72.png" ContentType="image/png"/>
  <Override PartName="/word/media/rId106.png" ContentType="image/png"/>
  <Override PartName="/word/media/rId64.png" ContentType="image/png"/>
  <Override PartName="/word/media/rId68.png" ContentType="image/png"/>
  <Override PartName="/word/media/rId43.png" ContentType="image/png"/>
  <Override PartName="/word/footer_pg.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Para"/>
      </w:pPr>
      <w:r>
        <w:drawing>
          <wp:inline>
            <wp:extent cx="2103120" cy="1988923"/>
            <wp:effectExtent b="0" l="0" r="0" t="0"/>
            <wp:docPr descr="" title="" id="21" name="Picture"/>
            <a:graphic>
              <a:graphicData uri="http://schemas.openxmlformats.org/drawingml/2006/picture">
                <pic:pic>
                  <pic:nvPicPr>
                    <pic:cNvPr descr="/home/user/MAP---A/research/tools/assets/deped_header.png" id="22" name="Picture"/>
                    <pic:cNvPicPr>
                      <a:picLocks noChangeArrowheads="1" noChangeAspect="1"/>
                    </pic:cNvPicPr>
                  </pic:nvPicPr>
                  <pic:blipFill>
                    <a:blip r:embed="rId20"/>
                    <a:stretch>
                      <a:fillRect/>
                    </a:stretch>
                  </pic:blipFill>
                  <pic:spPr bwMode="auto">
                    <a:xfrm>
                      <a:off x="0" y="0"/>
                      <a:ext cx="2103120" cy="1988923"/>
                    </a:xfrm>
                    <a:prstGeom prst="rect">
                      <a:avLst/>
                    </a:prstGeom>
                    <a:noFill/>
                    <a:ln w="9525">
                      <a:noFill/>
                      <a:headEnd/>
                      <a:tailEnd/>
                    </a:ln>
                  </pic:spPr>
                </pic:pic>
              </a:graphicData>
            </a:graphic>
          </wp:inline>
        </w:drawing>
      </w:r>
    </w:p>
    <w:p>
      <w:pPr>
        <w:pStyle w:val="TitleMain"/>
      </w:pPr>
      <w:r>
        <w:t xml:space="preserve">Where People Go, Dengue Goes: A Verified Mobility-Coupled Network Model for Ranking Dengue Hotspots, Issuing Early Warnings, and Allocating Vector Control at Least Cost in Albay</w:t>
      </w:r>
    </w:p>
    <w:p>
      <w:pPr>
        <w:pStyle w:val="CenterBold"/>
      </w:pPr>
      <w:r>
        <w:t xml:space="preserve">Research Category</w:t>
      </w:r>
    </w:p>
    <w:p>
      <w:pPr>
        <w:pStyle w:val="Center"/>
      </w:pPr>
      <w:r>
        <w:t xml:space="preserve">Mathematics and Computational Sciences, Team (MCS-T)</w:t>
      </w:r>
    </w:p>
    <w:p>
      <w:pPr>
        <w:pStyle w:val="CenterBold"/>
      </w:pPr>
      <w:r>
        <w:t xml:space="preserve">Researchers</w:t>
      </w:r>
    </w:p>
    <w:p>
      <w:pPr>
        <w:pStyle w:val="Center"/>
      </w:pPr>
      <w:r>
        <w:t xml:space="preserve">Brimbuela, Peter John A.</w:t>
      </w:r>
    </w:p>
    <w:p>
      <w:pPr>
        <w:pStyle w:val="Center"/>
      </w:pPr>
      <w:r>
        <w:t xml:space="preserve">De Asis, Dave Justin Ll.</w:t>
      </w:r>
    </w:p>
    <w:p>
      <w:pPr>
        <w:pStyle w:val="Center"/>
      </w:pPr>
      <w:r>
        <w:t xml:space="preserve">Shin, Yeaseong</w:t>
      </w:r>
    </w:p>
    <w:p>
      <w:pPr>
        <w:pStyle w:val="CenterBold"/>
      </w:pPr>
      <w:r>
        <w:t xml:space="preserve">Research Adviser</w:t>
      </w:r>
    </w:p>
    <w:p>
      <w:pPr>
        <w:pStyle w:val="Center"/>
      </w:pPr>
      <w:r>
        <w:t xml:space="preserve">Calleja, Dick Anthony M.</w:t>
      </w:r>
    </w:p>
    <w:p>
      <w:pPr>
        <w:pStyle w:val="Center"/>
      </w:pPr>
      <w:r>
        <w:t xml:space="preserve">Legazpi City Science High School</w:t>
      </w:r>
    </w:p>
    <w:p>
      <w:pPr>
        <w:pStyle w:val="Center"/>
      </w:pPr>
      <w:r>
        <w:t xml:space="preserve">Legazpi City, Albay</w:t>
      </w:r>
    </w:p>
    <w:p>
      <w:pPr>
        <w:pStyle w:val="Center"/>
      </w:pPr>
      <w:r>
        <w:t xml:space="preserve">Bicol Region (Region V), Philippines</w:t>
      </w:r>
    </w:p>
    <w:p>
      <w:r>
        <w:br w:type="page"/>
      </w:r>
    </w:p>
    <w:p>
      <w:pPr>
        <w:pStyle w:val="BodyText"/>
      </w:pPr>
      <w:r>
        <w:t xml:space="preserve">TABLE OF CONTENTS</w:t>
      </w:r>
    </w:p>
    <w:p>
      <w:pPr>
        <w:pStyle w:val="TOC1"/>
      </w:pPr>
      <w:r>
        <w:t xml:space="preserve">ABSTRACT</w:t>
        <w:tab/>
        <w:t xml:space="preserve">5</w:t>
      </w:r>
    </w:p>
    <w:p>
      <w:pPr>
        <w:pStyle w:val="TOC1"/>
      </w:pPr>
      <w:r>
        <w:t xml:space="preserve">1. INTRODUCTION</w:t>
        <w:tab/>
        <w:t xml:space="preserve">6</w:t>
      </w:r>
    </w:p>
    <w:p>
      <w:pPr>
        <w:pStyle w:val="TOC2"/>
      </w:pPr>
      <w:r>
        <w:t xml:space="preserve">1.1 Statement of the Problem</w:t>
        <w:tab/>
        <w:t xml:space="preserve">7</w:t>
      </w:r>
    </w:p>
    <w:p>
      <w:pPr>
        <w:pStyle w:val="TOC2"/>
      </w:pPr>
      <w:r>
        <w:t xml:space="preserve">1.2 Objectives of the Study</w:t>
        <w:tab/>
        <w:t xml:space="preserve">7</w:t>
      </w:r>
    </w:p>
    <w:p>
      <w:pPr>
        <w:pStyle w:val="TOC2"/>
      </w:pPr>
      <w:r>
        <w:t xml:space="preserve">1.3 Research Questions</w:t>
        <w:tab/>
        <w:t xml:space="preserve">8</w:t>
      </w:r>
    </w:p>
    <w:p>
      <w:pPr>
        <w:pStyle w:val="TOC2"/>
      </w:pPr>
      <w:r>
        <w:t xml:space="preserve">1.4 Review of Related Literature</w:t>
        <w:tab/>
        <w:t xml:space="preserve">9</w:t>
      </w:r>
    </w:p>
    <w:p>
      <w:pPr>
        <w:pStyle w:val="TOC3"/>
      </w:pPr>
      <w:r>
        <w:t xml:space="preserve">1.4.1 Dengue and Its Vector</w:t>
        <w:tab/>
        <w:t xml:space="preserve">9</w:t>
      </w:r>
    </w:p>
    <w:p>
      <w:pPr>
        <w:pStyle w:val="TOC3"/>
      </w:pPr>
      <w:r>
        <w:t xml:space="preserve">1.4.2 Dengue in the Philippines and in Albay</w:t>
        <w:tab/>
        <w:t xml:space="preserve">10</w:t>
      </w:r>
    </w:p>
    <w:p>
      <w:pPr>
        <w:pStyle w:val="TOC3"/>
      </w:pPr>
      <w:r>
        <w:t xml:space="preserve">1.4.3 Reproduction Numbers for Mosquito-Borne Infections</w:t>
        <w:tab/>
        <w:t xml:space="preserve">10</w:t>
      </w:r>
    </w:p>
    <w:p>
      <w:pPr>
        <w:pStyle w:val="TOC3"/>
      </w:pPr>
      <w:r>
        <w:t xml:space="preserve">1.4.4 Human Movement and Dengue</w:t>
        <w:tab/>
        <w:t xml:space="preserve">10</w:t>
      </w:r>
    </w:p>
    <w:p>
      <w:pPr>
        <w:pStyle w:val="TOC3"/>
      </w:pPr>
      <w:r>
        <w:t xml:space="preserve">1.4.5 Uneven Exposure</w:t>
        <w:tab/>
        <w:t xml:space="preserve">11</w:t>
      </w:r>
    </w:p>
    <w:p>
      <w:pPr>
        <w:pStyle w:val="TOC3"/>
      </w:pPr>
      <w:r>
        <w:t xml:space="preserve">1.4.6 Weather and Dengue</w:t>
        <w:tab/>
        <w:t xml:space="preserve">11</w:t>
      </w:r>
    </w:p>
    <w:p>
      <w:pPr>
        <w:pStyle w:val="TOC3"/>
      </w:pPr>
      <w:r>
        <w:t xml:space="preserve">1.4.7 Vector Control and Its Evidence</w:t>
        <w:tab/>
        <w:t xml:space="preserve">11</w:t>
      </w:r>
    </w:p>
    <w:p>
      <w:pPr>
        <w:pStyle w:val="TOC3"/>
      </w:pPr>
      <w:r>
        <w:t xml:space="preserve">1.4.8 Detecting Outbreaks</w:t>
        <w:tab/>
        <w:t xml:space="preserve">11</w:t>
      </w:r>
    </w:p>
    <w:p>
      <w:pPr>
        <w:pStyle w:val="TOC3"/>
      </w:pPr>
      <w:r>
        <w:t xml:space="preserve">1.4.9 Matrix Tools</w:t>
        <w:tab/>
        <w:t xml:space="preserve">12</w:t>
      </w:r>
    </w:p>
    <w:p>
      <w:pPr>
        <w:pStyle w:val="TOC3"/>
      </w:pPr>
      <w:r>
        <w:t xml:space="preserve">1.4.10 Open Data for Dengue Planning</w:t>
        <w:tab/>
        <w:t xml:space="preserve">12</w:t>
      </w:r>
    </w:p>
    <w:p>
      <w:pPr>
        <w:pStyle w:val="TOC2"/>
      </w:pPr>
      <w:r>
        <w:t xml:space="preserve">1.5 Research Gap</w:t>
        <w:tab/>
        <w:t xml:space="preserve">12</w:t>
      </w:r>
    </w:p>
    <w:p>
      <w:pPr>
        <w:pStyle w:val="TOC2"/>
      </w:pPr>
      <w:r>
        <w:t xml:space="preserve">1.6 Contributions of the Study</w:t>
        <w:tab/>
        <w:t xml:space="preserve">13</w:t>
      </w:r>
    </w:p>
    <w:p>
      <w:pPr>
        <w:pStyle w:val="TOC2"/>
      </w:pPr>
      <w:r>
        <w:t xml:space="preserve">1.7 Scope and Delimitation</w:t>
        <w:tab/>
        <w:t xml:space="preserve">14</w:t>
      </w:r>
    </w:p>
    <w:p>
      <w:pPr>
        <w:pStyle w:val="TOC2"/>
      </w:pPr>
      <w:r>
        <w:t xml:space="preserve">1.8 Contribution to the Sustainable Development Goals</w:t>
        <w:tab/>
        <w:t xml:space="preserve">14</w:t>
      </w:r>
    </w:p>
    <w:p>
      <w:pPr>
        <w:pStyle w:val="TOC1"/>
      </w:pPr>
      <w:r>
        <w:t xml:space="preserve">2. FRAMEWORK</w:t>
        <w:tab/>
        <w:t xml:space="preserve">14</w:t>
      </w:r>
    </w:p>
    <w:p>
      <w:pPr>
        <w:pStyle w:val="TOC2"/>
      </w:pPr>
      <w:r>
        <w:t xml:space="preserve">2.1 Study Area and Barangays</w:t>
        <w:tab/>
        <w:t xml:space="preserve">15</w:t>
      </w:r>
    </w:p>
    <w:p>
      <w:pPr>
        <w:pStyle w:val="TOC2"/>
      </w:pPr>
      <w:r>
        <w:t xml:space="preserve">2.2 Where Residents Spend the Day</w:t>
        <w:tab/>
        <w:t xml:space="preserve">16</w:t>
      </w:r>
    </w:p>
    <w:p>
      <w:pPr>
        <w:pStyle w:val="TOC2"/>
      </w:pPr>
      <w:r>
        <w:t xml:space="preserve">2.3 Mosquitoes and Transmission</w:t>
        <w:tab/>
        <w:t xml:space="preserve">16</w:t>
      </w:r>
    </w:p>
    <w:p>
      <w:pPr>
        <w:pStyle w:val="TOC2"/>
      </w:pPr>
      <w:r>
        <w:t xml:space="preserve">2.4 The Reproduction Number</w:t>
        <w:tab/>
        <w:t xml:space="preserve">17</w:t>
      </w:r>
    </w:p>
    <w:p>
      <w:pPr>
        <w:pStyle w:val="TOC2"/>
      </w:pPr>
      <w:r>
        <w:t xml:space="preserve">2.5 How Much Transmission Each Place Carries</w:t>
        <w:tab/>
        <w:t xml:space="preserve">18</w:t>
      </w:r>
    </w:p>
    <w:p>
      <w:pPr>
        <w:pStyle w:val="TOC2"/>
      </w:pPr>
      <w:r>
        <w:t xml:space="preserve">2.6 Vector Control at Least Cost</w:t>
        <w:tab/>
        <w:t xml:space="preserve">19</w:t>
      </w:r>
    </w:p>
    <w:p>
      <w:pPr>
        <w:pStyle w:val="TOC2"/>
      </w:pPr>
      <w:r>
        <w:t xml:space="preserve">2.7 Where People Get Infected</w:t>
        <w:tab/>
        <w:t xml:space="preserve">20</w:t>
      </w:r>
    </w:p>
    <w:p>
      <w:pPr>
        <w:pStyle w:val="TOC2"/>
      </w:pPr>
      <w:r>
        <w:t xml:space="preserve">2.8 The Outbreak Alarm</w:t>
        <w:tab/>
        <w:t xml:space="preserve">20</w:t>
      </w:r>
    </w:p>
    <w:p>
      <w:pPr>
        <w:pStyle w:val="TOC2"/>
      </w:pPr>
      <w:r>
        <w:t xml:space="preserve">2.9 Seasons</w:t>
        <w:tab/>
        <w:t xml:space="preserve">21</w:t>
      </w:r>
    </w:p>
    <w:p>
      <w:pPr>
        <w:pStyle w:val="TOC2"/>
      </w:pPr>
      <w:r>
        <w:t xml:space="preserve">2.10 Strategies Compared</w:t>
        <w:tab/>
        <w:t xml:space="preserve">21</w:t>
      </w:r>
    </w:p>
    <w:p>
      <w:pPr>
        <w:pStyle w:val="TOC2"/>
      </w:pPr>
      <w:r>
        <w:t xml:space="preserve">2.11 Assumptions</w:t>
        <w:tab/>
        <w:t xml:space="preserve">21</w:t>
      </w:r>
    </w:p>
    <w:p>
      <w:pPr>
        <w:pStyle w:val="TOC2"/>
      </w:pPr>
      <w:r>
        <w:t xml:space="preserve">2.12 Notation</w:t>
        <w:tab/>
        <w:t xml:space="preserve">22</w:t>
      </w:r>
    </w:p>
    <w:p>
      <w:pPr>
        <w:pStyle w:val="TOC1"/>
      </w:pPr>
      <w:r>
        <w:t xml:space="preserve">3. FINDINGS</w:t>
        <w:tab/>
        <w:t xml:space="preserve">22</w:t>
      </w:r>
    </w:p>
    <w:p>
      <w:pPr>
        <w:pStyle w:val="TOC2"/>
      </w:pPr>
      <w:r>
        <w:t xml:space="preserve">3.0 Data and Integrity of the Results</w:t>
        <w:tab/>
        <w:t xml:space="preserve">22</w:t>
      </w:r>
    </w:p>
    <w:p>
      <w:pPr>
        <w:pStyle w:val="TOC2"/>
      </w:pPr>
      <w:r>
        <w:t xml:space="preserve">3.1 General Methods</w:t>
        <w:tab/>
        <w:t xml:space="preserve">22</w:t>
      </w:r>
    </w:p>
    <w:p>
      <w:pPr>
        <w:pStyle w:val="TOC2"/>
      </w:pPr>
      <w:r>
        <w:t xml:space="preserve">3.2 Theoretical Results</w:t>
        <w:tab/>
        <w:t xml:space="preserve">23</w:t>
      </w:r>
    </w:p>
    <w:p>
      <w:pPr>
        <w:pStyle w:val="TOC2"/>
      </w:pPr>
      <w:r>
        <w:t xml:space="preserve">3.3 Software Verification</w:t>
        <w:tab/>
        <w:t xml:space="preserve">28</w:t>
      </w:r>
    </w:p>
    <w:p>
      <w:pPr>
        <w:pStyle w:val="TOC2"/>
      </w:pPr>
      <w:r>
        <w:t xml:space="preserve">3.4 Computational Cost</w:t>
        <w:tab/>
        <w:t xml:space="preserve">30</w:t>
      </w:r>
    </w:p>
    <w:p>
      <w:pPr>
        <w:pStyle w:val="TOC2"/>
      </w:pPr>
      <w:r>
        <w:t xml:space="preserve">3.5 Worked Instance D1</w:t>
        <w:tab/>
        <w:t xml:space="preserve">30</w:t>
      </w:r>
    </w:p>
    <w:p>
      <w:pPr>
        <w:pStyle w:val="TOC3"/>
      </w:pPr>
      <w:r>
        <w:t xml:space="preserve">3.5.1 How Much Transmission Each Place Carries</w:t>
        <w:tab/>
        <w:t xml:space="preserve">31</w:t>
      </w:r>
    </w:p>
    <w:p>
      <w:pPr>
        <w:pStyle w:val="TOC3"/>
      </w:pPr>
      <w:r>
        <w:t xml:space="preserve">3.5.2 Vector Control at Least Cost</w:t>
        <w:tab/>
        <w:t xml:space="preserve">33</w:t>
      </w:r>
    </w:p>
    <w:p>
      <w:pPr>
        <w:pStyle w:val="TOC3"/>
      </w:pPr>
      <w:r>
        <w:t xml:space="preserve">3.5.3 Where People Got Infected</w:t>
        <w:tab/>
        <w:t xml:space="preserve">34</w:t>
      </w:r>
    </w:p>
    <w:p>
      <w:pPr>
        <w:pStyle w:val="TOC3"/>
      </w:pPr>
      <w:r>
        <w:t xml:space="preserve">3.5.4 Early Warning</w:t>
        <w:tab/>
        <w:t xml:space="preserve">34</w:t>
      </w:r>
    </w:p>
    <w:p>
      <w:pPr>
        <w:pStyle w:val="TOC2"/>
      </w:pPr>
      <w:r>
        <w:t xml:space="preserve">3.6 Planned Experiments on the Albay Instance</w:t>
        <w:tab/>
        <w:t xml:space="preserve">36</w:t>
      </w:r>
    </w:p>
    <w:p>
      <w:pPr>
        <w:pStyle w:val="TOC3"/>
      </w:pPr>
      <w:r>
        <w:t xml:space="preserve">3.6.1 Sensitivity Analysis</w:t>
        <w:tab/>
        <w:t xml:space="preserve">36</w:t>
      </w:r>
    </w:p>
    <w:p>
      <w:pPr>
        <w:pStyle w:val="TOC3"/>
      </w:pPr>
      <w:r>
        <w:t xml:space="preserve">3.6.2 Statistical Treatment</w:t>
        <w:tab/>
        <w:t xml:space="preserve">36</w:t>
      </w:r>
    </w:p>
    <w:p>
      <w:pPr>
        <w:pStyle w:val="TOC3"/>
      </w:pPr>
      <w:r>
        <w:t xml:space="preserve">3.6.3 Hypotheses Fixed in Advance</w:t>
        <w:tab/>
        <w:t xml:space="preserve">36</w:t>
      </w:r>
    </w:p>
    <w:p>
      <w:pPr>
        <w:pStyle w:val="TOC3"/>
      </w:pPr>
      <w:r>
        <w:t xml:space="preserve">3.6.4 Sensitivity Sweeps</w:t>
        <w:tab/>
        <w:t xml:space="preserve">37</w:t>
      </w:r>
    </w:p>
    <w:p>
      <w:pPr>
        <w:pStyle w:val="TOC1"/>
      </w:pPr>
      <w:r>
        <w:t xml:space="preserve">4. CONCLUSIONS</w:t>
        <w:tab/>
        <w:t xml:space="preserve">37</w:t>
      </w:r>
    </w:p>
    <w:p>
      <w:pPr>
        <w:pStyle w:val="TOC2"/>
      </w:pPr>
      <w:r>
        <w:t xml:space="preserve">4.1 Summary of the Findings</w:t>
        <w:tab/>
        <w:t xml:space="preserve">37</w:t>
      </w:r>
    </w:p>
    <w:p>
      <w:pPr>
        <w:pStyle w:val="TOC2"/>
      </w:pPr>
      <w:r>
        <w:t xml:space="preserve">4.2 Limitations</w:t>
        <w:tab/>
        <w:t xml:space="preserve">39</w:t>
      </w:r>
    </w:p>
    <w:p>
      <w:pPr>
        <w:pStyle w:val="TOC2"/>
      </w:pPr>
      <w:r>
        <w:t xml:space="preserve">4.3 Recommendations and Next Steps</w:t>
        <w:tab/>
        <w:t xml:space="preserve">40</w:t>
      </w:r>
    </w:p>
    <w:p>
      <w:pPr>
        <w:pStyle w:val="TOC2"/>
      </w:pPr>
      <w:r>
        <w:t xml:space="preserve">4.4 Applications</w:t>
        <w:tab/>
        <w:t xml:space="preserve">41</w:t>
      </w:r>
    </w:p>
    <w:p>
      <w:pPr>
        <w:pStyle w:val="TOC1"/>
      </w:pPr>
      <w:r>
        <w:t xml:space="preserve">5. REFERENCES</w:t>
        <w:tab/>
        <w:t xml:space="preserve">42</w:t>
      </w:r>
    </w:p>
    <w:p>
      <w:pPr>
        <w:pStyle w:val="TOC1"/>
      </w:pPr>
      <w:r>
        <w:t xml:space="preserve">APPENDIX A. REGISTER OF PUBLIC DATA SOURCES</w:t>
        <w:tab/>
        <w:t xml:space="preserve">46</w:t>
      </w:r>
    </w:p>
    <w:p>
      <w:pPr>
        <w:pStyle w:val="TOC1"/>
      </w:pPr>
      <w:r>
        <w:t xml:space="preserve">APPENDIX B. FILES OF THE DATA SET</w:t>
        <w:tab/>
        <w:t xml:space="preserve">47</w:t>
      </w:r>
    </w:p>
    <w:p>
      <w:pPr>
        <w:pStyle w:val="TOC1"/>
      </w:pPr>
      <w:r>
        <w:t xml:space="preserve">APPENDIX C. MOSQUITO INDEX AND CASE FIELDS</w:t>
        <w:tab/>
        <w:t xml:space="preserve">47</w:t>
      </w:r>
    </w:p>
    <w:p>
      <w:pPr>
        <w:pStyle w:val="TOC1"/>
      </w:pPr>
      <w:r>
        <w:t xml:space="preserve">APPENDIX D. FEATURES OF THE BANTA-Y APPLICATION</w:t>
        <w:tab/>
        <w:t xml:space="preserve">48</w:t>
      </w:r>
    </w:p>
    <w:p>
      <w:pPr>
        <w:pStyle w:val="TOC1"/>
      </w:pPr>
      <w:r>
        <w:t xml:space="preserve">APPENDIX E. RISK REGISTER</w:t>
        <w:tab/>
        <w:t xml:space="preserve">49</w:t>
      </w:r>
    </w:p>
    <w:p>
      <w:pPr>
        <w:pStyle w:val="TOC1"/>
      </w:pPr>
      <w:r>
        <w:t xml:space="preserve">APPENDIX F. HOW TO REPRODUCE EVERY NUMBER</w:t>
        <w:tab/>
        <w:t xml:space="preserve">49</w:t>
      </w:r>
    </w:p>
    <w:p>
      <w:pPr>
        <w:pStyle w:val="TOC1"/>
      </w:pPr>
      <w:r>
        <w:t xml:space="preserve">ETHICS STATEMENT</w:t>
        <w:tab/>
        <w:t xml:space="preserve">50</w:t>
      </w:r>
    </w:p>
    <w:p>
      <w:r>
        <w:br w:type="page"/>
      </w:r>
    </w:p>
    <w:bookmarkStart w:id="23" w:name="abstract"/>
    <w:p>
      <w:pPr>
        <w:pStyle w:val="Heading1"/>
      </w:pPr>
      <w:r>
        <w:t xml:space="preserve">ABSTRACT</w:t>
      </w:r>
    </w:p>
    <w:p>
      <w:pPr>
        <w:pStyle w:val="AbstractTitle"/>
      </w:pPr>
      <w:r>
        <w:t xml:space="preserve">Where People Go, Dengue Goes: A Verified Mobility-Coupled Network Model for Ranking Dengue Hotspots, Issuing Early Warnings, and Allocating Vector Control at Least Cost in Albay</w:t>
      </w:r>
    </w:p>
    <w:p>
      <w:pPr>
        <w:pStyle w:val="Center"/>
      </w:pPr>
      <w:r>
        <w:rPr>
          <w:iCs/>
          <w:i/>
        </w:rPr>
        <w:t xml:space="preserve">Brimbuela, Peter John A., De Asis, Dave Justin Ll., Shin, Yeaseong</w:t>
      </w:r>
    </w:p>
    <w:p>
      <w:pPr>
        <w:pStyle w:val="Center"/>
      </w:pPr>
      <w:r>
        <w:rPr>
          <w:iCs/>
          <w:i/>
        </w:rPr>
        <w:t xml:space="preserve">Legazpi City Science High School, Legazpi City, Albay, Bicol Region (Region V)</w:t>
      </w:r>
    </w:p>
    <w:p>
      <w:pPr>
        <w:pStyle w:val="BodyText"/>
      </w:pPr>
      <w:r>
        <w:t xml:space="preserve">Albay declared a state of calamity over dengue in September 2026 after reported cases rose by 84 percent over the year before. Cases are logged at the patient’s home address, but the day-biting</w:t>
      </w:r>
      <w:r>
        <w:t xml:space="preserve"> </w:t>
      </w:r>
      <w:r>
        <w:rPr>
          <w:iCs/>
          <w:i/>
        </w:rPr>
        <w:t xml:space="preserve">Aedes aegypti</w:t>
      </w:r>
      <w:r>
        <w:t xml:space="preserve"> </w:t>
      </w:r>
      <w:r>
        <w:t xml:space="preserve">mosquito infects people where they spend their daylight hours, at school, at the market, and at work, so cleanup brigades and spraying are often sent to the wrong barangay. A model small enough for a laptop was built to link mosquito density in each barangay to the share of the day residents spend in every other barangay. Its reproduction number is the largest eigenvalue of a symmetric matrix, which yields four tools: bounds that flag where transmission can persist, a ranking of places by their share of transmission, a least-cost allocation of brigade team-days solved as a convex program with a certified optimality gap, and an inversion that moves case counts from homes to the places of infection. A Poisson CUSUM rule gives the outbreak alarm. Twelve propositions were proven, and each was tested on synthetic instances against independently written code; the reproduction number agreed with a numerical next-generation matrix to 5.3 × 10</w:t>
      </w:r>
      <w:r>
        <w:rPr>
          <w:vertAlign w:val="superscript"/>
        </w:rPr>
        <w:t xml:space="preserve">−15</w:t>
      </w:r>
      <w:r>
        <w:t xml:space="preserve"> </w:t>
      </w:r>
      <w:r>
        <w:t xml:space="preserve">in 300 instances, and the control solver matched a fine grid and a general nonlinear solver in all 120 cases. On a six-barangay test network, homes pointed to a residential barangay, while 42.6 percent of transmission took place at the town center with the school and market; the least-cost plan reached the target with 22.60 team-days, 40 percent fewer than uniform spraying and 42 percent fewer than spraying where cases live. At an equal false-alarm rate, the CUSUM rule sounded on average 1.7 weeks earlier than a single-week threshold. Open data and routine case reports therefore suffice to target dengue control by place, supporting SDG 3. A pilot with barangay dengue brigades, led by the Provincial Health Office, is recommended.</w:t>
      </w:r>
    </w:p>
    <w:p>
      <w:pPr>
        <w:pStyle w:val="BodyText"/>
      </w:pPr>
      <w:r>
        <w:rPr>
          <w:bCs/>
          <w:b/>
        </w:rPr>
        <w:t xml:space="preserve">Keywords:</w:t>
      </w:r>
      <w:r>
        <w:t xml:space="preserve"> </w:t>
      </w:r>
      <w:r>
        <w:t xml:space="preserve">dengue, next-generation matrix, residence-time model, semidefinite optimization, CUSUM</w:t>
      </w:r>
    </w:p>
    <w:p>
      <w:r>
        <w:br w:type="page"/>
      </w:r>
    </w:p>
    <w:bookmarkEnd w:id="23"/>
    <w:bookmarkStart w:id="42" w:name="introduction"/>
    <w:p>
      <w:pPr>
        <w:pStyle w:val="Heading1"/>
      </w:pPr>
      <w:r>
        <w:t xml:space="preserve">1. INTRODUCTION</w:t>
      </w:r>
    </w:p>
    <w:p>
      <w:pPr>
        <w:pStyle w:val="FirstParagraph"/>
      </w:pPr>
      <w:r>
        <w:t xml:space="preserve">The World Health Organization (2012) describes dengue as the most rapidly spreading mosquito-borne viral disease in the world, and most of its burden falls on Asia (Bhatt et al., 2013). The Philippines declared a national dengue epidemic on August 6, 2019, after more than 146,000 cases and 622 deaths in the first seven months of that year (United Nations Office for the Coordination of Humanitarian Affairs [OCHA], 2019). Seven years later the disease returned to Albay with force. By September 12, 2026, the province had logged 2,179 cases and 14 deaths, 84 percent more cases than in the same months of 2025; the Provincial Board declared a state of calamity, public schools closed for a week of cleanup and fogging, and the count passed 2,888 by September 21 (Daily Tribune, 2026a, 2026b, 2026c).</w:t>
      </w:r>
    </w:p>
    <w:p>
      <w:pPr>
        <w:pStyle w:val="BodyText"/>
      </w:pPr>
      <w:r>
        <w:t xml:space="preserve">Every one of those cases was written down at a home address. Legazpi City led the provincial tally with 486 cases, followed by Bacacay, Daraga, Tabaco, and Malilipot (Daily Tribune, 2026b). The mosquito that carries dengue,</w:t>
      </w:r>
      <w:r>
        <w:t xml:space="preserve"> </w:t>
      </w:r>
      <w:r>
        <w:rPr>
          <w:iCs/>
          <w:i/>
        </w:rPr>
        <w:t xml:space="preserve">Aedes aegypti</w:t>
      </w:r>
      <w:r>
        <w:t xml:space="preserve">, feeds during the day and seldom travels far from where it breeds, so a child is often bitten not in the bedroom but in the classroom, the jeepney terminal, or the market stall (Stoddard et al., 2013). A barangay can therefore post many cases while the mosquitoes that infected its residents live in another barangay altogether.</w:t>
      </w:r>
    </w:p>
    <w:p>
      <w:pPr>
        <w:pStyle w:val="BodyText"/>
      </w:pPr>
      <w:r>
        <w:t xml:space="preserve">The Department of Health asks communities to follow its 4S strategy: search and destroy breeding sites, use self-protection, seek early consultation, and support fogging or spraying only in hotspots (Philippine Information Agency, n.d.). Each S needs a decision that mathematics can sharpen. Which places are the hotspots? How many team-days of cleanup are enough to stop transmission, and where should they go? When does a rise in reported cases mean an outbreak rather than ordinary noise?</w:t>
      </w:r>
    </w:p>
    <w:p>
      <w:pPr>
        <w:pStyle w:val="BodyText"/>
      </w:pPr>
      <w:r>
        <w:t xml:space="preserve">This study answers those questions with a model of places and people. Barangays become the nodes of a network, the hours residents spend away from home become the weights of its links, and the condition</w:t>
      </w:r>
      <w:r>
        <w:t xml:space="preserve"> </w:t>
      </w:r>
      <w:r>
        <w:t xml:space="preserve">“</w:t>
      </w:r>
      <w:r>
        <w:t xml:space="preserve">dengue cannot sustain itself</w:t>
      </w:r>
      <w:r>
        <w:t xml:space="preserve">”</w:t>
      </w:r>
      <w:r>
        <w:t xml:space="preserve"> </w:t>
      </w:r>
      <w:r>
        <w:t xml:space="preserve">becomes an inequality on the largest eigenvalue of a matrix. Once the health problem is recast as linear algebra and convex optimization, what a plan achieves can be proven and the plan itself computed in seconds.</w:t>
      </w:r>
    </w:p>
    <w:bookmarkStart w:id="24" w:name="statement-of-the-problem"/>
    <w:p>
      <w:pPr>
        <w:pStyle w:val="Heading2"/>
      </w:pPr>
      <w:r>
        <w:t xml:space="preserve">1.1 Statement of the Problem</w:t>
      </w:r>
    </w:p>
    <w:p>
      <w:pPr>
        <w:pStyle w:val="FirstParagraph"/>
      </w:pPr>
      <w:r>
        <w:t xml:space="preserve">The study begins with the people who fight dengue every season: the barangay health worker, the dengue brigade, the school head, and the provincial epidemiologist. Their problems, each paired with the piece of the model designed to answer it, appear in Table 1.</w:t>
      </w:r>
    </w:p>
    <w:p>
      <w:pPr>
        <w:pStyle w:val="PaperCaption"/>
      </w:pPr>
      <w:r>
        <w:rPr>
          <w:bCs/>
          <w:b/>
        </w:rPr>
        <w:t xml:space="preserve">Table 1.</w:t>
      </w:r>
      <w:r>
        <w:t xml:space="preserve"> </w:t>
      </w:r>
      <w:r>
        <w:t xml:space="preserve">Dengue-control problems taken up here, each matched with the model component that answers it.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401"/>
        <w:gridCol w:w="2305"/>
        <w:gridCol w:w="2305"/>
        <w:gridCol w:w="2907"/>
      </w:tblGrid>
      <w:tr>
        <w:trPr>
          <w:cantSplit/>
          <w:tblHeader w:val="true"/>
        </w:trPr>
        <w:tc>
          <w:tcPr/>
          <w:p>
            <w:pPr>
              <w:pStyle w:val="TableText"/>
              <w:jc w:val="left"/>
            </w:pPr>
            <w:r>
              <w:rPr>
                <w:b/>
              </w:rPr>
              <w:t xml:space="preserve">No.</w:t>
            </w:r>
          </w:p>
        </w:tc>
        <w:tc>
          <w:tcPr/>
          <w:p>
            <w:pPr>
              <w:pStyle w:val="TableText"/>
              <w:jc w:val="left"/>
            </w:pPr>
            <w:r>
              <w:rPr>
                <w:b/>
              </w:rPr>
              <w:t xml:space="preserve">Problem</w:t>
            </w:r>
          </w:p>
        </w:tc>
        <w:tc>
          <w:tcPr/>
          <w:p>
            <w:pPr>
              <w:pStyle w:val="TableText"/>
              <w:jc w:val="left"/>
            </w:pPr>
            <w:r>
              <w:rPr>
                <w:b/>
              </w:rPr>
              <w:t xml:space="preserve">What goes wrong</w:t>
            </w:r>
          </w:p>
        </w:tc>
        <w:tc>
          <w:tcPr/>
          <w:p>
            <w:pPr>
              <w:pStyle w:val="TableText"/>
              <w:jc w:val="left"/>
            </w:pPr>
            <w:r>
              <w:rPr>
                <w:b/>
              </w:rPr>
              <w:t xml:space="preserve">Model component</w:t>
            </w:r>
          </w:p>
        </w:tc>
      </w:tr>
      <w:tr>
        <w:trPr>
          <w:cantSplit/>
        </w:trPr>
        <w:tc>
          <w:tcPr/>
          <w:p>
            <w:pPr>
              <w:pStyle w:val="TableText"/>
              <w:jc w:val="left"/>
            </w:pPr>
            <w:r>
              <w:t xml:space="preserve">P1</w:t>
            </w:r>
          </w:p>
        </w:tc>
        <w:tc>
          <w:tcPr/>
          <w:p>
            <w:pPr>
              <w:pStyle w:val="TableText"/>
              <w:jc w:val="left"/>
            </w:pPr>
            <w:r>
              <w:t xml:space="preserve">Cases are recorded where patients live, not where they were bitten</w:t>
            </w:r>
          </w:p>
        </w:tc>
        <w:tc>
          <w:tcPr/>
          <w:p>
            <w:pPr>
              <w:pStyle w:val="TableText"/>
              <w:jc w:val="left"/>
            </w:pPr>
            <w:r>
              <w:t xml:space="preserve">Cleanup and spraying go to homes while the source persists elsewhere</w:t>
            </w:r>
          </w:p>
        </w:tc>
        <w:tc>
          <w:tcPr/>
          <w:p>
            <w:pPr>
              <w:pStyle w:val="TableText"/>
              <w:jc w:val="left"/>
            </w:pPr>
            <w:r>
              <w:t xml:space="preserve">Residence-to-place inversion (Def. 11; Prop. 11)</w:t>
            </w:r>
          </w:p>
        </w:tc>
      </w:tr>
      <w:tr>
        <w:trPr>
          <w:cantSplit/>
        </w:trPr>
        <w:tc>
          <w:tcPr/>
          <w:p>
            <w:pPr>
              <w:pStyle w:val="TableText"/>
              <w:jc w:val="left"/>
            </w:pPr>
            <w:r>
              <w:t xml:space="preserve">P2</w:t>
            </w:r>
          </w:p>
        </w:tc>
        <w:tc>
          <w:tcPr/>
          <w:p>
            <w:pPr>
              <w:pStyle w:val="TableText"/>
              <w:jc w:val="left"/>
            </w:pPr>
            <w:r>
              <w:t xml:space="preserve">Province-wide figures look moderate</w:t>
            </w:r>
          </w:p>
        </w:tc>
        <w:tc>
          <w:tcPr/>
          <w:p>
            <w:pPr>
              <w:pStyle w:val="TableText"/>
              <w:jc w:val="left"/>
            </w:pPr>
            <w:r>
              <w:t xml:space="preserve">Pockets of intense transmission stay hidden</w:t>
            </w:r>
          </w:p>
        </w:tc>
        <w:tc>
          <w:tcPr/>
          <w:p>
            <w:pPr>
              <w:pStyle w:val="TableText"/>
              <w:jc w:val="left"/>
            </w:pPr>
            <w:r>
              <w:t xml:space="preserve">Local exposure numbers and the averaging bound (Def. 7; Props. 4, 5)</w:t>
            </w:r>
          </w:p>
        </w:tc>
      </w:tr>
      <w:tr>
        <w:trPr>
          <w:cantSplit/>
        </w:trPr>
        <w:tc>
          <w:tcPr/>
          <w:p>
            <w:pPr>
              <w:pStyle w:val="TableText"/>
              <w:jc w:val="left"/>
            </w:pPr>
            <w:r>
              <w:t xml:space="preserve">P3</w:t>
            </w:r>
          </w:p>
        </w:tc>
        <w:tc>
          <w:tcPr/>
          <w:p>
            <w:pPr>
              <w:pStyle w:val="TableText"/>
              <w:jc w:val="left"/>
            </w:pPr>
            <w:r>
              <w:t xml:space="preserve">Brigades have a fixed number of team-days</w:t>
            </w:r>
          </w:p>
        </w:tc>
        <w:tc>
          <w:tcPr/>
          <w:p>
            <w:pPr>
              <w:pStyle w:val="TableText"/>
              <w:jc w:val="left"/>
            </w:pPr>
            <w:r>
              <w:t xml:space="preserve">Effort is spread evenly or by guesswork</w:t>
            </w:r>
          </w:p>
        </w:tc>
        <w:tc>
          <w:tcPr/>
          <w:p>
            <w:pPr>
              <w:pStyle w:val="TableText"/>
              <w:jc w:val="left"/>
            </w:pPr>
            <w:r>
              <w:t xml:space="preserve">Least-cost control as a convex program (Defs. 9, 10; Props. 7 to 9)</w:t>
            </w:r>
          </w:p>
        </w:tc>
      </w:tr>
      <w:tr>
        <w:trPr>
          <w:cantSplit/>
        </w:trPr>
        <w:tc>
          <w:tcPr/>
          <w:p>
            <w:pPr>
              <w:pStyle w:val="TableText"/>
              <w:jc w:val="left"/>
            </w:pPr>
            <w:r>
              <w:t xml:space="preserve">P4</w:t>
            </w:r>
          </w:p>
        </w:tc>
        <w:tc>
          <w:tcPr/>
          <w:p>
            <w:pPr>
              <w:pStyle w:val="TableText"/>
              <w:jc w:val="left"/>
            </w:pPr>
            <w:r>
              <w:t xml:space="preserve">Outbreaks are recognized only after wards fill</w:t>
            </w:r>
          </w:p>
        </w:tc>
        <w:tc>
          <w:tcPr/>
          <w:p>
            <w:pPr>
              <w:pStyle w:val="TableText"/>
              <w:jc w:val="left"/>
            </w:pPr>
            <w:r>
              <w:t xml:space="preserve">Response begins weeks late</w:t>
            </w:r>
          </w:p>
        </w:tc>
        <w:tc>
          <w:tcPr/>
          <w:p>
            <w:pPr>
              <w:pStyle w:val="TableText"/>
              <w:jc w:val="left"/>
            </w:pPr>
            <w:r>
              <w:t xml:space="preserve">Poisson CUSUM alarm with proven delay (Def. 12; Prop. 12)</w:t>
            </w:r>
          </w:p>
        </w:tc>
      </w:tr>
      <w:tr>
        <w:trPr>
          <w:cantSplit/>
        </w:trPr>
        <w:tc>
          <w:tcPr/>
          <w:p>
            <w:pPr>
              <w:pStyle w:val="TableText"/>
              <w:jc w:val="left"/>
            </w:pPr>
            <w:r>
              <w:t xml:space="preserve">P5</w:t>
            </w:r>
          </w:p>
        </w:tc>
        <w:tc>
          <w:tcPr/>
          <w:p>
            <w:pPr>
              <w:pStyle w:val="TableText"/>
              <w:jc w:val="left"/>
            </w:pPr>
            <w:r>
              <w:t xml:space="preserve">No ranking says which place to treat first</w:t>
            </w:r>
          </w:p>
        </w:tc>
        <w:tc>
          <w:tcPr/>
          <w:p>
            <w:pPr>
              <w:pStyle w:val="TableText"/>
              <w:jc w:val="left"/>
            </w:pPr>
            <w:r>
              <w:t xml:space="preserve">The barangay with the most cases is treated first by default</w:t>
            </w:r>
          </w:p>
        </w:tc>
        <w:tc>
          <w:tcPr/>
          <w:p>
            <w:pPr>
              <w:pStyle w:val="TableText"/>
              <w:jc w:val="left"/>
            </w:pPr>
            <w:r>
              <w:t xml:space="preserve">Place shares of transmission and the hotspot score (Def. 8; Prop. 6)</w:t>
            </w:r>
          </w:p>
        </w:tc>
      </w:tr>
      <w:tr>
        <w:trPr>
          <w:cantSplit/>
        </w:trPr>
        <w:tc>
          <w:tcPr/>
          <w:p>
            <w:pPr>
              <w:pStyle w:val="TableText"/>
              <w:jc w:val="left"/>
            </w:pPr>
            <w:r>
              <w:t xml:space="preserve">P6</w:t>
            </w:r>
          </w:p>
        </w:tc>
        <w:tc>
          <w:tcPr/>
          <w:p>
            <w:pPr>
              <w:pStyle w:val="TableText"/>
              <w:jc w:val="left"/>
            </w:pPr>
            <w:r>
              <w:t xml:space="preserve">Schools and markets draw people from many barangays</w:t>
            </w:r>
          </w:p>
        </w:tc>
        <w:tc>
          <w:tcPr/>
          <w:p>
            <w:pPr>
              <w:pStyle w:val="TableText"/>
              <w:jc w:val="left"/>
            </w:pPr>
            <w:r>
              <w:t xml:space="preserve">One busy place seeds cases across the town</w:t>
            </w:r>
          </w:p>
        </w:tc>
        <w:tc>
          <w:tcPr/>
          <w:p>
            <w:pPr>
              <w:pStyle w:val="TableText"/>
              <w:jc w:val="left"/>
            </w:pPr>
            <w:r>
              <w:t xml:space="preserve">Residence-time matrix (Defs. 2, 3)</w:t>
            </w:r>
          </w:p>
        </w:tc>
      </w:tr>
      <w:tr>
        <w:trPr>
          <w:cantSplit/>
        </w:trPr>
        <w:tc>
          <w:tcPr/>
          <w:p>
            <w:pPr>
              <w:pStyle w:val="TableText"/>
              <w:jc w:val="left"/>
            </w:pPr>
            <w:r>
              <w:t xml:space="preserve">P7</w:t>
            </w:r>
          </w:p>
        </w:tc>
        <w:tc>
          <w:tcPr/>
          <w:p>
            <w:pPr>
              <w:pStyle w:val="TableText"/>
              <w:jc w:val="left"/>
            </w:pPr>
            <w:r>
              <w:t xml:space="preserve">The effect of a plan on the whole province is unknown</w:t>
            </w:r>
          </w:p>
        </w:tc>
        <w:tc>
          <w:tcPr/>
          <w:p>
            <w:pPr>
              <w:pStyle w:val="TableText"/>
              <w:jc w:val="left"/>
            </w:pPr>
            <w:r>
              <w:t xml:space="preserve">Success is judged only after the season</w:t>
            </w:r>
          </w:p>
        </w:tc>
        <w:tc>
          <w:tcPr/>
          <w:p>
            <w:pPr>
              <w:pStyle w:val="TableText"/>
              <w:jc w:val="left"/>
            </w:pPr>
            <w:r>
              <w:t xml:space="preserve">Network reproduction number (Def. 6; Props. 1, 2)</w:t>
            </w:r>
          </w:p>
        </w:tc>
      </w:tr>
      <w:tr>
        <w:trPr>
          <w:cantSplit/>
        </w:trPr>
        <w:tc>
          <w:tcPr/>
          <w:p>
            <w:pPr>
              <w:pStyle w:val="TableText"/>
              <w:jc w:val="left"/>
            </w:pPr>
            <w:r>
              <w:t xml:space="preserve">P8</w:t>
            </w:r>
          </w:p>
        </w:tc>
        <w:tc>
          <w:tcPr/>
          <w:p>
            <w:pPr>
              <w:pStyle w:val="TableText"/>
              <w:jc w:val="left"/>
            </w:pPr>
            <w:r>
              <w:t xml:space="preserve">The rainy season multiplies mosquitoes</w:t>
            </w:r>
          </w:p>
        </w:tc>
        <w:tc>
          <w:tcPr/>
          <w:p>
            <w:pPr>
              <w:pStyle w:val="TableText"/>
              <w:jc w:val="left"/>
            </w:pPr>
            <w:r>
              <w:t xml:space="preserve">A plan that works in March fails in August</w:t>
            </w:r>
          </w:p>
        </w:tc>
        <w:tc>
          <w:tcPr/>
          <w:p>
            <w:pPr>
              <w:pStyle w:val="TableText"/>
              <w:jc w:val="left"/>
            </w:pPr>
            <w:r>
              <w:t xml:space="preserve">Season factor (Def. 13; Prop. 10)</w:t>
            </w:r>
          </w:p>
        </w:tc>
      </w:tr>
      <w:tr>
        <w:trPr>
          <w:cantSplit/>
        </w:trPr>
        <w:tc>
          <w:tcPr/>
          <w:p>
            <w:pPr>
              <w:pStyle w:val="TableText"/>
              <w:jc w:val="left"/>
            </w:pPr>
            <w:r>
              <w:t xml:space="preserve">P9</w:t>
            </w:r>
          </w:p>
        </w:tc>
        <w:tc>
          <w:tcPr/>
          <w:p>
            <w:pPr>
              <w:pStyle w:val="TableText"/>
              <w:jc w:val="left"/>
            </w:pPr>
            <w:r>
              <w:t xml:space="preserve">Officials need assurance that a plan is enough</w:t>
            </w:r>
          </w:p>
        </w:tc>
        <w:tc>
          <w:tcPr/>
          <w:p>
            <w:pPr>
              <w:pStyle w:val="TableText"/>
              <w:jc w:val="left"/>
            </w:pPr>
            <w:r>
              <w:t xml:space="preserve">Plans are approved without a guarantee</w:t>
            </w:r>
          </w:p>
        </w:tc>
        <w:tc>
          <w:tcPr/>
          <w:p>
            <w:pPr>
              <w:pStyle w:val="TableText"/>
              <w:jc w:val="left"/>
            </w:pPr>
            <w:r>
              <w:t xml:space="preserve">Certificate program and certified interval (Props. 8, 9)</w:t>
            </w:r>
          </w:p>
        </w:tc>
      </w:tr>
    </w:tbl>
    <w:bookmarkEnd w:id="24"/>
    <w:bookmarkStart w:id="25" w:name="objectives-of-the-study"/>
    <w:p>
      <w:pPr>
        <w:pStyle w:val="Heading2"/>
      </w:pPr>
      <w:r>
        <w:t xml:space="preserve">1.2 Objectives of the Study</w:t>
      </w:r>
    </w:p>
    <w:p>
      <w:pPr>
        <w:pStyle w:val="FirstParagraph"/>
      </w:pPr>
      <w:r>
        <w:rPr>
          <w:bCs/>
          <w:b/>
        </w:rPr>
        <w:t xml:space="preserve">General objective.</w:t>
      </w:r>
      <w:r>
        <w:t xml:space="preserve"> </w:t>
      </w:r>
      <w:r>
        <w:t xml:space="preserve">The aim was to construct a network model of dengue transmission in Albay that follows residents through their day, to prove its properties and confirm them by computation, and to use the model to rank hotspots, to allocate vector-control effort at least cost, to locate the places of infection behind reported cases, and to raise early outbreak alarms.</w:t>
      </w:r>
    </w:p>
    <w:p>
      <w:pPr>
        <w:pStyle w:val="BodyText"/>
      </w:pPr>
      <w:r>
        <w:rPr>
          <w:bCs/>
          <w:b/>
        </w:rPr>
        <w:t xml:space="preserve">Specific objectives.</w:t>
      </w:r>
      <w:r>
        <w:t xml:space="preserve"> </w:t>
      </w:r>
      <w:r>
        <w:t xml:space="preserve">More specifically, this work set out to:</w:t>
      </w:r>
    </w:p>
    <w:p>
      <w:pPr>
        <w:numPr>
          <w:ilvl w:val="0"/>
          <w:numId w:val="1001"/>
        </w:numPr>
        <w:pStyle w:val="Compact"/>
      </w:pPr>
      <w:r>
        <w:t xml:space="preserve">represent barangays, their residents, their mosquitoes, and the hours residents spend in other barangays as a residence-time network built from open data;</w:t>
      </w:r>
    </w:p>
    <w:p>
      <w:pPr>
        <w:numPr>
          <w:ilvl w:val="0"/>
          <w:numId w:val="1001"/>
        </w:numPr>
        <w:pStyle w:val="Compact"/>
      </w:pPr>
      <w:r>
        <w:t xml:space="preserve">derive the reproduction number of dengue on that network and prove its threshold property, its symmetric form, and computable bounds on it;</w:t>
      </w:r>
    </w:p>
    <w:p>
      <w:pPr>
        <w:numPr>
          <w:ilvl w:val="0"/>
          <w:numId w:val="1001"/>
        </w:numPr>
        <w:pStyle w:val="Compact"/>
      </w:pPr>
      <w:r>
        <w:t xml:space="preserve">rank places by their share of transmission and prove that the ranking measures the effect of control at each place;</w:t>
      </w:r>
    </w:p>
    <w:p>
      <w:pPr>
        <w:numPr>
          <w:ilvl w:val="0"/>
          <w:numId w:val="1001"/>
        </w:numPr>
        <w:pStyle w:val="Compact"/>
      </w:pPr>
      <w:r>
        <w:t xml:space="preserve">formulate the least-cost allocation of vector control as a convex program, give a quick certificate plan, and compute the exact plan with a certified gap;</w:t>
      </w:r>
    </w:p>
    <w:p>
      <w:pPr>
        <w:numPr>
          <w:ilvl w:val="0"/>
          <w:numId w:val="1001"/>
        </w:numPr>
        <w:pStyle w:val="Compact"/>
      </w:pPr>
      <w:r>
        <w:t xml:space="preserve">recover the places of infection from cases counted by residence, with a proven error bound;</w:t>
      </w:r>
    </w:p>
    <w:p>
      <w:pPr>
        <w:numPr>
          <w:ilvl w:val="0"/>
          <w:numId w:val="1001"/>
        </w:numPr>
        <w:pStyle w:val="Compact"/>
      </w:pPr>
      <w:r>
        <w:t xml:space="preserve">design an outbreak alarm with a proven worst-case delay and an exactly computed false-alarm rate;</w:t>
      </w:r>
    </w:p>
    <w:p>
      <w:pPr>
        <w:numPr>
          <w:ilvl w:val="0"/>
          <w:numId w:val="1001"/>
        </w:numPr>
        <w:pStyle w:val="Compact"/>
      </w:pPr>
      <w:r>
        <w:t xml:space="preserve">test each proven property by computation, comparing the model code with separately written reference code on synthetic instances; and</w:t>
      </w:r>
    </w:p>
    <w:p>
      <w:pPr>
        <w:numPr>
          <w:ilvl w:val="0"/>
          <w:numId w:val="1001"/>
        </w:numPr>
        <w:pStyle w:val="Compact"/>
      </w:pPr>
      <w:r>
        <w:t xml:space="preserve">run the complete pipeline on a small test network and state beforehand the hypotheses that the Albay instance will test.</w:t>
      </w:r>
    </w:p>
    <w:bookmarkEnd w:id="25"/>
    <w:bookmarkStart w:id="26" w:name="research-questions"/>
    <w:p>
      <w:pPr>
        <w:pStyle w:val="Heading2"/>
      </w:pPr>
      <w:r>
        <w:t xml:space="preserve">1.3 Research Questions</w:t>
      </w:r>
    </w:p>
    <w:p>
      <w:pPr>
        <w:pStyle w:val="FirstParagraph"/>
      </w:pPr>
      <w:r>
        <w:rPr>
          <w:bCs/>
          <w:b/>
        </w:rPr>
        <w:t xml:space="preserve">Primary question.</w:t>
      </w:r>
      <w:r>
        <w:t xml:space="preserve"> </w:t>
      </w:r>
      <w:r>
        <w:t xml:space="preserve">Assume a machine-readable model, assembled from public sources alone, describes Albay’s barangays, their residents, the travel times linking them, and an index of mosquito density. Can such a model tell where dengue is transmitted, how much vector control is enough and where it should go, and when an outbreak has begun?</w:t>
      </w:r>
    </w:p>
    <w:p>
      <w:pPr>
        <w:pStyle w:val="BodyText"/>
      </w:pPr>
      <w:r>
        <w:t xml:space="preserve">Each specific objective has a matching question below (Table 2).</w:t>
      </w:r>
    </w:p>
    <w:p>
      <w:pPr>
        <w:pStyle w:val="BodyText"/>
      </w:pPr>
      <w:r>
        <w:rPr>
          <w:bCs/>
          <w:b/>
        </w:rPr>
        <w:t xml:space="preserve">Q1.</w:t>
      </w:r>
      <w:r>
        <w:t xml:space="preserve"> </w:t>
      </w:r>
      <w:r>
        <w:t xml:space="preserve">Can the daily movement of residents between barangays be written as a matrix from travel times and the attraction of schools, markets, and workplaces?</w:t>
      </w:r>
    </w:p>
    <w:p>
      <w:pPr>
        <w:pStyle w:val="BodyText"/>
      </w:pPr>
      <w:r>
        <w:rPr>
          <w:bCs/>
          <w:b/>
        </w:rPr>
        <w:t xml:space="preserve">Q2.</w:t>
      </w:r>
      <w:r>
        <w:t xml:space="preserve"> </w:t>
      </w:r>
      <w:r>
        <w:t xml:space="preserve">What is the reproduction number of dengue on such a network, and can it be bounded by quantities that each barangay can compute for itself?</w:t>
      </w:r>
    </w:p>
    <w:p>
      <w:pPr>
        <w:pStyle w:val="BodyText"/>
      </w:pPr>
      <w:r>
        <w:rPr>
          <w:bCs/>
          <w:b/>
        </w:rPr>
        <w:t xml:space="preserve">Q3.</w:t>
      </w:r>
      <w:r>
        <w:t xml:space="preserve"> </w:t>
      </w:r>
      <w:r>
        <w:t xml:space="preserve">Does treating a province as one well-mixed population ever overstate its safety?</w:t>
      </w:r>
    </w:p>
    <w:p>
      <w:pPr>
        <w:pStyle w:val="BodyText"/>
      </w:pPr>
      <w:r>
        <w:rPr>
          <w:bCs/>
          <w:b/>
        </w:rPr>
        <w:t xml:space="preserve">Q4.</w:t>
      </w:r>
      <w:r>
        <w:t xml:space="preserve"> </w:t>
      </w:r>
      <w:r>
        <w:t xml:space="preserve">Which places carry the largest share of transmission, and does that share predict where control lowers the reproduction number fastest?</w:t>
      </w:r>
    </w:p>
    <w:p>
      <w:pPr>
        <w:pStyle w:val="BodyText"/>
      </w:pPr>
      <w:r>
        <w:rPr>
          <w:bCs/>
          <w:b/>
        </w:rPr>
        <w:t xml:space="preserve">Q5.</w:t>
      </w:r>
      <w:r>
        <w:t xml:space="preserve"> </w:t>
      </w:r>
      <w:r>
        <w:t xml:space="preserve">Is the least-cost allocation of vector control a problem that can be solved exactly, and how much does it save over spraying evenly or spraying where cases live?</w:t>
      </w:r>
    </w:p>
    <w:p>
      <w:pPr>
        <w:pStyle w:val="BodyText"/>
      </w:pPr>
      <w:r>
        <w:rPr>
          <w:bCs/>
          <w:b/>
        </w:rPr>
        <w:t xml:space="preserve">Q6.</w:t>
      </w:r>
      <w:r>
        <w:t xml:space="preserve"> </w:t>
      </w:r>
      <w:r>
        <w:t xml:space="preserve">Can cases counted at home be traced back to the places of infection, and how large can the error be?</w:t>
      </w:r>
    </w:p>
    <w:p>
      <w:pPr>
        <w:pStyle w:val="BodyText"/>
      </w:pPr>
      <w:r>
        <w:rPr>
          <w:bCs/>
          <w:b/>
        </w:rPr>
        <w:t xml:space="preserve">Q7.</w:t>
      </w:r>
      <w:r>
        <w:t xml:space="preserve"> </w:t>
      </w:r>
      <w:r>
        <w:t xml:space="preserve">How quickly does a CUSUM alarm detect a rise in cases, and how often does it sound falsely?</w:t>
      </w:r>
    </w:p>
    <w:p>
      <w:pPr>
        <w:pStyle w:val="BodyText"/>
      </w:pPr>
      <w:r>
        <w:rPr>
          <w:bCs/>
          <w:b/>
        </w:rPr>
        <w:t xml:space="preserve">Q8.</w:t>
      </w:r>
      <w:r>
        <w:t xml:space="preserve"> </w:t>
      </w:r>
      <w:r>
        <w:t xml:space="preserve">Do the proofs hold up when tested against separately written code, and what does the full pipeline reveal on a worked test network?</w:t>
      </w:r>
    </w:p>
    <w:p>
      <w:pPr>
        <w:pStyle w:val="PaperCaption"/>
      </w:pPr>
      <w:r>
        <w:rPr>
          <w:bCs/>
          <w:b/>
        </w:rPr>
        <w:t xml:space="preserve">Table 2.</w:t>
      </w:r>
      <w:r>
        <w:t xml:space="preserve"> </w:t>
      </w:r>
      <w:r>
        <w:t xml:space="preserve">How the objectives, the questions, and the sections that answer them line up.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137"/>
        <w:gridCol w:w="1005"/>
        <w:gridCol w:w="2640"/>
        <w:gridCol w:w="2137"/>
      </w:tblGrid>
      <w:tr>
        <w:trPr>
          <w:cantSplit/>
          <w:tblHeader w:val="true"/>
        </w:trPr>
        <w:tc>
          <w:tcPr/>
          <w:p>
            <w:pPr>
              <w:pStyle w:val="TableText"/>
              <w:jc w:val="left"/>
            </w:pPr>
            <w:r>
              <w:rPr>
                <w:b/>
              </w:rPr>
              <w:t xml:space="preserve">Objective</w:t>
            </w:r>
          </w:p>
        </w:tc>
        <w:tc>
          <w:tcPr/>
          <w:p>
            <w:pPr>
              <w:pStyle w:val="TableText"/>
              <w:jc w:val="left"/>
            </w:pPr>
            <w:r>
              <w:rPr>
                <w:b/>
              </w:rPr>
              <w:t xml:space="preserve">Questions</w:t>
            </w:r>
          </w:p>
        </w:tc>
        <w:tc>
          <w:tcPr/>
          <w:p>
            <w:pPr>
              <w:pStyle w:val="TableText"/>
              <w:jc w:val="left"/>
            </w:pPr>
            <w:r>
              <w:rPr>
                <w:b/>
              </w:rPr>
              <w:t xml:space="preserve">Where defined and proven</w:t>
            </w:r>
          </w:p>
        </w:tc>
        <w:tc>
          <w:tcPr/>
          <w:p>
            <w:pPr>
              <w:pStyle w:val="TableText"/>
              <w:jc w:val="left"/>
            </w:pPr>
            <w:r>
              <w:rPr>
                <w:b/>
              </w:rPr>
              <w:t xml:space="preserve">Where verified</w:t>
            </w:r>
          </w:p>
        </w:tc>
      </w:tr>
      <w:tr>
        <w:trPr>
          <w:cantSplit/>
        </w:trPr>
        <w:tc>
          <w:tcPr/>
          <w:p>
            <w:pPr>
              <w:pStyle w:val="TableText"/>
              <w:jc w:val="left"/>
            </w:pPr>
            <w:r>
              <w:t xml:space="preserve">1. Residence-time network</w:t>
            </w:r>
          </w:p>
        </w:tc>
        <w:tc>
          <w:tcPr/>
          <w:p>
            <w:pPr>
              <w:pStyle w:val="TableText"/>
              <w:jc w:val="left"/>
            </w:pPr>
            <w:r>
              <w:t xml:space="preserve">Q1</w:t>
            </w:r>
          </w:p>
        </w:tc>
        <w:tc>
          <w:tcPr/>
          <w:p>
            <w:pPr>
              <w:pStyle w:val="TableText"/>
              <w:jc w:val="left"/>
            </w:pPr>
            <w:r>
              <w:t xml:space="preserve">Defs. 1 to 5</w:t>
            </w:r>
          </w:p>
        </w:tc>
        <w:tc>
          <w:tcPr/>
          <w:p>
            <w:pPr>
              <w:pStyle w:val="TableText"/>
              <w:jc w:val="left"/>
            </w:pPr>
            <w:r>
              <w:t xml:space="preserve">Tables 9, 10</w:t>
            </w:r>
          </w:p>
        </w:tc>
      </w:tr>
      <w:tr>
        <w:trPr>
          <w:cantSplit/>
        </w:trPr>
        <w:tc>
          <w:tcPr/>
          <w:p>
            <w:pPr>
              <w:pStyle w:val="TableText"/>
              <w:jc w:val="left"/>
            </w:pPr>
            <w:r>
              <w:t xml:space="preserve">2. Reproduction number and bounds</w:t>
            </w:r>
          </w:p>
        </w:tc>
        <w:tc>
          <w:tcPr/>
          <w:p>
            <w:pPr>
              <w:pStyle w:val="TableText"/>
              <w:jc w:val="left"/>
            </w:pPr>
            <w:r>
              <w:t xml:space="preserve">Q2, Q3</w:t>
            </w:r>
          </w:p>
        </w:tc>
        <w:tc>
          <w:tcPr/>
          <w:p>
            <w:pPr>
              <w:pStyle w:val="TableText"/>
              <w:jc w:val="left"/>
            </w:pPr>
            <w:r>
              <w:t xml:space="preserve">Defs. 6, 7; Props. 1 to 5</w:t>
            </w:r>
          </w:p>
        </w:tc>
        <w:tc>
          <w:tcPr/>
          <w:p>
            <w:pPr>
              <w:pStyle w:val="TableText"/>
              <w:jc w:val="left"/>
            </w:pPr>
            <w:r>
              <w:t xml:space="preserve">Table 7 (V1 to V3, V9); Table 11</w:t>
            </w:r>
          </w:p>
        </w:tc>
      </w:tr>
      <w:tr>
        <w:trPr>
          <w:cantSplit/>
        </w:trPr>
        <w:tc>
          <w:tcPr/>
          <w:p>
            <w:pPr>
              <w:pStyle w:val="TableText"/>
              <w:jc w:val="left"/>
            </w:pPr>
            <w:r>
              <w:t xml:space="preserve">3. Hotspot ranking</w:t>
            </w:r>
          </w:p>
        </w:tc>
        <w:tc>
          <w:tcPr/>
          <w:p>
            <w:pPr>
              <w:pStyle w:val="TableText"/>
              <w:jc w:val="left"/>
            </w:pPr>
            <w:r>
              <w:t xml:space="preserve">Q4</w:t>
            </w:r>
          </w:p>
        </w:tc>
        <w:tc>
          <w:tcPr/>
          <w:p>
            <w:pPr>
              <w:pStyle w:val="TableText"/>
              <w:jc w:val="left"/>
            </w:pPr>
            <w:r>
              <w:t xml:space="preserve">Def. 8; Prop. 6</w:t>
            </w:r>
          </w:p>
        </w:tc>
        <w:tc>
          <w:tcPr/>
          <w:p>
            <w:pPr>
              <w:pStyle w:val="TableText"/>
              <w:jc w:val="left"/>
            </w:pPr>
            <w:r>
              <w:t xml:space="preserve">Table 7 (V4); Table 11</w:t>
            </w:r>
          </w:p>
        </w:tc>
      </w:tr>
      <w:tr>
        <w:trPr>
          <w:cantSplit/>
        </w:trPr>
        <w:tc>
          <w:tcPr/>
          <w:p>
            <w:pPr>
              <w:pStyle w:val="TableText"/>
              <w:jc w:val="left"/>
            </w:pPr>
            <w:r>
              <w:t xml:space="preserve">4. Least-cost control</w:t>
            </w:r>
          </w:p>
        </w:tc>
        <w:tc>
          <w:tcPr/>
          <w:p>
            <w:pPr>
              <w:pStyle w:val="TableText"/>
              <w:jc w:val="left"/>
            </w:pPr>
            <w:r>
              <w:t xml:space="preserve">Q5</w:t>
            </w:r>
          </w:p>
        </w:tc>
        <w:tc>
          <w:tcPr/>
          <w:p>
            <w:pPr>
              <w:pStyle w:val="TableText"/>
              <w:jc w:val="left"/>
            </w:pPr>
            <w:r>
              <w:t xml:space="preserve">Defs. 9, 10, 13; Props. 7 to 10</w:t>
            </w:r>
          </w:p>
        </w:tc>
        <w:tc>
          <w:tcPr/>
          <w:p>
            <w:pPr>
              <w:pStyle w:val="TableText"/>
              <w:jc w:val="left"/>
            </w:pPr>
            <w:r>
              <w:t xml:space="preserve">Table 7 (V5, V6); Tables 12, 13</w:t>
            </w:r>
          </w:p>
        </w:tc>
      </w:tr>
      <w:tr>
        <w:trPr>
          <w:cantSplit/>
        </w:trPr>
        <w:tc>
          <w:tcPr/>
          <w:p>
            <w:pPr>
              <w:pStyle w:val="TableText"/>
              <w:jc w:val="left"/>
            </w:pPr>
            <w:r>
              <w:t xml:space="preserve">5. Places of infection</w:t>
            </w:r>
          </w:p>
        </w:tc>
        <w:tc>
          <w:tcPr/>
          <w:p>
            <w:pPr>
              <w:pStyle w:val="TableText"/>
              <w:jc w:val="left"/>
            </w:pPr>
            <w:r>
              <w:t xml:space="preserve">Q6</w:t>
            </w:r>
          </w:p>
        </w:tc>
        <w:tc>
          <w:tcPr/>
          <w:p>
            <w:pPr>
              <w:pStyle w:val="TableText"/>
              <w:jc w:val="left"/>
            </w:pPr>
            <w:r>
              <w:t xml:space="preserve">Def. 11; Prop. 11</w:t>
            </w:r>
          </w:p>
        </w:tc>
        <w:tc>
          <w:tcPr/>
          <w:p>
            <w:pPr>
              <w:pStyle w:val="TableText"/>
              <w:jc w:val="left"/>
            </w:pPr>
            <w:r>
              <w:t xml:space="preserve">Table 7 (V7); Table 14</w:t>
            </w:r>
          </w:p>
        </w:tc>
      </w:tr>
      <w:tr>
        <w:trPr>
          <w:cantSplit/>
        </w:trPr>
        <w:tc>
          <w:tcPr/>
          <w:p>
            <w:pPr>
              <w:pStyle w:val="TableText"/>
              <w:jc w:val="left"/>
            </w:pPr>
            <w:r>
              <w:t xml:space="preserve">6. Outbreak alarm</w:t>
            </w:r>
          </w:p>
        </w:tc>
        <w:tc>
          <w:tcPr/>
          <w:p>
            <w:pPr>
              <w:pStyle w:val="TableText"/>
              <w:jc w:val="left"/>
            </w:pPr>
            <w:r>
              <w:t xml:space="preserve">Q7</w:t>
            </w:r>
          </w:p>
        </w:tc>
        <w:tc>
          <w:tcPr/>
          <w:p>
            <w:pPr>
              <w:pStyle w:val="TableText"/>
              <w:jc w:val="left"/>
            </w:pPr>
            <w:r>
              <w:t xml:space="preserve">Def. 12; Prop. 12</w:t>
            </w:r>
          </w:p>
        </w:tc>
        <w:tc>
          <w:tcPr/>
          <w:p>
            <w:pPr>
              <w:pStyle w:val="TableText"/>
              <w:jc w:val="left"/>
            </w:pPr>
            <w:r>
              <w:t xml:space="preserve">Table 7 (V8); Table 15</w:t>
            </w:r>
          </w:p>
        </w:tc>
      </w:tr>
      <w:tr>
        <w:trPr>
          <w:cantSplit/>
        </w:trPr>
        <w:tc>
          <w:tcPr/>
          <w:p>
            <w:pPr>
              <w:pStyle w:val="TableText"/>
              <w:jc w:val="left"/>
            </w:pPr>
            <w:r>
              <w:t xml:space="preserve">7. Verification</w:t>
            </w:r>
          </w:p>
        </w:tc>
        <w:tc>
          <w:tcPr/>
          <w:p>
            <w:pPr>
              <w:pStyle w:val="TableText"/>
              <w:jc w:val="left"/>
            </w:pPr>
            <w:r>
              <w:t xml:space="preserve">Q8</w:t>
            </w:r>
          </w:p>
        </w:tc>
        <w:tc>
          <w:tcPr/>
          <w:p>
            <w:pPr>
              <w:pStyle w:val="TableText"/>
              <w:jc w:val="left"/>
            </w:pPr>
            <w:r>
              <w:t xml:space="preserve">Section 3.3</w:t>
            </w:r>
          </w:p>
        </w:tc>
        <w:tc>
          <w:tcPr/>
          <w:p>
            <w:pPr>
              <w:pStyle w:val="TableText"/>
              <w:jc w:val="left"/>
            </w:pPr>
            <w:r>
              <w:t xml:space="preserve">Tables 7, 8</w:t>
            </w:r>
          </w:p>
        </w:tc>
      </w:tr>
      <w:tr>
        <w:trPr>
          <w:cantSplit/>
        </w:trPr>
        <w:tc>
          <w:tcPr/>
          <w:p>
            <w:pPr>
              <w:pStyle w:val="TableText"/>
              <w:jc w:val="left"/>
            </w:pPr>
            <w:r>
              <w:t xml:space="preserve">8. Worked instance and hypotheses</w:t>
            </w:r>
          </w:p>
        </w:tc>
        <w:tc>
          <w:tcPr/>
          <w:p>
            <w:pPr>
              <w:pStyle w:val="TableText"/>
              <w:jc w:val="left"/>
            </w:pPr>
            <w:r>
              <w:t xml:space="preserve">Q8</w:t>
            </w:r>
          </w:p>
        </w:tc>
        <w:tc>
          <w:tcPr/>
          <w:p>
            <w:pPr>
              <w:pStyle w:val="TableText"/>
              <w:jc w:val="left"/>
            </w:pPr>
            <w:r>
              <w:t xml:space="preserve">Sections 3.5, 3.6</w:t>
            </w:r>
          </w:p>
        </w:tc>
        <w:tc>
          <w:tcPr/>
          <w:p>
            <w:pPr>
              <w:pStyle w:val="TableText"/>
              <w:jc w:val="left"/>
            </w:pPr>
            <w:r>
              <w:t xml:space="preserve">Tables 9 to 16</w:t>
            </w:r>
          </w:p>
        </w:tc>
      </w:tr>
    </w:tbl>
    <w:bookmarkEnd w:id="26"/>
    <w:bookmarkStart w:id="37" w:name="review-of-related-literature"/>
    <w:p>
      <w:pPr>
        <w:pStyle w:val="Heading2"/>
      </w:pPr>
      <w:r>
        <w:t xml:space="preserve">1.4 Review of Related Literature</w:t>
      </w:r>
    </w:p>
    <w:bookmarkStart w:id="27" w:name="dengue-and-its-vector"/>
    <w:p>
      <w:pPr>
        <w:pStyle w:val="Heading3"/>
      </w:pPr>
      <w:r>
        <w:t xml:space="preserve">1.4.1 Dengue and Its Vector</w:t>
      </w:r>
    </w:p>
    <w:p>
      <w:pPr>
        <w:pStyle w:val="FirstParagraph"/>
      </w:pPr>
      <w:r>
        <w:t xml:space="preserve">Dengue is caused by four related viruses and passed between people by</w:t>
      </w:r>
      <w:r>
        <w:t xml:space="preserve"> </w:t>
      </w:r>
      <w:r>
        <w:rPr>
          <w:iCs/>
          <w:i/>
        </w:rPr>
        <w:t xml:space="preserve">Aedes</w:t>
      </w:r>
      <w:r>
        <w:t xml:space="preserve"> </w:t>
      </w:r>
      <w:r>
        <w:t xml:space="preserve">mosquitoes, chiefly</w:t>
      </w:r>
      <w:r>
        <w:t xml:space="preserve"> </w:t>
      </w:r>
      <w:r>
        <w:rPr>
          <w:iCs/>
          <w:i/>
        </w:rPr>
        <w:t xml:space="preserve">Aedes aegypti</w:t>
      </w:r>
      <w:r>
        <w:t xml:space="preserve">, which breeds in water held by containers around houses. Bhatt et al. (2013) estimated about 390 million infections a year worldwide, of which roughly a quarter show symptoms. The World Health Organization (2012) asks countries to cut dengue deaths and cases through integrated vector management, early detection, and surveillance. Because no drug treats dengue itself, control rests on the mosquito and on catching outbreaks early.</w:t>
      </w:r>
    </w:p>
    <w:bookmarkEnd w:id="27"/>
    <w:bookmarkStart w:id="28" w:name="dengue-in-the-philippines-and-in-albay"/>
    <w:p>
      <w:pPr>
        <w:pStyle w:val="Heading3"/>
      </w:pPr>
      <w:r>
        <w:t xml:space="preserve">1.4.2 Dengue in the Philippines and in Albay</w:t>
      </w:r>
    </w:p>
    <w:p>
      <w:pPr>
        <w:pStyle w:val="FirstParagraph"/>
      </w:pPr>
      <w:r>
        <w:t xml:space="preserve">The Philippine dengue epidemic of 2019 showed how quickly cases can overwhelm health services: by late July of that year the Department of Health had recorded 146,062 cases and 622 deaths (OCHA, 2019). Edillo et al. (2015) estimated the economic cost of dengue in the country at hundreds of millions of US dollars a year. The disease is a notifiable condition under Republic Act No. 11332 (2019), so every confirmed or suspected case is reported to the surveillance system with the patient’s address. In 2026 Albay’s count rose sharply even while the national total stayed 24 percent below that of 2025 (Daily Tribune, 2026d), a reminder that dengue is a local problem that national averages can hide.</w:t>
      </w:r>
    </w:p>
    <w:bookmarkEnd w:id="28"/>
    <w:bookmarkStart w:id="29" w:name="X7d0216f249ff605694a320efa736d5e18ebea27"/>
    <w:p>
      <w:pPr>
        <w:pStyle w:val="Heading3"/>
      </w:pPr>
      <w:r>
        <w:t xml:space="preserve">1.4.3 Reproduction Numbers for Mosquito-Borne Infections</w:t>
      </w:r>
    </w:p>
    <w:p>
      <w:pPr>
        <w:pStyle w:val="FirstParagraph"/>
      </w:pPr>
      <w:r>
        <w:t xml:space="preserve">Ross and Macdonald gave the first mathematical theory of malaria, and its quantities, such as the biting rate, the mosquito density per person, and the chance that a mosquito survives the incubation of the virus, still organize models of every mosquito-borne infection (Smith et al., 2012). The basic reproduction number counts the new infections one case produces in a fully susceptible population. Diekmann et al. (1990) defined it for heterogeneous populations as the spectral radius of a next-generation operator, and van den Driessche and Watmough (2002) gave the recipe used in this paper: split the infected compartments into new infections and transfers, linearize at the disease-free state, and take the spectral radius of the product of the two resulting matrices.</w:t>
      </w:r>
    </w:p>
    <w:bookmarkEnd w:id="29"/>
    <w:bookmarkStart w:id="30" w:name="human-movement-and-dengue"/>
    <w:p>
      <w:pPr>
        <w:pStyle w:val="Heading3"/>
      </w:pPr>
      <w:r>
        <w:t xml:space="preserve">1.4.4 Human Movement and Dengue</w:t>
      </w:r>
    </w:p>
    <w:p>
      <w:pPr>
        <w:pStyle w:val="FirstParagraph"/>
      </w:pPr>
      <w:r>
        <w:t xml:space="preserve">Stoddard et al. (2009) argued that for a mosquito that stays near its breeding site, the movement of people, not of mosquitoes, links one neighborhood to another. In Iquitos, Peru, they later showed that the risk of infection followed the places a person visited, independent of how far those places were from home (Stoddard et al., 2013). Cosner et al. (2009) wrote such movement into a patch model in which each person spends a fixed share of time in each patch, the residence-time or Lagrangian approach, and showed that movement can keep an infection alive in places where it would die out on its own. This paper builds on that approach.</w:t>
      </w:r>
    </w:p>
    <w:bookmarkEnd w:id="30"/>
    <w:bookmarkStart w:id="31" w:name="uneven-exposure"/>
    <w:p>
      <w:pPr>
        <w:pStyle w:val="Heading3"/>
      </w:pPr>
      <w:r>
        <w:t xml:space="preserve">1.4.5 Uneven Exposure</w:t>
      </w:r>
    </w:p>
    <w:p>
      <w:pPr>
        <w:pStyle w:val="FirstParagraph"/>
      </w:pPr>
      <w:r>
        <w:t xml:space="preserve">Dye and Hasibeder (1986) proved that when some people are bitten more often than others, the reproduction number rises above the value computed from the average biting rate. Their insight carries over to places: a province where mosquitoes concentrate in a few barangays has more transmission potential than its average density suggests.</w:t>
      </w:r>
    </w:p>
    <w:bookmarkEnd w:id="31"/>
    <w:bookmarkStart w:id="32" w:name="weather-and-dengue"/>
    <w:p>
      <w:pPr>
        <w:pStyle w:val="Heading3"/>
      </w:pPr>
      <w:r>
        <w:t xml:space="preserve">1.4.6 Weather and Dengue</w:t>
      </w:r>
    </w:p>
    <w:p>
      <w:pPr>
        <w:pStyle w:val="FirstParagraph"/>
      </w:pPr>
      <w:r>
        <w:t xml:space="preserve">Mosquito traits depend on temperature. Mordecai et al. (2017) fitted laboratory data for</w:t>
      </w:r>
      <w:r>
        <w:t xml:space="preserve"> </w:t>
      </w:r>
      <w:r>
        <w:rPr>
          <w:iCs/>
          <w:i/>
        </w:rPr>
        <w:t xml:space="preserve">Aedes aegypti</w:t>
      </w:r>
      <w:r>
        <w:t xml:space="preserve"> </w:t>
      </w:r>
      <w:r>
        <w:t xml:space="preserve">and found that transmission is possible between about 18 and 34 °C and peaks between 26 and 29 °C, the range of a Philippine rainy season. In Metro Manila, dengue cases have been linked to rainfall and temperature with lags of several weeks (Su, 2008; Sumi et al., 2017). This paper does not forecast weather; it lets the season scale the mosquito numbers and asks how the required control changes.</w:t>
      </w:r>
    </w:p>
    <w:bookmarkEnd w:id="32"/>
    <w:bookmarkStart w:id="33" w:name="vector-control-and-its-evidence"/>
    <w:p>
      <w:pPr>
        <w:pStyle w:val="Heading3"/>
      </w:pPr>
      <w:r>
        <w:t xml:space="preserve">1.4.7 Vector Control and Its Evidence</w:t>
      </w:r>
    </w:p>
    <w:p>
      <w:pPr>
        <w:pStyle w:val="FirstParagraph"/>
      </w:pPr>
      <w:r>
        <w:t xml:space="preserve">Reviews find that the evidence for many vector-control methods is weaker than their popularity suggests. Space spraying by fogging kills adult mosquitoes for a short time but has limited measured effect on dengue when used alone (Esu et al., 2010), and community-based removal of breeding sites performs better when combined with other methods (Bowman et al., 2016). This is why the Department of Health limits fogging to hotspots, and why knowing where the hotspots are matters.</w:t>
      </w:r>
    </w:p>
    <w:bookmarkEnd w:id="33"/>
    <w:bookmarkStart w:id="34" w:name="detecting-outbreaks"/>
    <w:p>
      <w:pPr>
        <w:pStyle w:val="Heading3"/>
      </w:pPr>
      <w:r>
        <w:t xml:space="preserve">1.4.8 Detecting Outbreaks</w:t>
      </w:r>
    </w:p>
    <w:p>
      <w:pPr>
        <w:pStyle w:val="FirstParagraph"/>
      </w:pPr>
      <w:r>
        <w:t xml:space="preserve">Page (1954) introduced the cumulative sum (CUSUM) chart for detecting a shift in a process mean. Lucas (1985) adapted it to counts, such as weekly cases, and Brook and Evans (1972) showed how to compute its average run length by treating the statistic as a Markov chain. Dengue early-warning systems used by health ministries, such as the Early Warning and Response System promoted by the World Health Organization, compare weekly counts with an endemic channel built from past years (Hussain-Alkhateeb et al., 2018).</w:t>
      </w:r>
    </w:p>
    <w:bookmarkEnd w:id="34"/>
    <w:bookmarkStart w:id="35" w:name="matrix-tools"/>
    <w:p>
      <w:pPr>
        <w:pStyle w:val="Heading3"/>
      </w:pPr>
      <w:r>
        <w:t xml:space="preserve">1.4.9 Matrix Tools</w:t>
      </w:r>
    </w:p>
    <w:p>
      <w:pPr>
        <w:pStyle w:val="FirstParagraph"/>
      </w:pPr>
      <w:r>
        <w:t xml:space="preserve">Three classic results of matrix theory carry the proofs of this paper. The Perron-Frobenius theory and the Collatz-Wielandt bounds locate the spectral radius of a nonnegative matrix between the smallest and largest ratios (</w:t>
      </w:r>
      <w:r>
        <w:rPr>
          <w:iCs/>
          <w:i/>
        </w:rPr>
        <w:t xml:space="preserve">Mx</w:t>
      </w:r>
      <w:r>
        <w:t xml:space="preserve">)</w:t>
      </w:r>
      <w:r>
        <w:rPr>
          <w:iCs/>
          <w:i/>
          <w:vertAlign w:val="subscript"/>
        </w:rPr>
        <w:t xml:space="preserve">i</w:t>
      </w:r>
      <w:r>
        <w:t xml:space="preserve">/</w:t>
      </w:r>
      <w:r>
        <w:rPr>
          <w:iCs/>
          <w:i/>
        </w:rPr>
        <w:t xml:space="preserve">x</w:t>
      </w:r>
      <w:r>
        <w:rPr>
          <w:iCs/>
          <w:i/>
          <w:vertAlign w:val="subscript"/>
        </w:rPr>
        <w:t xml:space="preserve">i</w:t>
      </w:r>
      <w:r>
        <w:t xml:space="preserve"> </w:t>
      </w:r>
      <w:r>
        <w:t xml:space="preserve">for any positive vector</w:t>
      </w:r>
      <w:r>
        <w:t xml:space="preserve"> </w:t>
      </w:r>
      <w:r>
        <w:rPr>
          <w:iCs/>
          <w:i/>
        </w:rPr>
        <w:t xml:space="preserve">x</w:t>
      </w:r>
      <w:r>
        <w:t xml:space="preserve"> </w:t>
      </w:r>
      <w:r>
        <w:t xml:space="preserve">(Horn &amp; Johnson, 2013). The largest eigenvalue of a symmetric matrix that depends linearly on parameters is a convex function of them (Overton, 1988; Boyd &amp; Vandenberghe, 2004), which makes semidefinite programming possible (Vandenberghe &amp; Boyd, 1996). And a matrix whose diagonal dominates its rows is invertible with a computable bound on its inverse (Varah, 1975).</w:t>
      </w:r>
    </w:p>
    <w:bookmarkEnd w:id="35"/>
    <w:bookmarkStart w:id="36" w:name="open-data-for-dengue-planning"/>
    <w:p>
      <w:pPr>
        <w:pStyle w:val="Heading3"/>
      </w:pPr>
      <w:r>
        <w:t xml:space="preserve">1.4.10 Open Data for Dengue Planning</w:t>
      </w:r>
    </w:p>
    <w:p>
      <w:pPr>
        <w:pStyle w:val="FirstParagraph"/>
      </w:pPr>
      <w:r>
        <w:t xml:space="preserve">The 2020 census gives the population of every barangay (Philippine Statistics Authority [PSA], 2021). The Department of Health publishes weekly surveillance summaries, and the provincial health office releases case counts by municipality during outbreaks. The Department of Education masterlist locates every public school (Department of Education [DepEd], 2021). An earlier study by this team modeled Albay’s roads and public transport and computed travel times between landmarks (Brimbuela et al., 2026); those times feed the present model.</w:t>
      </w:r>
    </w:p>
    <w:bookmarkEnd w:id="36"/>
    <w:bookmarkEnd w:id="37"/>
    <w:bookmarkStart w:id="38" w:name="research-gap"/>
    <w:p>
      <w:pPr>
        <w:pStyle w:val="Heading2"/>
      </w:pPr>
      <w:r>
        <w:t xml:space="preserve">1.5 Research Gap</w:t>
      </w:r>
    </w:p>
    <w:p>
      <w:pPr>
        <w:pStyle w:val="FirstParagraph"/>
      </w:pPr>
      <w:r>
        <w:t xml:space="preserve">Six gaps remain after this review.</w:t>
      </w:r>
    </w:p>
    <w:p>
      <w:pPr>
        <w:numPr>
          <w:ilvl w:val="0"/>
          <w:numId w:val="1002"/>
        </w:numPr>
        <w:pStyle w:val="Compact"/>
      </w:pPr>
      <w:r>
        <w:rPr>
          <w:bCs/>
          <w:b/>
        </w:rPr>
        <w:t xml:space="preserve">(G1) Cases by home, infections by place.</w:t>
      </w:r>
      <w:r>
        <w:t xml:space="preserve"> </w:t>
      </w:r>
      <w:r>
        <w:t xml:space="preserve">Surveillance records addresses, and control follows addresses. No tool available to an Albay health office converts cases by residence into infections by place.</w:t>
      </w:r>
    </w:p>
    <w:p>
      <w:pPr>
        <w:numPr>
          <w:ilvl w:val="0"/>
          <w:numId w:val="1002"/>
        </w:numPr>
        <w:pStyle w:val="Compact"/>
      </w:pPr>
      <w:r>
        <w:rPr>
          <w:bCs/>
          <w:b/>
        </w:rPr>
        <w:t xml:space="preserve">(G2) No provincial reproduction number with movement.</w:t>
      </w:r>
      <w:r>
        <w:t xml:space="preserve"> </w:t>
      </w:r>
      <w:r>
        <w:t xml:space="preserve">Models with residence times exist in the literature, but none has been built for a Philippine province from open data, and none turns the reproduction number into bounds a barangay can compute for itself.</w:t>
      </w:r>
    </w:p>
    <w:p>
      <w:pPr>
        <w:numPr>
          <w:ilvl w:val="0"/>
          <w:numId w:val="1002"/>
        </w:numPr>
        <w:pStyle w:val="Compact"/>
      </w:pPr>
      <w:r>
        <w:rPr>
          <w:bCs/>
          <w:b/>
        </w:rPr>
        <w:t xml:space="preserve">(G3) No least-cost allocation with a guarantee.</w:t>
      </w:r>
      <w:r>
        <w:t xml:space="preserve"> </w:t>
      </w:r>
      <w:r>
        <w:t xml:space="preserve">Brigades and budgets are limited, yet no method tells a local government the cheapest allocation that provably brings transmission below its threshold.</w:t>
      </w:r>
    </w:p>
    <w:p>
      <w:pPr>
        <w:numPr>
          <w:ilvl w:val="0"/>
          <w:numId w:val="1002"/>
        </w:numPr>
        <w:pStyle w:val="Compact"/>
      </w:pPr>
      <w:r>
        <w:rPr>
          <w:bCs/>
          <w:b/>
        </w:rPr>
        <w:t xml:space="preserve">(G4) No ranking of places.</w:t>
      </w:r>
      <w:r>
        <w:t xml:space="preserve"> </w:t>
      </w:r>
      <w:r>
        <w:t xml:space="preserve">Hotspots are named by case counts. No ranking measures how much transmission each place carries.</w:t>
      </w:r>
    </w:p>
    <w:p>
      <w:pPr>
        <w:numPr>
          <w:ilvl w:val="0"/>
          <w:numId w:val="1002"/>
        </w:numPr>
        <w:pStyle w:val="Compact"/>
      </w:pPr>
      <w:r>
        <w:rPr>
          <w:bCs/>
          <w:b/>
        </w:rPr>
        <w:t xml:space="preserve">(G5) Alarms without guarantees.</w:t>
      </w:r>
      <w:r>
        <w:t xml:space="preserve"> </w:t>
      </w:r>
      <w:r>
        <w:t xml:space="preserve">Thresholds based on past years are easy to read, but their delay and false-alarm rate are rarely computed.</w:t>
      </w:r>
    </w:p>
    <w:p>
      <w:pPr>
        <w:numPr>
          <w:ilvl w:val="0"/>
          <w:numId w:val="1002"/>
        </w:numPr>
        <w:pStyle w:val="Compact"/>
      </w:pPr>
      <w:r>
        <w:rPr>
          <w:bCs/>
          <w:b/>
        </w:rPr>
        <w:t xml:space="preserve">(G6) No verification.</w:t>
      </w:r>
      <w:r>
        <w:t xml:space="preserve"> </w:t>
      </w:r>
      <w:r>
        <w:t xml:space="preserve">Planning tools in print rarely demonstrate that their formulas were tested against an independent implementation.</w:t>
      </w:r>
    </w:p>
    <w:bookmarkEnd w:id="38"/>
    <w:bookmarkStart w:id="39" w:name="contributions-of-the-study"/>
    <w:p>
      <w:pPr>
        <w:pStyle w:val="Heading2"/>
      </w:pPr>
      <w:r>
        <w:t xml:space="preserve">1.6 Contributions of the Study</w:t>
      </w:r>
    </w:p>
    <w:p>
      <w:pPr>
        <w:numPr>
          <w:ilvl w:val="0"/>
          <w:numId w:val="1003"/>
        </w:numPr>
        <w:pStyle w:val="Compact"/>
      </w:pPr>
      <w:r>
        <w:rPr>
          <w:bCs/>
          <w:b/>
        </w:rPr>
        <w:t xml:space="preserve">C1. A residence-time network for Albay.</w:t>
      </w:r>
      <w:r>
        <w:t xml:space="preserve"> </w:t>
      </w:r>
      <w:r>
        <w:t xml:space="preserve">Sections 2.1 to 2.3 turn travel times, the pull of schools and markets, and mosquito indices into a matrix of hours spent by each barangay’s residents in every other barangay.</w:t>
      </w:r>
    </w:p>
    <w:p>
      <w:pPr>
        <w:numPr>
          <w:ilvl w:val="0"/>
          <w:numId w:val="1003"/>
        </w:numPr>
        <w:pStyle w:val="Compact"/>
      </w:pPr>
      <w:r>
        <w:rPr>
          <w:bCs/>
          <w:b/>
        </w:rPr>
        <w:t xml:space="preserve">C2. A reproduction number with local bounds.</w:t>
      </w:r>
      <w:r>
        <w:t xml:space="preserve"> </w:t>
      </w:r>
      <w:r>
        <w:t xml:space="preserve">Propositions 1, 4, and 5 show that the reproduction number is the largest eigenvalue of a symmetric matrix, lies between the smallest and largest local exposure numbers, and is never below the province-average value.</w:t>
      </w:r>
    </w:p>
    <w:p>
      <w:pPr>
        <w:numPr>
          <w:ilvl w:val="0"/>
          <w:numId w:val="1003"/>
        </w:numPr>
        <w:pStyle w:val="Compact"/>
      </w:pPr>
      <w:r>
        <w:rPr>
          <w:bCs/>
          <w:b/>
        </w:rPr>
        <w:t xml:space="preserve">C3. A hotspot ranking with meaning.</w:t>
      </w:r>
      <w:r>
        <w:t xml:space="preserve"> </w:t>
      </w:r>
      <w:r>
        <w:t xml:space="preserve">Proposition 6 splits the reproduction number into shares by place and shows that each share measures how fast control at that place lowers transmission.</w:t>
      </w:r>
    </w:p>
    <w:p>
      <w:pPr>
        <w:numPr>
          <w:ilvl w:val="0"/>
          <w:numId w:val="1003"/>
        </w:numPr>
        <w:pStyle w:val="Compact"/>
      </w:pPr>
      <w:r>
        <w:rPr>
          <w:bCs/>
          <w:b/>
        </w:rPr>
        <w:t xml:space="preserve">C4. Least-cost control with a certified gap.</w:t>
      </w:r>
      <w:r>
        <w:t xml:space="preserve"> </w:t>
      </w:r>
      <w:r>
        <w:t xml:space="preserve">Propositions 7 to 9 prove that the least-cost allocation is a convex program, give a linear program whose solution is always safe, and certify how far the computed plan can be from the best.</w:t>
      </w:r>
    </w:p>
    <w:p>
      <w:pPr>
        <w:numPr>
          <w:ilvl w:val="0"/>
          <w:numId w:val="1003"/>
        </w:numPr>
        <w:pStyle w:val="Compact"/>
      </w:pPr>
      <w:r>
        <w:rPr>
          <w:bCs/>
          <w:b/>
        </w:rPr>
        <w:t xml:space="preserve">C5. Infections traced to places.</w:t>
      </w:r>
      <w:r>
        <w:t xml:space="preserve"> </w:t>
      </w:r>
      <w:r>
        <w:t xml:space="preserve">Proposition 11 proves that cases by residence determine infections by place whenever residents spend more than half of their day at home, with an explicit error bound.</w:t>
      </w:r>
    </w:p>
    <w:p>
      <w:pPr>
        <w:numPr>
          <w:ilvl w:val="0"/>
          <w:numId w:val="1003"/>
        </w:numPr>
        <w:pStyle w:val="Compact"/>
      </w:pPr>
      <w:r>
        <w:rPr>
          <w:bCs/>
          <w:b/>
        </w:rPr>
        <w:t xml:space="preserve">C6. An alarm with proven delay.</w:t>
      </w:r>
      <w:r>
        <w:t xml:space="preserve"> </w:t>
      </w:r>
      <w:r>
        <w:t xml:space="preserve">Proposition 12 bounds the delay of the CUSUM alarm and computes its false-alarm rate exactly.</w:t>
      </w:r>
    </w:p>
    <w:p>
      <w:pPr>
        <w:numPr>
          <w:ilvl w:val="0"/>
          <w:numId w:val="1003"/>
        </w:numPr>
        <w:pStyle w:val="Compact"/>
      </w:pPr>
      <w:r>
        <w:rPr>
          <w:bCs/>
          <w:b/>
        </w:rPr>
        <w:t xml:space="preserve">C7. A verified, open pipeline.</w:t>
      </w:r>
      <w:r>
        <w:t xml:space="preserve"> </w:t>
      </w:r>
      <w:r>
        <w:t xml:space="preserve">Each input can be followed back to a public register (Appendix A); one seeded script regenerates all results (Appendix F); and separately written code tested each proven property.</w:t>
      </w:r>
    </w:p>
    <w:p>
      <w:pPr>
        <w:pStyle w:val="FirstParagraph"/>
      </w:pPr>
      <w:r>
        <w:t xml:space="preserve">Of the twelve propositions in Section 3.2, Propositions 2 and 3 restate standard results (van den Driessche &amp; Watmough, 2002), and parts of Propositions 4, 11, and 12 apply named theorems (Horn &amp; Johnson, 2013; Varah, 1975; Brook &amp; Evans, 1972) to this model. Everything else, including the formulations and the other results, was developed by the researchers.</w:t>
      </w:r>
    </w:p>
    <w:bookmarkEnd w:id="39"/>
    <w:bookmarkStart w:id="40" w:name="scope-and-delimitation"/>
    <w:p>
      <w:pPr>
        <w:pStyle w:val="Heading2"/>
      </w:pPr>
      <w:r>
        <w:t xml:space="preserve">1.7 Scope and Delimitation</w:t>
      </w:r>
    </w:p>
    <w:p>
      <w:pPr>
        <w:pStyle w:val="FirstParagraph"/>
      </w:pPr>
      <w:r>
        <w:t xml:space="preserve">This study covers Albay province at the barangay level and dengue carried by</w:t>
      </w:r>
      <w:r>
        <w:t xml:space="preserve"> </w:t>
      </w:r>
      <w:r>
        <w:rPr>
          <w:iCs/>
          <w:i/>
        </w:rPr>
        <w:t xml:space="preserve">Aedes aegypti</w:t>
      </w:r>
      <w:r>
        <w:t xml:space="preserve">. It is entirely computational: no mosquito was collected, no patient was examined, and no case record was opened. Every figure in the findings was produced by a proof, a synthetic test instance, or a public report.</w:t>
      </w:r>
    </w:p>
    <w:p>
      <w:pPr>
        <w:pStyle w:val="BodyText"/>
      </w:pPr>
      <w:r>
        <w:t xml:space="preserve">The model treats dengue as one virus. It does not distinguish the four serotypes, model immunity across seasons, or predict severe dengue. It ranks places and allocates effort; it does not diagnose patients, replace the judgment of the provincial epidemiologist, or decide which chemical to use. Whatever method a brigade uses, the model sees only how much it lowers mosquito numbers.</w:t>
      </w:r>
    </w:p>
    <w:bookmarkEnd w:id="40"/>
    <w:bookmarkStart w:id="41" w:name="X10a3649cd34e8909480f97c395bb3707b1b25cb"/>
    <w:p>
      <w:pPr>
        <w:pStyle w:val="Heading2"/>
      </w:pPr>
      <w:r>
        <w:t xml:space="preserve">1.8 Contribution to the Sustainable Development Goals</w:t>
      </w:r>
    </w:p>
    <w:p>
      <w:pPr>
        <w:pStyle w:val="FirstParagraph"/>
      </w:pPr>
      <w:r>
        <w:t xml:space="preserve">SDG 3 (Good Health and Well-being) is the goal served most directly. Target 3.3 calls for ending epidemics of neglected tropical diseases, dengue among them, and target 3.d for stronger early warning and better handling of health risks (United Nations General Assembly [UNGA], 2015). The CUSUM alarm addresses target 3.d, and the least-cost control addresses target 3.3. The hotspot ranking often singles out schools as places of transmission, so target 4.a (safe learning environments) is touched as well, while the open data set relates to target 17.18. None of these links has been measured in practice; they describe intended uses of a model that is still to be field-tested.</w:t>
      </w:r>
    </w:p>
    <w:bookmarkEnd w:id="41"/>
    <w:bookmarkEnd w:id="42"/>
    <w:bookmarkStart w:id="94" w:name="framework"/>
    <w:p>
      <w:pPr>
        <w:pStyle w:val="Heading1"/>
      </w:pPr>
      <w:r>
        <w:t xml:space="preserve">2. FRAMEWORK</w:t>
      </w:r>
    </w:p>
    <w:p>
      <w:pPr>
        <w:pStyle w:val="FirstParagraph"/>
      </w:pPr>
      <w:r>
        <w:t xml:space="preserve">The model is built in three layers (Figure 1). The movement layer (Sections 2.1 and 2.2) records where the residents of each barangay spend their daylight hours. The transmission layer (Sections 2.3 to 2.5) adds mosquitoes, writes the equations of infection, and extracts the reproduction number and its parts. The decision layer (Sections 2.6 to 2.9) turns those quantities into a control plan, a map of infection places, and an outbreak alarm.</w:t>
      </w:r>
    </w:p>
    <w:p>
      <w:pPr>
        <w:pStyle w:val="FigurePara"/>
      </w:pPr>
      <w:r>
        <w:drawing>
          <wp:inline>
            <wp:extent cx="5334000" cy="3520439"/>
            <wp:effectExtent b="0" l="0" r="0" t="0"/>
            <wp:docPr descr="" title="" id="44" name="Picture"/>
            <a:graphic>
              <a:graphicData uri="http://schemas.openxmlformats.org/drawingml/2006/picture">
                <pic:pic>
                  <pic:nvPicPr>
                    <pic:cNvPr descr="/home/user/MAP---A/research/where-people-go-dengue/paper/fig_framework.png" id="45" name="Picture"/>
                    <pic:cNvPicPr>
                      <a:picLocks noChangeArrowheads="1" noChangeAspect="1"/>
                    </pic:cNvPicPr>
                  </pic:nvPicPr>
                  <pic:blipFill>
                    <a:blip r:embed="rId43"/>
                    <a:stretch>
                      <a:fillRect/>
                    </a:stretch>
                  </pic:blipFill>
                  <pic:spPr bwMode="auto">
                    <a:xfrm>
                      <a:off x="0" y="0"/>
                      <a:ext cx="5334000" cy="3520439"/>
                    </a:xfrm>
                    <a:prstGeom prst="rect">
                      <a:avLst/>
                    </a:prstGeom>
                    <a:noFill/>
                    <a:ln w="9525">
                      <a:noFill/>
                      <a:headEnd/>
                      <a:tailEnd/>
                    </a:ln>
                  </pic:spPr>
                </pic:pic>
              </a:graphicData>
            </a:graphic>
          </wp:inline>
        </w:drawing>
      </w:r>
    </w:p>
    <w:p>
      <w:pPr>
        <w:pStyle w:val="FigureCaption"/>
      </w:pPr>
      <w:r>
        <w:rPr>
          <w:bCs/>
          <w:b/>
        </w:rPr>
        <w:t xml:space="preserve">Figure 1.</w:t>
      </w:r>
      <w:r>
        <w:t xml:space="preserve"> </w:t>
      </w:r>
      <w:r>
        <w:t xml:space="preserve">From open data to dengue decisions. The movement layer is drawn in blue, the transmission layer in orange, and the decision layer in green.</w:t>
      </w:r>
    </w:p>
    <w:bookmarkStart w:id="46" w:name="study-area-and-barangays"/>
    <w:p>
      <w:pPr>
        <w:pStyle w:val="Heading2"/>
      </w:pPr>
      <w:r>
        <w:t xml:space="preserve">2.1 Study Area and Barangays</w:t>
      </w:r>
    </w:p>
    <w:p>
      <w:pPr>
        <w:pStyle w:val="FirstParagraph"/>
      </w:pPr>
      <w:r>
        <w:t xml:space="preserve">At the 2020 census, Albay’s 18 cities and municipalities held 720 barangays and 1,374,768 residents (PSA, 2021). Table 3 shows the municipalities that reported the most dengue cases during the 2026 surge.</w:t>
      </w:r>
    </w:p>
    <w:p>
      <w:pPr>
        <w:pStyle w:val="PaperCaption"/>
      </w:pPr>
      <w:r>
        <w:rPr>
          <w:bCs/>
          <w:b/>
        </w:rPr>
        <w:t xml:space="preserve">Table 3.</w:t>
      </w:r>
      <w:r>
        <w:t xml:space="preserve"> </w:t>
      </w:r>
      <w:r>
        <w:t xml:space="preserve">Dengue in Albay during the 2026 surge, as reported by the provincial government (Daily Tribune, 2026b, 2026c).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4608"/>
        <w:gridCol w:w="3312"/>
      </w:tblGrid>
      <w:tr>
        <w:trPr>
          <w:cantSplit/>
          <w:tblHeader w:val="true"/>
        </w:trPr>
        <w:tc>
          <w:tcPr/>
          <w:p>
            <w:pPr>
              <w:pStyle w:val="TableText"/>
              <w:jc w:val="left"/>
            </w:pPr>
            <w:r>
              <w:rPr>
                <w:b/>
              </w:rPr>
              <w:t xml:space="preserve">Item</w:t>
            </w:r>
          </w:p>
        </w:tc>
        <w:tc>
          <w:tcPr/>
          <w:p>
            <w:pPr>
              <w:pStyle w:val="TableText"/>
              <w:jc w:val="left"/>
            </w:pPr>
            <w:r>
              <w:rPr>
                <w:b/>
              </w:rPr>
              <w:t xml:space="preserve">Value</w:t>
            </w:r>
          </w:p>
        </w:tc>
      </w:tr>
      <w:tr>
        <w:trPr>
          <w:cantSplit/>
        </w:trPr>
        <w:tc>
          <w:tcPr/>
          <w:p>
            <w:pPr>
              <w:pStyle w:val="TableText"/>
              <w:jc w:val="left"/>
            </w:pPr>
            <w:r>
              <w:t xml:space="preserve">Cases, January 1 to September 12, 2026</w:t>
            </w:r>
          </w:p>
        </w:tc>
        <w:tc>
          <w:tcPr/>
          <w:p>
            <w:pPr>
              <w:pStyle w:val="TableText"/>
              <w:jc w:val="left"/>
            </w:pPr>
            <w:r>
              <w:t xml:space="preserve">2,179 (14 deaths)</w:t>
            </w:r>
          </w:p>
        </w:tc>
      </w:tr>
      <w:tr>
        <w:trPr>
          <w:cantSplit/>
        </w:trPr>
        <w:tc>
          <w:tcPr/>
          <w:p>
            <w:pPr>
              <w:pStyle w:val="TableText"/>
              <w:jc w:val="left"/>
            </w:pPr>
            <w:r>
              <w:t xml:space="preserve">Cases in the same period of 2025</w:t>
            </w:r>
          </w:p>
        </w:tc>
        <w:tc>
          <w:tcPr/>
          <w:p>
            <w:pPr>
              <w:pStyle w:val="TableText"/>
              <w:jc w:val="left"/>
            </w:pPr>
            <w:r>
              <w:t xml:space="preserve">1,183</w:t>
            </w:r>
          </w:p>
        </w:tc>
      </w:tr>
      <w:tr>
        <w:trPr>
          <w:cantSplit/>
        </w:trPr>
        <w:tc>
          <w:tcPr/>
          <w:p>
            <w:pPr>
              <w:pStyle w:val="TableText"/>
              <w:jc w:val="left"/>
            </w:pPr>
            <w:r>
              <w:t xml:space="preserve">Cases by September 21, 2026</w:t>
            </w:r>
          </w:p>
        </w:tc>
        <w:tc>
          <w:tcPr/>
          <w:p>
            <w:pPr>
              <w:pStyle w:val="TableText"/>
              <w:jc w:val="left"/>
            </w:pPr>
            <w:r>
              <w:t xml:space="preserve">2,888</w:t>
            </w:r>
          </w:p>
        </w:tc>
      </w:tr>
      <w:tr>
        <w:trPr>
          <w:cantSplit/>
        </w:trPr>
        <w:tc>
          <w:tcPr/>
          <w:p>
            <w:pPr>
              <w:pStyle w:val="TableText"/>
              <w:jc w:val="left"/>
            </w:pPr>
            <w:r>
              <w:t xml:space="preserve">Municipalities with the most cases (by residence)</w:t>
            </w:r>
          </w:p>
        </w:tc>
        <w:tc>
          <w:tcPr/>
          <w:p>
            <w:pPr>
              <w:pStyle w:val="TableText"/>
              <w:jc w:val="left"/>
            </w:pPr>
            <w:r>
              <w:t xml:space="preserve">Legazpi City 486; Bacacay 296; Daraga 220; Tabaco City 181; Malilipot 171</w:t>
            </w:r>
          </w:p>
        </w:tc>
      </w:tr>
      <w:tr>
        <w:trPr>
          <w:cantSplit/>
        </w:trPr>
        <w:tc>
          <w:tcPr/>
          <w:p>
            <w:pPr>
              <w:pStyle w:val="TableText"/>
              <w:jc w:val="left"/>
            </w:pPr>
            <w:r>
              <w:t xml:space="preserve">Response</w:t>
            </w:r>
          </w:p>
        </w:tc>
        <w:tc>
          <w:tcPr/>
          <w:p>
            <w:pPr>
              <w:pStyle w:val="TableText"/>
              <w:jc w:val="left"/>
            </w:pPr>
            <w:r>
              <w:t xml:space="preserve">State of calamity; barangay dengue brigades reactivated; public schools closed September 14 to 18 for cleanup and fogging</w:t>
            </w:r>
          </w:p>
        </w:tc>
      </w:tr>
    </w:tbl>
    <w:p>
      <w:pPr>
        <w:pStyle w:val="BodyText"/>
      </w:pPr>
      <w:r>
        <w:rPr>
          <w:bCs/>
          <w:b/>
        </w:rPr>
        <w:t xml:space="preserve">Definition 1 (Barangay network).</w:t>
      </w:r>
      <w:r>
        <w:t xml:space="preserve"> </w:t>
      </w:r>
      <w:r>
        <w:t xml:space="preserve">The study area is a set</w:t>
      </w:r>
      <w:r>
        <w:t xml:space="preserve"> </w:t>
      </w:r>
      <w:r>
        <w:rPr>
          <w:iCs/>
          <w:i/>
        </w:rPr>
        <w:t xml:space="preserve">B</w:t>
      </w:r>
      <w:r>
        <w:t xml:space="preserve"> </w:t>
      </w:r>
      <w:r>
        <w:t xml:space="preserve">= {1,…,</w:t>
      </w:r>
      <w:r>
        <w:rPr>
          <w:iCs/>
          <w:i/>
        </w:rPr>
        <w:t xml:space="preserve">n</w:t>
      </w:r>
      <w:r>
        <w:t xml:space="preserve">} of barangays. Barangay</w:t>
      </w:r>
      <w:r>
        <w:t xml:space="preserve"> </w:t>
      </w:r>
      <w:r>
        <w:rPr>
          <w:iCs/>
          <w:i/>
        </w:rPr>
        <w:t xml:space="preserve">i</w:t>
      </w:r>
      <w:r>
        <w:t xml:space="preserve"> </w:t>
      </w:r>
      <w:r>
        <w:t xml:space="preserve">has</w:t>
      </w:r>
      <w:r>
        <w:t xml:space="preserve"> </w:t>
      </w:r>
      <w:r>
        <w:rPr>
          <w:iCs/>
          <w:i/>
        </w:rPr>
        <w:t xml:space="preserve">N</w:t>
      </w:r>
      <w:r>
        <w:rPr>
          <w:iCs/>
          <w:i/>
          <w:vertAlign w:val="subscript"/>
        </w:rPr>
        <w:t xml:space="preserve">i</w:t>
      </w:r>
      <w:r>
        <w:t xml:space="preserve"> </w:t>
      </w:r>
      <w:r>
        <w:t xml:space="preserve">residents and a center</w:t>
      </w:r>
      <w:r>
        <w:t xml:space="preserve"> </w:t>
      </w:r>
      <w:r>
        <w:rPr>
          <w:iCs/>
          <w:i/>
        </w:rPr>
        <w:t xml:space="preserve">o</w:t>
      </w:r>
      <w:r>
        <w:rPr>
          <w:iCs/>
          <w:i/>
          <w:vertAlign w:val="subscript"/>
        </w:rPr>
        <w:t xml:space="preserve">i</w:t>
      </w:r>
      <w:r>
        <w:t xml:space="preserve">, a landmark such as the barangay hall. The travel time</w:t>
      </w:r>
      <w:r>
        <w:t xml:space="preserve"> </w:t>
      </w:r>
      <w:r>
        <w:rPr>
          <w:iCs/>
          <w:i/>
        </w:rPr>
        <w:t xml:space="preserve">T</w:t>
      </w:r>
      <w:r>
        <w:rPr>
          <w:iCs/>
          <w:i/>
          <w:vertAlign w:val="subscript"/>
        </w:rPr>
        <w:t xml:space="preserve">ij</w:t>
      </w:r>
      <w:r>
        <w:t xml:space="preserve"> </w:t>
      </w:r>
      <w:r>
        <w:t xml:space="preserve">in minutes is the door-to-door trip time from</w:t>
      </w:r>
      <w:r>
        <w:t xml:space="preserve"> </w:t>
      </w:r>
      <w:r>
        <w:rPr>
          <w:iCs/>
          <w:i/>
        </w:rPr>
        <w:t xml:space="preserve">o</w:t>
      </w:r>
      <w:r>
        <w:rPr>
          <w:iCs/>
          <w:i/>
          <w:vertAlign w:val="subscript"/>
        </w:rPr>
        <w:t xml:space="preserve">i</w:t>
      </w:r>
      <w:r>
        <w:t xml:space="preserve"> </w:t>
      </w:r>
      <w:r>
        <w:t xml:space="preserve">to</w:t>
      </w:r>
      <w:r>
        <w:t xml:space="preserve"> </w:t>
      </w:r>
      <w:r>
        <w:rPr>
          <w:iCs/>
          <w:i/>
        </w:rPr>
        <w:t xml:space="preserve">o</w:t>
      </w:r>
      <w:r>
        <w:rPr>
          <w:iCs/>
          <w:i/>
          <w:vertAlign w:val="subscript"/>
        </w:rPr>
        <w:t xml:space="preserve">j</w:t>
      </w:r>
      <w:r>
        <w:t xml:space="preserve"> </w:t>
      </w:r>
      <w:r>
        <w:t xml:space="preserve">by public transport and on foot, as given by the companion study’s timetable model (Brimbuela et al., 2026), with</w:t>
      </w:r>
      <w:r>
        <w:t xml:space="preserve"> </w:t>
      </w:r>
      <w:r>
        <w:rPr>
          <w:iCs/>
          <w:i/>
        </w:rPr>
        <w:t xml:space="preserve">T</w:t>
      </w:r>
      <w:r>
        <w:rPr>
          <w:iCs/>
          <w:i/>
          <w:vertAlign w:val="subscript"/>
        </w:rPr>
        <w:t xml:space="preserve">ii</w:t>
      </w:r>
      <w:r>
        <w:t xml:space="preserve"> </w:t>
      </w:r>
      <w:r>
        <w:t xml:space="preserve">= 0.</w:t>
      </w:r>
    </w:p>
    <w:bookmarkEnd w:id="46"/>
    <w:bookmarkStart w:id="53" w:name="where-residents-spend-the-day"/>
    <w:p>
      <w:pPr>
        <w:pStyle w:val="Heading2"/>
      </w:pPr>
      <w:r>
        <w:t xml:space="preserve">2.2 Where Residents Spend the Day</w:t>
      </w:r>
    </w:p>
    <w:p>
      <w:pPr>
        <w:pStyle w:val="FirstParagraph"/>
      </w:pPr>
      <w:r>
        <w:rPr>
          <w:bCs/>
          <w:b/>
        </w:rPr>
        <w:t xml:space="preserve">Definition 2 (Time away and destination choice).</w:t>
      </w:r>
      <w:r>
        <w:t xml:space="preserve"> </w:t>
      </w:r>
      <w:r>
        <w:t xml:space="preserve">During the hours when</w:t>
      </w:r>
      <w:r>
        <w:t xml:space="preserve"> </w:t>
      </w:r>
      <w:r>
        <w:rPr>
          <w:iCs/>
          <w:i/>
        </w:rPr>
        <w:t xml:space="preserve">Aedes aegypti</w:t>
      </w:r>
      <w:r>
        <w:t xml:space="preserve"> </w:t>
      </w:r>
      <w:r>
        <w:t xml:space="preserve">bites, a resident of barangay</w:t>
      </w:r>
      <w:r>
        <w:t xml:space="preserve"> </w:t>
      </w:r>
      <w:r>
        <w:rPr>
          <w:iCs/>
          <w:i/>
        </w:rPr>
        <w:t xml:space="preserve">i</w:t>
      </w:r>
      <w:r>
        <w:t xml:space="preserve"> </w:t>
      </w:r>
      <w:r>
        <w:t xml:space="preserve">spends a share</w:t>
      </w:r>
      <w:r>
        <w:t xml:space="preserve"> </w:t>
      </w:r>
      <w:r>
        <w:rPr>
          <w:iCs/>
          <w:i/>
        </w:rPr>
        <w:t xml:space="preserve">ω</w:t>
      </w:r>
      <w:r>
        <w:rPr>
          <w:iCs/>
          <w:i/>
          <w:vertAlign w:val="subscript"/>
        </w:rPr>
        <w:t xml:space="preserve">i</w:t>
      </w:r>
      <w:r>
        <w:t xml:space="preserve"> </w:t>
      </w:r>
      <w:r>
        <w:t xml:space="preserve">∈ [0,1) of the time away from home. Time away is divided among the other barangays in proportion to how strongly each attracts visitors and how close it is: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773936" cy="414528"/>
                  <wp:effectExtent b="0" l="0" r="0" t="0"/>
                  <wp:docPr descr="" title="" id="48" name="Picture"/>
                  <a:graphic>
                    <a:graphicData uri="http://schemas.openxmlformats.org/drawingml/2006/picture">
                      <pic:pic>
                        <pic:nvPicPr>
                          <pic:cNvPr descr="/home/user/MAP---A/research/where-people-go-dengue/paper/eq/eq_43a795cbf4bde72d.png" id="49" name="Picture"/>
                          <pic:cNvPicPr>
                            <a:picLocks noChangeArrowheads="1" noChangeAspect="1"/>
                          </pic:cNvPicPr>
                        </pic:nvPicPr>
                        <pic:blipFill>
                          <a:blip r:embed="rId47"/>
                          <a:stretch>
                            <a:fillRect/>
                          </a:stretch>
                        </pic:blipFill>
                        <pic:spPr bwMode="auto">
                          <a:xfrm>
                            <a:off x="0" y="0"/>
                            <a:ext cx="1773936" cy="414528"/>
                          </a:xfrm>
                          <a:prstGeom prst="rect">
                            <a:avLst/>
                          </a:prstGeom>
                          <a:noFill/>
                          <a:ln w="9525">
                            <a:noFill/>
                            <a:headEnd/>
                            <a:tailEnd/>
                          </a:ln>
                        </pic:spPr>
                      </pic:pic>
                    </a:graphicData>
                  </a:graphic>
                </wp:inline>
              </w:drawing>
            </w:r>
          </w:p>
        </w:tc>
        <w:tc>
          <w:tcPr>
            <w:tcW w:w="900" w:type="dxa"/>
            <w:vAlign w:val="center"/>
          </w:tcPr>
          <w:p>
            <w:pPr>
              <w:pStyle w:val="EquationNumber"/>
            </w:pPr>
            <w:r>
              <w:t>(1)</w:t>
            </w:r>
          </w:p>
        </w:tc>
      </w:tr>
    </w:tbl>
    <w:p>
      <w:pPr>
        <w:pStyle w:val="SourceLine"/>
      </w:pPr>
      <w:r>
        <w:t xml:space="preserve">Source: a gravity-type destination choice; Cosner et al. (2009) for the residence-time framing</w:t>
      </w:r>
    </w:p>
    <w:p>
      <w:pPr>
        <w:pStyle w:val="BodyText"/>
      </w:pPr>
      <w:r>
        <w:t xml:space="preserve">where</w:t>
      </w:r>
      <w:r>
        <w:t xml:space="preserve"> </w:t>
      </w:r>
      <w:r>
        <w:rPr>
          <w:iCs/>
          <w:i/>
        </w:rPr>
        <w:t xml:space="preserve">A</w:t>
      </w:r>
      <w:r>
        <w:rPr>
          <w:iCs/>
          <w:i/>
          <w:vertAlign w:val="subscript"/>
        </w:rPr>
        <w:t xml:space="preserve">j</w:t>
      </w:r>
      <w:r>
        <w:t xml:space="preserve"> </w:t>
      </w:r>
      <w:r>
        <w:t xml:space="preserve">&gt; 0 is the attraction of barangay</w:t>
      </w:r>
      <w:r>
        <w:t xml:space="preserve"> </w:t>
      </w:r>
      <w:r>
        <w:rPr>
          <w:iCs/>
          <w:i/>
        </w:rPr>
        <w:t xml:space="preserve">j</w:t>
      </w:r>
      <w:r>
        <w:t xml:space="preserve"> </w:t>
      </w:r>
      <w:r>
        <w:t xml:space="preserve">(school seats, market stalls, and jobs, from the registers of Appendix A) and</w:t>
      </w:r>
      <w:r>
        <w:t xml:space="preserve"> </w:t>
      </w:r>
      <w:r>
        <w:rPr>
          <w:iCs/>
          <w:i/>
        </w:rPr>
        <w:t xml:space="preserve">β</w:t>
      </w:r>
      <w:r>
        <w:t xml:space="preserve"> </w:t>
      </w:r>
      <w:r>
        <w:t xml:space="preserve">&gt; 0 sets how fast attraction fades with travel time.</w:t>
      </w:r>
    </w:p>
    <w:p>
      <w:pPr>
        <w:pStyle w:val="BodyText"/>
      </w:pPr>
      <w:r>
        <w:rPr>
          <w:bCs/>
          <w:b/>
        </w:rPr>
        <w:t xml:space="preserve">Definition 3 (Residence-time matrix).</w:t>
      </w:r>
      <w:r>
        <w:t xml:space="preserve"> </w:t>
      </w:r>
      <w:r>
        <w:t xml:space="preserve">The matrix</w:t>
      </w:r>
      <w:r>
        <w:t xml:space="preserve"> </w:t>
      </w:r>
      <w:r>
        <w:rPr>
          <w:iCs/>
          <w:i/>
        </w:rPr>
        <w:t xml:space="preserve">P</w:t>
      </w:r>
      <w:r>
        <w:t xml:space="preserve"> </w:t>
      </w:r>
      <w:r>
        <w:t xml:space="preserve">= [</w:t>
      </w:r>
      <w:r>
        <w:rPr>
          <w:iCs/>
          <w:i/>
        </w:rPr>
        <w:t xml:space="preserve">p</w:t>
      </w:r>
      <w:r>
        <w:rPr>
          <w:iCs/>
          <w:i/>
          <w:vertAlign w:val="subscript"/>
        </w:rPr>
        <w:t xml:space="preserve">ij</w:t>
      </w:r>
      <w:r>
        <w:t xml:space="preserve">] records the share of biting hours that residents of</w:t>
      </w:r>
      <w:r>
        <w:t xml:space="preserve"> </w:t>
      </w:r>
      <w:r>
        <w:rPr>
          <w:iCs/>
          <w:i/>
        </w:rPr>
        <w:t xml:space="preserve">i</w:t>
      </w:r>
      <w:r>
        <w:t xml:space="preserve"> </w:t>
      </w:r>
      <w:r>
        <w:t xml:space="preserve">spend in</w:t>
      </w:r>
      <w:r>
        <w:t xml:space="preserve"> </w:t>
      </w:r>
      <w:r>
        <w:rPr>
          <w:iCs/>
          <w:i/>
        </w:rPr>
        <w:t xml:space="preserve">j</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456431" cy="292607"/>
                  <wp:effectExtent b="0" l="0" r="0" t="0"/>
                  <wp:docPr descr="" title="" id="51" name="Picture"/>
                  <a:graphic>
                    <a:graphicData uri="http://schemas.openxmlformats.org/drawingml/2006/picture">
                      <pic:pic>
                        <pic:nvPicPr>
                          <pic:cNvPr descr="/home/user/MAP---A/research/where-people-go-dengue/paper/eq/eq_72f9a699444c9299.png" id="52" name="Picture"/>
                          <pic:cNvPicPr>
                            <a:picLocks noChangeArrowheads="1" noChangeAspect="1"/>
                          </pic:cNvPicPr>
                        </pic:nvPicPr>
                        <pic:blipFill>
                          <a:blip r:embed="rId50"/>
                          <a:stretch>
                            <a:fillRect/>
                          </a:stretch>
                        </pic:blipFill>
                        <pic:spPr bwMode="auto">
                          <a:xfrm>
                            <a:off x="0" y="0"/>
                            <a:ext cx="3456431" cy="292607"/>
                          </a:xfrm>
                          <a:prstGeom prst="rect">
                            <a:avLst/>
                          </a:prstGeom>
                          <a:noFill/>
                          <a:ln w="9525">
                            <a:noFill/>
                            <a:headEnd/>
                            <a:tailEnd/>
                          </a:ln>
                        </pic:spPr>
                      </pic:pic>
                    </a:graphicData>
                  </a:graphic>
                </wp:inline>
              </w:drawing>
            </w:r>
          </w:p>
        </w:tc>
        <w:tc>
          <w:tcPr>
            <w:tcW w:w="900" w:type="dxa"/>
            <w:vAlign w:val="center"/>
          </w:tcPr>
          <w:p>
            <w:pPr>
              <w:pStyle w:val="EquationNumber"/>
            </w:pPr>
            <w:r>
              <w:t>(2)</w:t>
            </w:r>
          </w:p>
        </w:tc>
      </w:tr>
    </w:tbl>
    <w:p>
      <w:pPr>
        <w:pStyle w:val="SourceLine"/>
      </w:pPr>
      <w:r>
        <w:t xml:space="preserve">Source: this study, after the Lagrangian patch model of Cosner et al. (2009)</w:t>
      </w:r>
    </w:p>
    <w:p>
      <w:pPr>
        <w:pStyle w:val="BodyText"/>
      </w:pPr>
      <w:r>
        <w:t xml:space="preserve">Each row of</w:t>
      </w:r>
      <w:r>
        <w:t xml:space="preserve"> </w:t>
      </w:r>
      <w:r>
        <w:rPr>
          <w:iCs/>
          <w:i/>
        </w:rPr>
        <w:t xml:space="preserve">P</w:t>
      </w:r>
      <w:r>
        <w:t xml:space="preserve"> </w:t>
      </w:r>
      <w:r>
        <w:t xml:space="preserve">sums to one. The number</w:t>
      </w:r>
      <w:r>
        <w:t xml:space="preserve"> </w:t>
      </w:r>
      <w:r>
        <w:rPr>
          <w:iCs/>
          <w:i/>
        </w:rPr>
        <w:t xml:space="preserve">Ñ</w:t>
      </w:r>
      <w:r>
        <w:rPr>
          <w:iCs/>
          <w:i/>
          <w:vertAlign w:val="subscript"/>
        </w:rPr>
        <w:t xml:space="preserve">j</w:t>
      </w:r>
      <w:r>
        <w:t xml:space="preserve"> </w:t>
      </w:r>
      <w:r>
        <w:t xml:space="preserve">is the average number of people present in barangay</w:t>
      </w:r>
      <w:r>
        <w:t xml:space="preserve"> </w:t>
      </w:r>
      <w:r>
        <w:rPr>
          <w:iCs/>
          <w:i/>
        </w:rPr>
        <w:t xml:space="preserve">j</w:t>
      </w:r>
      <w:r>
        <w:t xml:space="preserve"> </w:t>
      </w:r>
      <w:r>
        <w:t xml:space="preserve">during biting hours: residents who stay plus visitors who come. A town center with a large school can host far more people by day than live there.</w:t>
      </w:r>
    </w:p>
    <w:bookmarkEnd w:id="53"/>
    <w:bookmarkStart w:id="60" w:name="mosquitoes-and-transmission"/>
    <w:p>
      <w:pPr>
        <w:pStyle w:val="Heading2"/>
      </w:pPr>
      <w:r>
        <w:t xml:space="preserve">2.3 Mosquitoes and Transmission</w:t>
      </w:r>
    </w:p>
    <w:p>
      <w:pPr>
        <w:pStyle w:val="FirstParagraph"/>
      </w:pPr>
      <w:r>
        <w:rPr>
          <w:bCs/>
          <w:b/>
        </w:rPr>
        <w:t xml:space="preserve">Definition 4 (Mosquito density).</w:t>
      </w:r>
      <w:r>
        <w:t xml:space="preserve"> </w:t>
      </w:r>
      <w:r>
        <w:t xml:space="preserve">Barangay</w:t>
      </w:r>
      <w:r>
        <w:t xml:space="preserve"> </w:t>
      </w:r>
      <w:r>
        <w:rPr>
          <w:iCs/>
          <w:i/>
        </w:rPr>
        <w:t xml:space="preserve">j</w:t>
      </w:r>
      <w:r>
        <w:t xml:space="preserve"> </w:t>
      </w:r>
      <w:r>
        <w:t xml:space="preserve">holds</w:t>
      </w:r>
      <w:r>
        <w:t xml:space="preserve"> </w:t>
      </w:r>
      <w:r>
        <w:rPr>
          <w:iCs/>
          <w:i/>
        </w:rPr>
        <w:t xml:space="preserve">V</w:t>
      </w:r>
      <w:r>
        <w:rPr>
          <w:iCs/>
          <w:i/>
          <w:vertAlign w:val="subscript"/>
        </w:rPr>
        <w:t xml:space="preserve">j</w:t>
      </w:r>
      <w:r>
        <w:t xml:space="preserve"> </w:t>
      </w:r>
      <w:r>
        <w:t xml:space="preserve">adult female mosquitoes at equilibrium, estimated from larval or ovitrap surveys. The density that matters for transmission is the number of mosquitoes per person present:</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523951" cy="359454"/>
                  <wp:effectExtent b="0" l="0" r="0" t="0"/>
                  <wp:docPr descr="" title="" id="55" name="Picture"/>
                  <a:graphic>
                    <a:graphicData uri="http://schemas.openxmlformats.org/drawingml/2006/picture">
                      <pic:pic>
                        <pic:nvPicPr>
                          <pic:cNvPr descr="/home/user/MAP---A/research/where-people-go-dengue/paper/eq/eq_7942a22231febe03.png" id="56" name="Picture"/>
                          <pic:cNvPicPr>
                            <a:picLocks noChangeArrowheads="1" noChangeAspect="1"/>
                          </pic:cNvPicPr>
                        </pic:nvPicPr>
                        <pic:blipFill>
                          <a:blip r:embed="rId54"/>
                          <a:stretch>
                            <a:fillRect/>
                          </a:stretch>
                        </pic:blipFill>
                        <pic:spPr bwMode="auto">
                          <a:xfrm>
                            <a:off x="0" y="0"/>
                            <a:ext cx="523951" cy="359454"/>
                          </a:xfrm>
                          <a:prstGeom prst="rect">
                            <a:avLst/>
                          </a:prstGeom>
                          <a:noFill/>
                          <a:ln w="9525">
                            <a:noFill/>
                            <a:headEnd/>
                            <a:tailEnd/>
                          </a:ln>
                        </pic:spPr>
                      </pic:pic>
                    </a:graphicData>
                  </a:graphic>
                </wp:inline>
              </w:drawing>
            </w:r>
          </w:p>
        </w:tc>
        <w:tc>
          <w:tcPr>
            <w:tcW w:w="900" w:type="dxa"/>
            <w:vAlign w:val="center"/>
          </w:tcPr>
          <w:p>
            <w:pPr>
              <w:pStyle w:val="EquationNumber"/>
            </w:pPr>
            <w:r>
              <w:t>(3)</w:t>
            </w:r>
          </w:p>
        </w:tc>
      </w:tr>
    </w:tbl>
    <w:p>
      <w:pPr>
        <w:pStyle w:val="SourceLine"/>
      </w:pPr>
      <w:r>
        <w:t xml:space="preserve">Source: this study; the classic density</w:t>
      </w:r>
      <w:r>
        <w:t xml:space="preserve"> </w:t>
      </w:r>
      <w:r>
        <w:rPr>
          <w:iCs/>
          <w:i/>
        </w:rPr>
        <w:t xml:space="preserve">m</w:t>
      </w:r>
      <w:r>
        <w:t xml:space="preserve"> </w:t>
      </w:r>
      <w:r>
        <w:t xml:space="preserve">of Ross-Macdonald theory (Smith et al., 2012) measured per person present</w:t>
      </w:r>
    </w:p>
    <w:p>
      <w:pPr>
        <w:pStyle w:val="BodyText"/>
      </w:pPr>
      <w:r>
        <w:rPr>
          <w:bCs/>
          <w:b/>
        </w:rPr>
        <w:t xml:space="preserve">Definition 5 (Residence-time host-vector model).</w:t>
      </w:r>
      <w:r>
        <w:t xml:space="preserve"> </w:t>
      </w:r>
      <w:r>
        <w:t xml:space="preserve">Residents of</w:t>
      </w:r>
      <w:r>
        <w:t xml:space="preserve"> </w:t>
      </w:r>
      <w:r>
        <w:rPr>
          <w:iCs/>
          <w:i/>
        </w:rPr>
        <w:t xml:space="preserve">i</w:t>
      </w:r>
      <w:r>
        <w:t xml:space="preserve"> </w:t>
      </w:r>
      <w:r>
        <w:t xml:space="preserve">are susceptible (</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 infectious (</w:t>
      </w:r>
      <w:r>
        <w:rPr>
          <w:iCs/>
          <w:i/>
        </w:rPr>
        <w:t xml:space="preserve">I</w:t>
      </w:r>
      <w:r>
        <w:rPr>
          <w:iCs/>
          <w:i/>
          <w:vertAlign w:val="subscript"/>
        </w:rPr>
        <w:t xml:space="preserve">h</w:t>
      </w:r>
      <w:r>
        <w:rPr>
          <w:vertAlign w:val="subscript"/>
        </w:rPr>
        <w:t xml:space="preserve">,</w:t>
      </w:r>
      <w:r>
        <w:rPr>
          <w:iCs/>
          <w:i/>
          <w:vertAlign w:val="subscript"/>
        </w:rPr>
        <w:t xml:space="preserve">i</w:t>
      </w:r>
      <w:r>
        <w:t xml:space="preserve">), or recovered (</w:t>
      </w:r>
      <w:r>
        <w:rPr>
          <w:iCs/>
          <w:i/>
        </w:rPr>
        <w:t xml:space="preserve">R</w:t>
      </w:r>
      <w:r>
        <w:rPr>
          <w:iCs/>
          <w:i/>
          <w:vertAlign w:val="subscript"/>
        </w:rPr>
        <w:t xml:space="preserve">h</w:t>
      </w:r>
      <w:r>
        <w:rPr>
          <w:vertAlign w:val="subscript"/>
        </w:rPr>
        <w:t xml:space="preserve">,</w:t>
      </w:r>
      <w:r>
        <w:rPr>
          <w:iCs/>
          <w:i/>
          <w:vertAlign w:val="subscript"/>
        </w:rPr>
        <w:t xml:space="preserve">i</w:t>
      </w:r>
      <w:r>
        <w:t xml:space="preserve">); mosquitoes in</w:t>
      </w:r>
      <w:r>
        <w:t xml:space="preserve"> </w:t>
      </w:r>
      <w:r>
        <w:rPr>
          <w:iCs/>
          <w:i/>
        </w:rPr>
        <w:t xml:space="preserve">j</w:t>
      </w:r>
      <w:r>
        <w:t xml:space="preserve"> </w:t>
      </w:r>
      <w:r>
        <w:t xml:space="preserve">are susceptible (</w:t>
      </w:r>
      <w:r>
        <w:rPr>
          <w:iCs/>
          <w:i/>
        </w:rPr>
        <w:t xml:space="preserve">S</w:t>
      </w:r>
      <w:r>
        <w:rPr>
          <w:iCs/>
          <w:i/>
          <w:vertAlign w:val="subscript"/>
        </w:rPr>
        <w:t xml:space="preserve">v</w:t>
      </w:r>
      <w:r>
        <w:rPr>
          <w:vertAlign w:val="subscript"/>
        </w:rPr>
        <w:t xml:space="preserve">,</w:t>
      </w:r>
      <w:r>
        <w:rPr>
          <w:iCs/>
          <w:i/>
          <w:vertAlign w:val="subscript"/>
        </w:rPr>
        <w:t xml:space="preserve">j</w:t>
      </w:r>
      <w:r>
        <w:t xml:space="preserve">), incubating the virus (</w:t>
      </w:r>
      <w:r>
        <w:rPr>
          <w:iCs/>
          <w:i/>
        </w:rPr>
        <w:t xml:space="preserve">E</w:t>
      </w:r>
      <w:r>
        <w:rPr>
          <w:iCs/>
          <w:i/>
          <w:vertAlign w:val="subscript"/>
        </w:rPr>
        <w:t xml:space="preserve">v</w:t>
      </w:r>
      <w:r>
        <w:rPr>
          <w:vertAlign w:val="subscript"/>
        </w:rPr>
        <w:t xml:space="preserve">,</w:t>
      </w:r>
      <w:r>
        <w:rPr>
          <w:iCs/>
          <w:i/>
          <w:vertAlign w:val="subscript"/>
        </w:rPr>
        <w:t xml:space="preserve">j</w:t>
      </w:r>
      <w:r>
        <w:t xml:space="preserve">), or infectious (</w:t>
      </w:r>
      <w:r>
        <w:rPr>
          <w:iCs/>
          <w:i/>
        </w:rPr>
        <w:t xml:space="preserve">I</w:t>
      </w:r>
      <w:r>
        <w:rPr>
          <w:iCs/>
          <w:i/>
          <w:vertAlign w:val="subscript"/>
        </w:rPr>
        <w:t xml:space="preserve">v</w:t>
      </w:r>
      <w:r>
        <w:rPr>
          <w:vertAlign w:val="subscript"/>
        </w:rPr>
        <w:t xml:space="preserve">,</w:t>
      </w:r>
      <w:r>
        <w:rPr>
          <w:iCs/>
          <w:i/>
          <w:vertAlign w:val="subscript"/>
        </w:rPr>
        <w:t xml:space="preserve">j</w:t>
      </w:r>
      <w:r>
        <w:t xml:space="preserve">). With biting rate</w:t>
      </w:r>
      <w:r>
        <w:t xml:space="preserve"> </w:t>
      </w:r>
      <w:r>
        <w:rPr>
          <w:iCs/>
          <w:i/>
        </w:rPr>
        <w:t xml:space="preserve">a</w:t>
      </w:r>
      <w:r>
        <w:t xml:space="preserve">, transmission probabilities</w:t>
      </w:r>
      <w:r>
        <w:t xml:space="preserve"> </w:t>
      </w:r>
      <w:r>
        <w:rPr>
          <w:iCs/>
          <w:i/>
        </w:rPr>
        <w:t xml:space="preserve">b</w:t>
      </w:r>
      <w:r>
        <w:t xml:space="preserve"> </w:t>
      </w:r>
      <w:r>
        <w:t xml:space="preserve">(mosquito to person) and</w:t>
      </w:r>
      <w:r>
        <w:t xml:space="preserve"> </w:t>
      </w:r>
      <w:r>
        <w:rPr>
          <w:iCs/>
          <w:i/>
        </w:rPr>
        <w:t xml:space="preserve">c</w:t>
      </w:r>
      <w:r>
        <w:t xml:space="preserve"> </w:t>
      </w:r>
      <w:r>
        <w:t xml:space="preserve">(person to mosquito), human recovery rate</w:t>
      </w:r>
      <w:r>
        <w:t xml:space="preserve"> </w:t>
      </w:r>
      <w:r>
        <w:rPr>
          <w:iCs/>
          <w:i/>
        </w:rPr>
        <w:t xml:space="preserve">γ</w:t>
      </w:r>
      <w:r>
        <w:t xml:space="preserve">, human birth and death rate</w:t>
      </w:r>
      <w:r>
        <w:t xml:space="preserve"> </w:t>
      </w:r>
      <w:r>
        <w:rPr>
          <w:iCs/>
          <w:i/>
        </w:rPr>
        <w:t xml:space="preserve">μ</w:t>
      </w:r>
      <w:r>
        <w:rPr>
          <w:iCs/>
          <w:i/>
          <w:vertAlign w:val="subscript"/>
        </w:rPr>
        <w:t xml:space="preserve">h</w:t>
      </w:r>
      <w:r>
        <w:t xml:space="preserve">, mosquito death rate</w:t>
      </w:r>
      <w:r>
        <w:t xml:space="preserve"> </w:t>
      </w:r>
      <w:r>
        <w:rPr>
          <w:iCs/>
          <w:i/>
        </w:rPr>
        <w:t xml:space="preserve">μ</w:t>
      </w:r>
      <w:r>
        <w:rPr>
          <w:iCs/>
          <w:i/>
          <w:vertAlign w:val="subscript"/>
        </w:rPr>
        <w:t xml:space="preserve">v</w:t>
      </w:r>
      <w:r>
        <w:t xml:space="preserve">, rate</w:t>
      </w:r>
      <w:r>
        <w:t xml:space="preserve"> </w:t>
      </w:r>
      <w:r>
        <w:rPr>
          <w:iCs/>
          <w:i/>
        </w:rPr>
        <w:t xml:space="preserve">ν</w:t>
      </w:r>
      <w:r>
        <w:t xml:space="preserve"> </w:t>
      </w:r>
      <w:r>
        <w:t xml:space="preserve">of completing the extrinsic incubation, and mosquito recruitment Λ</w:t>
      </w:r>
      <w:r>
        <w:rPr>
          <w:iCs/>
          <w:i/>
          <w:vertAlign w:val="subscript"/>
        </w:rPr>
        <w:t xml:space="preserve">j</w:t>
      </w:r>
      <w:r>
        <w:t xml:space="preserve"> </w:t>
      </w:r>
      <w:r>
        <w:t xml:space="preserve">=</w:t>
      </w:r>
      <w:r>
        <w:t xml:space="preserve"> </w:t>
      </w:r>
      <w:r>
        <w:rPr>
          <w:iCs/>
          <w:i/>
        </w:rPr>
        <w:t xml:space="preserve">μ</w:t>
      </w:r>
      <w:r>
        <w:rPr>
          <w:iCs/>
          <w:i/>
          <w:vertAlign w:val="subscript"/>
        </w:rPr>
        <w:t xml:space="preserve">v</w:t>
      </w:r>
      <w:r>
        <w:rPr>
          <w:iCs/>
          <w:i/>
        </w:rPr>
        <w:t xml:space="preserve">V</w:t>
      </w:r>
      <w:r>
        <w:rPr>
          <w:iCs/>
          <w:i/>
          <w:vertAlign w:val="subscript"/>
        </w:rPr>
        <w:t xml:space="preserve">j</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806647" cy="1264818"/>
                  <wp:effectExtent b="0" l="0" r="0" t="0"/>
                  <wp:docPr descr="" title="" id="58" name="Picture"/>
                  <a:graphic>
                    <a:graphicData uri="http://schemas.openxmlformats.org/drawingml/2006/picture">
                      <pic:pic>
                        <pic:nvPicPr>
                          <pic:cNvPr descr="/home/user/MAP---A/research/where-people-go-dengue/paper/eq/eq_3d9a79fcc5dd825d.png" id="59" name="Picture"/>
                          <pic:cNvPicPr>
                            <a:picLocks noChangeArrowheads="1" noChangeAspect="1"/>
                          </pic:cNvPicPr>
                        </pic:nvPicPr>
                        <pic:blipFill>
                          <a:blip r:embed="rId57"/>
                          <a:stretch>
                            <a:fillRect/>
                          </a:stretch>
                        </pic:blipFill>
                        <pic:spPr bwMode="auto">
                          <a:xfrm>
                            <a:off x="0" y="0"/>
                            <a:ext cx="3806647" cy="1264818"/>
                          </a:xfrm>
                          <a:prstGeom prst="rect">
                            <a:avLst/>
                          </a:prstGeom>
                          <a:noFill/>
                          <a:ln w="9525">
                            <a:noFill/>
                            <a:headEnd/>
                            <a:tailEnd/>
                          </a:ln>
                        </pic:spPr>
                      </pic:pic>
                    </a:graphicData>
                  </a:graphic>
                </wp:inline>
              </w:drawing>
            </w:r>
          </w:p>
        </w:tc>
        <w:tc>
          <w:tcPr>
            <w:tcW w:w="900" w:type="dxa"/>
            <w:vAlign w:val="center"/>
          </w:tcPr>
          <w:p>
            <w:pPr>
              <w:pStyle w:val="EquationNumber"/>
            </w:pPr>
            <w:r>
              <w:t>(4)</w:t>
            </w:r>
          </w:p>
        </w:tc>
      </w:tr>
    </w:tbl>
    <w:p>
      <w:pPr>
        <w:pStyle w:val="SourceLine"/>
      </w:pPr>
      <w:r>
        <w:t xml:space="preserve">Source: this study, a residence-time version of the Ross-Macdonald model (Cosner et al., 2009; Smith et al., 2012)</w:t>
      </w:r>
    </w:p>
    <w:p>
      <w:pPr>
        <w:pStyle w:val="BodyText"/>
      </w:pPr>
      <w:r>
        <w:t xml:space="preserve">The forces of infection follow from where bites happen: a mosquito in</w:t>
      </w:r>
      <w:r>
        <w:t xml:space="preserve"> </w:t>
      </w:r>
      <w:r>
        <w:rPr>
          <w:iCs/>
          <w:i/>
        </w:rPr>
        <w:t xml:space="preserve">j</w:t>
      </w:r>
      <w:r>
        <w:t xml:space="preserve"> </w:t>
      </w:r>
      <w:r>
        <w:t xml:space="preserve">bites</w:t>
      </w:r>
      <w:r>
        <w:t xml:space="preserve"> </w:t>
      </w:r>
      <w:r>
        <w:rPr>
          <w:iCs/>
          <w:i/>
        </w:rPr>
        <w:t xml:space="preserve">a</w:t>
      </w:r>
      <w:r>
        <w:t xml:space="preserve"> </w:t>
      </w:r>
      <w:r>
        <w:t xml:space="preserve">times a day, and its bites fall on the people present in</w:t>
      </w:r>
      <w:r>
        <w:t xml:space="preserve"> </w:t>
      </w:r>
      <w:r>
        <w:rPr>
          <w:iCs/>
          <w:i/>
        </w:rPr>
        <w:t xml:space="preserve">j</w:t>
      </w:r>
      <w:r>
        <w:t xml:space="preserve"> </w:t>
      </w:r>
      <w:r>
        <w:t xml:space="preserve">in proportion to the time they spend there. A resident of</w:t>
      </w:r>
      <w:r>
        <w:t xml:space="preserve"> </w:t>
      </w:r>
      <w:r>
        <w:rPr>
          <w:iCs/>
          <w:i/>
        </w:rPr>
        <w:t xml:space="preserve">i</w:t>
      </w:r>
      <w:r>
        <w:t xml:space="preserve"> </w:t>
      </w:r>
      <w:r>
        <w:t xml:space="preserve">therefore receives a share</w:t>
      </w:r>
      <w:r>
        <w:t xml:space="preserve"> </w:t>
      </w:r>
      <w:r>
        <w:rPr>
          <w:iCs/>
          <w:i/>
        </w:rPr>
        <w:t xml:space="preserve">p</w:t>
      </w:r>
      <w:r>
        <w:rPr>
          <w:iCs/>
          <w:i/>
          <w:vertAlign w:val="subscript"/>
        </w:rPr>
        <w:t xml:space="preserve">ij</w:t>
      </w:r>
      <w:r>
        <w:t xml:space="preserve">/</w:t>
      </w:r>
      <w:r>
        <w:rPr>
          <w:iCs/>
          <w:i/>
        </w:rPr>
        <w:t xml:space="preserve">Ñ</w:t>
      </w:r>
      <w:r>
        <w:rPr>
          <w:iCs/>
          <w:i/>
          <w:vertAlign w:val="subscript"/>
        </w:rPr>
        <w:t xml:space="preserve">j</w:t>
      </w:r>
      <w:r>
        <w:t xml:space="preserve"> </w:t>
      </w:r>
      <w:r>
        <w:t xml:space="preserve">of the bites made in</w:t>
      </w:r>
      <w:r>
        <w:t xml:space="preserve"> </w:t>
      </w:r>
      <w:r>
        <w:rPr>
          <w:iCs/>
          <w:i/>
        </w:rPr>
        <w:t xml:space="preserve">j</w:t>
      </w:r>
      <w:r>
        <w:t xml:space="preserve">.</w:t>
      </w:r>
    </w:p>
    <w:p>
      <w:pPr>
        <w:pStyle w:val="PaperCaption"/>
      </w:pPr>
      <w:r>
        <w:rPr>
          <w:bCs/>
          <w:b/>
        </w:rPr>
        <w:t xml:space="preserve">Table 4.</w:t>
      </w:r>
      <w:r>
        <w:t xml:space="preserve"> </w:t>
      </w:r>
      <w:r>
        <w:t xml:space="preserve">Parameters of the transmission model. The researchers declared these design values within the published ranges for</w:t>
      </w:r>
      <w:r>
        <w:t xml:space="preserve"> </w:t>
      </w:r>
      <w:r>
        <w:rPr>
          <w:iCs/>
          <w:i/>
        </w:rPr>
        <w:t xml:space="preserve">Aedes aegypti</w:t>
      </w:r>
      <w:r>
        <w:t xml:space="preserve"> </w:t>
      </w:r>
      <w:r>
        <w:t xml:space="preserve">at about 28 °C (Mordecai et al., 2017) and for Ross-Macdonald models (Smith et al., 2012); Section 3.6 varies them in sensitivity sweeps.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733"/>
        <w:gridCol w:w="5573"/>
        <w:gridCol w:w="1613"/>
      </w:tblGrid>
      <w:tr>
        <w:trPr>
          <w:cantSplit/>
          <w:tblHeader w:val="true"/>
        </w:trPr>
        <w:tc>
          <w:tcPr/>
          <w:p>
            <w:pPr>
              <w:pStyle w:val="TableText"/>
              <w:jc w:val="left"/>
            </w:pPr>
            <w:r>
              <w:rPr>
                <w:b/>
              </w:rPr>
              <w:t xml:space="preserve">Symbol</w:t>
            </w:r>
          </w:p>
        </w:tc>
        <w:tc>
          <w:tcPr/>
          <w:p>
            <w:pPr>
              <w:pStyle w:val="TableText"/>
              <w:jc w:val="left"/>
            </w:pPr>
            <w:r>
              <w:rPr>
                <w:b/>
              </w:rPr>
              <w:t xml:space="preserve">Meaning</w:t>
            </w:r>
          </w:p>
        </w:tc>
        <w:tc>
          <w:tcPr/>
          <w:p>
            <w:pPr>
              <w:pStyle w:val="TableText"/>
              <w:jc w:val="right"/>
            </w:pPr>
            <w:r>
              <w:rPr>
                <w:b/>
              </w:rPr>
              <w:t xml:space="preserve">Value</w:t>
            </w:r>
          </w:p>
        </w:tc>
      </w:tr>
      <w:tr>
        <w:trPr>
          <w:cantSplit/>
        </w:trPr>
        <w:tc>
          <w:tcPr/>
          <w:p>
            <w:pPr>
              <w:pStyle w:val="TableText"/>
              <w:jc w:val="left"/>
            </w:pPr>
            <w:r>
              <w:rPr>
                <w:iCs/>
                <w:i/>
              </w:rPr>
              <w:t xml:space="preserve">a</w:t>
            </w:r>
          </w:p>
        </w:tc>
        <w:tc>
          <w:tcPr/>
          <w:p>
            <w:pPr>
              <w:pStyle w:val="TableText"/>
              <w:jc w:val="left"/>
            </w:pPr>
            <w:r>
              <w:t xml:space="preserve">bites per mosquito per day</w:t>
            </w:r>
          </w:p>
        </w:tc>
        <w:tc>
          <w:tcPr/>
          <w:p>
            <w:pPr>
              <w:pStyle w:val="TableText"/>
              <w:jc w:val="right"/>
            </w:pPr>
            <w:r>
              <w:t xml:space="preserve">0.29</w:t>
            </w:r>
          </w:p>
        </w:tc>
      </w:tr>
      <w:tr>
        <w:trPr>
          <w:cantSplit/>
        </w:trPr>
        <w:tc>
          <w:tcPr/>
          <w:p>
            <w:pPr>
              <w:pStyle w:val="TableText"/>
              <w:jc w:val="left"/>
            </w:pPr>
            <w:r>
              <w:rPr>
                <w:iCs/>
                <w:i/>
              </w:rPr>
              <w:t xml:space="preserve">b</w:t>
            </w:r>
          </w:p>
        </w:tc>
        <w:tc>
          <w:tcPr/>
          <w:p>
            <w:pPr>
              <w:pStyle w:val="TableText"/>
              <w:jc w:val="left"/>
            </w:pPr>
            <w:r>
              <w:t xml:space="preserve">chance that an infectious bite infects a person</w:t>
            </w:r>
          </w:p>
        </w:tc>
        <w:tc>
          <w:tcPr/>
          <w:p>
            <w:pPr>
              <w:pStyle w:val="TableText"/>
              <w:jc w:val="right"/>
            </w:pPr>
            <w:r>
              <w:t xml:space="preserve">0.50</w:t>
            </w:r>
          </w:p>
        </w:tc>
      </w:tr>
      <w:tr>
        <w:trPr>
          <w:cantSplit/>
        </w:trPr>
        <w:tc>
          <w:tcPr/>
          <w:p>
            <w:pPr>
              <w:pStyle w:val="TableText"/>
              <w:jc w:val="left"/>
            </w:pPr>
            <w:r>
              <w:rPr>
                <w:iCs/>
                <w:i/>
              </w:rPr>
              <w:t xml:space="preserve">c</w:t>
            </w:r>
          </w:p>
        </w:tc>
        <w:tc>
          <w:tcPr/>
          <w:p>
            <w:pPr>
              <w:pStyle w:val="TableText"/>
              <w:jc w:val="left"/>
            </w:pPr>
            <w:r>
              <w:t xml:space="preserve">chance that biting an infectious person infects the mosquito</w:t>
            </w:r>
          </w:p>
        </w:tc>
        <w:tc>
          <w:tcPr/>
          <w:p>
            <w:pPr>
              <w:pStyle w:val="TableText"/>
              <w:jc w:val="right"/>
            </w:pPr>
            <w:r>
              <w:t xml:space="preserve">0.50</w:t>
            </w:r>
          </w:p>
        </w:tc>
      </w:tr>
      <w:tr>
        <w:trPr>
          <w:cantSplit/>
        </w:trPr>
        <w:tc>
          <w:tcPr/>
          <w:p>
            <w:pPr>
              <w:pStyle w:val="TableText"/>
              <w:jc w:val="left"/>
            </w:pPr>
            <w:r>
              <w:t xml:space="preserve">1/</w:t>
            </w:r>
            <w:r>
              <w:rPr>
                <w:iCs/>
                <w:i/>
              </w:rPr>
              <w:t xml:space="preserve">μ</w:t>
            </w:r>
            <w:r>
              <w:rPr>
                <w:iCs/>
                <w:i/>
                <w:vertAlign w:val="subscript"/>
              </w:rPr>
              <w:t xml:space="preserve">v</w:t>
            </w:r>
          </w:p>
        </w:tc>
        <w:tc>
          <w:tcPr/>
          <w:p>
            <w:pPr>
              <w:pStyle w:val="TableText"/>
              <w:jc w:val="left"/>
            </w:pPr>
            <w:r>
              <w:t xml:space="preserve">mean life of an adult mosquito (days)</w:t>
            </w:r>
          </w:p>
        </w:tc>
        <w:tc>
          <w:tcPr/>
          <w:p>
            <w:pPr>
              <w:pStyle w:val="TableText"/>
              <w:jc w:val="right"/>
            </w:pPr>
            <w:r>
              <w:t xml:space="preserve">10</w:t>
            </w:r>
          </w:p>
        </w:tc>
      </w:tr>
      <w:tr>
        <w:trPr>
          <w:cantSplit/>
        </w:trPr>
        <w:tc>
          <w:tcPr/>
          <w:p>
            <w:pPr>
              <w:pStyle w:val="TableText"/>
              <w:jc w:val="left"/>
            </w:pPr>
            <w:r>
              <w:t xml:space="preserve">1/</w:t>
            </w:r>
            <w:r>
              <w:rPr>
                <w:iCs/>
                <w:i/>
              </w:rPr>
              <w:t xml:space="preserve">ν</w:t>
            </w:r>
          </w:p>
        </w:tc>
        <w:tc>
          <w:tcPr/>
          <w:p>
            <w:pPr>
              <w:pStyle w:val="TableText"/>
              <w:jc w:val="left"/>
            </w:pPr>
            <w:r>
              <w:t xml:space="preserve">extrinsic incubation period (days)</w:t>
            </w:r>
          </w:p>
        </w:tc>
        <w:tc>
          <w:tcPr/>
          <w:p>
            <w:pPr>
              <w:pStyle w:val="TableText"/>
              <w:jc w:val="right"/>
            </w:pPr>
            <w:r>
              <w:t xml:space="preserve">8</w:t>
            </w:r>
          </w:p>
        </w:tc>
      </w:tr>
      <w:tr>
        <w:trPr>
          <w:cantSplit/>
        </w:trPr>
        <w:tc>
          <w:tcPr/>
          <w:p>
            <w:pPr>
              <w:pStyle w:val="TableText"/>
              <w:jc w:val="left"/>
            </w:pPr>
            <w:r>
              <w:t xml:space="preserve">1/</w:t>
            </w:r>
            <w:r>
              <w:rPr>
                <w:iCs/>
                <w:i/>
              </w:rPr>
              <w:t xml:space="preserve">γ</w:t>
            </w:r>
          </w:p>
        </w:tc>
        <w:tc>
          <w:tcPr/>
          <w:p>
            <w:pPr>
              <w:pStyle w:val="TableText"/>
              <w:jc w:val="left"/>
            </w:pPr>
            <w:r>
              <w:t xml:space="preserve">infectious period of a person (days)</w:t>
            </w:r>
          </w:p>
        </w:tc>
        <w:tc>
          <w:tcPr/>
          <w:p>
            <w:pPr>
              <w:pStyle w:val="TableText"/>
              <w:jc w:val="right"/>
            </w:pPr>
            <w:r>
              <w:t xml:space="preserve">5</w:t>
            </w:r>
          </w:p>
        </w:tc>
      </w:tr>
      <w:tr>
        <w:trPr>
          <w:cantSplit/>
        </w:trPr>
        <w:tc>
          <w:tcPr/>
          <w:p>
            <w:pPr>
              <w:pStyle w:val="TableText"/>
              <w:jc w:val="left"/>
            </w:pPr>
            <w:r>
              <w:t xml:space="preserve">1/</w:t>
            </w:r>
            <w:r>
              <w:rPr>
                <w:iCs/>
                <w:i/>
              </w:rPr>
              <w:t xml:space="preserve">μ</w:t>
            </w:r>
            <w:r>
              <w:rPr>
                <w:iCs/>
                <w:i/>
                <w:vertAlign w:val="subscript"/>
              </w:rPr>
              <w:t xml:space="preserve">h</w:t>
            </w:r>
          </w:p>
        </w:tc>
        <w:tc>
          <w:tcPr/>
          <w:p>
            <w:pPr>
              <w:pStyle w:val="TableText"/>
              <w:jc w:val="left"/>
            </w:pPr>
            <w:r>
              <w:t xml:space="preserve">human life expectancy (years)</w:t>
            </w:r>
          </w:p>
        </w:tc>
        <w:tc>
          <w:tcPr/>
          <w:p>
            <w:pPr>
              <w:pStyle w:val="TableText"/>
              <w:jc w:val="right"/>
            </w:pPr>
            <w:r>
              <w:t xml:space="preserve">70</w:t>
            </w:r>
          </w:p>
        </w:tc>
      </w:tr>
      <w:tr>
        <w:trPr>
          <w:cantSplit/>
        </w:trPr>
        <w:tc>
          <w:tcPr/>
          <w:p>
            <w:pPr>
              <w:pStyle w:val="TableText"/>
              <w:jc w:val="left"/>
            </w:pPr>
            <w:r>
              <w:rPr>
                <w:iCs/>
                <w:i/>
              </w:rPr>
              <w:t xml:space="preserve">κ</w:t>
            </w:r>
          </w:p>
        </w:tc>
        <w:tc>
          <w:tcPr/>
          <w:p>
            <w:pPr>
              <w:pStyle w:val="TableText"/>
              <w:jc w:val="left"/>
            </w:pPr>
            <w:r>
              <w:t xml:space="preserve">two-generation constant of Equation (5)</w:t>
            </w:r>
          </w:p>
        </w:tc>
        <w:tc>
          <w:tcPr/>
          <w:p>
            <w:pPr>
              <w:pStyle w:val="TableText"/>
              <w:jc w:val="right"/>
            </w:pPr>
            <w:r>
              <w:t xml:space="preserve">0.584</w:t>
            </w:r>
          </w:p>
        </w:tc>
      </w:tr>
    </w:tbl>
    <w:bookmarkEnd w:id="60"/>
    <w:bookmarkStart w:id="67" w:name="the-reproduction-number"/>
    <w:p>
      <w:pPr>
        <w:pStyle w:val="Heading2"/>
      </w:pPr>
      <w:r>
        <w:t xml:space="preserve">2.4 The Reproduction Number</w:t>
      </w:r>
    </w:p>
    <w:p>
      <w:pPr>
        <w:pStyle w:val="FirstParagraph"/>
      </w:pPr>
      <w:r>
        <w:rPr>
          <w:bCs/>
          <w:b/>
        </w:rPr>
        <w:t xml:space="preserve">Definition 6 (Two-generation matrix and reproduction number).</w:t>
      </w:r>
      <w:r>
        <w:t xml:space="preserve"> </w:t>
      </w:r>
      <w:r>
        <w:t xml:space="preserve">Following van den Driessche and Watmough (2002), the infected states are</w:t>
      </w:r>
      <w:r>
        <w:t xml:space="preserve"> </w:t>
      </w:r>
      <w:r>
        <w:rPr>
          <w:iCs/>
          <w:i/>
        </w:rPr>
        <w:t xml:space="preserve">I</w:t>
      </w:r>
      <w:r>
        <w:rPr>
          <w:iCs/>
          <w:i/>
          <w:vertAlign w:val="subscript"/>
        </w:rPr>
        <w:t xml:space="preserve">h</w:t>
      </w:r>
      <w:r>
        <w:t xml:space="preserve"> </w:t>
      </w:r>
      <w:r>
        <w:t xml:space="preserve">(persons) and</w:t>
      </w:r>
      <w:r>
        <w:t xml:space="preserve"> </w:t>
      </w:r>
      <w:r>
        <w:rPr>
          <w:iCs/>
          <w:i/>
        </w:rPr>
        <w:t xml:space="preserve">E</w:t>
      </w:r>
      <w:r>
        <w:rPr>
          <w:iCs/>
          <w:i/>
          <w:vertAlign w:val="subscript"/>
        </w:rPr>
        <w:t xml:space="preserve">v</w:t>
      </w:r>
      <w:r>
        <w:t xml:space="preserve">,</w:t>
      </w:r>
      <w:r>
        <w:t xml:space="preserve"> </w:t>
      </w:r>
      <w:r>
        <w:rPr>
          <w:iCs/>
          <w:i/>
        </w:rPr>
        <w:t xml:space="preserve">I</w:t>
      </w:r>
      <w:r>
        <w:rPr>
          <w:iCs/>
          <w:i/>
          <w:vertAlign w:val="subscript"/>
        </w:rPr>
        <w:t xml:space="preserve">v</w:t>
      </w:r>
      <w:r>
        <w:t xml:space="preserve"> </w:t>
      </w:r>
      <w:r>
        <w:t xml:space="preserve">(mosquitoes). Linearizing Equation (4) at the disease-free state gives the next-generation matrix</w:t>
      </w:r>
      <w:r>
        <w:t xml:space="preserve"> </w:t>
      </w:r>
      <w:r>
        <w:rPr>
          <w:iCs/>
          <w:i/>
        </w:rPr>
        <w:t xml:space="preserve">K</w:t>
      </w:r>
      <w:r>
        <w:t xml:space="preserve">, whose spectral radius is the basic reproduction number</w:t>
      </w:r>
      <w:r>
        <w:t xml:space="preserve"> </w:t>
      </w:r>
      <w:r>
        <w:rPr>
          <w:iCs/>
          <w:i/>
        </w:rPr>
        <w:t xml:space="preserve">R</w:t>
      </w:r>
      <w:r>
        <w:rPr>
          <w:vertAlign w:val="subscript"/>
        </w:rPr>
        <w:t xml:space="preserve">0</w:t>
      </w:r>
      <w:r>
        <w:t xml:space="preserve"> </w:t>
      </w:r>
      <w:r>
        <w:t xml:space="preserve">=</w:t>
      </w:r>
      <w:r>
        <w:t xml:space="preserve"> </w:t>
      </w:r>
      <w:r>
        <w:rPr>
          <w:iCs/>
          <w:i/>
        </w:rPr>
        <w:t xml:space="preserve">ρ</w:t>
      </w:r>
      <w:r>
        <w:t xml:space="preserve">(</w:t>
      </w:r>
      <w:r>
        <w:rPr>
          <w:iCs/>
          <w:i/>
        </w:rPr>
        <w:t xml:space="preserve">K</w:t>
      </w:r>
      <w:r>
        <w:t xml:space="preserve">). Two generations of</w:t>
      </w:r>
      <w:r>
        <w:t xml:space="preserve"> </w:t>
      </w:r>
      <w:r>
        <w:rPr>
          <w:iCs/>
          <w:i/>
        </w:rPr>
        <w:t xml:space="preserve">K</w:t>
      </w:r>
      <w:r>
        <w:t xml:space="preserve">, person to mosquito and mosquito to person, combine into the matrix</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5212080" cy="395339"/>
                  <wp:effectExtent b="0" l="0" r="0" t="0"/>
                  <wp:docPr descr="" title="" id="62" name="Picture"/>
                  <a:graphic>
                    <a:graphicData uri="http://schemas.openxmlformats.org/drawingml/2006/picture">
                      <pic:pic>
                        <pic:nvPicPr>
                          <pic:cNvPr descr="/home/user/MAP---A/research/where-people-go-dengue/paper/eq/eq_a5fc3f218ba02ec6.png" id="63" name="Picture"/>
                          <pic:cNvPicPr>
                            <a:picLocks noChangeArrowheads="1" noChangeAspect="1"/>
                          </pic:cNvPicPr>
                        </pic:nvPicPr>
                        <pic:blipFill>
                          <a:blip r:embed="rId61"/>
                          <a:stretch>
                            <a:fillRect/>
                          </a:stretch>
                        </pic:blipFill>
                        <pic:spPr bwMode="auto">
                          <a:xfrm>
                            <a:off x="0" y="0"/>
                            <a:ext cx="5212080" cy="395339"/>
                          </a:xfrm>
                          <a:prstGeom prst="rect">
                            <a:avLst/>
                          </a:prstGeom>
                          <a:noFill/>
                          <a:ln w="9525">
                            <a:noFill/>
                            <a:headEnd/>
                            <a:tailEnd/>
                          </a:ln>
                        </pic:spPr>
                      </pic:pic>
                    </a:graphicData>
                  </a:graphic>
                </wp:inline>
              </w:drawing>
            </w:r>
          </w:p>
        </w:tc>
        <w:tc>
          <w:tcPr>
            <w:tcW w:w="900" w:type="dxa"/>
            <w:vAlign w:val="center"/>
          </w:tcPr>
          <w:p>
            <w:pPr>
              <w:pStyle w:val="EquationNumber"/>
            </w:pPr>
            <w:r>
              <w:t>(5)</w:t>
            </w:r>
          </w:p>
        </w:tc>
      </w:tr>
    </w:tbl>
    <w:p>
      <w:pPr>
        <w:pStyle w:val="SourceLine"/>
      </w:pPr>
      <w:r>
        <w:t xml:space="preserve">Source: this study, by the next-generation method of van den Driessche and Watmough (2002)</w:t>
      </w:r>
    </w:p>
    <w:p>
      <w:pPr>
        <w:pStyle w:val="BodyText"/>
      </w:pPr>
      <w:r>
        <w:t xml:space="preserve">where</w:t>
      </w:r>
      <w:r>
        <w:t xml:space="preserve"> </w:t>
      </w:r>
      <w:r>
        <w:rPr>
          <w:iCs/>
          <w:i/>
        </w:rPr>
        <w:t xml:space="preserve">D</w:t>
      </w:r>
      <w:r>
        <w:rPr>
          <w:iCs/>
          <w:i/>
          <w:vertAlign w:val="subscript"/>
        </w:rPr>
        <w:t xml:space="preserve">N</w:t>
      </w:r>
      <w:r>
        <w:t xml:space="preserve"> </w:t>
      </w:r>
      <w:r>
        <w:t xml:space="preserve">= diag(</w:t>
      </w:r>
      <w:r>
        <w:rPr>
          <w:iCs/>
          <w:i/>
        </w:rPr>
        <w:t xml:space="preserve">N</w:t>
      </w:r>
      <w:r>
        <w:rPr>
          <w:vertAlign w:val="subscript"/>
        </w:rPr>
        <w:t xml:space="preserve">1</w:t>
      </w:r>
      <w:r>
        <w:t xml:space="preserve">,…,</w:t>
      </w:r>
      <w:r>
        <w:rPr>
          <w:iCs/>
          <w:i/>
        </w:rPr>
        <w:t xml:space="preserve">N</w:t>
      </w:r>
      <w:r>
        <w:rPr>
          <w:iCs/>
          <w:i/>
          <w:vertAlign w:val="subscript"/>
        </w:rPr>
        <w:t xml:space="preserve">n</w:t>
      </w:r>
      <w:r>
        <w:t xml:space="preserve">). The entry</w:t>
      </w:r>
      <w:r>
        <w:t xml:space="preserve"> </w:t>
      </w:r>
      <w:r>
        <w:rPr>
          <w:iCs/>
          <w:i/>
        </w:rPr>
        <w:t xml:space="preserve">M</w:t>
      </w:r>
      <w:r>
        <w:rPr>
          <w:iCs/>
          <w:i/>
          <w:vertAlign w:val="subscript"/>
        </w:rPr>
        <w:t xml:space="preserve">ik</w:t>
      </w:r>
      <w:r>
        <w:t xml:space="preserve"> </w:t>
      </w:r>
      <w:r>
        <w:t xml:space="preserve">is the expected number of residents of</w:t>
      </w:r>
      <w:r>
        <w:t xml:space="preserve"> </w:t>
      </w:r>
      <w:r>
        <w:rPr>
          <w:iCs/>
          <w:i/>
        </w:rPr>
        <w:t xml:space="preserve">i</w:t>
      </w:r>
      <w:r>
        <w:t xml:space="preserve"> </w:t>
      </w:r>
      <w:r>
        <w:t xml:space="preserve">infected, through mosquitoes, by one infectious resident of</w:t>
      </w:r>
      <w:r>
        <w:t xml:space="preserve"> </w:t>
      </w:r>
      <w:r>
        <w:rPr>
          <w:iCs/>
          <w:i/>
        </w:rPr>
        <w:t xml:space="preserve">k</w:t>
      </w:r>
      <w:r>
        <w:t xml:space="preserve">. With one barangay and no movement,</w:t>
      </w:r>
      <w:r>
        <w:t xml:space="preserve"> </w:t>
      </w:r>
      <w:r>
        <w:rPr>
          <w:iCs/>
          <w:i/>
        </w:rPr>
        <w:t xml:space="preserve">R</w:t>
      </w:r>
      <w:r>
        <w:rPr>
          <w:vertAlign w:val="subscript"/>
        </w:rPr>
        <w:t xml:space="preserve">0</w:t>
      </w:r>
      <w:r>
        <w:rPr>
          <w:vertAlign w:val="superscript"/>
        </w:rPr>
        <w:t xml:space="preserve">2</w:t>
      </w:r>
      <w:r>
        <w:t xml:space="preserve"> </w:t>
      </w:r>
      <w:r>
        <w:t xml:space="preserve">=</w:t>
      </w:r>
      <w:r>
        <w:t xml:space="preserve"> </w:t>
      </w:r>
      <w:r>
        <w:rPr>
          <w:iCs/>
          <w:i/>
        </w:rPr>
        <w:t xml:space="preserve">κm</w:t>
      </w:r>
      <w:r>
        <w:t xml:space="preserve">, the familiar Ross-Macdonald number.</w:t>
      </w:r>
    </w:p>
    <w:p>
      <w:pPr>
        <w:pStyle w:val="BodyText"/>
      </w:pPr>
      <w:r>
        <w:rPr>
          <w:bCs/>
          <w:b/>
        </w:rPr>
        <w:t xml:space="preserve">Definition 7 (Local exposure number).</w:t>
      </w:r>
      <w:r>
        <w:t xml:space="preserve"> </w:t>
      </w:r>
      <w:r>
        <w:t xml:space="preserve">For barangay</w:t>
      </w:r>
      <w:r>
        <w:t xml:space="preserve"> </w:t>
      </w:r>
      <w:r>
        <w:rPr>
          <w:iCs/>
          <w:i/>
        </w:rPr>
        <w:t xml:space="preserve">i</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996696" cy="310896"/>
                  <wp:effectExtent b="0" l="0" r="0" t="0"/>
                  <wp:docPr descr="" title="" id="65" name="Picture"/>
                  <a:graphic>
                    <a:graphicData uri="http://schemas.openxmlformats.org/drawingml/2006/picture">
                      <pic:pic>
                        <pic:nvPicPr>
                          <pic:cNvPr descr="/home/user/MAP---A/research/where-people-go-dengue/paper/eq/eq_df86dd9201e36c90.png" id="66" name="Picture"/>
                          <pic:cNvPicPr>
                            <a:picLocks noChangeArrowheads="1" noChangeAspect="1"/>
                          </pic:cNvPicPr>
                        </pic:nvPicPr>
                        <pic:blipFill>
                          <a:blip r:embed="rId64"/>
                          <a:stretch>
                            <a:fillRect/>
                          </a:stretch>
                        </pic:blipFill>
                        <pic:spPr bwMode="auto">
                          <a:xfrm>
                            <a:off x="0" y="0"/>
                            <a:ext cx="996696" cy="310896"/>
                          </a:xfrm>
                          <a:prstGeom prst="rect">
                            <a:avLst/>
                          </a:prstGeom>
                          <a:noFill/>
                          <a:ln w="9525">
                            <a:noFill/>
                            <a:headEnd/>
                            <a:tailEnd/>
                          </a:ln>
                        </pic:spPr>
                      </pic:pic>
                    </a:graphicData>
                  </a:graphic>
                </wp:inline>
              </w:drawing>
            </w:r>
          </w:p>
        </w:tc>
        <w:tc>
          <w:tcPr>
            <w:tcW w:w="900" w:type="dxa"/>
            <w:vAlign w:val="center"/>
          </w:tcPr>
          <w:p>
            <w:pPr>
              <w:pStyle w:val="EquationNumber"/>
            </w:pPr>
            <w:r>
              <w:t>(6)</w:t>
            </w:r>
          </w:p>
        </w:tc>
      </w:tr>
    </w:tbl>
    <w:p>
      <w:pPr>
        <w:pStyle w:val="SourceLine"/>
      </w:pPr>
      <w:r>
        <w:t xml:space="preserve">Source: this study</w:t>
      </w:r>
    </w:p>
    <w:p>
      <w:pPr>
        <w:pStyle w:val="BodyText"/>
      </w:pPr>
      <w:r>
        <w:t xml:space="preserve">is the Ross-Macdonald number its residents would face if the mosquito density they meet, averaged over where they spend the day, applied everywhere. Each barangay can compute its own</w:t>
      </w:r>
      <w:r>
        <w:t xml:space="preserve"> </w:t>
      </w:r>
      <w:r>
        <w:rPr>
          <w:iCs/>
          <w:i/>
        </w:rPr>
        <w:t xml:space="preserve">R</w:t>
      </w:r>
      <w:r>
        <w:rPr>
          <w:iCs/>
          <w:i/>
          <w:vertAlign w:val="subscript"/>
        </w:rPr>
        <w:t xml:space="preserve">i</w:t>
      </w:r>
      <w:r>
        <w:t xml:space="preserve"> </w:t>
      </w:r>
      <w:r>
        <w:t xml:space="preserve">from its row of</w:t>
      </w:r>
      <w:r>
        <w:t xml:space="preserve"> </w:t>
      </w:r>
      <w:r>
        <w:rPr>
          <w:iCs/>
          <w:i/>
        </w:rPr>
        <w:t xml:space="preserve">P</w:t>
      </w:r>
      <w:r>
        <w:t xml:space="preserve"> </w:t>
      </w:r>
      <w:r>
        <w:t xml:space="preserve">and the densities of the places its residents visit.</w:t>
      </w:r>
    </w:p>
    <w:bookmarkEnd w:id="67"/>
    <w:bookmarkStart w:id="71" w:name="how-much-transmission-each-place-carries"/>
    <w:p>
      <w:pPr>
        <w:pStyle w:val="Heading2"/>
      </w:pPr>
      <w:r>
        <w:t xml:space="preserve">2.5 How Much Transmission Each Place Carries</w:t>
      </w:r>
    </w:p>
    <w:p>
      <w:pPr>
        <w:pStyle w:val="FirstParagraph"/>
      </w:pPr>
      <w:r>
        <w:t xml:space="preserve">Let</w:t>
      </w:r>
      <w:r>
        <w:t xml:space="preserve"> </w:t>
      </w:r>
      <w:r>
        <w:rPr>
          <w:iCs/>
          <w:i/>
        </w:rPr>
        <w:t xml:space="preserve">S</w:t>
      </w:r>
      <w:r>
        <w:t xml:space="preserve"> </w:t>
      </w:r>
      <w:r>
        <w:t xml:space="preserve">be the symmetric matrix of Proposition 1,</w:t>
      </w:r>
      <w:r>
        <w:t xml:space="preserve"> </w:t>
      </w:r>
      <w:r>
        <w:rPr>
          <w:iCs/>
          <w:i/>
        </w:rPr>
        <w:t xml:space="preserve">v</w:t>
      </w:r>
      <w:r>
        <w:t xml:space="preserve"> </w:t>
      </w:r>
      <w:r>
        <w:t xml:space="preserve">its unit eigenvector for the largest eigenvalue, and</w:t>
      </w:r>
      <w:r>
        <w:t xml:space="preserve"> </w:t>
      </w:r>
      <w:r>
        <w:rPr>
          <w:iCs/>
          <w:i/>
        </w:rPr>
        <w:t xml:space="preserve">q</w:t>
      </w:r>
      <w:r>
        <w:rPr>
          <w:iCs/>
          <w:i/>
          <w:vertAlign w:val="subscript"/>
        </w:rPr>
        <w:t xml:space="preserve">j</w:t>
      </w:r>
      <w:r>
        <w:t xml:space="preserve"> </w:t>
      </w:r>
      <w:r>
        <w:t xml:space="preserve">=</w:t>
      </w:r>
      <w:r>
        <w:t xml:space="preserve"> </w:t>
      </w:r>
      <w:r>
        <w:rPr>
          <w:iCs/>
          <w:i/>
        </w:rPr>
        <w:t xml:space="preserve">D</w:t>
      </w:r>
      <w:r>
        <w:rPr>
          <w:iCs/>
          <w:i/>
          <w:vertAlign w:val="subscript"/>
        </w:rPr>
        <w:t xml:space="preserve">N</w:t>
      </w:r>
      <w:r>
        <w:rPr>
          <w:vertAlign w:val="superscript"/>
        </w:rPr>
        <w:t xml:space="preserve">1/2</w:t>
      </w:r>
      <w:r>
        <w:rPr>
          <w:iCs/>
          <w:i/>
        </w:rPr>
        <w:t xml:space="preserve">Pe</w:t>
      </w:r>
      <w:r>
        <w:rPr>
          <w:iCs/>
          <w:i/>
          <w:vertAlign w:val="subscript"/>
        </w:rPr>
        <w:t xml:space="preserve">j</w:t>
      </w:r>
      <w:r>
        <w:t xml:space="preserve"> </w:t>
      </w:r>
      <w:r>
        <w:t xml:space="preserve">the</w:t>
      </w:r>
      <w:r>
        <w:t xml:space="preserve"> </w:t>
      </w:r>
      <w:r>
        <w:rPr>
          <w:iCs/>
          <w:i/>
        </w:rPr>
        <w:t xml:space="preserve">j</w:t>
      </w:r>
      <w:r>
        <w:t xml:space="preserve">-th column of</w:t>
      </w:r>
      <w:r>
        <w:t xml:space="preserve"> </w:t>
      </w:r>
      <w:r>
        <w:rPr>
          <w:iCs/>
          <w:i/>
        </w:rPr>
        <w:t xml:space="preserve">D</w:t>
      </w:r>
      <w:r>
        <w:rPr>
          <w:iCs/>
          <w:i/>
          <w:vertAlign w:val="subscript"/>
        </w:rPr>
        <w:t xml:space="preserve">N</w:t>
      </w:r>
      <w:r>
        <w:rPr>
          <w:vertAlign w:val="superscript"/>
        </w:rPr>
        <w:t xml:space="preserve">1/2</w:t>
      </w:r>
      <w:r>
        <w:rPr>
          <w:iCs/>
          <w:i/>
        </w:rPr>
        <w:t xml:space="preserve">P</w:t>
      </w:r>
      <w:r>
        <w:t xml:space="preserve">.</w:t>
      </w:r>
    </w:p>
    <w:p>
      <w:pPr>
        <w:pStyle w:val="BodyText"/>
      </w:pPr>
      <w:r>
        <w:rPr>
          <w:bCs/>
          <w:b/>
        </w:rPr>
        <w:t xml:space="preserve">Definition 8 (Place share and hotspot score).</w:t>
      </w:r>
      <w:r>
        <w:t xml:space="preserve"> </w:t>
      </w:r>
      <w:r>
        <w:t xml:space="preserve">The share of transmission carried by place</w:t>
      </w:r>
      <w:r>
        <w:t xml:space="preserve"> </w:t>
      </w:r>
      <w:r>
        <w:rPr>
          <w:iCs/>
          <w:i/>
        </w:rPr>
        <w:t xml:space="preserve">j</w:t>
      </w:r>
      <w:r>
        <w:t xml:space="preserve"> </w:t>
      </w:r>
      <w:r>
        <w:t xml:space="preserve">and its hotspot score per team-day are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401568" cy="441960"/>
                  <wp:effectExtent b="0" l="0" r="0" t="0"/>
                  <wp:docPr descr="" title="" id="69" name="Picture"/>
                  <a:graphic>
                    <a:graphicData uri="http://schemas.openxmlformats.org/drawingml/2006/picture">
                      <pic:pic>
                        <pic:nvPicPr>
                          <pic:cNvPr descr="/home/user/MAP---A/research/where-people-go-dengue/paper/eq/eq_fb72d4061fa4bd1b.png" id="70" name="Picture"/>
                          <pic:cNvPicPr>
                            <a:picLocks noChangeArrowheads="1" noChangeAspect="1"/>
                          </pic:cNvPicPr>
                        </pic:nvPicPr>
                        <pic:blipFill>
                          <a:blip r:embed="rId68"/>
                          <a:stretch>
                            <a:fillRect/>
                          </a:stretch>
                        </pic:blipFill>
                        <pic:spPr bwMode="auto">
                          <a:xfrm>
                            <a:off x="0" y="0"/>
                            <a:ext cx="3401568" cy="441960"/>
                          </a:xfrm>
                          <a:prstGeom prst="rect">
                            <a:avLst/>
                          </a:prstGeom>
                          <a:noFill/>
                          <a:ln w="9525">
                            <a:noFill/>
                            <a:headEnd/>
                            <a:tailEnd/>
                          </a:ln>
                        </pic:spPr>
                      </pic:pic>
                    </a:graphicData>
                  </a:graphic>
                </wp:inline>
              </w:drawing>
            </w:r>
          </w:p>
        </w:tc>
        <w:tc>
          <w:tcPr>
            <w:tcW w:w="900" w:type="dxa"/>
            <w:vAlign w:val="center"/>
          </w:tcPr>
          <w:p>
            <w:pPr>
              <w:pStyle w:val="EquationNumber"/>
            </w:pPr>
            <w:r>
              <w:t>(7)</w:t>
            </w:r>
          </w:p>
        </w:tc>
      </w:tr>
    </w:tbl>
    <w:p>
      <w:pPr>
        <w:pStyle w:val="SourceLine"/>
      </w:pPr>
      <w:r>
        <w:t xml:space="preserve">Source: this study (Proposition 6)</w:t>
      </w:r>
    </w:p>
    <w:p>
      <w:pPr>
        <w:pStyle w:val="BodyText"/>
      </w:pPr>
      <w:r>
        <w:t xml:space="preserve">where</w:t>
      </w:r>
      <w:r>
        <w:t xml:space="preserve"> </w:t>
      </w:r>
      <w:r>
        <w:rPr>
          <w:iCs/>
          <w:i/>
        </w:rPr>
        <w:t xml:space="preserve">c</w:t>
      </w:r>
      <w:r>
        <w:rPr>
          <w:iCs/>
          <w:i/>
          <w:vertAlign w:val="subscript"/>
        </w:rPr>
        <w:t xml:space="preserve">j</w:t>
      </w:r>
      <w:r>
        <w:t xml:space="preserve"> </w:t>
      </w:r>
      <w:r>
        <w:t xml:space="preserve">is the cost of full control at</w:t>
      </w:r>
      <w:r>
        <w:t xml:space="preserve"> </w:t>
      </w:r>
      <w:r>
        <w:rPr>
          <w:iCs/>
          <w:i/>
        </w:rPr>
        <w:t xml:space="preserve">j</w:t>
      </w:r>
      <w:r>
        <w:t xml:space="preserve"> </w:t>
      </w:r>
      <w:r>
        <w:t xml:space="preserve">(Definition 9). A large share means that much of the province’s transmission passes through mosquitoes in</w:t>
      </w:r>
      <w:r>
        <w:t xml:space="preserve"> </w:t>
      </w:r>
      <w:r>
        <w:rPr>
          <w:iCs/>
          <w:i/>
        </w:rPr>
        <w:t xml:space="preserve">j</w:t>
      </w:r>
      <w:r>
        <w:t xml:space="preserve">; a large score means that each team-day spent at</w:t>
      </w:r>
      <w:r>
        <w:t xml:space="preserve"> </w:t>
      </w:r>
      <w:r>
        <w:rPr>
          <w:iCs/>
          <w:i/>
        </w:rPr>
        <w:t xml:space="preserve">j</w:t>
      </w:r>
      <w:r>
        <w:t xml:space="preserve"> </w:t>
      </w:r>
      <w:r>
        <w:t xml:space="preserve">lowers the reproduction number by much.</w:t>
      </w:r>
    </w:p>
    <w:bookmarkEnd w:id="71"/>
    <w:bookmarkStart w:id="81" w:name="vector-control-at-least-cost"/>
    <w:p>
      <w:pPr>
        <w:pStyle w:val="Heading2"/>
      </w:pPr>
      <w:r>
        <w:t xml:space="preserve">2.6 Vector Control at Least Cost</w:t>
      </w:r>
    </w:p>
    <w:p>
      <w:pPr>
        <w:pStyle w:val="FirstParagraph"/>
      </w:pPr>
      <w:r>
        <w:rPr>
          <w:bCs/>
          <w:b/>
        </w:rPr>
        <w:t xml:space="preserve">Definition 9 (Control and its cost).</w:t>
      </w:r>
      <w:r>
        <w:t xml:space="preserve"> </w:t>
      </w:r>
      <w:r>
        <w:t xml:space="preserve">A control plan is a vector</w:t>
      </w:r>
      <w:r>
        <w:t xml:space="preserve"> </w:t>
      </w:r>
      <w:r>
        <w:rPr>
          <w:iCs/>
          <w:i/>
        </w:rPr>
        <w:t xml:space="preserve">u</w:t>
      </w:r>
      <w:r>
        <w:t xml:space="preserve"> </w:t>
      </w:r>
      <w:r>
        <w:t xml:space="preserve">= (</w:t>
      </w:r>
      <w:r>
        <w:rPr>
          <w:iCs/>
          <w:i/>
        </w:rPr>
        <w:t xml:space="preserve">u</w:t>
      </w:r>
      <w:r>
        <w:rPr>
          <w:vertAlign w:val="subscript"/>
        </w:rPr>
        <w:t xml:space="preserve">1</w:t>
      </w:r>
      <w:r>
        <w:t xml:space="preserve">,…,</w:t>
      </w:r>
      <w:r>
        <w:rPr>
          <w:iCs/>
          <w:i/>
        </w:rPr>
        <w:t xml:space="preserve">u</w:t>
      </w:r>
      <w:r>
        <w:rPr>
          <w:iCs/>
          <w:i/>
          <w:vertAlign w:val="subscript"/>
        </w:rPr>
        <w:t xml:space="preserve">n</w:t>
      </w:r>
      <w:r>
        <w:t xml:space="preserve">) in which</w:t>
      </w:r>
      <w:r>
        <w:t xml:space="preserve"> </w:t>
      </w:r>
      <w:r>
        <w:rPr>
          <w:iCs/>
          <w:i/>
        </w:rPr>
        <w:t xml:space="preserve">u</w:t>
      </w:r>
      <w:r>
        <w:rPr>
          <w:iCs/>
          <w:i/>
          <w:vertAlign w:val="subscript"/>
        </w:rPr>
        <w:t xml:space="preserve">j</w:t>
      </w:r>
      <w:r>
        <w:t xml:space="preserve"> </w:t>
      </w:r>
      <w:r>
        <w:t xml:space="preserve">∈ [0,</w:t>
      </w:r>
      <w:r>
        <w:rPr>
          <w:iCs/>
          <w:i/>
        </w:rPr>
        <w:t xml:space="preserve">ū</w:t>
      </w:r>
      <w:r>
        <w:rPr>
          <w:iCs/>
          <w:i/>
          <w:vertAlign w:val="subscript"/>
        </w:rPr>
        <w:t xml:space="preserve">j</w:t>
      </w:r>
      <w:r>
        <w:t xml:space="preserve">] is the fraction by which cleanup, larviciding, and spraying reduce the mosquitoes of place</w:t>
      </w:r>
      <w:r>
        <w:t xml:space="preserve"> </w:t>
      </w:r>
      <w:r>
        <w:rPr>
          <w:iCs/>
          <w:i/>
        </w:rPr>
        <w:t xml:space="preserve">j</w:t>
      </w:r>
      <w:r>
        <w:t xml:space="preserve">;</w:t>
      </w:r>
      <w:r>
        <w:t xml:space="preserve"> </w:t>
      </w:r>
      <w:r>
        <w:rPr>
          <w:iCs/>
          <w:i/>
        </w:rPr>
        <w:t xml:space="preserve">ū</w:t>
      </w:r>
      <w:r>
        <w:rPr>
          <w:iCs/>
          <w:i/>
          <w:vertAlign w:val="subscript"/>
        </w:rPr>
        <w:t xml:space="preserve">j</w:t>
      </w:r>
      <w:r>
        <w:t xml:space="preserve"> </w:t>
      </w:r>
      <w:r>
        <w:t xml:space="preserve">&lt; 1 is the most that is achievable. Under plan</w:t>
      </w:r>
      <w:r>
        <w:t xml:space="preserve"> </w:t>
      </w:r>
      <w:r>
        <w:rPr>
          <w:iCs/>
          <w:i/>
        </w:rPr>
        <w:t xml:space="preserve">u</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581351" cy="310859"/>
                  <wp:effectExtent b="0" l="0" r="0" t="0"/>
                  <wp:docPr descr="" title="" id="73" name="Picture"/>
                  <a:graphic>
                    <a:graphicData uri="http://schemas.openxmlformats.org/drawingml/2006/picture">
                      <pic:pic>
                        <pic:nvPicPr>
                          <pic:cNvPr descr="/home/user/MAP---A/research/where-people-go-dengue/paper/eq/eq_d2e1f78dc896a1fe.png" id="74" name="Picture"/>
                          <pic:cNvPicPr>
                            <a:picLocks noChangeArrowheads="1" noChangeAspect="1"/>
                          </pic:cNvPicPr>
                        </pic:nvPicPr>
                        <pic:blipFill>
                          <a:blip r:embed="rId72"/>
                          <a:stretch>
                            <a:fillRect/>
                          </a:stretch>
                        </pic:blipFill>
                        <pic:spPr bwMode="auto">
                          <a:xfrm>
                            <a:off x="0" y="0"/>
                            <a:ext cx="2581351" cy="310859"/>
                          </a:xfrm>
                          <a:prstGeom prst="rect">
                            <a:avLst/>
                          </a:prstGeom>
                          <a:noFill/>
                          <a:ln w="9525">
                            <a:noFill/>
                            <a:headEnd/>
                            <a:tailEnd/>
                          </a:ln>
                        </pic:spPr>
                      </pic:pic>
                    </a:graphicData>
                  </a:graphic>
                </wp:inline>
              </w:drawing>
            </w:r>
          </w:p>
        </w:tc>
        <w:tc>
          <w:tcPr>
            <w:tcW w:w="900" w:type="dxa"/>
            <w:vAlign w:val="center"/>
          </w:tcPr>
          <w:p>
            <w:pPr>
              <w:pStyle w:val="EquationNumber"/>
            </w:pPr>
            <w:r>
              <w:t>(8)</w:t>
            </w:r>
          </w:p>
        </w:tc>
      </w:tr>
    </w:tbl>
    <w:p>
      <w:pPr>
        <w:pStyle w:val="SourceLine"/>
      </w:pPr>
      <w:r>
        <w:t xml:space="preserve">Source: this study</w:t>
      </w:r>
    </w:p>
    <w:p>
      <w:pPr>
        <w:pStyle w:val="BodyText"/>
      </w:pPr>
      <w:r>
        <w:t xml:space="preserve">where</w:t>
      </w:r>
      <w:r>
        <w:t xml:space="preserve"> </w:t>
      </w:r>
      <w:r>
        <w:rPr>
          <w:iCs/>
          <w:i/>
        </w:rPr>
        <w:t xml:space="preserve">c</w:t>
      </w:r>
      <w:r>
        <w:rPr>
          <w:iCs/>
          <w:i/>
          <w:vertAlign w:val="subscript"/>
        </w:rPr>
        <w:t xml:space="preserve">j</w:t>
      </w:r>
      <w:r>
        <w:t xml:space="preserve"> </w:t>
      </w:r>
      <w:r>
        <w:t xml:space="preserve">is the number of brigade team-days needed for full control at</w:t>
      </w:r>
      <w:r>
        <w:t xml:space="preserve"> </w:t>
      </w:r>
      <w:r>
        <w:rPr>
          <w:iCs/>
          <w:i/>
        </w:rPr>
        <w:t xml:space="preserve">j</w:t>
      </w:r>
      <w:r>
        <w:t xml:space="preserve">. In this paper</w:t>
      </w:r>
      <w:r>
        <w:t xml:space="preserve"> </w:t>
      </w:r>
      <w:r>
        <w:rPr>
          <w:iCs/>
          <w:i/>
        </w:rPr>
        <w:t xml:space="preserve">c</w:t>
      </w:r>
      <w:r>
        <w:rPr>
          <w:iCs/>
          <w:i/>
          <w:vertAlign w:val="subscript"/>
        </w:rPr>
        <w:t xml:space="preserve">j</w:t>
      </w:r>
      <w:r>
        <w:t xml:space="preserve"> </w:t>
      </w:r>
      <w:r>
        <w:t xml:space="preserve">is the number of households divided by 50, the households one team can treat in a day, and</w:t>
      </w:r>
      <w:r>
        <w:t xml:space="preserve"> </w:t>
      </w:r>
      <w:r>
        <w:rPr>
          <w:iCs/>
          <w:i/>
        </w:rPr>
        <w:t xml:space="preserve">ū</w:t>
      </w:r>
      <w:r>
        <w:rPr>
          <w:iCs/>
          <w:i/>
          <w:vertAlign w:val="subscript"/>
        </w:rPr>
        <w:t xml:space="preserve">j</w:t>
      </w:r>
      <w:r>
        <w:t xml:space="preserve"> </w:t>
      </w:r>
      <w:r>
        <w:t xml:space="preserve">= 0.8; both are declared values.</w:t>
      </w:r>
    </w:p>
    <w:p>
      <w:pPr>
        <w:pStyle w:val="BodyText"/>
      </w:pPr>
      <w:r>
        <w:rPr>
          <w:bCs/>
          <w:b/>
        </w:rPr>
        <w:t xml:space="preserve">Definition 10 (Least-cost control program).</w:t>
      </w:r>
      <w:r>
        <w:t xml:space="preserve"> </w:t>
      </w:r>
      <w:r>
        <w:t xml:space="preserve">For a target</w:t>
      </w:r>
      <w:r>
        <w:t xml:space="preserve"> </w:t>
      </w:r>
      <w:r>
        <w:rPr>
          <w:iCs/>
          <w:i/>
        </w:rPr>
        <w:t xml:space="preserve">r</w:t>
      </w:r>
      <w:r>
        <w:t xml:space="preserve"> </w:t>
      </w:r>
      <w:r>
        <w:t xml:space="preserve">&lt; 1, the least-cost plan solves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148279" cy="310865"/>
                  <wp:effectExtent b="0" l="0" r="0" t="0"/>
                  <wp:docPr descr="" title="" id="76" name="Picture"/>
                  <a:graphic>
                    <a:graphicData uri="http://schemas.openxmlformats.org/drawingml/2006/picture">
                      <pic:pic>
                        <pic:nvPicPr>
                          <pic:cNvPr descr="/home/user/MAP---A/research/where-people-go-dengue/paper/eq/eq_5ef5ac3dadfd1e0c.png" id="77" name="Picture"/>
                          <pic:cNvPicPr>
                            <a:picLocks noChangeArrowheads="1" noChangeAspect="1"/>
                          </pic:cNvPicPr>
                        </pic:nvPicPr>
                        <pic:blipFill>
                          <a:blip r:embed="rId75"/>
                          <a:stretch>
                            <a:fillRect/>
                          </a:stretch>
                        </pic:blipFill>
                        <pic:spPr bwMode="auto">
                          <a:xfrm>
                            <a:off x="0" y="0"/>
                            <a:ext cx="3148279" cy="310865"/>
                          </a:xfrm>
                          <a:prstGeom prst="rect">
                            <a:avLst/>
                          </a:prstGeom>
                          <a:noFill/>
                          <a:ln w="9525">
                            <a:noFill/>
                            <a:headEnd/>
                            <a:tailEnd/>
                          </a:ln>
                        </pic:spPr>
                      </pic:pic>
                    </a:graphicData>
                  </a:graphic>
                </wp:inline>
              </w:drawing>
            </w:r>
          </w:p>
        </w:tc>
        <w:tc>
          <w:tcPr>
            <w:tcW w:w="900" w:type="dxa"/>
            <w:vAlign w:val="center"/>
          </w:tcPr>
          <w:p>
            <w:pPr>
              <w:pStyle w:val="EquationNumber"/>
            </w:pPr>
            <w:r>
              <w:t>(9)</w:t>
            </w:r>
          </w:p>
        </w:tc>
      </w:tr>
    </w:tbl>
    <w:p>
      <w:pPr>
        <w:pStyle w:val="SourceLine"/>
      </w:pPr>
      <w:r>
        <w:t xml:space="preserve">Source: this study</w:t>
      </w:r>
    </w:p>
    <w:p>
      <w:pPr>
        <w:pStyle w:val="BodyText"/>
      </w:pPr>
      <w:r>
        <w:t xml:space="preserve">and the</w:t>
      </w:r>
      <w:r>
        <w:t xml:space="preserve"> </w:t>
      </w:r>
      <w:r>
        <w:rPr>
          <w:iCs/>
          <w:i/>
        </w:rPr>
        <w:t xml:space="preserve">certificate program</w:t>
      </w:r>
      <w:r>
        <w:t xml:space="preserve"> </w:t>
      </w:r>
      <w:r>
        <w:t xml:space="preserve">replaces the constraint on</w:t>
      </w:r>
      <w:r>
        <w:t xml:space="preserve"> </w:t>
      </w:r>
      <w:r>
        <w:rPr>
          <w:iCs/>
          <w:i/>
        </w:rPr>
        <w:t xml:space="preserve">R</w:t>
      </w:r>
      <w:r>
        <w:rPr>
          <w:vertAlign w:val="subscript"/>
        </w:rPr>
        <w:t xml:space="preserve">0</w:t>
      </w:r>
      <w:r>
        <w:t xml:space="preserve">(</w:t>
      </w:r>
      <w:r>
        <w:rPr>
          <w:iCs/>
          <w:i/>
        </w:rPr>
        <w:t xml:space="preserve">u</w:t>
      </w:r>
      <w:r>
        <w:t xml:space="preserve">) by one linear inequality per barangay:</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4693615" cy="320019"/>
                  <wp:effectExtent b="0" l="0" r="0" t="0"/>
                  <wp:docPr descr="" title="" id="79" name="Picture"/>
                  <a:graphic>
                    <a:graphicData uri="http://schemas.openxmlformats.org/drawingml/2006/picture">
                      <pic:pic>
                        <pic:nvPicPr>
                          <pic:cNvPr descr="/home/user/MAP---A/research/where-people-go-dengue/paper/eq/eq_a5d1f51ade188480.png" id="80" name="Picture"/>
                          <pic:cNvPicPr>
                            <a:picLocks noChangeArrowheads="1" noChangeAspect="1"/>
                          </pic:cNvPicPr>
                        </pic:nvPicPr>
                        <pic:blipFill>
                          <a:blip r:embed="rId78"/>
                          <a:stretch>
                            <a:fillRect/>
                          </a:stretch>
                        </pic:blipFill>
                        <pic:spPr bwMode="auto">
                          <a:xfrm>
                            <a:off x="0" y="0"/>
                            <a:ext cx="4693615" cy="320019"/>
                          </a:xfrm>
                          <a:prstGeom prst="rect">
                            <a:avLst/>
                          </a:prstGeom>
                          <a:noFill/>
                          <a:ln w="9525">
                            <a:noFill/>
                            <a:headEnd/>
                            <a:tailEnd/>
                          </a:ln>
                        </pic:spPr>
                      </pic:pic>
                    </a:graphicData>
                  </a:graphic>
                </wp:inline>
              </w:drawing>
            </w:r>
          </w:p>
        </w:tc>
        <w:tc>
          <w:tcPr>
            <w:tcW w:w="900" w:type="dxa"/>
            <w:vAlign w:val="center"/>
          </w:tcPr>
          <w:p>
            <w:pPr>
              <w:pStyle w:val="EquationNumber"/>
            </w:pPr>
            <w:r>
              <w:t>(10)</w:t>
            </w:r>
          </w:p>
        </w:tc>
      </w:tr>
    </w:tbl>
    <w:p>
      <w:pPr>
        <w:pStyle w:val="SourceLine"/>
      </w:pPr>
      <w:r>
        <w:t xml:space="preserve">Source: this study (Proposition 8)</w:t>
      </w:r>
    </w:p>
    <w:p>
      <w:pPr>
        <w:pStyle w:val="BodyText"/>
      </w:pPr>
      <w:r>
        <w:t xml:space="preserve">Program (10) is a linear program and is solved in milliseconds. Program (9) is solved by Algorithm 1, an interior-point method that also returns a lower bound, so the user knows how far the plan can be from the best possible one.</w:t>
      </w:r>
    </w:p>
    <w:p>
      <w:pPr>
        <w:pStyle w:val="PaperCaption"/>
      </w:pPr>
      <w:r>
        <w:rPr>
          <w:bCs/>
          <w:b/>
        </w:rPr>
        <w:t xml:space="preserve">Algorithm 1.</w:t>
      </w:r>
      <w:r>
        <w:t xml:space="preserve"> </w:t>
      </w:r>
      <w:r>
        <w:t xml:space="preserve">Least-cost control with a certified gap.</w:t>
      </w:r>
    </w:p>
    <w:p>
      <w:pPr>
        <w:pStyle w:val="SourceCode"/>
      </w:pPr>
      <w:r>
        <w:rPr>
          <w:rStyle w:val="VerbatimChar"/>
        </w:rPr>
        <w:t xml:space="preserve">Input : P, N, V, parameters; costs c; limits u_bar; target r</w:t>
      </w:r>
      <w:r>
        <w:br/>
      </w:r>
      <w:r>
        <w:rPr>
          <w:rStyle w:val="VerbatimChar"/>
        </w:rPr>
        <w:t xml:space="preserve">Output: plan u with R0(u) &lt;= r; certified interval [lower, upper]</w:t>
      </w:r>
      <w:r>
        <w:br/>
      </w:r>
      <w:r>
        <w:rPr>
          <w:rStyle w:val="VerbatimChar"/>
        </w:rPr>
        <w:t xml:space="preserve"> 1  if R0(0) &lt;= r: return u = 0</w:t>
      </w:r>
      <w:r>
        <w:br/>
      </w:r>
      <w:r>
        <w:rPr>
          <w:rStyle w:val="VerbatimChar"/>
        </w:rPr>
        <w:t xml:space="preserve"> 2  if R0(u_bar) &gt;= r: report "target not reachable"</w:t>
      </w:r>
      <w:r>
        <w:br/>
      </w:r>
      <w:r>
        <w:rPr>
          <w:rStyle w:val="VerbatimChar"/>
        </w:rPr>
        <w:t xml:space="preserve"> 3  start at u slightly inside u_bar (strictly feasible); t &lt;- 3n / cost(u)</w:t>
      </w:r>
      <w:r>
        <w:br/>
      </w:r>
      <w:r>
        <w:rPr>
          <w:rStyle w:val="VerbatimChar"/>
        </w:rPr>
        <w:t xml:space="preserve"> 4  repeat</w:t>
      </w:r>
      <w:r>
        <w:br/>
      </w:r>
      <w:r>
        <w:rPr>
          <w:rStyle w:val="VerbatimChar"/>
        </w:rPr>
        <w:t xml:space="preserve"> 5      center: Newton steps on  t*cost(u) - log det(r^2 I - S(u))</w:t>
      </w:r>
      <w:r>
        <w:br/>
      </w:r>
      <w:r>
        <w:rPr>
          <w:rStyle w:val="VerbatimChar"/>
        </w:rPr>
        <w:t xml:space="preserve">                                 - sum log u_j - sum log(u_bar_j - u_j)</w:t>
      </w:r>
      <w:r>
        <w:br/>
      </w:r>
      <w:r>
        <w:rPr>
          <w:rStyle w:val="VerbatimChar"/>
        </w:rPr>
        <w:t xml:space="preserve">            (scaled Cholesky solve, backtracking that keeps r^2 I - S(u) &gt; 0)</w:t>
      </w:r>
      <w:r>
        <w:br/>
      </w:r>
      <w:r>
        <w:rPr>
          <w:rStyle w:val="VerbatimChar"/>
        </w:rPr>
        <w:t xml:space="preserve"> 6      upper &lt;- cost(u);  Z &lt;- (r^2 I - S(u))^-1</w:t>
      </w:r>
      <w:r>
        <w:br/>
      </w:r>
      <w:r>
        <w:rPr>
          <w:rStyle w:val="VerbatimChar"/>
        </w:rPr>
        <w:t xml:space="preserve"> 7      lower &lt;- max(lower, g(sZ)) maximized over s &gt;= 0   (Proposition 9)</w:t>
      </w:r>
      <w:r>
        <w:br/>
      </w:r>
      <w:r>
        <w:rPr>
          <w:rStyle w:val="VerbatimChar"/>
        </w:rPr>
        <w:t xml:space="preserve"> 8      t &lt;- mu * t</w:t>
      </w:r>
      <w:r>
        <w:br/>
      </w:r>
      <w:r>
        <w:rPr>
          <w:rStyle w:val="VerbatimChar"/>
        </w:rPr>
        <w:t xml:space="preserve"> 9  until upper - lower &lt;= 1e-6 * upper</w:t>
      </w:r>
      <w:r>
        <w:br/>
      </w:r>
      <w:r>
        <w:rPr>
          <w:rStyle w:val="VerbatimChar"/>
        </w:rPr>
        <w:t xml:space="preserve">10  return u, lower, upper</w:t>
      </w:r>
    </w:p>
    <w:bookmarkEnd w:id="81"/>
    <w:bookmarkStart w:id="85" w:name="where-people-get-infected"/>
    <w:p>
      <w:pPr>
        <w:pStyle w:val="Heading2"/>
      </w:pPr>
      <w:r>
        <w:t xml:space="preserve">2.7 Where People Get Infected</w:t>
      </w:r>
    </w:p>
    <w:p>
      <w:pPr>
        <w:pStyle w:val="FirstParagraph"/>
      </w:pPr>
      <w:r>
        <w:rPr>
          <w:bCs/>
          <w:b/>
        </w:rPr>
        <w:t xml:space="preserve">Definition 11 (Residence-to-place inversion).</w:t>
      </w:r>
      <w:r>
        <w:t xml:space="preserve"> </w:t>
      </w:r>
      <w:r>
        <w:t xml:space="preserve">Let</w:t>
      </w:r>
      <w:r>
        <w:t xml:space="preserve"> </w:t>
      </w:r>
      <w:r>
        <w:rPr>
          <w:iCs/>
          <w:i/>
        </w:rPr>
        <w:t xml:space="preserve">y</w:t>
      </w:r>
      <w:r>
        <w:rPr>
          <w:iCs/>
          <w:i/>
          <w:vertAlign w:val="subscript"/>
        </w:rPr>
        <w:t xml:space="preserve">i</w:t>
      </w:r>
      <w:r>
        <w:t xml:space="preserve"> </w:t>
      </w:r>
      <w:r>
        <w:t xml:space="preserve">be the new cases among residents of</w:t>
      </w:r>
      <w:r>
        <w:t xml:space="preserve"> </w:t>
      </w:r>
      <w:r>
        <w:rPr>
          <w:iCs/>
          <w:i/>
        </w:rPr>
        <w:t xml:space="preserve">i</w:t>
      </w:r>
      <w:r>
        <w:t xml:space="preserve"> </w:t>
      </w:r>
      <w:r>
        <w:t xml:space="preserve">in a period, divided by</w:t>
      </w:r>
      <w:r>
        <w:t xml:space="preserve"> </w:t>
      </w:r>
      <w:r>
        <w:rPr>
          <w:iCs/>
          <w:i/>
        </w:rPr>
        <w:t xml:space="preserve">N</w:t>
      </w:r>
      <w:r>
        <w:rPr>
          <w:iCs/>
          <w:i/>
          <w:vertAlign w:val="subscript"/>
        </w:rPr>
        <w:t xml:space="preserve">i</w:t>
      </w:r>
      <w:r>
        <w:t xml:space="preserve">, and let</w:t>
      </w:r>
      <w:r>
        <w:t xml:space="preserve"> </w:t>
      </w:r>
      <w:r>
        <w:rPr>
          <w:iCs/>
          <w:i/>
        </w:rPr>
        <w:t xml:space="preserve">z</w:t>
      </w:r>
      <w:r>
        <w:rPr>
          <w:iCs/>
          <w:i/>
          <w:vertAlign w:val="subscript"/>
        </w:rPr>
        <w:t xml:space="preserve">j</w:t>
      </w:r>
      <w:r>
        <w:t xml:space="preserve"> </w:t>
      </w:r>
      <w:r>
        <w:t xml:space="preserve">be the infection pressure at place</w:t>
      </w:r>
      <w:r>
        <w:t xml:space="preserve"> </w:t>
      </w:r>
      <w:r>
        <w:rPr>
          <w:iCs/>
          <w:i/>
        </w:rPr>
        <w:t xml:space="preserve">j</w:t>
      </w:r>
      <w:r>
        <w:t xml:space="preserve">, the chance per person-period of being infected while there. If infection happens where people spend their time, then</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468880" cy="176784"/>
                  <wp:effectExtent b="0" l="0" r="0" t="0"/>
                  <wp:docPr descr="" title="" id="83" name="Picture"/>
                  <a:graphic>
                    <a:graphicData uri="http://schemas.openxmlformats.org/drawingml/2006/picture">
                      <pic:pic>
                        <pic:nvPicPr>
                          <pic:cNvPr descr="/home/user/MAP---A/research/where-people-go-dengue/paper/eq/eq_19874ed6792eb5aa.png" id="84" name="Picture"/>
                          <pic:cNvPicPr>
                            <a:picLocks noChangeArrowheads="1" noChangeAspect="1"/>
                          </pic:cNvPicPr>
                        </pic:nvPicPr>
                        <pic:blipFill>
                          <a:blip r:embed="rId82"/>
                          <a:stretch>
                            <a:fillRect/>
                          </a:stretch>
                        </pic:blipFill>
                        <pic:spPr bwMode="auto">
                          <a:xfrm>
                            <a:off x="0" y="0"/>
                            <a:ext cx="2468880" cy="176784"/>
                          </a:xfrm>
                          <a:prstGeom prst="rect">
                            <a:avLst/>
                          </a:prstGeom>
                          <a:noFill/>
                          <a:ln w="9525">
                            <a:noFill/>
                            <a:headEnd/>
                            <a:tailEnd/>
                          </a:ln>
                        </pic:spPr>
                      </pic:pic>
                    </a:graphicData>
                  </a:graphic>
                </wp:inline>
              </w:drawing>
            </w:r>
          </w:p>
        </w:tc>
        <w:tc>
          <w:tcPr>
            <w:tcW w:w="900" w:type="dxa"/>
            <w:vAlign w:val="center"/>
          </w:tcPr>
          <w:p>
            <w:pPr>
              <w:pStyle w:val="EquationNumber"/>
            </w:pPr>
            <w:r>
              <w:t>(11)</w:t>
            </w:r>
          </w:p>
        </w:tc>
      </w:tr>
    </w:tbl>
    <w:p>
      <w:pPr>
        <w:pStyle w:val="SourceLine"/>
      </w:pPr>
      <w:r>
        <w:t xml:space="preserve">Source: this study</w:t>
      </w:r>
    </w:p>
    <w:p>
      <w:pPr>
        <w:pStyle w:val="BodyText"/>
      </w:pPr>
      <w:r>
        <w:t xml:space="preserve">and</w:t>
      </w:r>
      <w:r>
        <w:t xml:space="preserve"> </w:t>
      </w:r>
      <w:r>
        <w:rPr>
          <w:iCs/>
          <w:i/>
        </w:rPr>
        <w:t xml:space="preserve">z</w:t>
      </w:r>
      <w:r>
        <w:t xml:space="preserve"> </w:t>
      </w:r>
      <w:r>
        <w:t xml:space="preserve">is recovered from reported cases by nonnegative least squares (Lawson &amp; Hanson, 1974), which keeps every pressure at zero or above (Algorithm 2).</w:t>
      </w:r>
    </w:p>
    <w:p>
      <w:pPr>
        <w:pStyle w:val="PaperCaption"/>
      </w:pPr>
      <w:r>
        <w:rPr>
          <w:bCs/>
          <w:b/>
        </w:rPr>
        <w:t xml:space="preserve">Algorithm 2.</w:t>
      </w:r>
      <w:r>
        <w:t xml:space="preserve"> </w:t>
      </w:r>
      <w:r>
        <w:t xml:space="preserve">Infections by place from cases by residence.</w:t>
      </w:r>
    </w:p>
    <w:p>
      <w:pPr>
        <w:pStyle w:val="SourceCode"/>
      </w:pPr>
      <w:r>
        <w:rPr>
          <w:rStyle w:val="VerbatimChar"/>
        </w:rPr>
        <w:t xml:space="preserve">Input : cases by barangay of residence over a period; residents N; matrix P</w:t>
      </w:r>
      <w:r>
        <w:br/>
      </w:r>
      <w:r>
        <w:rPr>
          <w:rStyle w:val="VerbatimChar"/>
        </w:rPr>
        <w:t xml:space="preserve">Output: infection pressure z and infections by place</w:t>
      </w:r>
      <w:r>
        <w:br/>
      </w:r>
      <w:r>
        <w:rPr>
          <w:rStyle w:val="VerbatimChar"/>
        </w:rPr>
        <w:t xml:space="preserve"> 1  y_i &lt;- cases_i / N_i</w:t>
      </w:r>
      <w:r>
        <w:br/>
      </w:r>
      <w:r>
        <w:rPr>
          <w:rStyle w:val="VerbatimChar"/>
        </w:rPr>
        <w:t xml:space="preserve"> 2  z &lt;- argmin ||P z - y||  subject to z &gt;= 0   (Lawson-Hanson)</w:t>
      </w:r>
      <w:r>
        <w:br/>
      </w:r>
      <w:r>
        <w:rPr>
          <w:rStyle w:val="VerbatimChar"/>
        </w:rPr>
        <w:t xml:space="preserve"> 3  infections at place j &lt;- z_j * Ntilde_j</w:t>
      </w:r>
      <w:r>
        <w:br/>
      </w:r>
      <w:r>
        <w:rPr>
          <w:rStyle w:val="VerbatimChar"/>
        </w:rPr>
        <w:t xml:space="preserve"> 4  report the error bound of Proposition 11 when every p_ii &gt; 1/2</w:t>
      </w:r>
    </w:p>
    <w:bookmarkEnd w:id="85"/>
    <w:bookmarkStart w:id="89" w:name="the-outbreak-alarm"/>
    <w:p>
      <w:pPr>
        <w:pStyle w:val="Heading2"/>
      </w:pPr>
      <w:r>
        <w:t xml:space="preserve">2.8 The Outbreak Alarm</w:t>
      </w:r>
    </w:p>
    <w:p>
      <w:pPr>
        <w:pStyle w:val="FirstParagraph"/>
      </w:pPr>
      <w:r>
        <w:rPr>
          <w:bCs/>
          <w:b/>
        </w:rPr>
        <w:t xml:space="preserve">Definition 12 (Poisson CUSUM).</w:t>
      </w:r>
      <w:r>
        <w:t xml:space="preserve"> </w:t>
      </w:r>
      <w:r>
        <w:t xml:space="preserve">Let</w:t>
      </w:r>
      <w:r>
        <w:t xml:space="preserve"> </w:t>
      </w:r>
      <w:r>
        <w:rPr>
          <w:iCs/>
          <w:i/>
        </w:rPr>
        <w:t xml:space="preserve">x</w:t>
      </w:r>
      <w:r>
        <w:rPr>
          <w:iCs/>
          <w:i/>
          <w:vertAlign w:val="subscript"/>
        </w:rPr>
        <w:t xml:space="preserve">t</w:t>
      </w:r>
      <w:r>
        <w:t xml:space="preserve"> </w:t>
      </w:r>
      <w:r>
        <w:t xml:space="preserve">be the cases reported in week</w:t>
      </w:r>
      <w:r>
        <w:t xml:space="preserve"> </w:t>
      </w:r>
      <w:r>
        <w:rPr>
          <w:iCs/>
          <w:i/>
        </w:rPr>
        <w:t xml:space="preserve">t</w:t>
      </w:r>
      <w:r>
        <w:t xml:space="preserve"> </w:t>
      </w:r>
      <w:r>
        <w:t xml:space="preserve">and</w:t>
      </w:r>
      <w:r>
        <w:t xml:space="preserve"> </w:t>
      </w:r>
      <w:r>
        <w:rPr>
          <w:iCs/>
          <w:i/>
        </w:rPr>
        <w:t xml:space="preserve">μ</w:t>
      </w:r>
      <w:r>
        <w:rPr>
          <w:iCs/>
          <w:i/>
          <w:vertAlign w:val="subscript"/>
        </w:rPr>
        <w:t xml:space="preserve">t</w:t>
      </w:r>
      <w:r>
        <w:t xml:space="preserve"> </w:t>
      </w:r>
      <w:r>
        <w:t xml:space="preserve">the expected count in that week of a normal year. To detect a rise to</w:t>
      </w:r>
      <w:r>
        <w:t xml:space="preserve"> </w:t>
      </w:r>
      <w:r>
        <w:rPr>
          <w:iCs/>
          <w:i/>
        </w:rPr>
        <w:t xml:space="preserve">θμ</w:t>
      </w:r>
      <w:r>
        <w:rPr>
          <w:iCs/>
          <w:i/>
          <w:vertAlign w:val="subscript"/>
        </w:rPr>
        <w:t xml:space="preserve">t</w:t>
      </w:r>
      <w:r>
        <w:t xml:space="preserve">, the CUSUM statistic and its alarm are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5050231" cy="323068"/>
                  <wp:effectExtent b="0" l="0" r="0" t="0"/>
                  <wp:docPr descr="" title="" id="87" name="Picture"/>
                  <a:graphic>
                    <a:graphicData uri="http://schemas.openxmlformats.org/drawingml/2006/picture">
                      <pic:pic>
                        <pic:nvPicPr>
                          <pic:cNvPr descr="/home/user/MAP---A/research/where-people-go-dengue/paper/eq/eq_bd66b463f53e35ed.png" id="88" name="Picture"/>
                          <pic:cNvPicPr>
                            <a:picLocks noChangeArrowheads="1" noChangeAspect="1"/>
                          </pic:cNvPicPr>
                        </pic:nvPicPr>
                        <pic:blipFill>
                          <a:blip r:embed="rId86"/>
                          <a:stretch>
                            <a:fillRect/>
                          </a:stretch>
                        </pic:blipFill>
                        <pic:spPr bwMode="auto">
                          <a:xfrm>
                            <a:off x="0" y="0"/>
                            <a:ext cx="5050231" cy="323068"/>
                          </a:xfrm>
                          <a:prstGeom prst="rect">
                            <a:avLst/>
                          </a:prstGeom>
                          <a:noFill/>
                          <a:ln w="9525">
                            <a:noFill/>
                            <a:headEnd/>
                            <a:tailEnd/>
                          </a:ln>
                        </pic:spPr>
                      </pic:pic>
                    </a:graphicData>
                  </a:graphic>
                </wp:inline>
              </w:drawing>
            </w:r>
          </w:p>
        </w:tc>
        <w:tc>
          <w:tcPr>
            <w:tcW w:w="900" w:type="dxa"/>
            <w:vAlign w:val="center"/>
          </w:tcPr>
          <w:p>
            <w:pPr>
              <w:pStyle w:val="EquationNumber"/>
            </w:pPr>
            <w:r>
              <w:t>(12)</w:t>
            </w:r>
          </w:p>
        </w:tc>
      </w:tr>
    </w:tbl>
    <w:p>
      <w:pPr>
        <w:pStyle w:val="SourceLine"/>
      </w:pPr>
      <w:r>
        <w:t xml:space="preserve">Source: Page (1954); reference value for counts after Lucas (1985)</w:t>
      </w:r>
    </w:p>
    <w:p>
      <w:pPr>
        <w:pStyle w:val="BodyText"/>
      </w:pPr>
      <w:r>
        <w:t xml:space="preserve">with</w:t>
      </w:r>
      <w:r>
        <w:t xml:space="preserve"> </w:t>
      </w:r>
      <w:r>
        <w:rPr>
          <w:iCs/>
          <w:i/>
        </w:rPr>
        <w:t xml:space="preserve">S</w:t>
      </w:r>
      <w:r>
        <w:rPr>
          <w:vertAlign w:val="subscript"/>
        </w:rPr>
        <w:t xml:space="preserve">0</w:t>
      </w:r>
      <w:r>
        <w:t xml:space="preserve"> </w:t>
      </w:r>
      <w:r>
        <w:t xml:space="preserve">= 0. This paper uses</w:t>
      </w:r>
      <w:r>
        <w:t xml:space="preserve"> </w:t>
      </w:r>
      <w:r>
        <w:rPr>
          <w:iCs/>
          <w:i/>
        </w:rPr>
        <w:t xml:space="preserve">θ</w:t>
      </w:r>
      <w:r>
        <w:t xml:space="preserve"> </w:t>
      </w:r>
      <w:r>
        <w:t xml:space="preserve">= 1.5, a rise of one half, and sets</w:t>
      </w:r>
      <w:r>
        <w:t xml:space="preserve"> </w:t>
      </w:r>
      <w:r>
        <w:rPr>
          <w:iCs/>
          <w:i/>
        </w:rPr>
        <w:t xml:space="preserve">h</w:t>
      </w:r>
      <w:r>
        <w:t xml:space="preserve"> </w:t>
      </w:r>
      <w:r>
        <w:t xml:space="preserve">so that a normal year raises a false alarm with probability 0.05. For comparison, the</w:t>
      </w:r>
      <w:r>
        <w:t xml:space="preserve"> </w:t>
      </w:r>
      <w:r>
        <w:rPr>
          <w:iCs/>
          <w:i/>
        </w:rPr>
        <w:t xml:space="preserve">single-week rule</w:t>
      </w:r>
      <w:r>
        <w:t xml:space="preserve"> </w:t>
      </w:r>
      <w:r>
        <w:t xml:space="preserve">sounds when one week’s count exceeds</w:t>
      </w:r>
      <w:r>
        <w:t xml:space="preserve"> </w:t>
      </w:r>
      <w:r>
        <w:rPr>
          <w:iCs/>
          <w:i/>
        </w:rPr>
        <w:t xml:space="preserve">μ</w:t>
      </w:r>
      <w:r>
        <w:rPr>
          <w:iCs/>
          <w:i/>
          <w:vertAlign w:val="subscript"/>
        </w:rPr>
        <w:t xml:space="preserve">t</w:t>
      </w:r>
      <w:r>
        <w:t xml:space="preserve"> </w:t>
      </w:r>
      <w:r>
        <w:t xml:space="preserve">+</w:t>
      </w:r>
      <w:r>
        <w:t xml:space="preserve"> </w:t>
      </w:r>
      <w:r>
        <w:rPr>
          <w:iCs/>
          <w:i/>
        </w:rPr>
        <w:t xml:space="preserve">z</w:t>
      </w:r>
      <w:r>
        <w:t xml:space="preserve">√(</w:t>
      </w:r>
      <w:r>
        <w:rPr>
          <w:iCs/>
          <w:i/>
        </w:rPr>
        <w:t xml:space="preserve">μ</w:t>
      </w:r>
      <w:r>
        <w:rPr>
          <w:iCs/>
          <w:i/>
          <w:vertAlign w:val="subscript"/>
        </w:rPr>
        <w:t xml:space="preserve">t</w:t>
      </w:r>
      <w:r>
        <w:t xml:space="preserve">), with</w:t>
      </w:r>
      <w:r>
        <w:t xml:space="preserve"> </w:t>
      </w:r>
      <w:r>
        <w:rPr>
          <w:iCs/>
          <w:i/>
        </w:rPr>
        <w:t xml:space="preserve">z</w:t>
      </w:r>
      <w:r>
        <w:t xml:space="preserve"> </w:t>
      </w:r>
      <w:r>
        <w:t xml:space="preserve">set to the same false-alarm probability.</w:t>
      </w:r>
    </w:p>
    <w:p>
      <w:pPr>
        <w:pStyle w:val="PaperCaption"/>
      </w:pPr>
      <w:r>
        <w:rPr>
          <w:bCs/>
          <w:b/>
        </w:rPr>
        <w:t xml:space="preserve">Algorithm 3.</w:t>
      </w:r>
      <w:r>
        <w:t xml:space="preserve"> </w:t>
      </w:r>
      <w:r>
        <w:t xml:space="preserve">Alarm and its average run length.</w:t>
      </w:r>
    </w:p>
    <w:p>
      <w:pPr>
        <w:pStyle w:val="SourceCode"/>
      </w:pPr>
      <w:r>
        <w:rPr>
          <w:rStyle w:val="VerbatimChar"/>
        </w:rPr>
        <w:t xml:space="preserve">Input : weekly counts x_t; baseline mu_t; rise theta; threshold h</w:t>
      </w:r>
      <w:r>
        <w:br/>
      </w:r>
      <w:r>
        <w:rPr>
          <w:rStyle w:val="VerbatimChar"/>
        </w:rPr>
        <w:t xml:space="preserve">Output: alarm week, or none; average run length when k and h are integers</w:t>
      </w:r>
      <w:r>
        <w:br/>
      </w:r>
      <w:r>
        <w:rPr>
          <w:rStyle w:val="VerbatimChar"/>
        </w:rPr>
        <w:t xml:space="preserve"> 1  S &lt;- 0</w:t>
      </w:r>
      <w:r>
        <w:br/>
      </w:r>
      <w:r>
        <w:rPr>
          <w:rStyle w:val="VerbatimChar"/>
        </w:rPr>
        <w:t xml:space="preserve"> 2  for t = 1, 2, ...:  S &lt;- max(0, S + x_t - k_t);  if S &gt;= h: return t</w:t>
      </w:r>
      <w:r>
        <w:br/>
      </w:r>
      <w:r>
        <w:rPr>
          <w:rStyle w:val="VerbatimChar"/>
        </w:rPr>
        <w:t xml:space="preserve"> 3  average run length: states 0..h-1, Q[i][j] = P(next state j | state i)</w:t>
      </w:r>
      <w:r>
        <w:br/>
      </w:r>
      <w:r>
        <w:rPr>
          <w:rStyle w:val="VerbatimChar"/>
        </w:rPr>
        <w:t xml:space="preserve">    under Poisson counts; ARL = ((I - Q)^-1 1) at state 0   (Brook &amp; Evans, 1972)</w:t>
      </w:r>
    </w:p>
    <w:bookmarkEnd w:id="89"/>
    <w:bookmarkStart w:id="90" w:name="seasons"/>
    <w:p>
      <w:pPr>
        <w:pStyle w:val="Heading2"/>
      </w:pPr>
      <w:r>
        <w:t xml:space="preserve">2.9 Seasons</w:t>
      </w:r>
    </w:p>
    <w:p>
      <w:pPr>
        <w:pStyle w:val="FirstParagraph"/>
      </w:pPr>
      <w:r>
        <w:rPr>
          <w:bCs/>
          <w:b/>
        </w:rPr>
        <w:t xml:space="preserve">Definition 13 (Season factor).</w:t>
      </w:r>
      <w:r>
        <w:t xml:space="preserve"> </w:t>
      </w:r>
      <w:r>
        <w:t xml:space="preserve">Rain and temperature change the number of mosquitoes. A season factor</w:t>
      </w:r>
      <w:r>
        <w:t xml:space="preserve"> </w:t>
      </w:r>
      <w:r>
        <w:rPr>
          <w:iCs/>
          <w:i/>
        </w:rPr>
        <w:t xml:space="preserve">ς</w:t>
      </w:r>
      <w:r>
        <w:t xml:space="preserve"> </w:t>
      </w:r>
      <w:r>
        <w:t xml:space="preserve">&gt; 0 scales every</w:t>
      </w:r>
      <w:r>
        <w:t xml:space="preserve"> </w:t>
      </w:r>
      <w:r>
        <w:rPr>
          <w:iCs/>
          <w:i/>
        </w:rPr>
        <w:t xml:space="preserve">V</w:t>
      </w:r>
      <w:r>
        <w:rPr>
          <w:iCs/>
          <w:i/>
          <w:vertAlign w:val="subscript"/>
        </w:rPr>
        <w:t xml:space="preserve">j</w:t>
      </w:r>
      <w:r>
        <w:t xml:space="preserve"> </w:t>
      </w:r>
      <w:r>
        <w:t xml:space="preserve">to</w:t>
      </w:r>
      <w:r>
        <w:t xml:space="preserve"> </w:t>
      </w:r>
      <w:r>
        <w:rPr>
          <w:iCs/>
          <w:i/>
        </w:rPr>
        <w:t xml:space="preserve">ςV</w:t>
      </w:r>
      <w:r>
        <w:rPr>
          <w:iCs/>
          <w:i/>
          <w:vertAlign w:val="subscript"/>
        </w:rPr>
        <w:t xml:space="preserve">j</w:t>
      </w:r>
      <w:r>
        <w:t xml:space="preserve">;</w:t>
      </w:r>
      <w:r>
        <w:t xml:space="preserve"> </w:t>
      </w:r>
      <w:r>
        <w:rPr>
          <w:iCs/>
          <w:i/>
        </w:rPr>
        <w:t xml:space="preserve">ς</w:t>
      </w:r>
      <w:r>
        <w:t xml:space="preserve"> </w:t>
      </w:r>
      <w:r>
        <w:t xml:space="preserve">= 1 is the reference season of the survey, and values above one describe the peak of the rainy season.</w:t>
      </w:r>
    </w:p>
    <w:bookmarkEnd w:id="90"/>
    <w:bookmarkStart w:id="91" w:name="strategies-compared"/>
    <w:p>
      <w:pPr>
        <w:pStyle w:val="Heading2"/>
      </w:pPr>
      <w:r>
        <w:t xml:space="preserve">2.10 Strategies Compared</w:t>
      </w:r>
    </w:p>
    <w:p>
      <w:pPr>
        <w:pStyle w:val="FirstParagraph"/>
      </w:pPr>
      <w:r>
        <w:t xml:space="preserve">Five allocations of the same effort are compared in Section 3.5.</w:t>
      </w:r>
      <w:r>
        <w:t xml:space="preserve"> </w:t>
      </w:r>
      <w:r>
        <w:rPr>
          <w:iCs/>
          <w:i/>
        </w:rPr>
        <w:t xml:space="preserve">Uniform</w:t>
      </w:r>
      <w:r>
        <w:t xml:space="preserve"> </w:t>
      </w:r>
      <w:r>
        <w:t xml:space="preserve">reduces mosquitoes by the same fraction everywhere.</w:t>
      </w:r>
      <w:r>
        <w:t xml:space="preserve"> </w:t>
      </w:r>
      <w:r>
        <w:rPr>
          <w:iCs/>
          <w:i/>
        </w:rPr>
        <w:t xml:space="preserve">Where cases live</w:t>
      </w:r>
      <w:r>
        <w:t xml:space="preserve"> </w:t>
      </w:r>
      <w:r>
        <w:t xml:space="preserve">reduces them in proportion to the share of cases by residence during the growth of an outbreak, which is the dominant eigenvector of</w:t>
      </w:r>
      <w:r>
        <w:t xml:space="preserve"> </w:t>
      </w:r>
      <w:r>
        <w:rPr>
          <w:iCs/>
          <w:i/>
        </w:rPr>
        <w:t xml:space="preserve">M</w:t>
      </w:r>
      <w:r>
        <w:t xml:space="preserve">.</w:t>
      </w:r>
      <w:r>
        <w:t xml:space="preserve"> </w:t>
      </w:r>
      <w:r>
        <w:rPr>
          <w:iCs/>
          <w:i/>
        </w:rPr>
        <w:t xml:space="preserve">Place shares</w:t>
      </w:r>
      <w:r>
        <w:t xml:space="preserve"> </w:t>
      </w:r>
      <w:r>
        <w:t xml:space="preserve">reduces them in proportion to</w:t>
      </w:r>
      <w:r>
        <w:t xml:space="preserve"> </w:t>
      </w:r>
      <w:r>
        <w:rPr>
          <w:iCs/>
          <w:i/>
        </w:rPr>
        <w:t xml:space="preserve">s</w:t>
      </w:r>
      <w:r>
        <w:rPr>
          <w:iCs/>
          <w:i/>
          <w:vertAlign w:val="subscript"/>
        </w:rPr>
        <w:t xml:space="preserve">j</w:t>
      </w:r>
      <w:r>
        <w:t xml:space="preserve">.</w:t>
      </w:r>
      <w:r>
        <w:t xml:space="preserve"> </w:t>
      </w:r>
      <w:r>
        <w:rPr>
          <w:iCs/>
          <w:i/>
        </w:rPr>
        <w:t xml:space="preserve">Certificate</w:t>
      </w:r>
      <w:r>
        <w:t xml:space="preserve"> </w:t>
      </w:r>
      <w:r>
        <w:t xml:space="preserve">solves program (10), and</w:t>
      </w:r>
      <w:r>
        <w:t xml:space="preserve"> </w:t>
      </w:r>
      <w:r>
        <w:rPr>
          <w:iCs/>
          <w:i/>
        </w:rPr>
        <w:t xml:space="preserve">least cost</w:t>
      </w:r>
      <w:r>
        <w:t xml:space="preserve"> </w:t>
      </w:r>
      <w:r>
        <w:t xml:space="preserve">solves program (9). The first three are scaled up until they reach the target.</w:t>
      </w:r>
    </w:p>
    <w:bookmarkEnd w:id="91"/>
    <w:bookmarkStart w:id="92" w:name="assumptions"/>
    <w:p>
      <w:pPr>
        <w:pStyle w:val="Heading2"/>
      </w:pPr>
      <w:r>
        <w:t xml:space="preserve">2.11 Assumptions</w:t>
      </w:r>
    </w:p>
    <w:p>
      <w:pPr>
        <w:numPr>
          <w:ilvl w:val="0"/>
          <w:numId w:val="1004"/>
        </w:numPr>
        <w:pStyle w:val="Compact"/>
      </w:pPr>
      <w:r>
        <w:rPr>
          <w:bCs/>
          <w:b/>
        </w:rPr>
        <w:t xml:space="preserve">Assumption 1 (Fixed routines).</w:t>
      </w:r>
      <w:r>
        <w:t xml:space="preserve"> </w:t>
      </w:r>
      <w:r>
        <w:t xml:space="preserve">The shares</w:t>
      </w:r>
      <w:r>
        <w:t xml:space="preserve"> </w:t>
      </w:r>
      <w:r>
        <w:rPr>
          <w:iCs/>
          <w:i/>
        </w:rPr>
        <w:t xml:space="preserve">p</w:t>
      </w:r>
      <w:r>
        <w:rPr>
          <w:iCs/>
          <w:i/>
          <w:vertAlign w:val="subscript"/>
        </w:rPr>
        <w:t xml:space="preserve">ij</w:t>
      </w:r>
      <w:r>
        <w:t xml:space="preserve"> </w:t>
      </w:r>
      <w:r>
        <w:t xml:space="preserve">do not change during an outbreak. School closures, which change them, are studied by recomputing</w:t>
      </w:r>
      <w:r>
        <w:t xml:space="preserve"> </w:t>
      </w:r>
      <w:r>
        <w:rPr>
          <w:iCs/>
          <w:i/>
        </w:rPr>
        <w:t xml:space="preserve">P</w:t>
      </w:r>
      <w:r>
        <w:t xml:space="preserve">.</w:t>
      </w:r>
    </w:p>
    <w:p>
      <w:pPr>
        <w:numPr>
          <w:ilvl w:val="0"/>
          <w:numId w:val="1004"/>
        </w:numPr>
        <w:pStyle w:val="Compact"/>
      </w:pPr>
      <w:r>
        <w:rPr>
          <w:bCs/>
          <w:b/>
        </w:rPr>
        <w:t xml:space="preserve">Assumption 2 (One virus).</w:t>
      </w:r>
      <w:r>
        <w:t xml:space="preserve"> </w:t>
      </w:r>
      <w:r>
        <w:t xml:space="preserve">The four serotypes are treated as one infection with lasting immunity during a season.</w:t>
      </w:r>
    </w:p>
    <w:p>
      <w:pPr>
        <w:numPr>
          <w:ilvl w:val="0"/>
          <w:numId w:val="1004"/>
        </w:numPr>
        <w:pStyle w:val="Compact"/>
      </w:pPr>
      <w:r>
        <w:rPr>
          <w:bCs/>
          <w:b/>
        </w:rPr>
        <w:t xml:space="preserve">Assumption 3 (Equilibrium mosquitoes).</w:t>
      </w:r>
      <w:r>
        <w:t xml:space="preserve"> </w:t>
      </w:r>
      <w:r>
        <w:t xml:space="preserve">Without control, mosquito numbers sit at the level</w:t>
      </w:r>
      <w:r>
        <w:t xml:space="preserve"> </w:t>
      </w:r>
      <w:r>
        <w:rPr>
          <w:iCs/>
          <w:i/>
        </w:rPr>
        <w:t xml:space="preserve">V</w:t>
      </w:r>
      <w:r>
        <w:rPr>
          <w:iCs/>
          <w:i/>
          <w:vertAlign w:val="subscript"/>
        </w:rPr>
        <w:t xml:space="preserve">j</w:t>
      </w:r>
      <w:r>
        <w:t xml:space="preserve"> </w:t>
      </w:r>
      <w:r>
        <w:t xml:space="preserve">set by the season.</w:t>
      </w:r>
    </w:p>
    <w:p>
      <w:pPr>
        <w:numPr>
          <w:ilvl w:val="0"/>
          <w:numId w:val="1004"/>
        </w:numPr>
        <w:pStyle w:val="Compact"/>
      </w:pPr>
      <w:r>
        <w:rPr>
          <w:bCs/>
          <w:b/>
        </w:rPr>
        <w:t xml:space="preserve">Assumption 4 (Control lowers numbers).</w:t>
      </w:r>
      <w:r>
        <w:t xml:space="preserve"> </w:t>
      </w:r>
      <w:r>
        <w:t xml:space="preserve">Every control method acts by lowering the adult mosquitoes of a place by a fraction</w:t>
      </w:r>
      <w:r>
        <w:t xml:space="preserve"> </w:t>
      </w:r>
      <w:r>
        <w:rPr>
          <w:iCs/>
          <w:i/>
        </w:rPr>
        <w:t xml:space="preserve">u</w:t>
      </w:r>
      <w:r>
        <w:rPr>
          <w:iCs/>
          <w:i/>
          <w:vertAlign w:val="subscript"/>
        </w:rPr>
        <w:t xml:space="preserve">j</w:t>
      </w:r>
      <w:r>
        <w:t xml:space="preserve">, at a cost proportional to</w:t>
      </w:r>
      <w:r>
        <w:t xml:space="preserve"> </w:t>
      </w:r>
      <w:r>
        <w:rPr>
          <w:iCs/>
          <w:i/>
        </w:rPr>
        <w:t xml:space="preserve">u</w:t>
      </w:r>
      <w:r>
        <w:rPr>
          <w:iCs/>
          <w:i/>
          <w:vertAlign w:val="subscript"/>
        </w:rPr>
        <w:t xml:space="preserve">j</w:t>
      </w:r>
      <w:r>
        <w:t xml:space="preserve">.</w:t>
      </w:r>
    </w:p>
    <w:p>
      <w:pPr>
        <w:numPr>
          <w:ilvl w:val="0"/>
          <w:numId w:val="1004"/>
        </w:numPr>
        <w:pStyle w:val="Compact"/>
      </w:pPr>
      <w:r>
        <w:rPr>
          <w:bCs/>
          <w:b/>
        </w:rPr>
        <w:t xml:space="preserve">Assumption 5 (Reports follow infections).</w:t>
      </w:r>
      <w:r>
        <w:t xml:space="preserve"> </w:t>
      </w:r>
      <w:r>
        <w:t xml:space="preserve">Within a period, reported cases are a fixed fraction of infections in every barangay, so that rates of reported cases can stand in for rates of infection in Equation (11).</w:t>
      </w:r>
    </w:p>
    <w:p>
      <w:pPr>
        <w:numPr>
          <w:ilvl w:val="0"/>
          <w:numId w:val="1004"/>
        </w:numPr>
        <w:pStyle w:val="Compact"/>
      </w:pPr>
      <w:r>
        <w:rPr>
          <w:bCs/>
          <w:b/>
        </w:rPr>
        <w:t xml:space="preserve">Assumption 6 (Open data only).</w:t>
      </w:r>
      <w:r>
        <w:t xml:space="preserve"> </w:t>
      </w:r>
      <w:r>
        <w:t xml:space="preserve">Each number reported here is a derivation, a declared parameter, a figure from a public report, or an output of a synthetic test instance. No surveillance record, survey sheet, or patient file was used.</w:t>
      </w:r>
    </w:p>
    <w:bookmarkEnd w:id="92"/>
    <w:bookmarkStart w:id="93" w:name="notation"/>
    <w:p>
      <w:pPr>
        <w:pStyle w:val="Heading2"/>
      </w:pPr>
      <w:r>
        <w:t xml:space="preserve">2.12 Notation</w:t>
      </w:r>
    </w:p>
    <w:p>
      <w:pPr>
        <w:pStyle w:val="PaperCaption"/>
      </w:pPr>
      <w:r>
        <w:rPr>
          <w:bCs/>
          <w:b/>
        </w:rPr>
        <w:t xml:space="preserve">Table 5.</w:t>
      </w:r>
      <w:r>
        <w:t xml:space="preserve"> </w:t>
      </w:r>
      <w:r>
        <w:t xml:space="preserve">Symbols used in the paper.</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227"/>
        <w:gridCol w:w="5692"/>
      </w:tblGrid>
      <w:tr>
        <w:trPr>
          <w:cantSplit/>
          <w:tblHeader w:val="true"/>
        </w:trPr>
        <w:tc>
          <w:tcPr/>
          <w:p>
            <w:pPr>
              <w:pStyle w:val="TableText"/>
              <w:jc w:val="left"/>
            </w:pPr>
            <w:r>
              <w:rPr>
                <w:b/>
              </w:rPr>
              <w:t xml:space="preserve">Symbol</w:t>
            </w:r>
          </w:p>
        </w:tc>
        <w:tc>
          <w:tcPr/>
          <w:p>
            <w:pPr>
              <w:pStyle w:val="TableText"/>
              <w:jc w:val="left"/>
            </w:pPr>
            <w:r>
              <w:rPr>
                <w:b/>
              </w:rPr>
              <w:t xml:space="preserve">Meaning</w:t>
            </w:r>
          </w:p>
        </w:tc>
      </w:tr>
      <w:tr>
        <w:trPr>
          <w:cantSplit/>
        </w:trPr>
        <w:tc>
          <w:tcPr/>
          <w:p>
            <w:pPr>
              <w:pStyle w:val="TableText"/>
              <w:jc w:val="left"/>
            </w:pPr>
            <w:r>
              <w:rPr>
                <w:iCs/>
                <w:i/>
              </w:rPr>
              <w:t xml:space="preserve">B</w:t>
            </w:r>
            <w:r>
              <w:t xml:space="preserve">,</w:t>
            </w:r>
            <w:r>
              <w:t xml:space="preserve"> </w:t>
            </w:r>
            <w:r>
              <w:rPr>
                <w:iCs/>
                <w:i/>
              </w:rPr>
              <w:t xml:space="preserve">n</w:t>
            </w:r>
            <w:r>
              <w:t xml:space="preserve">,</w:t>
            </w:r>
            <w:r>
              <w:t xml:space="preserve"> </w:t>
            </w:r>
            <w:r>
              <w:rPr>
                <w:iCs/>
                <w:i/>
              </w:rPr>
              <w:t xml:space="preserve">N</w:t>
            </w:r>
            <w:r>
              <w:rPr>
                <w:iCs/>
                <w:i/>
                <w:vertAlign w:val="subscript"/>
              </w:rPr>
              <w:t xml:space="preserve">i</w:t>
            </w:r>
          </w:p>
        </w:tc>
        <w:tc>
          <w:tcPr/>
          <w:p>
            <w:pPr>
              <w:pStyle w:val="TableText"/>
              <w:jc w:val="left"/>
            </w:pPr>
            <w:r>
              <w:t xml:space="preserve">barangays; their number; residents of</w:t>
            </w:r>
            <w:r>
              <w:t xml:space="preserve"> </w:t>
            </w:r>
            <w:r>
              <w:rPr>
                <w:iCs/>
                <w:i/>
              </w:rPr>
              <w:t xml:space="preserve">i</w:t>
            </w:r>
          </w:p>
        </w:tc>
      </w:tr>
      <w:tr>
        <w:trPr>
          <w:cantSplit/>
        </w:trPr>
        <w:tc>
          <w:tcPr/>
          <w:p>
            <w:pPr>
              <w:pStyle w:val="TableText"/>
              <w:jc w:val="left"/>
            </w:pPr>
            <w:r>
              <w:rPr>
                <w:iCs/>
                <w:i/>
              </w:rPr>
              <w:t xml:space="preserve">T</w:t>
            </w:r>
            <w:r>
              <w:rPr>
                <w:iCs/>
                <w:i/>
                <w:vertAlign w:val="subscript"/>
              </w:rPr>
              <w:t xml:space="preserve">ij</w:t>
            </w:r>
            <w:r>
              <w:t xml:space="preserve">,</w:t>
            </w:r>
            <w:r>
              <w:t xml:space="preserve"> </w:t>
            </w:r>
            <w:r>
              <w:rPr>
                <w:iCs/>
                <w:i/>
              </w:rPr>
              <w:t xml:space="preserve">A</w:t>
            </w:r>
            <w:r>
              <w:rPr>
                <w:iCs/>
                <w:i/>
                <w:vertAlign w:val="subscript"/>
              </w:rPr>
              <w:t xml:space="preserve">j</w:t>
            </w:r>
            <w:r>
              <w:t xml:space="preserve">,</w:t>
            </w:r>
            <w:r>
              <w:t xml:space="preserve"> </w:t>
            </w:r>
            <w:r>
              <w:rPr>
                <w:iCs/>
                <w:i/>
              </w:rPr>
              <w:t xml:space="preserve">β</w:t>
            </w:r>
            <w:r>
              <w:t xml:space="preserve">,</w:t>
            </w:r>
            <w:r>
              <w:t xml:space="preserve"> </w:t>
            </w:r>
            <w:r>
              <w:rPr>
                <w:iCs/>
                <w:i/>
              </w:rPr>
              <w:t xml:space="preserve">ω</w:t>
            </w:r>
            <w:r>
              <w:rPr>
                <w:iCs/>
                <w:i/>
                <w:vertAlign w:val="subscript"/>
              </w:rPr>
              <w:t xml:space="preserve">i</w:t>
            </w:r>
          </w:p>
        </w:tc>
        <w:tc>
          <w:tcPr/>
          <w:p>
            <w:pPr>
              <w:pStyle w:val="TableText"/>
              <w:jc w:val="left"/>
            </w:pPr>
            <w:r>
              <w:t xml:space="preserve">travel time; attraction; decay; share of time away</w:t>
            </w:r>
          </w:p>
        </w:tc>
      </w:tr>
      <w:tr>
        <w:trPr>
          <w:cantSplit/>
        </w:trPr>
        <w:tc>
          <w:tcPr/>
          <w:p>
            <w:pPr>
              <w:pStyle w:val="TableText"/>
              <w:jc w:val="left"/>
            </w:pPr>
            <w:r>
              <w:rPr>
                <w:iCs/>
                <w:i/>
              </w:rPr>
              <w:t xml:space="preserve">P</w:t>
            </w:r>
            <w:r>
              <w:t xml:space="preserve"> </w:t>
            </w:r>
            <w:r>
              <w:t xml:space="preserve">= [</w:t>
            </w:r>
            <w:r>
              <w:rPr>
                <w:iCs/>
                <w:i/>
              </w:rPr>
              <w:t xml:space="preserve">p</w:t>
            </w:r>
            <w:r>
              <w:rPr>
                <w:iCs/>
                <w:i/>
                <w:vertAlign w:val="subscript"/>
              </w:rPr>
              <w:t xml:space="preserve">ij</w:t>
            </w:r>
            <w:r>
              <w:t xml:space="preserve">],</w:t>
            </w:r>
            <w:r>
              <w:t xml:space="preserve"> </w:t>
            </w:r>
            <w:r>
              <w:rPr>
                <w:iCs/>
                <w:i/>
              </w:rPr>
              <w:t xml:space="preserve">Ñ</w:t>
            </w:r>
            <w:r>
              <w:rPr>
                <w:iCs/>
                <w:i/>
                <w:vertAlign w:val="subscript"/>
              </w:rPr>
              <w:t xml:space="preserve">j</w:t>
            </w:r>
          </w:p>
        </w:tc>
        <w:tc>
          <w:tcPr/>
          <w:p>
            <w:pPr>
              <w:pStyle w:val="TableText"/>
              <w:jc w:val="left"/>
            </w:pPr>
            <w:r>
              <w:t xml:space="preserve">residence-time matrix; people present in</w:t>
            </w:r>
            <w:r>
              <w:t xml:space="preserve"> </w:t>
            </w:r>
            <w:r>
              <w:rPr>
                <w:iCs/>
                <w:i/>
              </w:rPr>
              <w:t xml:space="preserve">j</w:t>
            </w:r>
          </w:p>
        </w:tc>
      </w:tr>
      <w:tr>
        <w:trPr>
          <w:cantSplit/>
        </w:trPr>
        <w:tc>
          <w:tcPr/>
          <w:p>
            <w:pPr>
              <w:pStyle w:val="TableText"/>
              <w:jc w:val="left"/>
            </w:pPr>
            <w:r>
              <w:rPr>
                <w:iCs/>
                <w:i/>
              </w:rPr>
              <w:t xml:space="preserve">V</w:t>
            </w:r>
            <w:r>
              <w:rPr>
                <w:iCs/>
                <w:i/>
                <w:vertAlign w:val="subscript"/>
              </w:rPr>
              <w:t xml:space="preserve">j</w:t>
            </w:r>
            <w:r>
              <w:t xml:space="preserve">,</w:t>
            </w:r>
            <w:r>
              <w:t xml:space="preserve"> </w:t>
            </w:r>
            <w:r>
              <w:rPr>
                <w:iCs/>
                <w:i/>
              </w:rPr>
              <w:t xml:space="preserve">m</w:t>
            </w:r>
            <w:r>
              <w:rPr>
                <w:iCs/>
                <w:i/>
                <w:vertAlign w:val="subscript"/>
              </w:rPr>
              <w:t xml:space="preserve">j</w:t>
            </w:r>
          </w:p>
        </w:tc>
        <w:tc>
          <w:tcPr/>
          <w:p>
            <w:pPr>
              <w:pStyle w:val="TableText"/>
              <w:jc w:val="left"/>
            </w:pPr>
            <w:r>
              <w:t xml:space="preserve">mosquitoes in</w:t>
            </w:r>
            <w:r>
              <w:t xml:space="preserve"> </w:t>
            </w:r>
            <w:r>
              <w:rPr>
                <w:iCs/>
                <w:i/>
              </w:rPr>
              <w:t xml:space="preserve">j</w:t>
            </w:r>
            <w:r>
              <w:t xml:space="preserve">; mosquitoes per person present</w:t>
            </w:r>
          </w:p>
        </w:tc>
      </w:tr>
      <w:tr>
        <w:trPr>
          <w:cantSplit/>
        </w:trPr>
        <w:tc>
          <w:tcPr/>
          <w:p>
            <w:pPr>
              <w:pStyle w:val="TableText"/>
              <w:jc w:val="left"/>
            </w:pPr>
            <w:r>
              <w:rPr>
                <w:iCs/>
                <w:i/>
              </w:rPr>
              <w:t xml:space="preserve">a</w:t>
            </w:r>
            <w:r>
              <w:t xml:space="preserve">,</w:t>
            </w:r>
            <w:r>
              <w:rPr>
                <w:iCs/>
                <w:i/>
              </w:rPr>
              <w:t xml:space="preserve">b</w:t>
            </w:r>
            <w:r>
              <w:t xml:space="preserve">,</w:t>
            </w:r>
            <w:r>
              <w:rPr>
                <w:iCs/>
                <w:i/>
              </w:rPr>
              <w:t xml:space="preserve">c</w:t>
            </w:r>
            <w:r>
              <w:t xml:space="preserve">,</w:t>
            </w:r>
            <w:r>
              <w:rPr>
                <w:iCs/>
                <w:i/>
              </w:rPr>
              <w:t xml:space="preserve">μ</w:t>
            </w:r>
            <w:r>
              <w:rPr>
                <w:iCs/>
                <w:i/>
                <w:vertAlign w:val="subscript"/>
              </w:rPr>
              <w:t xml:space="preserve">v</w:t>
            </w:r>
            <w:r>
              <w:t xml:space="preserve">,</w:t>
            </w:r>
            <w:r>
              <w:rPr>
                <w:iCs/>
                <w:i/>
              </w:rPr>
              <w:t xml:space="preserve">ν</w:t>
            </w:r>
            <w:r>
              <w:t xml:space="preserve">,</w:t>
            </w:r>
            <w:r>
              <w:rPr>
                <w:iCs/>
                <w:i/>
              </w:rPr>
              <w:t xml:space="preserve">γ</w:t>
            </w:r>
            <w:r>
              <w:t xml:space="preserve">,</w:t>
            </w:r>
            <w:r>
              <w:rPr>
                <w:iCs/>
                <w:i/>
              </w:rPr>
              <w:t xml:space="preserve">μ</w:t>
            </w:r>
            <w:r>
              <w:rPr>
                <w:iCs/>
                <w:i/>
                <w:vertAlign w:val="subscript"/>
              </w:rPr>
              <w:t xml:space="preserve">h</w:t>
            </w:r>
          </w:p>
        </w:tc>
        <w:tc>
          <w:tcPr/>
          <w:p>
            <w:pPr>
              <w:pStyle w:val="TableText"/>
              <w:jc w:val="left"/>
            </w:pPr>
            <w:r>
              <w:t xml:space="preserve">transmission parameters (Table 4)</w:t>
            </w:r>
          </w:p>
        </w:tc>
      </w:tr>
      <w:tr>
        <w:trPr>
          <w:cantSplit/>
        </w:trPr>
        <w:tc>
          <w:tcPr/>
          <w:p>
            <w:pPr>
              <w:pStyle w:val="TableText"/>
              <w:jc w:val="left"/>
            </w:pPr>
            <w:r>
              <w:rPr>
                <w:iCs/>
                <w:i/>
              </w:rPr>
              <w:t xml:space="preserve">κ</w:t>
            </w:r>
            <w:r>
              <w:t xml:space="preserve">,</w:t>
            </w:r>
            <w:r>
              <w:t xml:space="preserve"> </w:t>
            </w:r>
            <w:r>
              <w:rPr>
                <w:iCs/>
                <w:i/>
              </w:rPr>
              <w:t xml:space="preserve">M</w:t>
            </w:r>
            <w:r>
              <w:t xml:space="preserve">,</w:t>
            </w:r>
            <w:r>
              <w:t xml:space="preserve"> </w:t>
            </w:r>
            <w:r>
              <w:rPr>
                <w:iCs/>
                <w:i/>
              </w:rPr>
              <w:t xml:space="preserve">S</w:t>
            </w:r>
            <w:r>
              <w:t xml:space="preserve">,</w:t>
            </w:r>
            <w:r>
              <w:t xml:space="preserve"> </w:t>
            </w:r>
            <w:r>
              <w:rPr>
                <w:iCs/>
                <w:i/>
              </w:rPr>
              <w:t xml:space="preserve">R</w:t>
            </w:r>
            <w:r>
              <w:rPr>
                <w:vertAlign w:val="subscript"/>
              </w:rPr>
              <w:t xml:space="preserve">0</w:t>
            </w:r>
          </w:p>
        </w:tc>
        <w:tc>
          <w:tcPr/>
          <w:p>
            <w:pPr>
              <w:pStyle w:val="TableText"/>
              <w:jc w:val="left"/>
            </w:pPr>
            <w:r>
              <w:t xml:space="preserve">two-generation constant; two-generation matrix; its symmetric form; reproduction number</w:t>
            </w:r>
          </w:p>
        </w:tc>
      </w:tr>
      <w:tr>
        <w:trPr>
          <w:cantSplit/>
        </w:trPr>
        <w:tc>
          <w:tcPr/>
          <w:p>
            <w:pPr>
              <w:pStyle w:val="TableText"/>
              <w:jc w:val="left"/>
            </w:pPr>
            <w:r>
              <w:rPr>
                <w:iCs/>
                <w:i/>
              </w:rPr>
              <w:t xml:space="preserve">R</w:t>
            </w:r>
            <w:r>
              <w:rPr>
                <w:iCs/>
                <w:i/>
                <w:vertAlign w:val="subscript"/>
              </w:rPr>
              <w:t xml:space="preserve">i</w:t>
            </w:r>
          </w:p>
        </w:tc>
        <w:tc>
          <w:tcPr/>
          <w:p>
            <w:pPr>
              <w:pStyle w:val="TableText"/>
              <w:jc w:val="left"/>
            </w:pPr>
            <w:r>
              <w:t xml:space="preserve">local exposure number of barangay</w:t>
            </w:r>
            <w:r>
              <w:t xml:space="preserve"> </w:t>
            </w:r>
            <w:r>
              <w:rPr>
                <w:iCs/>
                <w:i/>
              </w:rPr>
              <w:t xml:space="preserve">i</w:t>
            </w:r>
          </w:p>
        </w:tc>
      </w:tr>
      <w:tr>
        <w:trPr>
          <w:cantSplit/>
        </w:trPr>
        <w:tc>
          <w:tcPr/>
          <w:p>
            <w:pPr>
              <w:pStyle w:val="TableText"/>
              <w:jc w:val="left"/>
            </w:pPr>
            <w:r>
              <w:rPr>
                <w:iCs/>
                <w:i/>
              </w:rPr>
              <w:t xml:space="preserve">s</w:t>
            </w:r>
            <w:r>
              <w:rPr>
                <w:iCs/>
                <w:i/>
                <w:vertAlign w:val="subscript"/>
              </w:rPr>
              <w:t xml:space="preserve">j</w:t>
            </w:r>
            <w:r>
              <w:t xml:space="preserve">,</w:t>
            </w:r>
            <w:r>
              <w:t xml:space="preserve"> </w:t>
            </w:r>
            <w:r>
              <w:rPr>
                <w:iCs/>
                <w:i/>
              </w:rPr>
              <w:t xml:space="preserve">H</w:t>
            </w:r>
            <w:r>
              <w:rPr>
                <w:iCs/>
                <w:i/>
                <w:vertAlign w:val="subscript"/>
              </w:rPr>
              <w:t xml:space="preserve">j</w:t>
            </w:r>
            <w:r>
              <w:t xml:space="preserve">,</w:t>
            </w:r>
            <w:r>
              <w:t xml:space="preserve"> </w:t>
            </w:r>
            <w:r>
              <w:rPr>
                <w:iCs/>
                <w:i/>
              </w:rPr>
              <w:t xml:space="preserve">v</w:t>
            </w:r>
            <w:r>
              <w:t xml:space="preserve">,</w:t>
            </w:r>
            <w:r>
              <w:t xml:space="preserve"> </w:t>
            </w:r>
            <w:r>
              <w:rPr>
                <w:iCs/>
                <w:i/>
              </w:rPr>
              <w:t xml:space="preserve">q</w:t>
            </w:r>
            <w:r>
              <w:rPr>
                <w:iCs/>
                <w:i/>
                <w:vertAlign w:val="subscript"/>
              </w:rPr>
              <w:t xml:space="preserve">j</w:t>
            </w:r>
          </w:p>
        </w:tc>
        <w:tc>
          <w:tcPr/>
          <w:p>
            <w:pPr>
              <w:pStyle w:val="TableText"/>
              <w:jc w:val="left"/>
            </w:pPr>
            <w:r>
              <w:t xml:space="preserve">place share; hotspot score; top eigenvector of</w:t>
            </w:r>
            <w:r>
              <w:t xml:space="preserve"> </w:t>
            </w:r>
            <w:r>
              <w:rPr>
                <w:iCs/>
                <w:i/>
              </w:rPr>
              <w:t xml:space="preserve">S</w:t>
            </w:r>
            <w:r>
              <w:t xml:space="preserve">; column</w:t>
            </w:r>
            <w:r>
              <w:t xml:space="preserve"> </w:t>
            </w:r>
            <w:r>
              <w:rPr>
                <w:iCs/>
                <w:i/>
              </w:rPr>
              <w:t xml:space="preserve">j</w:t>
            </w:r>
            <w:r>
              <w:t xml:space="preserve"> </w:t>
            </w:r>
            <w:r>
              <w:t xml:space="preserve">of</w:t>
            </w:r>
            <w:r>
              <w:t xml:space="preserve"> </w:t>
            </w:r>
            <w:r>
              <w:rPr>
                <w:iCs/>
                <w:i/>
              </w:rPr>
              <w:t xml:space="preserve">D</w:t>
            </w:r>
            <w:r>
              <w:rPr>
                <w:iCs/>
                <w:i/>
                <w:vertAlign w:val="subscript"/>
              </w:rPr>
              <w:t xml:space="preserve">N</w:t>
            </w:r>
            <w:r>
              <w:rPr>
                <w:vertAlign w:val="superscript"/>
              </w:rPr>
              <w:t xml:space="preserve">1/2</w:t>
            </w:r>
            <w:r>
              <w:rPr>
                <w:iCs/>
                <w:i/>
              </w:rPr>
              <w:t xml:space="preserve">P</w:t>
            </w:r>
          </w:p>
        </w:tc>
      </w:tr>
      <w:tr>
        <w:trPr>
          <w:cantSplit/>
        </w:trPr>
        <w:tc>
          <w:tcPr/>
          <w:p>
            <w:pPr>
              <w:pStyle w:val="TableText"/>
              <w:jc w:val="left"/>
            </w:pPr>
            <w:r>
              <w:rPr>
                <w:iCs/>
                <w:i/>
              </w:rPr>
              <w:t xml:space="preserve">u</w:t>
            </w:r>
            <w:r>
              <w:rPr>
                <w:iCs/>
                <w:i/>
                <w:vertAlign w:val="subscript"/>
              </w:rPr>
              <w:t xml:space="preserve">j</w:t>
            </w:r>
            <w:r>
              <w:t xml:space="preserve">,</w:t>
            </w:r>
            <w:r>
              <w:t xml:space="preserve"> </w:t>
            </w:r>
            <w:r>
              <w:rPr>
                <w:iCs/>
                <w:i/>
              </w:rPr>
              <w:t xml:space="preserve">ū</w:t>
            </w:r>
            <w:r>
              <w:rPr>
                <w:iCs/>
                <w:i/>
                <w:vertAlign w:val="subscript"/>
              </w:rPr>
              <w:t xml:space="preserve">j</w:t>
            </w:r>
            <w:r>
              <w:t xml:space="preserve">,</w:t>
            </w:r>
            <w:r>
              <w:t xml:space="preserve"> </w:t>
            </w:r>
            <w:r>
              <w:rPr>
                <w:iCs/>
                <w:i/>
              </w:rPr>
              <w:t xml:space="preserve">c</w:t>
            </w:r>
            <w:r>
              <w:rPr>
                <w:iCs/>
                <w:i/>
                <w:vertAlign w:val="subscript"/>
              </w:rPr>
              <w:t xml:space="preserve">j</w:t>
            </w:r>
            <w:r>
              <w:t xml:space="preserve">,</w:t>
            </w:r>
            <w:r>
              <w:t xml:space="preserve"> </w:t>
            </w:r>
            <w:r>
              <w:rPr>
                <w:iCs/>
                <w:i/>
              </w:rPr>
              <w:t xml:space="preserve">r</w:t>
            </w:r>
          </w:p>
        </w:tc>
        <w:tc>
          <w:tcPr/>
          <w:p>
            <w:pPr>
              <w:pStyle w:val="TableText"/>
              <w:jc w:val="left"/>
            </w:pPr>
            <w:r>
              <w:t xml:space="preserve">control at</w:t>
            </w:r>
            <w:r>
              <w:t xml:space="preserve"> </w:t>
            </w:r>
            <w:r>
              <w:rPr>
                <w:iCs/>
                <w:i/>
              </w:rPr>
              <w:t xml:space="preserve">j</w:t>
            </w:r>
            <w:r>
              <w:t xml:space="preserve">; its limit; its cost; target</w:t>
            </w:r>
          </w:p>
        </w:tc>
      </w:tr>
      <w:tr>
        <w:trPr>
          <w:cantSplit/>
        </w:trPr>
        <w:tc>
          <w:tcPr/>
          <w:p>
            <w:pPr>
              <w:pStyle w:val="TableText"/>
              <w:jc w:val="left"/>
            </w:pPr>
            <w:r>
              <w:rPr>
                <w:iCs/>
                <w:i/>
              </w:rPr>
              <w:t xml:space="preserve">y</w:t>
            </w:r>
            <w:r>
              <w:rPr>
                <w:iCs/>
                <w:i/>
                <w:vertAlign w:val="subscript"/>
              </w:rPr>
              <w:t xml:space="preserve">i</w:t>
            </w:r>
            <w:r>
              <w:t xml:space="preserve">,</w:t>
            </w:r>
            <w:r>
              <w:t xml:space="preserve"> </w:t>
            </w:r>
            <w:r>
              <w:rPr>
                <w:iCs/>
                <w:i/>
              </w:rPr>
              <w:t xml:space="preserve">z</w:t>
            </w:r>
            <w:r>
              <w:rPr>
                <w:iCs/>
                <w:i/>
                <w:vertAlign w:val="subscript"/>
              </w:rPr>
              <w:t xml:space="preserve">j</w:t>
            </w:r>
          </w:p>
        </w:tc>
        <w:tc>
          <w:tcPr/>
          <w:p>
            <w:pPr>
              <w:pStyle w:val="TableText"/>
              <w:jc w:val="left"/>
            </w:pPr>
            <w:r>
              <w:t xml:space="preserve">case rate by residence; infection pressure by place</w:t>
            </w:r>
          </w:p>
        </w:tc>
      </w:tr>
      <w:tr>
        <w:trPr>
          <w:cantSplit/>
        </w:trPr>
        <w:tc>
          <w:tcPr/>
          <w:p>
            <w:pPr>
              <w:pStyle w:val="TableText"/>
              <w:jc w:val="left"/>
            </w:pPr>
            <w:r>
              <w:rPr>
                <w:iCs/>
                <w:i/>
              </w:rPr>
              <w:t xml:space="preserve">x</w:t>
            </w:r>
            <w:r>
              <w:rPr>
                <w:iCs/>
                <w:i/>
                <w:vertAlign w:val="subscript"/>
              </w:rPr>
              <w:t xml:space="preserve">t</w:t>
            </w:r>
            <w:r>
              <w:t xml:space="preserve">,</w:t>
            </w:r>
            <w:r>
              <w:t xml:space="preserve"> </w:t>
            </w:r>
            <w:r>
              <w:rPr>
                <w:iCs/>
                <w:i/>
              </w:rPr>
              <w:t xml:space="preserve">μ</w:t>
            </w:r>
            <w:r>
              <w:rPr>
                <w:iCs/>
                <w:i/>
                <w:vertAlign w:val="subscript"/>
              </w:rPr>
              <w:t xml:space="preserve">t</w:t>
            </w:r>
            <w:r>
              <w:t xml:space="preserve">,</w:t>
            </w:r>
            <w:r>
              <w:t xml:space="preserve"> </w:t>
            </w:r>
            <w:r>
              <w:rPr>
                <w:iCs/>
                <w:i/>
              </w:rPr>
              <w:t xml:space="preserve">k</w:t>
            </w:r>
            <w:r>
              <w:rPr>
                <w:iCs/>
                <w:i/>
                <w:vertAlign w:val="subscript"/>
              </w:rPr>
              <w:t xml:space="preserve">t</w:t>
            </w:r>
            <w:r>
              <w:t xml:space="preserve">,</w:t>
            </w:r>
            <w:r>
              <w:t xml:space="preserve"> </w:t>
            </w:r>
            <w:r>
              <w:rPr>
                <w:iCs/>
                <w:i/>
              </w:rPr>
              <w:t xml:space="preserve">h</w:t>
            </w:r>
            <w:r>
              <w:t xml:space="preserve">,</w:t>
            </w:r>
            <w:r>
              <w:t xml:space="preserve"> </w:t>
            </w:r>
            <w:r>
              <w:rPr>
                <w:iCs/>
                <w:i/>
              </w:rPr>
              <w:t xml:space="preserve">S</w:t>
            </w:r>
            <w:r>
              <w:rPr>
                <w:iCs/>
                <w:i/>
                <w:vertAlign w:val="subscript"/>
              </w:rPr>
              <w:t xml:space="preserve">t</w:t>
            </w:r>
          </w:p>
        </w:tc>
        <w:tc>
          <w:tcPr/>
          <w:p>
            <w:pPr>
              <w:pStyle w:val="TableText"/>
              <w:jc w:val="left"/>
            </w:pPr>
            <w:r>
              <w:t xml:space="preserve">weekly cases; baseline; reference value; threshold; CUSUM statistic</w:t>
            </w:r>
          </w:p>
        </w:tc>
      </w:tr>
      <w:tr>
        <w:trPr>
          <w:cantSplit/>
        </w:trPr>
        <w:tc>
          <w:tcPr/>
          <w:p>
            <w:pPr>
              <w:pStyle w:val="TableText"/>
              <w:jc w:val="left"/>
            </w:pPr>
            <w:r>
              <w:rPr>
                <w:iCs/>
                <w:i/>
              </w:rPr>
              <w:t xml:space="preserve">ς</w:t>
            </w:r>
          </w:p>
        </w:tc>
        <w:tc>
          <w:tcPr/>
          <w:p>
            <w:pPr>
              <w:pStyle w:val="TableText"/>
              <w:jc w:val="left"/>
            </w:pPr>
            <w:r>
              <w:t xml:space="preserve">season factor</w:t>
            </w:r>
          </w:p>
        </w:tc>
      </w:tr>
    </w:tbl>
    <w:bookmarkEnd w:id="93"/>
    <w:bookmarkEnd w:id="94"/>
    <w:bookmarkStart w:id="143" w:name="findings"/>
    <w:p>
      <w:pPr>
        <w:pStyle w:val="Heading1"/>
      </w:pPr>
      <w:r>
        <w:t xml:space="preserve">3. FINDINGS</w:t>
      </w:r>
    </w:p>
    <w:bookmarkStart w:id="95" w:name="data-and-integrity-of-the-results"/>
    <w:p>
      <w:pPr>
        <w:pStyle w:val="Heading2"/>
      </w:pPr>
      <w:r>
        <w:t xml:space="preserve">3.0 Data and Integrity of the Results</w:t>
      </w:r>
    </w:p>
    <w:p>
      <w:pPr>
        <w:pStyle w:val="FirstParagraph"/>
      </w:pPr>
      <w:r>
        <w:t xml:space="preserve">Two kinds of evidence support the findings: mathematical proof and computation on synthetic data. The model is coded in</w:t>
      </w:r>
      <w:r>
        <w:t xml:space="preserve"> </w:t>
      </w:r>
      <w:r>
        <w:rPr>
          <w:rStyle w:val="VerbatimChar"/>
        </w:rPr>
        <w:t xml:space="preserve">denguemodel.py</w:t>
      </w:r>
      <w:r>
        <w:t xml:space="preserve">, and</w:t>
      </w:r>
      <w:r>
        <w:t xml:space="preserve"> </w:t>
      </w:r>
      <w:r>
        <w:rPr>
          <w:rStyle w:val="VerbatimChar"/>
        </w:rPr>
        <w:t xml:space="preserve">verify_dengue.py</w:t>
      </w:r>
      <w:r>
        <w:t xml:space="preserve"> </w:t>
      </w:r>
      <w:r>
        <w:t xml:space="preserve">tests it against separately written reference code and builds the worked example of Section 3.5. The scripts ran with the seed 20261017 and saved every number below in</w:t>
      </w:r>
      <w:r>
        <w:t xml:space="preserve"> </w:t>
      </w:r>
      <w:r>
        <w:rPr>
          <w:rStyle w:val="VerbatimChar"/>
        </w:rPr>
        <w:t xml:space="preserve">results.json</w:t>
      </w:r>
      <w:r>
        <w:t xml:space="preserve"> </w:t>
      </w:r>
      <w:r>
        <w:t xml:space="preserve">(Appendix F). The six barangays of Section 3.5 are invented; none of their figures describes a real barangay, school, or market in Albay.</w:t>
      </w:r>
    </w:p>
    <w:bookmarkEnd w:id="95"/>
    <w:bookmarkStart w:id="96" w:name="general-methods"/>
    <w:p>
      <w:pPr>
        <w:pStyle w:val="Heading2"/>
      </w:pPr>
      <w:r>
        <w:t xml:space="preserve">3.1 General Methods</w:t>
      </w:r>
    </w:p>
    <w:p>
      <w:pPr>
        <w:pStyle w:val="FirstParagraph"/>
      </w:pPr>
      <w:r>
        <w:t xml:space="preserve">The study moved through eight steps.</w:t>
      </w:r>
    </w:p>
    <w:p>
      <w:pPr>
        <w:pStyle w:val="BodyText"/>
      </w:pPr>
      <w:r>
        <w:rPr>
          <w:bCs/>
          <w:b/>
        </w:rPr>
        <w:t xml:space="preserve">Step 1: Barangays and residents.</w:t>
      </w:r>
      <w:r>
        <w:t xml:space="preserve"> </w:t>
      </w:r>
      <w:r>
        <w:t xml:space="preserve">Barangay populations and centers were taken from the census and the landmark registers of the companion study.</w:t>
      </w:r>
    </w:p>
    <w:p>
      <w:pPr>
        <w:pStyle w:val="BodyText"/>
      </w:pPr>
      <w:r>
        <w:rPr>
          <w:bCs/>
          <w:b/>
        </w:rPr>
        <w:t xml:space="preserve">Step 2: Travel and attraction.</w:t>
      </w:r>
      <w:r>
        <w:t xml:space="preserve"> </w:t>
      </w:r>
      <w:r>
        <w:t xml:space="preserve">Travel times between barangay centers came from the timetable model of Brimbuela et al. (2026); attraction came from school enrollment, market listings, and workplaces (Appendix A).</w:t>
      </w:r>
    </w:p>
    <w:p>
      <w:pPr>
        <w:pStyle w:val="BodyText"/>
      </w:pPr>
      <w:r>
        <w:rPr>
          <w:bCs/>
          <w:b/>
        </w:rPr>
        <w:t xml:space="preserve">Step 3: Residence-time matrix.</w:t>
      </w:r>
      <w:r>
        <w:t xml:space="preserve"> </w:t>
      </w:r>
      <w:r>
        <w:t xml:space="preserve">Equations (1) and (2) produced</w:t>
      </w:r>
      <w:r>
        <w:t xml:space="preserve"> </w:t>
      </w:r>
      <w:r>
        <w:rPr>
          <w:iCs/>
          <w:i/>
        </w:rPr>
        <w:t xml:space="preserve">P</w:t>
      </w:r>
      <w:r>
        <w:t xml:space="preserve"> </w:t>
      </w:r>
      <w:r>
        <w:t xml:space="preserve">and the daytime populations</w:t>
      </w:r>
      <w:r>
        <w:t xml:space="preserve"> </w:t>
      </w:r>
      <w:r>
        <w:rPr>
          <w:iCs/>
          <w:i/>
        </w:rPr>
        <w:t xml:space="preserve">Ñ</w:t>
      </w:r>
      <w:r>
        <w:rPr>
          <w:iCs/>
          <w:i/>
          <w:vertAlign w:val="subscript"/>
        </w:rPr>
        <w:t xml:space="preserve">j</w:t>
      </w:r>
      <w:r>
        <w:t xml:space="preserve">.</w:t>
      </w:r>
    </w:p>
    <w:p>
      <w:pPr>
        <w:pStyle w:val="BodyText"/>
      </w:pPr>
      <w:r>
        <w:rPr>
          <w:bCs/>
          <w:b/>
        </w:rPr>
        <w:t xml:space="preserve">Step 4: Mosquitoes.</w:t>
      </w:r>
      <w:r>
        <w:t xml:space="preserve"> </w:t>
      </w:r>
      <w:r>
        <w:t xml:space="preserve">Mosquito numbers enter as survey indices converted to adults per resident; in the worked example they are declared values.</w:t>
      </w:r>
    </w:p>
    <w:p>
      <w:pPr>
        <w:pStyle w:val="BodyText"/>
      </w:pPr>
      <w:r>
        <w:rPr>
          <w:bCs/>
          <w:b/>
        </w:rPr>
        <w:t xml:space="preserve">Step 5: Transmission quantities.</w:t>
      </w:r>
      <w:r>
        <w:t xml:space="preserve"> </w:t>
      </w:r>
      <w:r>
        <w:t xml:space="preserve">The reproduction number, the local exposure numbers, and the place shares were computed from the symmetric matrix of Proposition 1.</w:t>
      </w:r>
    </w:p>
    <w:p>
      <w:pPr>
        <w:pStyle w:val="BodyText"/>
      </w:pPr>
      <w:r>
        <w:rPr>
          <w:bCs/>
          <w:b/>
        </w:rPr>
        <w:t xml:space="preserve">Step 6: Control.</w:t>
      </w:r>
      <w:r>
        <w:t xml:space="preserve"> </w:t>
      </w:r>
      <w:r>
        <w:t xml:space="preserve">The five strategies of Section 2.10 were computed for the same target, and the season factor was varied.</w:t>
      </w:r>
    </w:p>
    <w:p>
      <w:pPr>
        <w:pStyle w:val="BodyText"/>
      </w:pPr>
      <w:r>
        <w:rPr>
          <w:bCs/>
          <w:b/>
        </w:rPr>
        <w:t xml:space="preserve">Step 7: Places of infection and alarms.</w:t>
      </w:r>
      <w:r>
        <w:t xml:space="preserve"> </w:t>
      </w:r>
      <w:r>
        <w:t xml:space="preserve">Algorithm 2 was applied to cases by residence and Algorithm 3 to weekly counts.</w:t>
      </w:r>
    </w:p>
    <w:p>
      <w:pPr>
        <w:pStyle w:val="BodyText"/>
      </w:pPr>
      <w:r>
        <w:rPr>
          <w:bCs/>
          <w:b/>
        </w:rPr>
        <w:t xml:space="preserve">Step 8: Verification.</w:t>
      </w:r>
      <w:r>
        <w:t xml:space="preserve"> </w:t>
      </w:r>
      <w:r>
        <w:t xml:space="preserve">Section 3.3 tests every proven property against an independent implementation on random synthetic instances, and Section 3.4 reports running times.</w:t>
      </w:r>
    </w:p>
    <w:bookmarkEnd w:id="96"/>
    <w:bookmarkStart w:id="121" w:name="theoretical-results"/>
    <w:p>
      <w:pPr>
        <w:pStyle w:val="Heading2"/>
      </w:pPr>
      <w:r>
        <w:t xml:space="preserve">3.2 Theoretical Results</w:t>
      </w:r>
    </w:p>
    <w:p>
      <w:pPr>
        <w:pStyle w:val="FirstParagraph"/>
      </w:pPr>
      <w:r>
        <w:rPr>
          <w:bCs/>
          <w:b/>
        </w:rPr>
        <w:t xml:space="preserve">Proposition 1 (The reproduction number is a symmetric eigenvalue).</w:t>
      </w:r>
      <w:r>
        <w:t xml:space="preserve"> </w:t>
      </w:r>
      <w:r>
        <w:t xml:space="preserve">The matrix</w:t>
      </w:r>
      <w:r>
        <w:t xml:space="preserve"> </w:t>
      </w:r>
      <w:r>
        <w:rPr>
          <w:iCs/>
          <w:i/>
        </w:rPr>
        <w:t xml:space="preserve">M</w:t>
      </w:r>
      <w:r>
        <w:t xml:space="preserve"> </w:t>
      </w:r>
      <w:r>
        <w:t xml:space="preserve">of Equation (5) is similar to</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322576" cy="344423"/>
                  <wp:effectExtent b="0" l="0" r="0" t="0"/>
                  <wp:docPr descr="" title="" id="98" name="Picture"/>
                  <a:graphic>
                    <a:graphicData uri="http://schemas.openxmlformats.org/drawingml/2006/picture">
                      <pic:pic>
                        <pic:nvPicPr>
                          <pic:cNvPr descr="/home/user/MAP---A/research/where-people-go-dengue/paper/eq/eq_36ea0e9bc5780085.png" id="99" name="Picture"/>
                          <pic:cNvPicPr>
                            <a:picLocks noChangeArrowheads="1" noChangeAspect="1"/>
                          </pic:cNvPicPr>
                        </pic:nvPicPr>
                        <pic:blipFill>
                          <a:blip r:embed="rId97"/>
                          <a:stretch>
                            <a:fillRect/>
                          </a:stretch>
                        </pic:blipFill>
                        <pic:spPr bwMode="auto">
                          <a:xfrm>
                            <a:off x="0" y="0"/>
                            <a:ext cx="2322576" cy="344423"/>
                          </a:xfrm>
                          <a:prstGeom prst="rect">
                            <a:avLst/>
                          </a:prstGeom>
                          <a:noFill/>
                          <a:ln w="9525">
                            <a:noFill/>
                            <a:headEnd/>
                            <a:tailEnd/>
                          </a:ln>
                        </pic:spPr>
                      </pic:pic>
                    </a:graphicData>
                  </a:graphic>
                </wp:inline>
              </w:drawing>
            </w:r>
          </w:p>
        </w:tc>
        <w:tc>
          <w:tcPr>
            <w:tcW w:w="900" w:type="dxa"/>
            <w:vAlign w:val="center"/>
          </w:tcPr>
          <w:p>
            <w:pPr>
              <w:pStyle w:val="EquationNumber"/>
            </w:pPr>
            <w:r>
              <w:t>(13)</w:t>
            </w:r>
          </w:p>
        </w:tc>
      </w:tr>
    </w:tbl>
    <w:p>
      <w:pPr>
        <w:pStyle w:val="SourceLine"/>
      </w:pPr>
      <w:r>
        <w:t xml:space="preserve">Source: this study (Proposition 1)</w:t>
      </w:r>
    </w:p>
    <w:p>
      <w:pPr>
        <w:pStyle w:val="BodyText"/>
      </w:pPr>
      <w:r>
        <w:t xml:space="preserve">which is symmetric and positive semidefinite. Hence every eigenvalue of</w:t>
      </w:r>
      <w:r>
        <w:t xml:space="preserve"> </w:t>
      </w:r>
      <w:r>
        <w:rPr>
          <w:iCs/>
          <w:i/>
        </w:rPr>
        <w:t xml:space="preserve">M</w:t>
      </w:r>
      <w:r>
        <w:t xml:space="preserve"> </w:t>
      </w:r>
      <w:r>
        <w:t xml:space="preserve">is real and nonnegative, and</w:t>
      </w:r>
      <w:r>
        <w:t xml:space="preserve"> </w:t>
      </w:r>
      <w:r>
        <w:rPr>
          <w:iCs/>
          <w:i/>
        </w:rPr>
        <w:t xml:space="preserve">R</w:t>
      </w:r>
      <w:r>
        <w:rPr>
          <w:vertAlign w:val="subscript"/>
        </w:rPr>
        <w:t xml:space="preserve">0</w:t>
      </w:r>
      <w:r>
        <w:rPr>
          <w:vertAlign w:val="superscript"/>
        </w:rPr>
        <w:t xml:space="preserve">2</w:t>
      </w:r>
      <w:r>
        <w:t xml:space="preserve"> </w:t>
      </w:r>
      <w:r>
        <w:t xml:space="preserve">=</w:t>
      </w:r>
      <w:r>
        <w:t xml:space="preserve"> </w:t>
      </w:r>
      <w:r>
        <w:rPr>
          <w:iCs/>
          <w:i/>
        </w:rPr>
        <w:t xml:space="preserve">λ</w:t>
      </w:r>
      <w:r>
        <w:rPr>
          <w:vertAlign w:val="subscript"/>
        </w:rPr>
        <w:t xml:space="preserve">max</w:t>
      </w:r>
      <w:r>
        <w:t xml:space="preserve">(</w:t>
      </w:r>
      <w:r>
        <w:rPr>
          <w:iCs/>
          <w:i/>
        </w:rPr>
        <w:t xml:space="preserve">S</w:t>
      </w:r>
      <w:r>
        <w:t xml:space="preserve">) = max</w:t>
      </w:r>
      <w:r>
        <w:rPr>
          <w:iCs/>
          <w:i/>
          <w:vertAlign w:val="subscript"/>
        </w:rPr>
        <w:t xml:space="preserve">x</w:t>
      </w:r>
      <w:r>
        <w:rPr>
          <w:vertAlign w:val="subscript"/>
        </w:rPr>
        <w:t xml:space="preserve">≠0</w:t>
      </w:r>
      <w:r>
        <w:rPr>
          <w:iCs/>
          <w:i/>
        </w:rPr>
        <w:t xml:space="preserve">x</w:t>
      </w:r>
      <w:r>
        <w:rPr>
          <w:vertAlign w:val="superscript"/>
        </w:rPr>
        <w:t xml:space="preserve">T</w:t>
      </w:r>
      <w:r>
        <w:rPr>
          <w:iCs/>
          <w:i/>
        </w:rPr>
        <w:t xml:space="preserve">Sx</w:t>
      </w:r>
      <w:r>
        <w:t xml:space="preserve">/</w:t>
      </w:r>
      <w:r>
        <w:rPr>
          <w:iCs/>
          <w:i/>
        </w:rPr>
        <w:t xml:space="preserve">x</w:t>
      </w:r>
      <w:r>
        <w:rPr>
          <w:vertAlign w:val="superscript"/>
        </w:rPr>
        <w:t xml:space="preserve">T</w:t>
      </w:r>
      <w:r>
        <w:rPr>
          <w:iCs/>
          <w:i/>
        </w:rPr>
        <w:t xml:space="preserve">x</w:t>
      </w:r>
      <w:r>
        <w:t xml:space="preserve">.</w:t>
      </w:r>
    </w:p>
    <w:p>
      <w:pPr>
        <w:pStyle w:val="BodyText"/>
      </w:pPr>
      <w:r>
        <w:rPr>
          <w:iCs/>
          <w:i/>
        </w:rPr>
        <w:t xml:space="preserve">Proof.</w:t>
      </w:r>
      <w:r>
        <w:t xml:space="preserve"> </w:t>
      </w:r>
      <w:r>
        <w:t xml:space="preserve">Order the infected states as (</w:t>
      </w:r>
      <w:r>
        <w:rPr>
          <w:iCs/>
          <w:i/>
        </w:rPr>
        <w:t xml:space="preserve">I</w:t>
      </w:r>
      <w:r>
        <w:rPr>
          <w:iCs/>
          <w:i/>
          <w:vertAlign w:val="subscript"/>
        </w:rPr>
        <w:t xml:space="preserve">h</w:t>
      </w:r>
      <w:r>
        <w:t xml:space="preserve">,</w:t>
      </w:r>
      <w:r>
        <w:rPr>
          <w:iCs/>
          <w:i/>
        </w:rPr>
        <w:t xml:space="preserve">E</w:t>
      </w:r>
      <w:r>
        <w:rPr>
          <w:iCs/>
          <w:i/>
          <w:vertAlign w:val="subscript"/>
        </w:rPr>
        <w:t xml:space="preserve">v</w:t>
      </w:r>
      <w:r>
        <w:t xml:space="preserve">,</w:t>
      </w:r>
      <w:r>
        <w:rPr>
          <w:iCs/>
          <w:i/>
        </w:rPr>
        <w:t xml:space="preserve">I</w:t>
      </w:r>
      <w:r>
        <w:rPr>
          <w:iCs/>
          <w:i/>
          <w:vertAlign w:val="subscript"/>
        </w:rPr>
        <w:t xml:space="preserve">v</w:t>
      </w:r>
      <w:r>
        <w:t xml:space="preserve">). At the disease-free state</w:t>
      </w:r>
      <w:r>
        <w:t xml:space="preserve"> </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N</w:t>
      </w:r>
      <w:r>
        <w:rPr>
          <w:iCs/>
          <w:i/>
          <w:vertAlign w:val="subscript"/>
        </w:rPr>
        <w:t xml:space="preserve">i</w:t>
      </w:r>
      <w:r>
        <w:t xml:space="preserve"> </w:t>
      </w:r>
      <w:r>
        <w:t xml:space="preserve">and</w:t>
      </w:r>
      <w:r>
        <w:t xml:space="preserve"> </w:t>
      </w:r>
      <w:r>
        <w:rPr>
          <w:iCs/>
          <w:i/>
        </w:rPr>
        <w:t xml:space="preserve">S</w:t>
      </w:r>
      <w:r>
        <w:rPr>
          <w:iCs/>
          <w:i/>
          <w:vertAlign w:val="subscript"/>
        </w:rPr>
        <w:t xml:space="preserve">v</w:t>
      </w:r>
      <w:r>
        <w:rPr>
          <w:vertAlign w:val="subscript"/>
        </w:rPr>
        <w:t xml:space="preserve">,</w:t>
      </w:r>
      <w:r>
        <w:rPr>
          <w:iCs/>
          <w:i/>
          <w:vertAlign w:val="subscript"/>
        </w:rPr>
        <w:t xml:space="preserve">j</w:t>
      </w:r>
      <w:r>
        <w:t xml:space="preserve"> </w:t>
      </w:r>
      <w:r>
        <w:t xml:space="preserve">=</w:t>
      </w:r>
      <w:r>
        <w:t xml:space="preserve"> </w:t>
      </w:r>
      <w:r>
        <w:rPr>
          <w:iCs/>
          <w:i/>
        </w:rPr>
        <w:t xml:space="preserve">V</w:t>
      </w:r>
      <w:r>
        <w:rPr>
          <w:iCs/>
          <w:i/>
          <w:vertAlign w:val="subscript"/>
        </w:rPr>
        <w:t xml:space="preserve">j</w:t>
      </w:r>
      <w:r>
        <w:t xml:space="preserve">. New infections of people come only from infectious mosquitoes, with rate matrix</w:t>
      </w:r>
      <w:r>
        <w:t xml:space="preserve"> </w:t>
      </w:r>
      <w:r>
        <w:rPr>
          <w:iCs/>
          <w:i/>
        </w:rPr>
        <w:t xml:space="preserve">A</w:t>
      </w:r>
      <w:r>
        <w:rPr>
          <w:iCs/>
          <w:i/>
          <w:vertAlign w:val="subscript"/>
        </w:rPr>
        <w:t xml:space="preserve">ij</w:t>
      </w:r>
      <w:r>
        <w:t xml:space="preserve"> </w:t>
      </w:r>
      <w:r>
        <w:t xml:space="preserve">=</w:t>
      </w:r>
      <w:r>
        <w:t xml:space="preserve"> </w:t>
      </w:r>
      <w:r>
        <w:rPr>
          <w:iCs/>
          <w:i/>
        </w:rPr>
        <w:t xml:space="preserve">abN</w:t>
      </w:r>
      <w:r>
        <w:rPr>
          <w:iCs/>
          <w:i/>
          <w:vertAlign w:val="subscript"/>
        </w:rPr>
        <w:t xml:space="preserve">i</w:t>
      </w:r>
      <w:r>
        <w:rPr>
          <w:iCs/>
          <w:i/>
        </w:rPr>
        <w:t xml:space="preserve">p</w:t>
      </w:r>
      <w:r>
        <w:rPr>
          <w:iCs/>
          <w:i/>
          <w:vertAlign w:val="subscript"/>
        </w:rPr>
        <w:t xml:space="preserve">ij</w:t>
      </w:r>
      <w:r>
        <w:t xml:space="preserve">/</w:t>
      </w:r>
      <w:r>
        <w:rPr>
          <w:iCs/>
          <w:i/>
        </w:rPr>
        <w:t xml:space="preserve">Ñ</w:t>
      </w:r>
      <w:r>
        <w:rPr>
          <w:iCs/>
          <w:i/>
          <w:vertAlign w:val="subscript"/>
        </w:rPr>
        <w:t xml:space="preserve">j</w:t>
      </w:r>
      <w:r>
        <w:t xml:space="preserve">; new infections of mosquitoes come only from infectious people, with rate matrix</w:t>
      </w:r>
      <w:r>
        <w:t xml:space="preserve"> </w:t>
      </w:r>
      <w:r>
        <w:rPr>
          <w:iCs/>
          <w:i/>
        </w:rPr>
        <w:t xml:space="preserve">C</w:t>
      </w:r>
      <w:r>
        <w:rPr>
          <w:iCs/>
          <w:i/>
          <w:vertAlign w:val="subscript"/>
        </w:rPr>
        <w:t xml:space="preserve">jk</w:t>
      </w:r>
      <w:r>
        <w:t xml:space="preserve"> </w:t>
      </w:r>
      <w:r>
        <w:t xml:space="preserve">=</w:t>
      </w:r>
      <w:r>
        <w:t xml:space="preserve"> </w:t>
      </w:r>
      <w:r>
        <w:rPr>
          <w:iCs/>
          <w:i/>
        </w:rPr>
        <w:t xml:space="preserve">acV</w:t>
      </w:r>
      <w:r>
        <w:rPr>
          <w:iCs/>
          <w:i/>
          <w:vertAlign w:val="subscript"/>
        </w:rPr>
        <w:t xml:space="preserve">j</w:t>
      </w:r>
      <w:r>
        <w:rPr>
          <w:iCs/>
          <w:i/>
        </w:rPr>
        <w:t xml:space="preserve">p</w:t>
      </w:r>
      <w:r>
        <w:rPr>
          <w:iCs/>
          <w:i/>
          <w:vertAlign w:val="subscript"/>
        </w:rPr>
        <w:t xml:space="preserve">kj</w:t>
      </w:r>
      <w:r>
        <w:t xml:space="preserve">/</w:t>
      </w:r>
      <w:r>
        <w:rPr>
          <w:iCs/>
          <w:i/>
        </w:rPr>
        <w:t xml:space="preserve">Ñ</w:t>
      </w:r>
      <w:r>
        <w:rPr>
          <w:iCs/>
          <w:i/>
          <w:vertAlign w:val="subscript"/>
        </w:rPr>
        <w:t xml:space="preserve">j</w:t>
      </w:r>
      <w:r>
        <w:t xml:space="preserve">. The transfer matrix is block lower triangular, with blocks (</w:t>
      </w:r>
      <w:r>
        <w:rPr>
          <w:iCs/>
          <w:i/>
        </w:rPr>
        <w:t xml:space="preserve">γ</w:t>
      </w:r>
      <w:r>
        <w:t xml:space="preserve"> </w:t>
      </w:r>
      <w:r>
        <w:t xml:space="preserve">+</w:t>
      </w:r>
      <w:r>
        <w:t xml:space="preserve"> </w:t>
      </w:r>
      <w:r>
        <w:rPr>
          <w:iCs/>
          <w:i/>
        </w:rPr>
        <w:t xml:space="preserve">μ</w:t>
      </w:r>
      <w:r>
        <w:rPr>
          <w:iCs/>
          <w:i/>
          <w:vertAlign w:val="subscript"/>
        </w:rPr>
        <w:t xml:space="preserve">h</w:t>
      </w:r>
      <w:r>
        <w:t xml:space="preserve">)</w:t>
      </w:r>
      <w:r>
        <w:rPr>
          <w:iCs/>
          <w:i/>
        </w:rPr>
        <w:t xml:space="preserve">I</w:t>
      </w:r>
      <w:r>
        <w:t xml:space="preserve"> </w:t>
      </w:r>
      <w:r>
        <w:t xml:space="preserve">for people and, for mosquitoes, diagonal blocks (</w:t>
      </w:r>
      <w:r>
        <w:rPr>
          <w:iCs/>
          <w:i/>
        </w:rPr>
        <w:t xml:space="preserve">ν</w:t>
      </w:r>
      <w:r>
        <w:t xml:space="preserve"> </w:t>
      </w:r>
      <w:r>
        <w:t xml:space="preserve">+</w:t>
      </w:r>
      <w:r>
        <w:t xml:space="preserve"> </w:t>
      </w:r>
      <w:r>
        <w:rPr>
          <w:iCs/>
          <w:i/>
        </w:rPr>
        <w:t xml:space="preserve">μ</w:t>
      </w:r>
      <w:r>
        <w:rPr>
          <w:iCs/>
          <w:i/>
          <w:vertAlign w:val="subscript"/>
        </w:rPr>
        <w:t xml:space="preserve">v</w:t>
      </w:r>
      <w:r>
        <w:t xml:space="preserve">)</w:t>
      </w:r>
      <w:r>
        <w:rPr>
          <w:iCs/>
          <w:i/>
        </w:rPr>
        <w:t xml:space="preserve">I</w:t>
      </w:r>
      <w:r>
        <w:t xml:space="preserve"> </w:t>
      </w:r>
      <w:r>
        <w:t xml:space="preserve">and</w:t>
      </w:r>
      <w:r>
        <w:t xml:space="preserve"> </w:t>
      </w:r>
      <w:r>
        <w:rPr>
          <w:iCs/>
          <w:i/>
        </w:rPr>
        <w:t xml:space="preserve">μ</w:t>
      </w:r>
      <w:r>
        <w:rPr>
          <w:iCs/>
          <w:i/>
          <w:vertAlign w:val="subscript"/>
        </w:rPr>
        <w:t xml:space="preserve">v</w:t>
      </w:r>
      <w:r>
        <w:rPr>
          <w:iCs/>
          <w:i/>
        </w:rPr>
        <w:t xml:space="preserve">I</w:t>
      </w:r>
      <w:r>
        <w:t xml:space="preserve"> </w:t>
      </w:r>
      <w:r>
        <w:t xml:space="preserve">with −</w:t>
      </w:r>
      <w:r>
        <w:rPr>
          <w:iCs/>
          <w:i/>
        </w:rPr>
        <w:t xml:space="preserve">νI</w:t>
      </w:r>
      <w:r>
        <w:t xml:space="preserve"> </w:t>
      </w:r>
      <w:r>
        <w:t xml:space="preserve">below the diagonal. Multiplying the new-infection matrix by the inverse of the transfer matrix leaves two nonzero blocks: people infected per incubating mosquito,</w:t>
      </w:r>
      <w:r>
        <w:t xml:space="preserve"> </w:t>
      </w:r>
      <w:r>
        <w:rPr>
          <w:iCs/>
          <w:i/>
        </w:rPr>
        <w:t xml:space="preserve">Aν</w:t>
      </w:r>
      <w:r>
        <w:t xml:space="preserve">/(</w:t>
      </w:r>
      <w:r>
        <w:rPr>
          <w:iCs/>
          <w:i/>
        </w:rPr>
        <w:t xml:space="preserve">μ</w:t>
      </w:r>
      <w:r>
        <w:rPr>
          <w:iCs/>
          <w:i/>
          <w:vertAlign w:val="subscript"/>
        </w:rPr>
        <w:t xml:space="preserve">v</w:t>
      </w:r>
      <w:r>
        <w:t xml:space="preserve">(</w:t>
      </w:r>
      <w:r>
        <w:rPr>
          <w:iCs/>
          <w:i/>
        </w:rPr>
        <w:t xml:space="preserve">ν</w:t>
      </w:r>
      <w:r>
        <w:t xml:space="preserve"> </w:t>
      </w:r>
      <w:r>
        <w:t xml:space="preserve">+</w:t>
      </w:r>
      <w:r>
        <w:t xml:space="preserve"> </w:t>
      </w:r>
      <w:r>
        <w:rPr>
          <w:iCs/>
          <w:i/>
        </w:rPr>
        <w:t xml:space="preserve">μ</w:t>
      </w:r>
      <w:r>
        <w:rPr>
          <w:iCs/>
          <w:i/>
          <w:vertAlign w:val="subscript"/>
        </w:rPr>
        <w:t xml:space="preserve">v</w:t>
      </w:r>
      <w:r>
        <w:t xml:space="preserve">)), and incubating mosquitoes per infectious person,</w:t>
      </w:r>
      <w:r>
        <w:t xml:space="preserve"> </w:t>
      </w:r>
      <w:r>
        <w:rPr>
          <w:iCs/>
          <w:i/>
        </w:rPr>
        <w:t xml:space="preserve">C</w:t>
      </w:r>
      <w:r>
        <w:t xml:space="preserve">/(</w:t>
      </w:r>
      <w:r>
        <w:rPr>
          <w:iCs/>
          <w:i/>
        </w:rPr>
        <w:t xml:space="preserve">γ</w:t>
      </w:r>
      <w:r>
        <w:t xml:space="preserve"> </w:t>
      </w:r>
      <w:r>
        <w:t xml:space="preserve">+</w:t>
      </w:r>
      <w:r>
        <w:t xml:space="preserve"> </w:t>
      </w:r>
      <w:r>
        <w:rPr>
          <w:iCs/>
          <w:i/>
        </w:rPr>
        <w:t xml:space="preserve">μ</w:t>
      </w:r>
      <w:r>
        <w:rPr>
          <w:iCs/>
          <w:i/>
          <w:vertAlign w:val="subscript"/>
        </w:rPr>
        <w:t xml:space="preserve">h</w:t>
      </w:r>
      <w:r>
        <w:t xml:space="preserve">); the rows of</w:t>
      </w:r>
      <w:r>
        <w:t xml:space="preserve"> </w:t>
      </w:r>
      <w:r>
        <w:rPr>
          <w:iCs/>
          <w:i/>
        </w:rPr>
        <w:t xml:space="preserve">I</w:t>
      </w:r>
      <w:r>
        <w:rPr>
          <w:iCs/>
          <w:i/>
          <w:vertAlign w:val="subscript"/>
        </w:rPr>
        <w:t xml:space="preserve">v</w:t>
      </w:r>
      <w:r>
        <w:t xml:space="preserve"> </w:t>
      </w:r>
      <w:r>
        <w:t xml:space="preserve">are zero. A block matrix with zero diagonal blocks and off-diagonal blocks</w:t>
      </w:r>
      <w:r>
        <w:t xml:space="preserve"> </w:t>
      </w:r>
      <w:r>
        <w:rPr>
          <w:iCs/>
          <w:i/>
        </w:rPr>
        <w:t xml:space="preserve">X</w:t>
      </w:r>
      <w:r>
        <w:t xml:space="preserve"> </w:t>
      </w:r>
      <w:r>
        <w:t xml:space="preserve">and</w:t>
      </w:r>
      <w:r>
        <w:t xml:space="preserve"> </w:t>
      </w:r>
      <w:r>
        <w:rPr>
          <w:iCs/>
          <w:i/>
        </w:rPr>
        <w:t xml:space="preserve">Y</w:t>
      </w:r>
      <w:r>
        <w:t xml:space="preserve"> </w:t>
      </w:r>
      <w:r>
        <w:t xml:space="preserve">has spectral radius √(</w:t>
      </w:r>
      <w:r>
        <w:rPr>
          <w:iCs/>
          <w:i/>
        </w:rPr>
        <w:t xml:space="preserve">ρ</w:t>
      </w:r>
      <w:r>
        <w:t xml:space="preserve">(</w:t>
      </w:r>
      <w:r>
        <w:rPr>
          <w:iCs/>
          <w:i/>
        </w:rPr>
        <w:t xml:space="preserve">XY</w:t>
      </w:r>
      <w:r>
        <w:t xml:space="preserve">)), and</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4629607" cy="393166"/>
                  <wp:effectExtent b="0" l="0" r="0" t="0"/>
                  <wp:docPr descr="" title="" id="101" name="Picture"/>
                  <a:graphic>
                    <a:graphicData uri="http://schemas.openxmlformats.org/drawingml/2006/picture">
                      <pic:pic>
                        <pic:nvPicPr>
                          <pic:cNvPr descr="/home/user/MAP---A/research/where-people-go-dengue/paper/eq/eq_69d093e250dde31c.png" id="102" name="Picture"/>
                          <pic:cNvPicPr>
                            <a:picLocks noChangeArrowheads="1" noChangeAspect="1"/>
                          </pic:cNvPicPr>
                        </pic:nvPicPr>
                        <pic:blipFill>
                          <a:blip r:embed="rId100"/>
                          <a:stretch>
                            <a:fillRect/>
                          </a:stretch>
                        </pic:blipFill>
                        <pic:spPr bwMode="auto">
                          <a:xfrm>
                            <a:off x="0" y="0"/>
                            <a:ext cx="4629607" cy="393166"/>
                          </a:xfrm>
                          <a:prstGeom prst="rect">
                            <a:avLst/>
                          </a:prstGeom>
                          <a:noFill/>
                          <a:ln w="9525">
                            <a:noFill/>
                            <a:headEnd/>
                            <a:tailEnd/>
                          </a:ln>
                        </pic:spPr>
                      </pic:pic>
                    </a:graphicData>
                  </a:graphic>
                </wp:inline>
              </w:drawing>
            </w:r>
          </w:p>
        </w:tc>
        <w:tc>
          <w:tcPr>
            <w:tcW w:w="900" w:type="dxa"/>
            <w:vAlign w:val="center"/>
          </w:tcPr>
          <w:p>
            <w:pPr>
              <w:pStyle w:val="EquationNumber"/>
            </w:pPr>
            <w:r>
              <w:t>(14)</w:t>
            </w:r>
          </w:p>
        </w:tc>
      </w:tr>
    </w:tbl>
    <w:p>
      <w:pPr>
        <w:pStyle w:val="SourceLine"/>
      </w:pPr>
      <w:r>
        <w:t xml:space="preserve">Source: this study (proof of Proposition 1)</w:t>
      </w:r>
    </w:p>
    <w:p>
      <w:pPr>
        <w:pStyle w:val="BodyText"/>
      </w:pPr>
      <w:r>
        <w:t xml:space="preserve">so</w:t>
      </w:r>
      <w:r>
        <w:t xml:space="preserve"> </w:t>
      </w:r>
      <w:r>
        <w:rPr>
          <w:iCs/>
          <w:i/>
        </w:rPr>
        <w:t xml:space="preserve">R</w:t>
      </w:r>
      <w:r>
        <w:rPr>
          <w:vertAlign w:val="subscript"/>
        </w:rPr>
        <w:t xml:space="preserve">0</w:t>
      </w:r>
      <w:r>
        <w:t xml:space="preserve"> </w:t>
      </w:r>
      <w:r>
        <w:t xml:space="preserve">= √(</w:t>
      </w:r>
      <w:r>
        <w:rPr>
          <w:iCs/>
          <w:i/>
        </w:rPr>
        <w:t xml:space="preserve">ρ</w:t>
      </w:r>
      <w:r>
        <w:t xml:space="preserve">(</w:t>
      </w:r>
      <w:r>
        <w:rPr>
          <w:iCs/>
          <w:i/>
        </w:rPr>
        <w:t xml:space="preserve">M</w:t>
      </w:r>
      <w:r>
        <w:t xml:space="preserve">)). Finally</w:t>
      </w:r>
      <w:r>
        <w:t xml:space="preserve"> </w:t>
      </w:r>
      <w:r>
        <w:rPr>
          <w:iCs/>
          <w:i/>
        </w:rPr>
        <w:t xml:space="preserve">D</w:t>
      </w:r>
      <w:r>
        <w:rPr>
          <w:iCs/>
          <w:i/>
          <w:vertAlign w:val="subscript"/>
        </w:rPr>
        <w:t xml:space="preserve">N</w:t>
      </w:r>
      <w:r>
        <w:rPr>
          <w:vertAlign w:val="superscript"/>
        </w:rPr>
        <w:t xml:space="preserve">−1/2</w:t>
      </w:r>
      <w:r>
        <w:rPr>
          <w:iCs/>
          <w:i/>
        </w:rPr>
        <w:t xml:space="preserve">MD</w:t>
      </w:r>
      <w:r>
        <w:rPr>
          <w:iCs/>
          <w:i/>
          <w:vertAlign w:val="subscript"/>
        </w:rPr>
        <w:t xml:space="preserve">N</w:t>
      </w:r>
      <w:r>
        <w:rPr>
          <w:vertAlign w:val="superscript"/>
        </w:rPr>
        <w:t xml:space="preserve">1/2</w:t>
      </w:r>
      <w:r>
        <w:t xml:space="preserve"> </w:t>
      </w:r>
      <w:r>
        <w:t xml:space="preserve">=</w:t>
      </w:r>
      <w:r>
        <w:t xml:space="preserve"> </w:t>
      </w:r>
      <w:r>
        <w:rPr>
          <w:iCs/>
          <w:i/>
        </w:rPr>
        <w:t xml:space="preserve">S</w:t>
      </w:r>
      <w:r>
        <w:t xml:space="preserve">, and</w:t>
      </w:r>
      <w:r>
        <w:t xml:space="preserve"> </w:t>
      </w:r>
      <w:r>
        <w:rPr>
          <w:iCs/>
          <w:i/>
        </w:rPr>
        <w:t xml:space="preserve">S</w:t>
      </w:r>
      <w:r>
        <w:t xml:space="preserve"> </w:t>
      </w:r>
      <w:r>
        <w:t xml:space="preserve">=</w:t>
      </w:r>
      <w:r>
        <w:t xml:space="preserve"> </w:t>
      </w:r>
      <w:r>
        <w:rPr>
          <w:iCs/>
          <w:i/>
        </w:rPr>
        <w:t xml:space="preserve">QWQ</w:t>
      </w:r>
      <w:r>
        <w:rPr>
          <w:vertAlign w:val="superscript"/>
        </w:rPr>
        <w:t xml:space="preserve">T</w:t>
      </w:r>
      <w:r>
        <w:t xml:space="preserve"> </w:t>
      </w:r>
      <w:r>
        <w:t xml:space="preserve">with</w:t>
      </w:r>
      <w:r>
        <w:t xml:space="preserve"> </w:t>
      </w:r>
      <w:r>
        <w:rPr>
          <w:iCs/>
          <w:i/>
        </w:rPr>
        <w:t xml:space="preserve">Q</w:t>
      </w:r>
      <w:r>
        <w:t xml:space="preserve"> </w:t>
      </w:r>
      <w:r>
        <w:t xml:space="preserve">=</w:t>
      </w:r>
      <w:r>
        <w:t xml:space="preserve"> </w:t>
      </w:r>
      <w:r>
        <w:rPr>
          <w:iCs/>
          <w:i/>
        </w:rPr>
        <w:t xml:space="preserve">D</w:t>
      </w:r>
      <w:r>
        <w:rPr>
          <w:iCs/>
          <w:i/>
          <w:vertAlign w:val="subscript"/>
        </w:rPr>
        <w:t xml:space="preserve">N</w:t>
      </w:r>
      <w:r>
        <w:rPr>
          <w:vertAlign w:val="superscript"/>
        </w:rPr>
        <w:t xml:space="preserve">1/2</w:t>
      </w:r>
      <w:r>
        <w:rPr>
          <w:iCs/>
          <w:i/>
        </w:rPr>
        <w:t xml:space="preserve">P</w:t>
      </w:r>
      <w:r>
        <w:t xml:space="preserve"> </w:t>
      </w:r>
      <w:r>
        <w:t xml:space="preserve">and</w:t>
      </w:r>
      <w:r>
        <w:t xml:space="preserve"> </w:t>
      </w:r>
      <w:r>
        <w:rPr>
          <w:iCs/>
          <w:i/>
        </w:rPr>
        <w:t xml:space="preserve">W</w:t>
      </w:r>
      <w:r>
        <w:t xml:space="preserve"> </w:t>
      </w:r>
      <w:r>
        <w:t xml:space="preserve">diagonal and nonnegative, so</w:t>
      </w:r>
      <w:r>
        <w:t xml:space="preserve"> </w:t>
      </w:r>
      <w:r>
        <w:rPr>
          <w:iCs/>
          <w:i/>
        </w:rPr>
        <w:t xml:space="preserve">x</w:t>
      </w:r>
      <w:r>
        <w:rPr>
          <w:vertAlign w:val="superscript"/>
        </w:rPr>
        <w:t xml:space="preserve">T</w:t>
      </w:r>
      <w:r>
        <w:rPr>
          <w:iCs/>
          <w:i/>
        </w:rPr>
        <w:t xml:space="preserve">Sx</w:t>
      </w:r>
      <w:r>
        <w:t xml:space="preserve"> </w:t>
      </w:r>
      <w:r>
        <w:t xml:space="preserve">= ∑</w:t>
      </w:r>
      <w:r>
        <w:rPr>
          <w:iCs/>
          <w:i/>
          <w:vertAlign w:val="subscript"/>
        </w:rPr>
        <w:t xml:space="preserve">j</w:t>
      </w:r>
      <w:r>
        <w:rPr>
          <w:iCs/>
          <w:i/>
        </w:rPr>
        <w:t xml:space="preserve">w</w:t>
      </w:r>
      <w:r>
        <w:rPr>
          <w:iCs/>
          <w:i/>
          <w:vertAlign w:val="subscript"/>
        </w:rPr>
        <w:t xml:space="preserve">j</w:t>
      </w:r>
      <w:r>
        <w:t xml:space="preserve">(</w:t>
      </w:r>
      <w:r>
        <w:rPr>
          <w:iCs/>
          <w:i/>
        </w:rPr>
        <w:t xml:space="preserve">q</w:t>
      </w:r>
      <w:r>
        <w:rPr>
          <w:iCs/>
          <w:i/>
          <w:vertAlign w:val="subscript"/>
        </w:rPr>
        <w:t xml:space="preserve">j</w:t>
      </w:r>
      <w:r>
        <w:rPr>
          <w:vertAlign w:val="superscript"/>
        </w:rPr>
        <w:t xml:space="preserve">T</w:t>
      </w:r>
      <w:r>
        <w:rPr>
          <w:iCs/>
          <w:i/>
        </w:rPr>
        <w:t xml:space="preserve">x</w:t>
      </w:r>
      <w:r>
        <w:t xml:space="preserve">)</w:t>
      </w:r>
      <w:r>
        <w:rPr>
          <w:vertAlign w:val="superscript"/>
        </w:rPr>
        <w:t xml:space="preserve">2</w:t>
      </w:r>
      <w:r>
        <w:t xml:space="preserve"> </w:t>
      </w:r>
      <w:r>
        <w:t xml:space="preserve">≥ 0. Similar matrices share eigenvalues, and the largest eigenvalue of a symmetric matrix is the maximum of its Rayleigh quotient (Horn &amp; Johnson, 2013). □</w:t>
      </w:r>
    </w:p>
    <w:p>
      <w:pPr>
        <w:pStyle w:val="BodyText"/>
      </w:pPr>
      <w:r>
        <w:rPr>
          <w:bCs/>
          <w:b/>
        </w:rPr>
        <w:t xml:space="preserve">Proposition 2 (Threshold; van den Driessche &amp; Watmough, 2002).</w:t>
      </w:r>
      <w:r>
        <w:t xml:space="preserve"> </w:t>
      </w:r>
      <w:r>
        <w:t xml:space="preserve">The disease-free state of Equation (4) is locally asymptotically stable when</w:t>
      </w:r>
      <w:r>
        <w:t xml:space="preserve"> </w:t>
      </w:r>
      <w:r>
        <w:rPr>
          <w:iCs/>
          <w:i/>
        </w:rPr>
        <w:t xml:space="preserve">R</w:t>
      </w:r>
      <w:r>
        <w:rPr>
          <w:vertAlign w:val="subscript"/>
        </w:rPr>
        <w:t xml:space="preserve">0</w:t>
      </w:r>
      <w:r>
        <w:t xml:space="preserve"> </w:t>
      </w:r>
      <w:r>
        <w:t xml:space="preserve">&lt; 1 and unstable when</w:t>
      </w:r>
      <w:r>
        <w:t xml:space="preserve"> </w:t>
      </w:r>
      <w:r>
        <w:rPr>
          <w:iCs/>
          <w:i/>
        </w:rPr>
        <w:t xml:space="preserve">R</w:t>
      </w:r>
      <w:r>
        <w:rPr>
          <w:vertAlign w:val="subscript"/>
        </w:rPr>
        <w:t xml:space="preserve">0</w:t>
      </w:r>
      <w:r>
        <w:t xml:space="preserve"> </w:t>
      </w:r>
      <w:r>
        <w:t xml:space="preserve">&gt; 1.</w:t>
      </w:r>
    </w:p>
    <w:p>
      <w:pPr>
        <w:pStyle w:val="BodyText"/>
      </w:pPr>
      <w:r>
        <w:rPr>
          <w:iCs/>
          <w:i/>
        </w:rPr>
        <w:t xml:space="preserve">Proof.</w:t>
      </w:r>
      <w:r>
        <w:t xml:space="preserve"> </w:t>
      </w:r>
      <w:r>
        <w:t xml:space="preserve">The model meets the five conditions of van den Driessche and Watmough (2002): every compartment is nonnegative; new infections are nonnegative and vanish without infected individuals; transfers out of a compartment are nonnegative; transfers vanish at zero; and, without infection, people return to</w:t>
      </w:r>
      <w:r>
        <w:t xml:space="preserve"> </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N</w:t>
      </w:r>
      <w:r>
        <w:rPr>
          <w:iCs/>
          <w:i/>
          <w:vertAlign w:val="subscript"/>
        </w:rPr>
        <w:t xml:space="preserve">i</w:t>
      </w:r>
      <w:r>
        <w:t xml:space="preserve"> </w:t>
      </w:r>
      <w:r>
        <w:t xml:space="preserve">and mosquitoes to</w:t>
      </w:r>
      <w:r>
        <w:t xml:space="preserve"> </w:t>
      </w:r>
      <w:r>
        <w:rPr>
          <w:iCs/>
          <w:i/>
        </w:rPr>
        <w:t xml:space="preserve">S</w:t>
      </w:r>
      <w:r>
        <w:rPr>
          <w:iCs/>
          <w:i/>
          <w:vertAlign w:val="subscript"/>
        </w:rPr>
        <w:t xml:space="preserve">v</w:t>
      </w:r>
      <w:r>
        <w:rPr>
          <w:vertAlign w:val="subscript"/>
        </w:rPr>
        <w:t xml:space="preserve">,</w:t>
      </w:r>
      <w:r>
        <w:rPr>
          <w:iCs/>
          <w:i/>
          <w:vertAlign w:val="subscript"/>
        </w:rPr>
        <w:t xml:space="preserve">j</w:t>
      </w:r>
      <w:r>
        <w:t xml:space="preserve"> </w:t>
      </w:r>
      <w:r>
        <w:t xml:space="preserve">=</w:t>
      </w:r>
      <w:r>
        <w:t xml:space="preserve"> </w:t>
      </w:r>
      <w:r>
        <w:rPr>
          <w:iCs/>
          <w:i/>
        </w:rPr>
        <w:t xml:space="preserve">V</w:t>
      </w:r>
      <w:r>
        <w:rPr>
          <w:iCs/>
          <w:i/>
          <w:vertAlign w:val="subscript"/>
        </w:rPr>
        <w:t xml:space="preserve">j</w:t>
      </w:r>
      <w:r>
        <w:t xml:space="preserve"> </w:t>
      </w:r>
      <w:r>
        <w:t xml:space="preserve">at the rates</w:t>
      </w:r>
      <w:r>
        <w:t xml:space="preserve"> </w:t>
      </w:r>
      <w:r>
        <w:rPr>
          <w:iCs/>
          <w:i/>
        </w:rPr>
        <w:t xml:space="preserve">μ</w:t>
      </w:r>
      <w:r>
        <w:rPr>
          <w:iCs/>
          <w:i/>
          <w:vertAlign w:val="subscript"/>
        </w:rPr>
        <w:t xml:space="preserve">h</w:t>
      </w:r>
      <w:r>
        <w:t xml:space="preserve"> </w:t>
      </w:r>
      <w:r>
        <w:t xml:space="preserve">and</w:t>
      </w:r>
      <w:r>
        <w:t xml:space="preserve"> </w:t>
      </w:r>
      <w:r>
        <w:rPr>
          <w:iCs/>
          <w:i/>
        </w:rPr>
        <w:t xml:space="preserve">μ</w:t>
      </w:r>
      <w:r>
        <w:rPr>
          <w:iCs/>
          <w:i/>
          <w:vertAlign w:val="subscript"/>
        </w:rPr>
        <w:t xml:space="preserve">v</w:t>
      </w:r>
      <w:r>
        <w:t xml:space="preserve">. Their Theorem 2 then gives the result. □</w:t>
      </w:r>
    </w:p>
    <w:p>
      <w:pPr>
        <w:pStyle w:val="BodyText"/>
      </w:pPr>
      <w:r>
        <w:rPr>
          <w:bCs/>
          <w:b/>
        </w:rPr>
        <w:t xml:space="preserve">Proposition 3 (The model stays meaningful).</w:t>
      </w:r>
      <w:r>
        <w:t xml:space="preserve"> </w:t>
      </w:r>
      <w:r>
        <w:t xml:space="preserve">Starting from nonnegative values with</w:t>
      </w:r>
      <w:r>
        <w:t xml:space="preserve"> </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I</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R</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N</w:t>
      </w:r>
      <w:r>
        <w:rPr>
          <w:iCs/>
          <w:i/>
          <w:vertAlign w:val="subscript"/>
        </w:rPr>
        <w:t xml:space="preserve">i</w:t>
      </w:r>
      <w:r>
        <w:t xml:space="preserve">, every state stays nonnegative, each barangay keeps</w:t>
      </w:r>
      <w:r>
        <w:t xml:space="preserve"> </w:t>
      </w:r>
      <w:r>
        <w:rPr>
          <w:iCs/>
          <w:i/>
        </w:rPr>
        <w:t xml:space="preserve">N</w:t>
      </w:r>
      <w:r>
        <w:rPr>
          <w:iCs/>
          <w:i/>
          <w:vertAlign w:val="subscript"/>
        </w:rPr>
        <w:t xml:space="preserve">i</w:t>
      </w:r>
      <w:r>
        <w:t xml:space="preserve"> </w:t>
      </w:r>
      <w:r>
        <w:t xml:space="preserve">residents, and the mosquitoes of each place approach</w:t>
      </w:r>
      <w:r>
        <w:t xml:space="preserve"> </w:t>
      </w:r>
      <w:r>
        <w:rPr>
          <w:iCs/>
          <w:i/>
        </w:rPr>
        <w:t xml:space="preserve">V</w:t>
      </w:r>
      <w:r>
        <w:rPr>
          <w:iCs/>
          <w:i/>
          <w:vertAlign w:val="subscript"/>
        </w:rPr>
        <w:t xml:space="preserve">j</w:t>
      </w:r>
      <w:r>
        <w:t xml:space="preserve">.</w:t>
      </w:r>
    </w:p>
    <w:p>
      <w:pPr>
        <w:pStyle w:val="BodyText"/>
      </w:pPr>
      <w:r>
        <w:rPr>
          <w:iCs/>
          <w:i/>
        </w:rPr>
        <w:t xml:space="preserve">Proof.</w:t>
      </w:r>
      <w:r>
        <w:t xml:space="preserve"> </w:t>
      </w:r>
      <w:r>
        <w:t xml:space="preserve">Whenever a state is zero, its derivative in Equation (4) is nonnegative, so no trajectory can leave the nonnegative orthant. Adding the three human equations gives</w:t>
      </w:r>
      <w:r>
        <w:t xml:space="preserve"> </w:t>
      </w:r>
      <w:r>
        <w:rPr>
          <w:iCs/>
          <w:i/>
        </w:rPr>
        <w:t xml:space="preserve">d</w:t>
      </w:r>
      <w:r>
        <w:t xml:space="preserve">/</w:t>
      </w:r>
      <w:r>
        <w:rPr>
          <w:iCs/>
          <w:i/>
        </w:rPr>
        <w:t xml:space="preserve">dt</w:t>
      </w:r>
      <w:r>
        <w:t xml:space="preserve">(</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I</w:t>
      </w:r>
      <w:r>
        <w:rPr>
          <w:iCs/>
          <w:i/>
          <w:vertAlign w:val="subscript"/>
        </w:rPr>
        <w:t xml:space="preserve">h</w:t>
      </w:r>
      <w:r>
        <w:rPr>
          <w:vertAlign w:val="subscript"/>
        </w:rPr>
        <w:t xml:space="preserve">,</w:t>
      </w:r>
      <w:r>
        <w:rPr>
          <w:iCs/>
          <w:i/>
          <w:vertAlign w:val="subscript"/>
        </w:rPr>
        <w:t xml:space="preserve">i</w:t>
      </w:r>
      <w:r>
        <w:t xml:space="preserve"> </w:t>
      </w:r>
      <w:r>
        <w:t xml:space="preserve">+</w:t>
      </w:r>
      <w:r>
        <w:t xml:space="preserve"> </w:t>
      </w:r>
      <w:r>
        <w:rPr>
          <w:iCs/>
          <w:i/>
        </w:rPr>
        <w:t xml:space="preserve">R</w:t>
      </w:r>
      <w:r>
        <w:rPr>
          <w:iCs/>
          <w:i/>
          <w:vertAlign w:val="subscript"/>
        </w:rPr>
        <w:t xml:space="preserve">h</w:t>
      </w:r>
      <w:r>
        <w:rPr>
          <w:vertAlign w:val="subscript"/>
        </w:rPr>
        <w:t xml:space="preserve">,</w:t>
      </w:r>
      <w:r>
        <w:rPr>
          <w:iCs/>
          <w:i/>
          <w:vertAlign w:val="subscript"/>
        </w:rPr>
        <w:t xml:space="preserve">i</w:t>
      </w:r>
      <w:r>
        <w:t xml:space="preserve">) =</w:t>
      </w:r>
      <w:r>
        <w:t xml:space="preserve"> </w:t>
      </w:r>
      <w:r>
        <w:rPr>
          <w:iCs/>
          <w:i/>
        </w:rPr>
        <w:t xml:space="preserve">μ</w:t>
      </w:r>
      <w:r>
        <w:rPr>
          <w:iCs/>
          <w:i/>
          <w:vertAlign w:val="subscript"/>
        </w:rPr>
        <w:t xml:space="preserve">h</w:t>
      </w:r>
      <w:r>
        <w:t xml:space="preserve">(</w:t>
      </w:r>
      <w:r>
        <w:rPr>
          <w:iCs/>
          <w:i/>
        </w:rPr>
        <w:t xml:space="preserve">N</w:t>
      </w:r>
      <w:r>
        <w:rPr>
          <w:iCs/>
          <w:i/>
          <w:vertAlign w:val="subscript"/>
        </w:rPr>
        <w:t xml:space="preserve">i</w:t>
      </w:r>
      <w:r>
        <w:t xml:space="preserve">−</w:t>
      </w:r>
      <w:r>
        <w:rPr>
          <w:iCs/>
          <w:i/>
        </w:rPr>
        <w:t xml:space="preserve">S</w:t>
      </w:r>
      <w:r>
        <w:rPr>
          <w:iCs/>
          <w:i/>
          <w:vertAlign w:val="subscript"/>
        </w:rPr>
        <w:t xml:space="preserve">h</w:t>
      </w:r>
      <w:r>
        <w:rPr>
          <w:vertAlign w:val="subscript"/>
        </w:rPr>
        <w:t xml:space="preserve">,</w:t>
      </w:r>
      <w:r>
        <w:rPr>
          <w:iCs/>
          <w:i/>
          <w:vertAlign w:val="subscript"/>
        </w:rPr>
        <w:t xml:space="preserve">i</w:t>
      </w:r>
      <w:r>
        <w:t xml:space="preserve">−</w:t>
      </w:r>
      <w:r>
        <w:rPr>
          <w:iCs/>
          <w:i/>
        </w:rPr>
        <w:t xml:space="preserve">I</w:t>
      </w:r>
      <w:r>
        <w:rPr>
          <w:iCs/>
          <w:i/>
          <w:vertAlign w:val="subscript"/>
        </w:rPr>
        <w:t xml:space="preserve">h</w:t>
      </w:r>
      <w:r>
        <w:rPr>
          <w:vertAlign w:val="subscript"/>
        </w:rPr>
        <w:t xml:space="preserve">,</w:t>
      </w:r>
      <w:r>
        <w:rPr>
          <w:iCs/>
          <w:i/>
          <w:vertAlign w:val="subscript"/>
        </w:rPr>
        <w:t xml:space="preserve">i</w:t>
      </w:r>
      <w:r>
        <w:t xml:space="preserve">−</w:t>
      </w:r>
      <w:r>
        <w:rPr>
          <w:iCs/>
          <w:i/>
        </w:rPr>
        <w:t xml:space="preserve">R</w:t>
      </w:r>
      <w:r>
        <w:rPr>
          <w:iCs/>
          <w:i/>
          <w:vertAlign w:val="subscript"/>
        </w:rPr>
        <w:t xml:space="preserve">h</w:t>
      </w:r>
      <w:r>
        <w:rPr>
          <w:vertAlign w:val="subscript"/>
        </w:rPr>
        <w:t xml:space="preserve">,</w:t>
      </w:r>
      <w:r>
        <w:rPr>
          <w:iCs/>
          <w:i/>
          <w:vertAlign w:val="subscript"/>
        </w:rPr>
        <w:t xml:space="preserve">i</w:t>
      </w:r>
      <w:r>
        <w:t xml:space="preserve">), which is zero on</w:t>
      </w:r>
      <w:r>
        <w:t xml:space="preserve"> </w:t>
      </w:r>
      <w:r>
        <w:rPr>
          <w:iCs/>
          <w:i/>
        </w:rPr>
        <w:t xml:space="preserve">N</w:t>
      </w:r>
      <w:r>
        <w:rPr>
          <w:iCs/>
          <w:i/>
          <w:vertAlign w:val="subscript"/>
        </w:rPr>
        <w:t xml:space="preserve">i</w:t>
      </w:r>
      <w:r>
        <w:t xml:space="preserve">. Adding the three mosquito equations gives</w:t>
      </w:r>
      <w:r>
        <w:t xml:space="preserve"> </w:t>
      </w:r>
      <w:r>
        <w:rPr>
          <w:iCs/>
          <w:i/>
        </w:rPr>
        <w:t xml:space="preserve">V̇</w:t>
      </w:r>
      <w:r>
        <w:t xml:space="preserve"> </w:t>
      </w:r>
      <w:r>
        <w:t xml:space="preserve">=</w:t>
      </w:r>
      <w:r>
        <w:t xml:space="preserve"> </w:t>
      </w:r>
      <w:r>
        <w:rPr>
          <w:iCs/>
          <w:i/>
        </w:rPr>
        <w:t xml:space="preserve">μ</w:t>
      </w:r>
      <w:r>
        <w:rPr>
          <w:iCs/>
          <w:i/>
          <w:vertAlign w:val="subscript"/>
        </w:rPr>
        <w:t xml:space="preserve">v</w:t>
      </w:r>
      <w:r>
        <w:t xml:space="preserve">(</w:t>
      </w:r>
      <w:r>
        <w:rPr>
          <w:iCs/>
          <w:i/>
        </w:rPr>
        <w:t xml:space="preserve">V</w:t>
      </w:r>
      <w:r>
        <w:rPr>
          <w:iCs/>
          <w:i/>
          <w:vertAlign w:val="subscript"/>
        </w:rPr>
        <w:t xml:space="preserve">j</w:t>
      </w:r>
      <w:r>
        <w:t xml:space="preserve">−</w:t>
      </w:r>
      <w:r>
        <w:rPr>
          <w:iCs/>
          <w:i/>
        </w:rPr>
        <w:t xml:space="preserve">V</w:t>
      </w:r>
      <w:r>
        <w:t xml:space="preserve">), whose solution tends to</w:t>
      </w:r>
      <w:r>
        <w:t xml:space="preserve"> </w:t>
      </w:r>
      <w:r>
        <w:rPr>
          <w:iCs/>
          <w:i/>
        </w:rPr>
        <w:t xml:space="preserve">V</w:t>
      </w:r>
      <w:r>
        <w:rPr>
          <w:iCs/>
          <w:i/>
          <w:vertAlign w:val="subscript"/>
        </w:rPr>
        <w:t xml:space="preserve">j</w:t>
      </w:r>
      <w:r>
        <w:t xml:space="preserve">. □</w:t>
      </w:r>
    </w:p>
    <w:p>
      <w:pPr>
        <w:pStyle w:val="BodyText"/>
      </w:pPr>
      <w:r>
        <w:rPr>
          <w:bCs/>
          <w:b/>
        </w:rPr>
        <w:t xml:space="preserve">Proposition 4 (Local exposure numbers bound the reproduction number).</w:t>
      </w:r>
      <w:r>
        <w:t xml:space="preserve"> </w:t>
      </w:r>
      <w:r>
        <w:t xml:space="preserve">For every residence-time network,</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566367" cy="237697"/>
                  <wp:effectExtent b="0" l="0" r="0" t="0"/>
                  <wp:docPr descr="" title="" id="104" name="Picture"/>
                  <a:graphic>
                    <a:graphicData uri="http://schemas.openxmlformats.org/drawingml/2006/picture">
                      <pic:pic>
                        <pic:nvPicPr>
                          <pic:cNvPr descr="/home/user/MAP---A/research/where-people-go-dengue/paper/eq/eq_674f2458640226cf.png" id="105" name="Picture"/>
                          <pic:cNvPicPr>
                            <a:picLocks noChangeArrowheads="1" noChangeAspect="1"/>
                          </pic:cNvPicPr>
                        </pic:nvPicPr>
                        <pic:blipFill>
                          <a:blip r:embed="rId103"/>
                          <a:stretch>
                            <a:fillRect/>
                          </a:stretch>
                        </pic:blipFill>
                        <pic:spPr bwMode="auto">
                          <a:xfrm>
                            <a:off x="0" y="0"/>
                            <a:ext cx="1566367" cy="237697"/>
                          </a:xfrm>
                          <a:prstGeom prst="rect">
                            <a:avLst/>
                          </a:prstGeom>
                          <a:noFill/>
                          <a:ln w="9525">
                            <a:noFill/>
                            <a:headEnd/>
                            <a:tailEnd/>
                          </a:ln>
                        </pic:spPr>
                      </pic:pic>
                    </a:graphicData>
                  </a:graphic>
                </wp:inline>
              </w:drawing>
            </w:r>
          </w:p>
        </w:tc>
        <w:tc>
          <w:tcPr>
            <w:tcW w:w="900" w:type="dxa"/>
            <w:vAlign w:val="center"/>
          </w:tcPr>
          <w:p>
            <w:pPr>
              <w:pStyle w:val="EquationNumber"/>
            </w:pPr>
            <w:r>
              <w:t>(15)</w:t>
            </w:r>
          </w:p>
        </w:tc>
      </w:tr>
    </w:tbl>
    <w:p>
      <w:pPr>
        <w:pStyle w:val="SourceLine"/>
      </w:pPr>
      <w:r>
        <w:t xml:space="preserve">Source: this study, by the Collatz-Wielandt theorem (Horn &amp; Johnson, 2013)</w:t>
      </w:r>
    </w:p>
    <w:p>
      <w:pPr>
        <w:pStyle w:val="BodyText"/>
      </w:pPr>
      <w:r>
        <w:rPr>
          <w:iCs/>
          <w:i/>
        </w:rPr>
        <w:t xml:space="preserve">Proof.</w:t>
      </w:r>
      <w:r>
        <w:t xml:space="preserve"> </w:t>
      </w:r>
      <w:r>
        <w:t xml:space="preserve">Multiply</w:t>
      </w:r>
      <w:r>
        <w:t xml:space="preserve"> </w:t>
      </w:r>
      <w:r>
        <w:rPr>
          <w:iCs/>
          <w:i/>
        </w:rPr>
        <w:t xml:space="preserve">M</w:t>
      </w:r>
      <w:r>
        <w:t xml:space="preserve"> </w:t>
      </w:r>
      <w:r>
        <w:t xml:space="preserve">by the vector of populations: (</w:t>
      </w:r>
      <w:r>
        <w:rPr>
          <w:iCs/>
          <w:i/>
        </w:rPr>
        <w:t xml:space="preserve">MN</w:t>
      </w:r>
      <w:r>
        <w:t xml:space="preserve">)</w:t>
      </w:r>
      <w:r>
        <w:rPr>
          <w:iCs/>
          <w:i/>
          <w:vertAlign w:val="subscript"/>
        </w:rPr>
        <w:t xml:space="preserve">i</w:t>
      </w:r>
      <w:r>
        <w:t xml:space="preserve"> </w:t>
      </w:r>
      <w:r>
        <w:t xml:space="preserve">=</w:t>
      </w:r>
      <w:r>
        <w:t xml:space="preserve"> </w:t>
      </w:r>
      <w:r>
        <w:rPr>
          <w:iCs/>
          <w:i/>
        </w:rPr>
        <w:t xml:space="preserve">κN</w:t>
      </w:r>
      <w:r>
        <w:rPr>
          <w:iCs/>
          <w:i/>
          <w:vertAlign w:val="subscript"/>
        </w:rPr>
        <w:t xml:space="preserve">i</w:t>
      </w:r>
      <w:r>
        <w:t xml:space="preserve">∑</w:t>
      </w:r>
      <w:r>
        <w:rPr>
          <w:iCs/>
          <w:i/>
          <w:vertAlign w:val="subscript"/>
        </w:rPr>
        <w:t xml:space="preserve">j</w:t>
      </w:r>
      <w:r>
        <w:rPr>
          <w:iCs/>
          <w:i/>
        </w:rPr>
        <w:t xml:space="preserve">p</w:t>
      </w:r>
      <w:r>
        <w:rPr>
          <w:iCs/>
          <w:i/>
          <w:vertAlign w:val="subscript"/>
        </w:rPr>
        <w:t xml:space="preserve">ij</w:t>
      </w:r>
      <w:r>
        <w:rPr>
          <w:iCs/>
          <w:i/>
        </w:rPr>
        <w:t xml:space="preserve">w</w:t>
      </w:r>
      <w:r>
        <w:rPr>
          <w:iCs/>
          <w:i/>
          <w:vertAlign w:val="subscript"/>
        </w:rPr>
        <w:t xml:space="preserve">j</w:t>
      </w:r>
      <w:r>
        <w:t xml:space="preserve">∑</w:t>
      </w:r>
      <w:r>
        <w:rPr>
          <w:iCs/>
          <w:i/>
          <w:vertAlign w:val="subscript"/>
        </w:rPr>
        <w:t xml:space="preserve">k</w:t>
      </w:r>
      <w:r>
        <w:rPr>
          <w:iCs/>
          <w:i/>
        </w:rPr>
        <w:t xml:space="preserve">p</w:t>
      </w:r>
      <w:r>
        <w:rPr>
          <w:iCs/>
          <w:i/>
          <w:vertAlign w:val="subscript"/>
        </w:rPr>
        <w:t xml:space="preserve">kj</w:t>
      </w:r>
      <w:r>
        <w:rPr>
          <w:iCs/>
          <w:i/>
        </w:rPr>
        <w:t xml:space="preserve">N</w:t>
      </w:r>
      <w:r>
        <w:rPr>
          <w:iCs/>
          <w:i/>
          <w:vertAlign w:val="subscript"/>
        </w:rPr>
        <w:t xml:space="preserve">k</w:t>
      </w:r>
      <w:r>
        <w:t xml:space="preserve"> </w:t>
      </w:r>
      <w:r>
        <w:t xml:space="preserve">=</w:t>
      </w:r>
      <w:r>
        <w:t xml:space="preserve"> </w:t>
      </w:r>
      <w:r>
        <w:rPr>
          <w:iCs/>
          <w:i/>
        </w:rPr>
        <w:t xml:space="preserve">κN</w:t>
      </w:r>
      <w:r>
        <w:rPr>
          <w:iCs/>
          <w:i/>
          <w:vertAlign w:val="subscript"/>
        </w:rPr>
        <w:t xml:space="preserve">i</w:t>
      </w:r>
      <w:r>
        <w:t xml:space="preserve">∑</w:t>
      </w:r>
      <w:r>
        <w:rPr>
          <w:iCs/>
          <w:i/>
          <w:vertAlign w:val="subscript"/>
        </w:rPr>
        <w:t xml:space="preserve">j</w:t>
      </w:r>
      <w:r>
        <w:rPr>
          <w:iCs/>
          <w:i/>
        </w:rPr>
        <w:t xml:space="preserve">p</w:t>
      </w:r>
      <w:r>
        <w:rPr>
          <w:iCs/>
          <w:i/>
          <w:vertAlign w:val="subscript"/>
        </w:rPr>
        <w:t xml:space="preserve">ij</w:t>
      </w:r>
      <w:r>
        <w:rPr>
          <w:iCs/>
          <w:i/>
        </w:rPr>
        <w:t xml:space="preserve">V</w:t>
      </w:r>
      <w:r>
        <w:rPr>
          <w:iCs/>
          <w:i/>
          <w:vertAlign w:val="subscript"/>
        </w:rPr>
        <w:t xml:space="preserve">j</w:t>
      </w:r>
      <w:r>
        <w:t xml:space="preserve">/</w:t>
      </w:r>
      <w:r>
        <w:rPr>
          <w:iCs/>
          <w:i/>
        </w:rPr>
        <w:t xml:space="preserve">Ñ</w:t>
      </w:r>
      <w:r>
        <w:rPr>
          <w:iCs/>
          <w:i/>
          <w:vertAlign w:val="subscript"/>
        </w:rPr>
        <w:t xml:space="preserve">j</w:t>
      </w:r>
      <w:r>
        <w:t xml:space="preserve"> </w:t>
      </w:r>
      <w:r>
        <w:t xml:space="preserve">=</w:t>
      </w:r>
      <w:r>
        <w:t xml:space="preserve"> </w:t>
      </w:r>
      <w:r>
        <w:rPr>
          <w:iCs/>
          <w:i/>
        </w:rPr>
        <w:t xml:space="preserve">N</w:t>
      </w:r>
      <w:r>
        <w:rPr>
          <w:iCs/>
          <w:i/>
          <w:vertAlign w:val="subscript"/>
        </w:rPr>
        <w:t xml:space="preserve">i</w:t>
      </w:r>
      <w:r>
        <w:rPr>
          <w:iCs/>
          <w:i/>
        </w:rPr>
        <w:t xml:space="preserve">R</w:t>
      </w:r>
      <w:r>
        <w:rPr>
          <w:iCs/>
          <w:i/>
          <w:vertAlign w:val="subscript"/>
        </w:rPr>
        <w:t xml:space="preserve">i</w:t>
      </w:r>
      <w:r>
        <w:t xml:space="preserve">, because ∑</w:t>
      </w:r>
      <w:r>
        <w:rPr>
          <w:iCs/>
          <w:i/>
          <w:vertAlign w:val="subscript"/>
        </w:rPr>
        <w:t xml:space="preserve">k</w:t>
      </w:r>
      <w:r>
        <w:rPr>
          <w:iCs/>
          <w:i/>
        </w:rPr>
        <w:t xml:space="preserve">p</w:t>
      </w:r>
      <w:r>
        <w:rPr>
          <w:iCs/>
          <w:i/>
          <w:vertAlign w:val="subscript"/>
        </w:rPr>
        <w:t xml:space="preserve">kj</w:t>
      </w:r>
      <w:r>
        <w:rPr>
          <w:iCs/>
          <w:i/>
        </w:rPr>
        <w:t xml:space="preserve">N</w:t>
      </w:r>
      <w:r>
        <w:rPr>
          <w:iCs/>
          <w:i/>
          <w:vertAlign w:val="subscript"/>
        </w:rPr>
        <w:t xml:space="preserve">k</w:t>
      </w:r>
      <w:r>
        <w:t xml:space="preserve"> </w:t>
      </w:r>
      <w:r>
        <w:t xml:space="preserve">=</w:t>
      </w:r>
      <w:r>
        <w:t xml:space="preserve"> </w:t>
      </w:r>
      <w:r>
        <w:rPr>
          <w:iCs/>
          <w:i/>
        </w:rPr>
        <w:t xml:space="preserve">Ñ</w:t>
      </w:r>
      <w:r>
        <w:rPr>
          <w:iCs/>
          <w:i/>
          <w:vertAlign w:val="subscript"/>
        </w:rPr>
        <w:t xml:space="preserve">j</w:t>
      </w:r>
      <w:r>
        <w:t xml:space="preserve">. For a nonnegative matrix and any positive vector</w:t>
      </w:r>
      <w:r>
        <w:t xml:space="preserve"> </w:t>
      </w:r>
      <w:r>
        <w:rPr>
          <w:iCs/>
          <w:i/>
        </w:rPr>
        <w:t xml:space="preserve">x</w:t>
      </w:r>
      <w:r>
        <w:t xml:space="preserve">, the spectral radius lies between the smallest and the largest of the ratios (</w:t>
      </w:r>
      <w:r>
        <w:rPr>
          <w:iCs/>
          <w:i/>
        </w:rPr>
        <w:t xml:space="preserve">Mx</w:t>
      </w:r>
      <w:r>
        <w:t xml:space="preserve">)</w:t>
      </w:r>
      <w:r>
        <w:rPr>
          <w:iCs/>
          <w:i/>
          <w:vertAlign w:val="subscript"/>
        </w:rPr>
        <w:t xml:space="preserve">i</w:t>
      </w:r>
      <w:r>
        <w:t xml:space="preserve">/</w:t>
      </w:r>
      <w:r>
        <w:rPr>
          <w:iCs/>
          <w:i/>
        </w:rPr>
        <w:t xml:space="preserve">x</w:t>
      </w:r>
      <w:r>
        <w:rPr>
          <w:iCs/>
          <w:i/>
          <w:vertAlign w:val="subscript"/>
        </w:rPr>
        <w:t xml:space="preserve">i</w:t>
      </w:r>
      <w:r>
        <w:t xml:space="preserve"> </w:t>
      </w:r>
      <w:r>
        <w:t xml:space="preserve">(Horn &amp; Johnson, 2013). With</w:t>
      </w:r>
      <w:r>
        <w:t xml:space="preserve"> </w:t>
      </w:r>
      <w:r>
        <w:rPr>
          <w:iCs/>
          <w:i/>
        </w:rPr>
        <w:t xml:space="preserve">x</w:t>
      </w:r>
      <w:r>
        <w:t xml:space="preserve"> </w:t>
      </w:r>
      <w:r>
        <w:t xml:space="preserve">=</w:t>
      </w:r>
      <w:r>
        <w:t xml:space="preserve"> </w:t>
      </w:r>
      <w:r>
        <w:rPr>
          <w:iCs/>
          <w:i/>
        </w:rPr>
        <w:t xml:space="preserve">N</w:t>
      </w:r>
      <w:r>
        <w:t xml:space="preserve"> </w:t>
      </w:r>
      <w:r>
        <w:t xml:space="preserve">the ratios are the</w:t>
      </w:r>
      <w:r>
        <w:t xml:space="preserve"> </w:t>
      </w:r>
      <w:r>
        <w:rPr>
          <w:iCs/>
          <w:i/>
        </w:rPr>
        <w:t xml:space="preserve">R</w:t>
      </w:r>
      <w:r>
        <w:rPr>
          <w:iCs/>
          <w:i/>
          <w:vertAlign w:val="subscript"/>
        </w:rPr>
        <w:t xml:space="preserve">i</w:t>
      </w:r>
      <w:r>
        <w:t xml:space="preserve">, and</w:t>
      </w:r>
      <w:r>
        <w:t xml:space="preserve"> </w:t>
      </w:r>
      <w:r>
        <w:rPr>
          <w:iCs/>
          <w:i/>
        </w:rPr>
        <w:t xml:space="preserve">ρ</w:t>
      </w:r>
      <w:r>
        <w:t xml:space="preserve">(</w:t>
      </w:r>
      <w:r>
        <w:rPr>
          <w:iCs/>
          <w:i/>
        </w:rPr>
        <w:t xml:space="preserve">M</w:t>
      </w:r>
      <w:r>
        <w:t xml:space="preserve">) =</w:t>
      </w:r>
      <w:r>
        <w:t xml:space="preserve"> </w:t>
      </w:r>
      <w:r>
        <w:rPr>
          <w:iCs/>
          <w:i/>
        </w:rPr>
        <w:t xml:space="preserve">R</w:t>
      </w:r>
      <w:r>
        <w:rPr>
          <w:vertAlign w:val="subscript"/>
        </w:rPr>
        <w:t xml:space="preserve">0</w:t>
      </w:r>
      <w:r>
        <w:rPr>
          <w:vertAlign w:val="superscript"/>
        </w:rPr>
        <w:t xml:space="preserve">2</w:t>
      </w:r>
      <w:r>
        <w:t xml:space="preserve">. □</w:t>
      </w:r>
    </w:p>
    <w:p>
      <w:pPr>
        <w:pStyle w:val="BodyText"/>
      </w:pPr>
      <w:r>
        <w:rPr>
          <w:bCs/>
          <w:b/>
        </w:rPr>
        <w:t xml:space="preserve">Remark 1 (A test every barangay can run).</w:t>
      </w:r>
      <w:r>
        <w:t xml:space="preserve"> </w:t>
      </w:r>
      <w:r>
        <w:t xml:space="preserve">If the residents of every barangay meet, on average over their day, fewer mosquitoes than the threshold density 1/</w:t>
      </w:r>
      <w:r>
        <w:rPr>
          <w:iCs/>
          <w:i/>
        </w:rPr>
        <w:t xml:space="preserve">κ</w:t>
      </w:r>
      <w:r>
        <w:t xml:space="preserve">, dengue cannot take hold anywhere; if all of them meet more, it surely can. The bounds need no eigenvalue: each barangay needs only its own row of</w:t>
      </w:r>
      <w:r>
        <w:t xml:space="preserve"> </w:t>
      </w:r>
      <w:r>
        <w:rPr>
          <w:iCs/>
          <w:i/>
        </w:rPr>
        <w:t xml:space="preserve">P</w:t>
      </w:r>
      <w:r>
        <w:t xml:space="preserve"> </w:t>
      </w:r>
      <w:r>
        <w:t xml:space="preserve">and the densities of the places it visits.</w:t>
      </w:r>
    </w:p>
    <w:p>
      <w:pPr>
        <w:pStyle w:val="BodyText"/>
      </w:pPr>
      <w:r>
        <w:rPr>
          <w:bCs/>
          <w:b/>
        </w:rPr>
        <w:t xml:space="preserve">Proposition 5 (Averages understate the risk).</w:t>
      </w:r>
      <w:r>
        <w:t xml:space="preserve"> </w:t>
      </w:r>
      <w:r>
        <w:t xml:space="preserve">With</w:t>
      </w:r>
      <w:r>
        <w:t xml:space="preserve"> </w:t>
      </w:r>
      <w:r>
        <w:rPr>
          <w:iCs/>
          <w:i/>
        </w:rPr>
        <w:t xml:space="preserve">V</w:t>
      </w:r>
      <w:r>
        <w:t xml:space="preserve"> </w:t>
      </w:r>
      <w:r>
        <w:t xml:space="preserve">= ∑</w:t>
      </w:r>
      <w:r>
        <w:rPr>
          <w:iCs/>
          <w:i/>
          <w:vertAlign w:val="subscript"/>
        </w:rPr>
        <w:t xml:space="preserve">j</w:t>
      </w:r>
      <w:r>
        <w:rPr>
          <w:iCs/>
          <w:i/>
        </w:rPr>
        <w:t xml:space="preserve">V</w:t>
      </w:r>
      <w:r>
        <w:rPr>
          <w:iCs/>
          <w:i/>
          <w:vertAlign w:val="subscript"/>
        </w:rPr>
        <w:t xml:space="preserve">j</w:t>
      </w:r>
      <w:r>
        <w:t xml:space="preserve"> </w:t>
      </w:r>
      <w:r>
        <w:t xml:space="preserve">and</w:t>
      </w:r>
      <w:r>
        <w:t xml:space="preserve"> </w:t>
      </w:r>
      <w:r>
        <w:rPr>
          <w:iCs/>
          <w:i/>
        </w:rPr>
        <w:t xml:space="preserve">N</w:t>
      </w:r>
      <w:r>
        <w:t xml:space="preserve"> </w:t>
      </w:r>
      <w:r>
        <w:t xml:space="preserve">= ∑</w:t>
      </w:r>
      <w:r>
        <w:rPr>
          <w:iCs/>
          <w:i/>
          <w:vertAlign w:val="subscript"/>
        </w:rPr>
        <w:t xml:space="preserve">i</w:t>
      </w:r>
      <w:r>
        <w:rPr>
          <w:iCs/>
          <w:i/>
        </w:rPr>
        <w:t xml:space="preserve">N</w:t>
      </w:r>
      <w:r>
        <w:rPr>
          <w:iCs/>
          <w:i/>
          <w:vertAlign w:val="subscript"/>
        </w:rPr>
        <w:t xml:space="preserve">i</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697687" cy="307713"/>
                  <wp:effectExtent b="0" l="0" r="0" t="0"/>
                  <wp:docPr descr="" title="" id="107" name="Picture"/>
                  <a:graphic>
                    <a:graphicData uri="http://schemas.openxmlformats.org/drawingml/2006/picture">
                      <pic:pic>
                        <pic:nvPicPr>
                          <pic:cNvPr descr="/home/user/MAP---A/research/where-people-go-dengue/paper/eq/eq_dd64e73a2d7a86c8.png" id="108" name="Picture"/>
                          <pic:cNvPicPr>
                            <a:picLocks noChangeArrowheads="1" noChangeAspect="1"/>
                          </pic:cNvPicPr>
                        </pic:nvPicPr>
                        <pic:blipFill>
                          <a:blip r:embed="rId106"/>
                          <a:stretch>
                            <a:fillRect/>
                          </a:stretch>
                        </pic:blipFill>
                        <pic:spPr bwMode="auto">
                          <a:xfrm>
                            <a:off x="0" y="0"/>
                            <a:ext cx="697687" cy="307713"/>
                          </a:xfrm>
                          <a:prstGeom prst="rect">
                            <a:avLst/>
                          </a:prstGeom>
                          <a:noFill/>
                          <a:ln w="9525">
                            <a:noFill/>
                            <a:headEnd/>
                            <a:tailEnd/>
                          </a:ln>
                        </pic:spPr>
                      </pic:pic>
                    </a:graphicData>
                  </a:graphic>
                </wp:inline>
              </w:drawing>
            </w:r>
          </w:p>
        </w:tc>
        <w:tc>
          <w:tcPr>
            <w:tcW w:w="900" w:type="dxa"/>
            <w:vAlign w:val="center"/>
          </w:tcPr>
          <w:p>
            <w:pPr>
              <w:pStyle w:val="EquationNumber"/>
            </w:pPr>
            <w:r>
              <w:t>(16)</w:t>
            </w:r>
          </w:p>
        </w:tc>
      </w:tr>
    </w:tbl>
    <w:p>
      <w:pPr>
        <w:pStyle w:val="SourceLine"/>
      </w:pPr>
      <w:r>
        <w:t xml:space="preserve">Source: this study, the place analogue of Dye and Hasibeder (1986)</w:t>
      </w:r>
    </w:p>
    <w:p>
      <w:pPr>
        <w:pStyle w:val="BodyText"/>
      </w:pPr>
      <w:r>
        <w:t xml:space="preserve">the Ross-Macdonald number of a province in which mosquitoes and people were spread evenly.</w:t>
      </w:r>
    </w:p>
    <w:p>
      <w:pPr>
        <w:pStyle w:val="BodyText"/>
      </w:pPr>
      <w:r>
        <w:rPr>
          <w:iCs/>
          <w:i/>
        </w:rPr>
        <w:t xml:space="preserve">Proof.</w:t>
      </w:r>
      <w:r>
        <w:t xml:space="preserve"> </w:t>
      </w:r>
      <w:r>
        <w:t xml:space="preserve">Take</w:t>
      </w:r>
      <w:r>
        <w:t xml:space="preserve"> </w:t>
      </w:r>
      <w:r>
        <w:rPr>
          <w:iCs/>
          <w:i/>
        </w:rPr>
        <w:t xml:space="preserve">x</w:t>
      </w:r>
      <w:r>
        <w:t xml:space="preserve"> </w:t>
      </w:r>
      <w:r>
        <w:t xml:space="preserve">with entries √(</w:t>
      </w:r>
      <w:r>
        <w:rPr>
          <w:iCs/>
          <w:i/>
        </w:rPr>
        <w:t xml:space="preserve">N</w:t>
      </w:r>
      <w:r>
        <w:rPr>
          <w:iCs/>
          <w:i/>
          <w:vertAlign w:val="subscript"/>
        </w:rPr>
        <w:t xml:space="preserve">i</w:t>
      </w:r>
      <w:r>
        <w:t xml:space="preserve">) in the Rayleigh quotient of Proposition 1. Then</w:t>
      </w:r>
      <w:r>
        <w:t xml:space="preserve"> </w:t>
      </w:r>
      <w:r>
        <w:rPr>
          <w:iCs/>
          <w:i/>
        </w:rPr>
        <w:t xml:space="preserve">Q</w:t>
      </w:r>
      <w:r>
        <w:rPr>
          <w:vertAlign w:val="superscript"/>
        </w:rPr>
        <w:t xml:space="preserve">T</w:t>
      </w:r>
      <w:r>
        <w:rPr>
          <w:iCs/>
          <w:i/>
        </w:rPr>
        <w:t xml:space="preserve">x</w:t>
      </w:r>
      <w:r>
        <w:t xml:space="preserve"> </w:t>
      </w:r>
      <w:r>
        <w:t xml:space="preserve">=</w:t>
      </w:r>
      <w:r>
        <w:t xml:space="preserve"> </w:t>
      </w:r>
      <w:r>
        <w:rPr>
          <w:iCs/>
          <w:i/>
        </w:rPr>
        <w:t xml:space="preserve">P</w:t>
      </w:r>
      <w:r>
        <w:rPr>
          <w:vertAlign w:val="superscript"/>
        </w:rPr>
        <w:t xml:space="preserve">T</w:t>
      </w:r>
      <w:r>
        <w:rPr>
          <w:iCs/>
          <w:i/>
        </w:rPr>
        <w:t xml:space="preserve">N</w:t>
      </w:r>
      <w:r>
        <w:t xml:space="preserve"> </w:t>
      </w:r>
      <w:r>
        <w:t xml:space="preserve">=</w:t>
      </w:r>
      <w:r>
        <w:t xml:space="preserve"> </w:t>
      </w:r>
      <w:r>
        <w:rPr>
          <w:iCs/>
          <w:i/>
        </w:rPr>
        <w:t xml:space="preserve">Ñ</w:t>
      </w:r>
      <w:r>
        <w:t xml:space="preserve">, so</w:t>
      </w:r>
      <w:r>
        <w:t xml:space="preserve"> </w:t>
      </w:r>
      <w:r>
        <w:rPr>
          <w:iCs/>
          <w:i/>
        </w:rPr>
        <w:t xml:space="preserve">x</w:t>
      </w:r>
      <w:r>
        <w:rPr>
          <w:vertAlign w:val="superscript"/>
        </w:rPr>
        <w:t xml:space="preserve">T</w:t>
      </w:r>
      <w:r>
        <w:rPr>
          <w:iCs/>
          <w:i/>
        </w:rPr>
        <w:t xml:space="preserve">Sx</w:t>
      </w:r>
      <w:r>
        <w:t xml:space="preserve"> </w:t>
      </w:r>
      <w:r>
        <w:t xml:space="preserve">=</w:t>
      </w:r>
      <w:r>
        <w:t xml:space="preserve"> </w:t>
      </w:r>
      <w:r>
        <w:rPr>
          <w:iCs/>
          <w:i/>
        </w:rPr>
        <w:t xml:space="preserve">κ</w:t>
      </w:r>
      <w:r>
        <w:t xml:space="preserve">∑</w:t>
      </w:r>
      <w:r>
        <w:rPr>
          <w:iCs/>
          <w:i/>
          <w:vertAlign w:val="subscript"/>
        </w:rPr>
        <w:t xml:space="preserve">j</w:t>
      </w:r>
      <w:r>
        <w:rPr>
          <w:iCs/>
          <w:i/>
        </w:rPr>
        <w:t xml:space="preserve">w</w:t>
      </w:r>
      <w:r>
        <w:rPr>
          <w:iCs/>
          <w:i/>
          <w:vertAlign w:val="subscript"/>
        </w:rPr>
        <w:t xml:space="preserve">j</w:t>
      </w:r>
      <w:r>
        <w:rPr>
          <w:iCs/>
          <w:i/>
        </w:rPr>
        <w:t xml:space="preserve">Ñ</w:t>
      </w:r>
      <w:r>
        <w:rPr>
          <w:iCs/>
          <w:i/>
          <w:vertAlign w:val="subscript"/>
        </w:rPr>
        <w:t xml:space="preserve">j</w:t>
      </w:r>
      <w:r>
        <w:rPr>
          <w:vertAlign w:val="superscript"/>
        </w:rPr>
        <w:t xml:space="preserve">2</w:t>
      </w:r>
      <w:r>
        <w:t xml:space="preserve"> </w:t>
      </w:r>
      <w:r>
        <w:t xml:space="preserve">=</w:t>
      </w:r>
      <w:r>
        <w:t xml:space="preserve"> </w:t>
      </w:r>
      <w:r>
        <w:rPr>
          <w:iCs/>
          <w:i/>
        </w:rPr>
        <w:t xml:space="preserve">κ</w:t>
      </w:r>
      <w:r>
        <w:t xml:space="preserve">∑</w:t>
      </w:r>
      <w:r>
        <w:rPr>
          <w:iCs/>
          <w:i/>
          <w:vertAlign w:val="subscript"/>
        </w:rPr>
        <w:t xml:space="preserve">j</w:t>
      </w:r>
      <w:r>
        <w:rPr>
          <w:iCs/>
          <w:i/>
        </w:rPr>
        <w:t xml:space="preserve">V</w:t>
      </w:r>
      <w:r>
        <w:rPr>
          <w:iCs/>
          <w:i/>
          <w:vertAlign w:val="subscript"/>
        </w:rPr>
        <w:t xml:space="preserve">j</w:t>
      </w:r>
      <w:r>
        <w:t xml:space="preserve"> </w:t>
      </w:r>
      <w:r>
        <w:t xml:space="preserve">and</w:t>
      </w:r>
      <w:r>
        <w:t xml:space="preserve"> </w:t>
      </w:r>
      <w:r>
        <w:rPr>
          <w:iCs/>
          <w:i/>
        </w:rPr>
        <w:t xml:space="preserve">x</w:t>
      </w:r>
      <w:r>
        <w:rPr>
          <w:vertAlign w:val="superscript"/>
        </w:rPr>
        <w:t xml:space="preserve">T</w:t>
      </w:r>
      <w:r>
        <w:rPr>
          <w:iCs/>
          <w:i/>
        </w:rPr>
        <w:t xml:space="preserve">x</w:t>
      </w:r>
      <w:r>
        <w:t xml:space="preserve"> </w:t>
      </w:r>
      <w:r>
        <w:t xml:space="preserve">=</w:t>
      </w:r>
      <w:r>
        <w:t xml:space="preserve"> </w:t>
      </w:r>
      <w:r>
        <w:rPr>
          <w:iCs/>
          <w:i/>
        </w:rPr>
        <w:t xml:space="preserve">N</w:t>
      </w:r>
      <w:r>
        <w:t xml:space="preserve">. The largest eigenvalue is at least this quotient. □</w:t>
      </w:r>
    </w:p>
    <w:p>
      <w:pPr>
        <w:pStyle w:val="BodyText"/>
      </w:pPr>
      <w:r>
        <w:rPr>
          <w:bCs/>
          <w:b/>
        </w:rPr>
        <w:t xml:space="preserve">Remark 2 (Why a provincial average is not enough).</w:t>
      </w:r>
      <w:r>
        <w:t xml:space="preserve"> </w:t>
      </w:r>
      <w:r>
        <w:t xml:space="preserve">A province can look safe on average while transmission persists in a few places. Proposition 5 says the error always runs in one direction: averaging never overstates the danger.</w:t>
      </w:r>
    </w:p>
    <w:p>
      <w:pPr>
        <w:pStyle w:val="BodyText"/>
      </w:pPr>
      <w:r>
        <w:rPr>
          <w:bCs/>
          <w:b/>
        </w:rPr>
        <w:t xml:space="preserve">Proposition 6 (Place shares add up and measure the effect of control).</w:t>
      </w:r>
      <w:r>
        <w:t xml:space="preserve"> </w:t>
      </w:r>
      <w:r>
        <w:t xml:space="preserve">(i) The shares of Definition 8 are nonnegative and add up to one. (ii) If the largest eigenvalue of</w:t>
      </w:r>
      <w:r>
        <w:t xml:space="preserve"> </w:t>
      </w:r>
      <w:r>
        <w:rPr>
          <w:iCs/>
          <w:i/>
        </w:rPr>
        <w:t xml:space="preserve">S</w:t>
      </w:r>
      <w:r>
        <w:t xml:space="preserve">(</w:t>
      </w:r>
      <w:r>
        <w:rPr>
          <w:iCs/>
          <w:i/>
        </w:rPr>
        <w:t xml:space="preserve">u</w:t>
      </w:r>
      <w:r>
        <w:t xml:space="preserve">) is simple, with unit eigenvector</w:t>
      </w:r>
      <w:r>
        <w:t xml:space="preserve"> </w:t>
      </w:r>
      <w:r>
        <w:rPr>
          <w:iCs/>
          <w:i/>
        </w:rPr>
        <w:t xml:space="preserve">v</w:t>
      </w:r>
      <w:r>
        <w:t xml:space="preserve">, then</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874520" cy="390144"/>
                  <wp:effectExtent b="0" l="0" r="0" t="0"/>
                  <wp:docPr descr="" title="" id="110" name="Picture"/>
                  <a:graphic>
                    <a:graphicData uri="http://schemas.openxmlformats.org/drawingml/2006/picture">
                      <pic:pic>
                        <pic:nvPicPr>
                          <pic:cNvPr descr="/home/user/MAP---A/research/where-people-go-dengue/paper/eq/eq_c1e5877bfe28540a.png" id="111" name="Picture"/>
                          <pic:cNvPicPr>
                            <a:picLocks noChangeArrowheads="1" noChangeAspect="1"/>
                          </pic:cNvPicPr>
                        </pic:nvPicPr>
                        <pic:blipFill>
                          <a:blip r:embed="rId109"/>
                          <a:stretch>
                            <a:fillRect/>
                          </a:stretch>
                        </pic:blipFill>
                        <pic:spPr bwMode="auto">
                          <a:xfrm>
                            <a:off x="0" y="0"/>
                            <a:ext cx="1874520" cy="390144"/>
                          </a:xfrm>
                          <a:prstGeom prst="rect">
                            <a:avLst/>
                          </a:prstGeom>
                          <a:noFill/>
                          <a:ln w="9525">
                            <a:noFill/>
                            <a:headEnd/>
                            <a:tailEnd/>
                          </a:ln>
                        </pic:spPr>
                      </pic:pic>
                    </a:graphicData>
                  </a:graphic>
                </wp:inline>
              </w:drawing>
            </w:r>
          </w:p>
        </w:tc>
        <w:tc>
          <w:tcPr>
            <w:tcW w:w="900" w:type="dxa"/>
            <w:vAlign w:val="center"/>
          </w:tcPr>
          <w:p>
            <w:pPr>
              <w:pStyle w:val="EquationNumber"/>
            </w:pPr>
            <w:r>
              <w:t>(17)</w:t>
            </w:r>
          </w:p>
        </w:tc>
      </w:tr>
    </w:tbl>
    <w:p>
      <w:pPr>
        <w:pStyle w:val="SourceLine"/>
      </w:pPr>
      <w:r>
        <w:t xml:space="preserve">Source: this study, by the derivative of a simple eigenvalue (Overton, 1988)</w:t>
      </w:r>
    </w:p>
    <w:p>
      <w:pPr>
        <w:pStyle w:val="BodyText"/>
      </w:pPr>
      <w:r>
        <w:t xml:space="preserve">so at</w:t>
      </w:r>
      <w:r>
        <w:t xml:space="preserve"> </w:t>
      </w:r>
      <w:r>
        <w:rPr>
          <w:iCs/>
          <w:i/>
        </w:rPr>
        <w:t xml:space="preserve">u</w:t>
      </w:r>
      <w:r>
        <w:t xml:space="preserve"> </w:t>
      </w:r>
      <w:r>
        <w:t xml:space="preserve">= 0 the reduction in</w:t>
      </w:r>
      <w:r>
        <w:t xml:space="preserve"> </w:t>
      </w:r>
      <w:r>
        <w:rPr>
          <w:iCs/>
          <w:i/>
        </w:rPr>
        <w:t xml:space="preserve">R</w:t>
      </w:r>
      <w:r>
        <w:rPr>
          <w:vertAlign w:val="subscript"/>
        </w:rPr>
        <w:t xml:space="preserve">0</w:t>
      </w:r>
      <w:r>
        <w:rPr>
          <w:vertAlign w:val="superscript"/>
        </w:rPr>
        <w:t xml:space="preserve">2</w:t>
      </w:r>
      <w:r>
        <w:t xml:space="preserve"> </w:t>
      </w:r>
      <w:r>
        <w:t xml:space="preserve">per unit of control at</w:t>
      </w:r>
      <w:r>
        <w:t xml:space="preserve"> </w:t>
      </w:r>
      <w:r>
        <w:rPr>
          <w:iCs/>
          <w:i/>
        </w:rPr>
        <w:t xml:space="preserve">j</w:t>
      </w:r>
      <w:r>
        <w:t xml:space="preserve"> </w:t>
      </w:r>
      <w:r>
        <w:t xml:space="preserve">is</w:t>
      </w:r>
      <w:r>
        <w:t xml:space="preserve"> </w:t>
      </w:r>
      <w:r>
        <w:rPr>
          <w:iCs/>
          <w:i/>
        </w:rPr>
        <w:t xml:space="preserve">s</w:t>
      </w:r>
      <w:r>
        <w:rPr>
          <w:iCs/>
          <w:i/>
          <w:vertAlign w:val="subscript"/>
        </w:rPr>
        <w:t xml:space="preserve">j</w:t>
      </w:r>
      <w:r>
        <w:rPr>
          <w:iCs/>
          <w:i/>
        </w:rPr>
        <w:t xml:space="preserve">R</w:t>
      </w:r>
      <w:r>
        <w:rPr>
          <w:vertAlign w:val="subscript"/>
        </w:rPr>
        <w:t xml:space="preserve">0</w:t>
      </w:r>
      <w:r>
        <w:rPr>
          <w:vertAlign w:val="superscript"/>
        </w:rPr>
        <w:t xml:space="preserve">2</w:t>
      </w:r>
      <w:r>
        <w:t xml:space="preserve">, and per team-day it is the hotspot score</w:t>
      </w:r>
      <w:r>
        <w:t xml:space="preserve"> </w:t>
      </w:r>
      <w:r>
        <w:rPr>
          <w:iCs/>
          <w:i/>
        </w:rPr>
        <w:t xml:space="preserve">H</w:t>
      </w:r>
      <w:r>
        <w:rPr>
          <w:iCs/>
          <w:i/>
          <w:vertAlign w:val="subscript"/>
        </w:rPr>
        <w:t xml:space="preserve">j</w:t>
      </w:r>
      <w:r>
        <w:t xml:space="preserve">.</w:t>
      </w:r>
    </w:p>
    <w:p>
      <w:pPr>
        <w:pStyle w:val="BodyText"/>
      </w:pPr>
      <w:r>
        <w:rPr>
          <w:iCs/>
          <w:i/>
        </w:rPr>
        <w:t xml:space="preserve">Proof.</w:t>
      </w:r>
      <w:r>
        <w:t xml:space="preserve"> </w:t>
      </w:r>
      <w:r>
        <w:t xml:space="preserve">(i)</w:t>
      </w:r>
      <w:r>
        <w:t xml:space="preserve"> </w:t>
      </w:r>
      <w:r>
        <w:rPr>
          <w:iCs/>
          <w:i/>
        </w:rPr>
        <w:t xml:space="preserve">R</w:t>
      </w:r>
      <w:r>
        <w:rPr>
          <w:vertAlign w:val="subscript"/>
        </w:rPr>
        <w:t xml:space="preserve">0</w:t>
      </w:r>
      <w:r>
        <w:rPr>
          <w:vertAlign w:val="superscript"/>
        </w:rPr>
        <w:t xml:space="preserve">2</w:t>
      </w:r>
      <w:r>
        <w:t xml:space="preserve"> </w:t>
      </w:r>
      <w:r>
        <w:t xml:space="preserve">=</w:t>
      </w:r>
      <w:r>
        <w:t xml:space="preserve"> </w:t>
      </w:r>
      <w:r>
        <w:rPr>
          <w:iCs/>
          <w:i/>
        </w:rPr>
        <w:t xml:space="preserve">v</w:t>
      </w:r>
      <w:r>
        <w:rPr>
          <w:vertAlign w:val="superscript"/>
        </w:rPr>
        <w:t xml:space="preserve">T</w:t>
      </w:r>
      <w:r>
        <w:rPr>
          <w:iCs/>
          <w:i/>
        </w:rPr>
        <w:t xml:space="preserve">Sv</w:t>
      </w:r>
      <w:r>
        <w:t xml:space="preserve"> </w:t>
      </w:r>
      <w:r>
        <w:t xml:space="preserve">= ∑</w:t>
      </w:r>
      <w:r>
        <w:rPr>
          <w:iCs/>
          <w:i/>
          <w:vertAlign w:val="subscript"/>
        </w:rPr>
        <w:t xml:space="preserve">j</w:t>
      </w:r>
      <w:r>
        <w:rPr>
          <w:iCs/>
          <w:i/>
        </w:rPr>
        <w:t xml:space="preserve">κw</w:t>
      </w:r>
      <w:r>
        <w:rPr>
          <w:iCs/>
          <w:i/>
          <w:vertAlign w:val="subscript"/>
        </w:rPr>
        <w:t xml:space="preserve">j</w:t>
      </w:r>
      <w:r>
        <w:t xml:space="preserve">(</w:t>
      </w:r>
      <w:r>
        <w:rPr>
          <w:iCs/>
          <w:i/>
        </w:rPr>
        <w:t xml:space="preserve">q</w:t>
      </w:r>
      <w:r>
        <w:rPr>
          <w:iCs/>
          <w:i/>
          <w:vertAlign w:val="subscript"/>
        </w:rPr>
        <w:t xml:space="preserve">j</w:t>
      </w:r>
      <w:r>
        <w:rPr>
          <w:vertAlign w:val="superscript"/>
        </w:rPr>
        <w:t xml:space="preserve">T</w:t>
      </w:r>
      <w:r>
        <w:rPr>
          <w:iCs/>
          <w:i/>
        </w:rPr>
        <w:t xml:space="preserve">v</w:t>
      </w:r>
      <w:r>
        <w:t xml:space="preserve">)</w:t>
      </w:r>
      <w:r>
        <w:rPr>
          <w:vertAlign w:val="superscript"/>
        </w:rPr>
        <w:t xml:space="preserve">2</w:t>
      </w:r>
      <w:r>
        <w:t xml:space="preserve"> </w:t>
      </w:r>
      <w:r>
        <w:t xml:space="preserve">by Equation (13), so the terms divided by</w:t>
      </w:r>
      <w:r>
        <w:t xml:space="preserve"> </w:t>
      </w:r>
      <w:r>
        <w:rPr>
          <w:iCs/>
          <w:i/>
        </w:rPr>
        <w:t xml:space="preserve">R</w:t>
      </w:r>
      <w:r>
        <w:rPr>
          <w:vertAlign w:val="subscript"/>
        </w:rPr>
        <w:t xml:space="preserve">0</w:t>
      </w:r>
      <w:r>
        <w:rPr>
          <w:vertAlign w:val="superscript"/>
        </w:rPr>
        <w:t xml:space="preserve">2</w:t>
      </w:r>
      <w:r>
        <w:t xml:space="preserve"> </w:t>
      </w:r>
      <w:r>
        <w:t xml:space="preserve">add up to one, and each is a square times a positive number. (ii) Under control,</w:t>
      </w:r>
      <w:r>
        <w:t xml:space="preserve"> </w:t>
      </w:r>
      <w:r>
        <w:rPr>
          <w:iCs/>
          <w:i/>
        </w:rPr>
        <w:t xml:space="preserve">S</w:t>
      </w:r>
      <w:r>
        <w:t xml:space="preserve">(</w:t>
      </w:r>
      <w:r>
        <w:rPr>
          <w:iCs/>
          <w:i/>
        </w:rPr>
        <w:t xml:space="preserve">u</w:t>
      </w:r>
      <w:r>
        <w:t xml:space="preserve">) =</w:t>
      </w:r>
      <w:r>
        <w:t xml:space="preserve"> </w:t>
      </w:r>
      <w:r>
        <w:rPr>
          <w:iCs/>
          <w:i/>
        </w:rPr>
        <w:t xml:space="preserve">κ</w:t>
      </w:r>
      <w:r>
        <w:t xml:space="preserve">∑</w:t>
      </w:r>
      <w:r>
        <w:rPr>
          <w:iCs/>
          <w:i/>
          <w:vertAlign w:val="subscript"/>
        </w:rPr>
        <w:t xml:space="preserve">j</w:t>
      </w:r>
      <w:r>
        <w:t xml:space="preserve">(1−</w:t>
      </w:r>
      <w:r>
        <w:rPr>
          <w:iCs/>
          <w:i/>
        </w:rPr>
        <w:t xml:space="preserve">u</w:t>
      </w:r>
      <w:r>
        <w:rPr>
          <w:iCs/>
          <w:i/>
          <w:vertAlign w:val="subscript"/>
        </w:rPr>
        <w:t xml:space="preserve">j</w:t>
      </w:r>
      <w:r>
        <w:t xml:space="preserve">)</w:t>
      </w:r>
      <w:r>
        <w:rPr>
          <w:iCs/>
          <w:i/>
        </w:rPr>
        <w:t xml:space="preserve">w</w:t>
      </w:r>
      <w:r>
        <w:rPr>
          <w:iCs/>
          <w:i/>
          <w:vertAlign w:val="subscript"/>
        </w:rPr>
        <w:t xml:space="preserve">j</w:t>
      </w:r>
      <w:r>
        <w:rPr>
          <w:iCs/>
          <w:i/>
        </w:rPr>
        <w:t xml:space="preserve">q</w:t>
      </w:r>
      <w:r>
        <w:rPr>
          <w:iCs/>
          <w:i/>
          <w:vertAlign w:val="subscript"/>
        </w:rPr>
        <w:t xml:space="preserve">j</w:t>
      </w:r>
      <w:r>
        <w:rPr>
          <w:iCs/>
          <w:i/>
        </w:rPr>
        <w:t xml:space="preserve">q</w:t>
      </w:r>
      <w:r>
        <w:rPr>
          <w:iCs/>
          <w:i/>
          <w:vertAlign w:val="subscript"/>
        </w:rPr>
        <w:t xml:space="preserve">j</w:t>
      </w:r>
      <w:r>
        <w:rPr>
          <w:vertAlign w:val="superscript"/>
        </w:rPr>
        <w:t xml:space="preserve">T</w:t>
      </w:r>
      <w:r>
        <w:t xml:space="preserve">, so ∂</w:t>
      </w:r>
      <w:r>
        <w:rPr>
          <w:iCs/>
          <w:i/>
        </w:rPr>
        <w:t xml:space="preserve">S</w:t>
      </w:r>
      <w:r>
        <w:t xml:space="preserve">/∂</w:t>
      </w:r>
      <w:r>
        <w:rPr>
          <w:iCs/>
          <w:i/>
        </w:rPr>
        <w:t xml:space="preserve">u</w:t>
      </w:r>
      <w:r>
        <w:rPr>
          <w:iCs/>
          <w:i/>
          <w:vertAlign w:val="subscript"/>
        </w:rPr>
        <w:t xml:space="preserve">j</w:t>
      </w:r>
      <w:r>
        <w:t xml:space="preserve"> </w:t>
      </w:r>
      <w:r>
        <w:t xml:space="preserve">= −</w:t>
      </w:r>
      <w:r>
        <w:rPr>
          <w:iCs/>
          <w:i/>
        </w:rPr>
        <w:t xml:space="preserve">κw</w:t>
      </w:r>
      <w:r>
        <w:rPr>
          <w:iCs/>
          <w:i/>
          <w:vertAlign w:val="subscript"/>
        </w:rPr>
        <w:t xml:space="preserve">j</w:t>
      </w:r>
      <w:r>
        <w:rPr>
          <w:iCs/>
          <w:i/>
        </w:rPr>
        <w:t xml:space="preserve">q</w:t>
      </w:r>
      <w:r>
        <w:rPr>
          <w:iCs/>
          <w:i/>
          <w:vertAlign w:val="subscript"/>
        </w:rPr>
        <w:t xml:space="preserve">j</w:t>
      </w:r>
      <w:r>
        <w:rPr>
          <w:iCs/>
          <w:i/>
        </w:rPr>
        <w:t xml:space="preserve">q</w:t>
      </w:r>
      <w:r>
        <w:rPr>
          <w:iCs/>
          <w:i/>
          <w:vertAlign w:val="subscript"/>
        </w:rPr>
        <w:t xml:space="preserve">j</w:t>
      </w:r>
      <w:r>
        <w:rPr>
          <w:vertAlign w:val="superscript"/>
        </w:rPr>
        <w:t xml:space="preserve">T</w:t>
      </w:r>
      <w:r>
        <w:t xml:space="preserve">. A simple eigenvalue is differentiable with derivative</w:t>
      </w:r>
      <w:r>
        <w:t xml:space="preserve"> </w:t>
      </w:r>
      <w:r>
        <w:rPr>
          <w:iCs/>
          <w:i/>
        </w:rPr>
        <w:t xml:space="preserve">v</w:t>
      </w:r>
      <w:r>
        <w:rPr>
          <w:vertAlign w:val="superscript"/>
        </w:rPr>
        <w:t xml:space="preserve">T</w:t>
      </w:r>
      <w:r>
        <w:t xml:space="preserve">(∂</w:t>
      </w:r>
      <w:r>
        <w:rPr>
          <w:iCs/>
          <w:i/>
        </w:rPr>
        <w:t xml:space="preserve">S</w:t>
      </w:r>
      <w:r>
        <w:t xml:space="preserve">)</w:t>
      </w:r>
      <w:r>
        <w:rPr>
          <w:iCs/>
          <w:i/>
        </w:rPr>
        <w:t xml:space="preserve">v</w:t>
      </w:r>
      <w:r>
        <w:t xml:space="preserve"> </w:t>
      </w:r>
      <w:r>
        <w:t xml:space="preserve">(Overton, 1988). □</w:t>
      </w:r>
    </w:p>
    <w:p>
      <w:pPr>
        <w:pStyle w:val="BodyText"/>
      </w:pPr>
      <w:r>
        <w:rPr>
          <w:bCs/>
          <w:b/>
        </w:rPr>
        <w:t xml:space="preserve">Proposition 7 (Least-cost control is a convex program).</w:t>
      </w:r>
      <w:r>
        <w:t xml:space="preserve"> </w:t>
      </w:r>
      <w:r>
        <w:rPr>
          <w:iCs/>
          <w:i/>
        </w:rPr>
        <w:t xml:space="preserve">R</w:t>
      </w:r>
      <w:r>
        <w:rPr>
          <w:vertAlign w:val="subscript"/>
        </w:rPr>
        <w:t xml:space="preserve">0</w:t>
      </w:r>
      <w:r>
        <w:rPr>
          <w:vertAlign w:val="superscript"/>
        </w:rPr>
        <w:t xml:space="preserve">2</w:t>
      </w:r>
      <w:r>
        <w:t xml:space="preserve">(</w:t>
      </w:r>
      <w:r>
        <w:rPr>
          <w:iCs/>
          <w:i/>
        </w:rPr>
        <w:t xml:space="preserve">u</w:t>
      </w:r>
      <w:r>
        <w:t xml:space="preserve">) is a convex function of</w:t>
      </w:r>
      <w:r>
        <w:t xml:space="preserve"> </w:t>
      </w:r>
      <w:r>
        <w:rPr>
          <w:iCs/>
          <w:i/>
        </w:rPr>
        <w:t xml:space="preserve">u</w:t>
      </w:r>
      <w:r>
        <w:t xml:space="preserve"> </w:t>
      </w:r>
      <w:r>
        <w:t xml:space="preserve">that never increases when any</w:t>
      </w:r>
      <w:r>
        <w:t xml:space="preserve"> </w:t>
      </w:r>
      <w:r>
        <w:rPr>
          <w:iCs/>
          <w:i/>
        </w:rPr>
        <w:t xml:space="preserve">u</w:t>
      </w:r>
      <w:r>
        <w:rPr>
          <w:iCs/>
          <w:i/>
          <w:vertAlign w:val="subscript"/>
        </w:rPr>
        <w:t xml:space="preserve">j</w:t>
      </w:r>
      <w:r>
        <w:t xml:space="preserve"> </w:t>
      </w:r>
      <w:r>
        <w:t xml:space="preserve">increases. The set of plans that meet the target, {</w:t>
      </w:r>
      <w:r>
        <w:rPr>
          <w:iCs/>
          <w:i/>
        </w:rPr>
        <w:t xml:space="preserve">u</w:t>
      </w:r>
      <w:r>
        <w:t xml:space="preserve">:</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 0, 0 ≤</w:t>
      </w:r>
      <w:r>
        <w:t xml:space="preserve"> </w:t>
      </w:r>
      <w:r>
        <w:rPr>
          <w:iCs/>
          <w:i/>
        </w:rPr>
        <w:t xml:space="preserve">u</w:t>
      </w:r>
      <w:r>
        <w:t xml:space="preserve"> </w:t>
      </w:r>
      <w:r>
        <w:t xml:space="preserve">≤</w:t>
      </w:r>
      <w:r>
        <w:t xml:space="preserve"> </w:t>
      </w:r>
      <w:r>
        <w:rPr>
          <w:iCs/>
          <w:i/>
        </w:rPr>
        <w:t xml:space="preserve">ū</w:t>
      </w:r>
      <w:r>
        <w:t xml:space="preserve">}, is convex, and program (9) is a semidefinite program.</w:t>
      </w:r>
    </w:p>
    <w:p>
      <w:pPr>
        <w:pStyle w:val="BodyText"/>
      </w:pPr>
      <w:r>
        <w:rPr>
          <w:iCs/>
          <w:i/>
        </w:rPr>
        <w:t xml:space="preserve">Proof.</w:t>
      </w:r>
      <w:r>
        <w:t xml:space="preserve"> </w:t>
      </w:r>
      <w:r>
        <w:rPr>
          <w:iCs/>
          <w:i/>
        </w:rPr>
        <w:t xml:space="preserve">S</w:t>
      </w:r>
      <w:r>
        <w:t xml:space="preserve">(</w:t>
      </w:r>
      <w:r>
        <w:rPr>
          <w:iCs/>
          <w:i/>
        </w:rPr>
        <w:t xml:space="preserve">u</w:t>
      </w:r>
      <w:r>
        <w:t xml:space="preserve">) is an affine function of</w:t>
      </w:r>
      <w:r>
        <w:t xml:space="preserve"> </w:t>
      </w:r>
      <w:r>
        <w:rPr>
          <w:iCs/>
          <w:i/>
        </w:rPr>
        <w:t xml:space="preserve">u</w:t>
      </w:r>
      <w:r>
        <w:t xml:space="preserve">, and</w:t>
      </w:r>
      <w:r>
        <w:t xml:space="preserve"> </w:t>
      </w:r>
      <w:r>
        <w:rPr>
          <w:iCs/>
          <w:i/>
        </w:rPr>
        <w:t xml:space="preserve">λ</w:t>
      </w:r>
      <w:r>
        <w:rPr>
          <w:vertAlign w:val="subscript"/>
        </w:rPr>
        <w:t xml:space="preserve">max</w:t>
      </w:r>
      <w:r>
        <w:t xml:space="preserve">(</w:t>
      </w:r>
      <w:r>
        <w:rPr>
          <w:iCs/>
          <w:i/>
        </w:rPr>
        <w:t xml:space="preserve">X</w:t>
      </w:r>
      <w:r>
        <w:t xml:space="preserve">) = max</w:t>
      </w:r>
      <w:r>
        <w:rPr>
          <w:vertAlign w:val="subscript"/>
        </w:rPr>
        <w:t xml:space="preserve">‖</w:t>
      </w:r>
      <w:r>
        <w:rPr>
          <w:iCs/>
          <w:i/>
          <w:vertAlign w:val="subscript"/>
        </w:rPr>
        <w:t xml:space="preserve">x</w:t>
      </w:r>
      <w:r>
        <w:rPr>
          <w:vertAlign w:val="subscript"/>
        </w:rPr>
        <w:t xml:space="preserve">‖=1</w:t>
      </w:r>
      <w:r>
        <w:rPr>
          <w:iCs/>
          <w:i/>
        </w:rPr>
        <w:t xml:space="preserve">x</w:t>
      </w:r>
      <w:r>
        <w:rPr>
          <w:vertAlign w:val="superscript"/>
        </w:rPr>
        <w:t xml:space="preserve">T</w:t>
      </w:r>
      <w:r>
        <w:rPr>
          <w:iCs/>
          <w:i/>
        </w:rPr>
        <w:t xml:space="preserve">Xx</w:t>
      </w:r>
      <w:r>
        <w:t xml:space="preserve"> </w:t>
      </w:r>
      <w:r>
        <w:t xml:space="preserve">is a maximum of linear functions of</w:t>
      </w:r>
      <w:r>
        <w:t xml:space="preserve"> </w:t>
      </w:r>
      <w:r>
        <w:rPr>
          <w:iCs/>
          <w:i/>
        </w:rPr>
        <w:t xml:space="preserve">X</w:t>
      </w:r>
      <w:r>
        <w:t xml:space="preserve">, hence convex; a convex function of an affine map is convex (Boyd &amp; Vandenberghe, 2004). Raising</w:t>
      </w:r>
      <w:r>
        <w:t xml:space="preserve"> </w:t>
      </w:r>
      <w:r>
        <w:rPr>
          <w:iCs/>
          <w:i/>
        </w:rPr>
        <w:t xml:space="preserve">u</w:t>
      </w:r>
      <w:r>
        <w:rPr>
          <w:iCs/>
          <w:i/>
          <w:vertAlign w:val="subscript"/>
        </w:rPr>
        <w:t xml:space="preserve">j</w:t>
      </w:r>
      <w:r>
        <w:t xml:space="preserve"> </w:t>
      </w:r>
      <w:r>
        <w:t xml:space="preserve">subtracts the positive semidefinite matrix</w:t>
      </w:r>
      <w:r>
        <w:t xml:space="preserve"> </w:t>
      </w:r>
      <w:r>
        <w:rPr>
          <w:iCs/>
          <w:i/>
        </w:rPr>
        <w:t xml:space="preserve">κw</w:t>
      </w:r>
      <w:r>
        <w:rPr>
          <w:iCs/>
          <w:i/>
          <w:vertAlign w:val="subscript"/>
        </w:rPr>
        <w:t xml:space="preserve">j</w:t>
      </w:r>
      <w:r>
        <w:rPr>
          <w:iCs/>
          <w:i/>
        </w:rPr>
        <w:t xml:space="preserve">q</w:t>
      </w:r>
      <w:r>
        <w:rPr>
          <w:iCs/>
          <w:i/>
          <w:vertAlign w:val="subscript"/>
        </w:rPr>
        <w:t xml:space="preserve">j</w:t>
      </w:r>
      <w:r>
        <w:rPr>
          <w:iCs/>
          <w:i/>
        </w:rPr>
        <w:t xml:space="preserve">q</w:t>
      </w:r>
      <w:r>
        <w:rPr>
          <w:iCs/>
          <w:i/>
          <w:vertAlign w:val="subscript"/>
        </w:rPr>
        <w:t xml:space="preserve">j</w:t>
      </w:r>
      <w:r>
        <w:rPr>
          <w:vertAlign w:val="superscript"/>
        </w:rPr>
        <w:t xml:space="preserve">T</w:t>
      </w:r>
      <w:r>
        <w:t xml:space="preserve"> </w:t>
      </w:r>
      <w:r>
        <w:t xml:space="preserve">times the increase, which cannot raise any Rayleigh quotient. Finally,</w:t>
      </w:r>
      <w:r>
        <w:t xml:space="preserve"> </w:t>
      </w:r>
      <w:r>
        <w:rPr>
          <w:iCs/>
          <w:i/>
        </w:rPr>
        <w:t xml:space="preserve">λ</w:t>
      </w:r>
      <w:r>
        <w:rPr>
          <w:vertAlign w:val="subscript"/>
        </w:rPr>
        <w:t xml:space="preserve">max</w:t>
      </w:r>
      <w:r>
        <w:t xml:space="preserve">(</w:t>
      </w:r>
      <w:r>
        <w:rPr>
          <w:iCs/>
          <w:i/>
        </w:rPr>
        <w:t xml:space="preserve">S</w:t>
      </w:r>
      <w:r>
        <w:t xml:space="preserve">(</w:t>
      </w:r>
      <w:r>
        <w:rPr>
          <w:iCs/>
          <w:i/>
        </w:rPr>
        <w:t xml:space="preserve">u</w:t>
      </w:r>
      <w:r>
        <w:t xml:space="preserve">)) ≤</w:t>
      </w:r>
      <w:r>
        <w:t xml:space="preserve"> </w:t>
      </w:r>
      <w:r>
        <w:rPr>
          <w:iCs/>
          <w:i/>
        </w:rPr>
        <w:t xml:space="preserve">r</w:t>
      </w:r>
      <w:r>
        <w:rPr>
          <w:vertAlign w:val="superscript"/>
        </w:rPr>
        <w:t xml:space="preserve">2</w:t>
      </w:r>
      <w:r>
        <w:t xml:space="preserve"> </w:t>
      </w:r>
      <w:r>
        <w:t xml:space="preserve">exactly when</w:t>
      </w:r>
      <w:r>
        <w:t xml:space="preserve"> </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is positive semidefinite, a linear matrix inequality (Vandenberghe &amp; Boyd, 1996). □</w:t>
      </w:r>
    </w:p>
    <w:p>
      <w:pPr>
        <w:pStyle w:val="BodyText"/>
      </w:pPr>
      <w:r>
        <w:rPr>
          <w:bCs/>
          <w:b/>
        </w:rPr>
        <w:t xml:space="preserve">Proposition 8 (The certificate plan is always safe).</w:t>
      </w:r>
      <w:r>
        <w:t xml:space="preserve"> </w:t>
      </w:r>
      <w:r>
        <w:t xml:space="preserve">Every plan that satisfies the linear constraints of program (10) meets the target:</w:t>
      </w:r>
      <w:r>
        <w:t xml:space="preserve"> </w:t>
      </w:r>
      <w:r>
        <w:rPr>
          <w:iCs/>
          <w:i/>
        </w:rPr>
        <w:t xml:space="preserve">R</w:t>
      </w:r>
      <w:r>
        <w:rPr>
          <w:vertAlign w:val="subscript"/>
        </w:rPr>
        <w:t xml:space="preserve">0</w:t>
      </w:r>
      <w:r>
        <w:t xml:space="preserve">(</w:t>
      </w:r>
      <w:r>
        <w:rPr>
          <w:iCs/>
          <w:i/>
        </w:rPr>
        <w:t xml:space="preserve">u</w:t>
      </w:r>
      <w:r>
        <w:t xml:space="preserve">) ≤</w:t>
      </w:r>
      <w:r>
        <w:t xml:space="preserve"> </w:t>
      </w:r>
      <w:r>
        <w:rPr>
          <w:iCs/>
          <w:i/>
        </w:rPr>
        <w:t xml:space="preserve">r</w:t>
      </w:r>
      <w:r>
        <w:t xml:space="preserve">.</w:t>
      </w:r>
    </w:p>
    <w:p>
      <w:pPr>
        <w:pStyle w:val="BodyText"/>
      </w:pPr>
      <w:r>
        <w:rPr>
          <w:iCs/>
          <w:i/>
        </w:rPr>
        <w:t xml:space="preserve">Proof.</w:t>
      </w:r>
      <w:r>
        <w:t xml:space="preserve"> </w:t>
      </w:r>
      <w:r>
        <w:t xml:space="preserve">Control changes</w:t>
      </w:r>
      <w:r>
        <w:t xml:space="preserve"> </w:t>
      </w:r>
      <w:r>
        <w:rPr>
          <w:iCs/>
          <w:i/>
        </w:rPr>
        <w:t xml:space="preserve">V</w:t>
      </w:r>
      <w:r>
        <w:rPr>
          <w:iCs/>
          <w:i/>
          <w:vertAlign w:val="subscript"/>
        </w:rPr>
        <w:t xml:space="preserve">j</w:t>
      </w:r>
      <w:r>
        <w:t xml:space="preserve"> </w:t>
      </w:r>
      <w:r>
        <w:t xml:space="preserve">to (1−</w:t>
      </w:r>
      <w:r>
        <w:rPr>
          <w:iCs/>
          <w:i/>
        </w:rPr>
        <w:t xml:space="preserve">u</w:t>
      </w:r>
      <w:r>
        <w:rPr>
          <w:iCs/>
          <w:i/>
          <w:vertAlign w:val="subscript"/>
        </w:rPr>
        <w:t xml:space="preserve">j</w:t>
      </w:r>
      <w:r>
        <w:t xml:space="preserve">)</w:t>
      </w:r>
      <w:r>
        <w:rPr>
          <w:iCs/>
          <w:i/>
        </w:rPr>
        <w:t xml:space="preserve">V</w:t>
      </w:r>
      <w:r>
        <w:rPr>
          <w:iCs/>
          <w:i/>
          <w:vertAlign w:val="subscript"/>
        </w:rPr>
        <w:t xml:space="preserve">j</w:t>
      </w:r>
      <w:r>
        <w:t xml:space="preserve"> </w:t>
      </w:r>
      <w:r>
        <w:t xml:space="preserve">but leaves the daytime populations</w:t>
      </w:r>
      <w:r>
        <w:t xml:space="preserve"> </w:t>
      </w:r>
      <w:r>
        <w:rPr>
          <w:iCs/>
          <w:i/>
        </w:rPr>
        <w:t xml:space="preserve">Ñ</w:t>
      </w:r>
      <w:r>
        <w:rPr>
          <w:iCs/>
          <w:i/>
          <w:vertAlign w:val="subscript"/>
        </w:rPr>
        <w:t xml:space="preserve">j</w:t>
      </w:r>
      <w:r>
        <w:t xml:space="preserve"> </w:t>
      </w:r>
      <w:r>
        <w:t xml:space="preserve">unchanged, so Proposition 4 applies to the controlled network with</w:t>
      </w:r>
      <w:r>
        <w:t xml:space="preserve"> </w:t>
      </w:r>
      <w:r>
        <w:rPr>
          <w:iCs/>
          <w:i/>
        </w:rPr>
        <w:t xml:space="preserve">R</w:t>
      </w:r>
      <w:r>
        <w:rPr>
          <w:iCs/>
          <w:i/>
          <w:vertAlign w:val="subscript"/>
        </w:rPr>
        <w:t xml:space="preserve">i</w:t>
      </w:r>
      <w:r>
        <w:t xml:space="preserve">(</w:t>
      </w:r>
      <w:r>
        <w:rPr>
          <w:iCs/>
          <w:i/>
        </w:rPr>
        <w:t xml:space="preserve">u</w:t>
      </w:r>
      <w:r>
        <w:t xml:space="preserve">) =</w:t>
      </w:r>
      <w:r>
        <w:t xml:space="preserve"> </w:t>
      </w:r>
      <w:r>
        <w:rPr>
          <w:iCs/>
          <w:i/>
        </w:rPr>
        <w:t xml:space="preserve">κ</w:t>
      </w:r>
      <w:r>
        <w:t xml:space="preserve">∑</w:t>
      </w:r>
      <w:r>
        <w:rPr>
          <w:iCs/>
          <w:i/>
          <w:vertAlign w:val="subscript"/>
        </w:rPr>
        <w:t xml:space="preserve">j</w:t>
      </w:r>
      <w:r>
        <w:rPr>
          <w:iCs/>
          <w:i/>
        </w:rPr>
        <w:t xml:space="preserve">p</w:t>
      </w:r>
      <w:r>
        <w:rPr>
          <w:iCs/>
          <w:i/>
          <w:vertAlign w:val="subscript"/>
        </w:rPr>
        <w:t xml:space="preserve">ij</w:t>
      </w:r>
      <w:r>
        <w:rPr>
          <w:iCs/>
          <w:i/>
        </w:rPr>
        <w:t xml:space="preserve">m</w:t>
      </w:r>
      <w:r>
        <w:rPr>
          <w:iCs/>
          <w:i/>
          <w:vertAlign w:val="subscript"/>
        </w:rPr>
        <w:t xml:space="preserve">j</w:t>
      </w:r>
      <w:r>
        <w:t xml:space="preserve">(1−</w:t>
      </w:r>
      <w:r>
        <w:rPr>
          <w:iCs/>
          <w:i/>
        </w:rPr>
        <w:t xml:space="preserve">u</w:t>
      </w:r>
      <w:r>
        <w:rPr>
          <w:iCs/>
          <w:i/>
          <w:vertAlign w:val="subscript"/>
        </w:rPr>
        <w:t xml:space="preserve">j</w:t>
      </w:r>
      <w:r>
        <w:t xml:space="preserve">). If every</w:t>
      </w:r>
      <w:r>
        <w:t xml:space="preserve"> </w:t>
      </w:r>
      <w:r>
        <w:rPr>
          <w:iCs/>
          <w:i/>
        </w:rPr>
        <w:t xml:space="preserve">R</w:t>
      </w:r>
      <w:r>
        <w:rPr>
          <w:iCs/>
          <w:i/>
          <w:vertAlign w:val="subscript"/>
        </w:rPr>
        <w:t xml:space="preserve">i</w:t>
      </w:r>
      <w:r>
        <w:t xml:space="preserve">(</w:t>
      </w:r>
      <w:r>
        <w:rPr>
          <w:iCs/>
          <w:i/>
        </w:rPr>
        <w:t xml:space="preserve">u</w:t>
      </w:r>
      <w:r>
        <w:t xml:space="preserve">) ≤</w:t>
      </w:r>
      <w:r>
        <w:t xml:space="preserve"> </w:t>
      </w:r>
      <w:r>
        <w:rPr>
          <w:iCs/>
          <w:i/>
        </w:rPr>
        <w:t xml:space="preserve">r</w:t>
      </w:r>
      <w:r>
        <w:rPr>
          <w:vertAlign w:val="superscript"/>
        </w:rPr>
        <w:t xml:space="preserve">2</w:t>
      </w:r>
      <w:r>
        <w:t xml:space="preserve">, then</w:t>
      </w:r>
      <w:r>
        <w:t xml:space="preserve"> </w:t>
      </w:r>
      <w:r>
        <w:rPr>
          <w:iCs/>
          <w:i/>
        </w:rPr>
        <w:t xml:space="preserve">R</w:t>
      </w:r>
      <w:r>
        <w:rPr>
          <w:vertAlign w:val="subscript"/>
        </w:rPr>
        <w:t xml:space="preserve">0</w:t>
      </w:r>
      <w:r>
        <w:rPr>
          <w:vertAlign w:val="superscript"/>
        </w:rPr>
        <w:t xml:space="preserve">2</w:t>
      </w:r>
      <w:r>
        <w:t xml:space="preserve">(</w:t>
      </w:r>
      <w:r>
        <w:rPr>
          <w:iCs/>
          <w:i/>
        </w:rPr>
        <w:t xml:space="preserve">u</w:t>
      </w:r>
      <w:r>
        <w:t xml:space="preserve">) ≤ max</w:t>
      </w:r>
      <w:r>
        <w:rPr>
          <w:iCs/>
          <w:i/>
          <w:vertAlign w:val="subscript"/>
        </w:rPr>
        <w:t xml:space="preserve">i</w:t>
      </w:r>
      <w:r>
        <w:rPr>
          <w:iCs/>
          <w:i/>
        </w:rPr>
        <w:t xml:space="preserve">R</w:t>
      </w:r>
      <w:r>
        <w:rPr>
          <w:iCs/>
          <w:i/>
          <w:vertAlign w:val="subscript"/>
        </w:rPr>
        <w:t xml:space="preserve">i</w:t>
      </w:r>
      <w:r>
        <w:t xml:space="preserve">(</w:t>
      </w:r>
      <w:r>
        <w:rPr>
          <w:iCs/>
          <w:i/>
        </w:rPr>
        <w:t xml:space="preserve">u</w:t>
      </w:r>
      <w:r>
        <w:t xml:space="preserve">) ≤</w:t>
      </w:r>
      <w:r>
        <w:t xml:space="preserve"> </w:t>
      </w:r>
      <w:r>
        <w:rPr>
          <w:iCs/>
          <w:i/>
        </w:rPr>
        <w:t xml:space="preserve">r</w:t>
      </w:r>
      <w:r>
        <w:rPr>
          <w:vertAlign w:val="superscript"/>
        </w:rPr>
        <w:t xml:space="preserve">2</w:t>
      </w:r>
      <w:r>
        <w:t xml:space="preserve">. □</w:t>
      </w:r>
    </w:p>
    <w:p>
      <w:pPr>
        <w:pStyle w:val="BodyText"/>
      </w:pPr>
      <w:r>
        <w:rPr>
          <w:bCs/>
          <w:b/>
        </w:rPr>
        <w:t xml:space="preserve">Remark 3 (Fast and safe, or exact).</w:t>
      </w:r>
      <w:r>
        <w:t xml:space="preserve"> </w:t>
      </w:r>
      <w:r>
        <w:t xml:space="preserve">Program (10) never yields a plan that falls short of the target, but it may spend more than necessary, because the upper bound of Proposition 4 is not always tight. Section 3.3 measures that premium.</w:t>
      </w:r>
    </w:p>
    <w:p>
      <w:pPr>
        <w:pStyle w:val="BodyText"/>
      </w:pPr>
      <w:r>
        <w:rPr>
          <w:bCs/>
          <w:b/>
        </w:rPr>
        <w:t xml:space="preserve">Proposition 9 (A certified interval for the least cost).</w:t>
      </w:r>
      <w:r>
        <w:t xml:space="preserve"> </w:t>
      </w:r>
      <w:r>
        <w:t xml:space="preserve">For every symmetric positive semidefinite matrix</w:t>
      </w:r>
      <w:r>
        <w:t xml:space="preserve"> </w:t>
      </w:r>
      <w:r>
        <w:rPr>
          <w:iCs/>
          <w:i/>
        </w:rPr>
        <w:t xml:space="preserve">Z</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642055" cy="320013"/>
                  <wp:effectExtent b="0" l="0" r="0" t="0"/>
                  <wp:docPr descr="" title="" id="113" name="Picture"/>
                  <a:graphic>
                    <a:graphicData uri="http://schemas.openxmlformats.org/drawingml/2006/picture">
                      <pic:pic>
                        <pic:nvPicPr>
                          <pic:cNvPr descr="/home/user/MAP---A/research/where-people-go-dengue/paper/eq/eq_ac551abc1fde1c7e.png" id="114" name="Picture"/>
                          <pic:cNvPicPr>
                            <a:picLocks noChangeArrowheads="1" noChangeAspect="1"/>
                          </pic:cNvPicPr>
                        </pic:nvPicPr>
                        <pic:blipFill>
                          <a:blip r:embed="rId112"/>
                          <a:stretch>
                            <a:fillRect/>
                          </a:stretch>
                        </pic:blipFill>
                        <pic:spPr bwMode="auto">
                          <a:xfrm>
                            <a:off x="0" y="0"/>
                            <a:ext cx="3642055" cy="320013"/>
                          </a:xfrm>
                          <a:prstGeom prst="rect">
                            <a:avLst/>
                          </a:prstGeom>
                          <a:noFill/>
                          <a:ln w="9525">
                            <a:noFill/>
                            <a:headEnd/>
                            <a:tailEnd/>
                          </a:ln>
                        </pic:spPr>
                      </pic:pic>
                    </a:graphicData>
                  </a:graphic>
                </wp:inline>
              </w:drawing>
            </w:r>
          </w:p>
        </w:tc>
        <w:tc>
          <w:tcPr>
            <w:tcW w:w="900" w:type="dxa"/>
            <w:vAlign w:val="center"/>
          </w:tcPr>
          <w:p>
            <w:pPr>
              <w:pStyle w:val="EquationNumber"/>
            </w:pPr>
            <w:r>
              <w:t>(18)</w:t>
            </w:r>
          </w:p>
        </w:tc>
      </w:tr>
    </w:tbl>
    <w:p>
      <w:pPr>
        <w:pStyle w:val="SourceLine"/>
      </w:pPr>
      <w:r>
        <w:t xml:space="preserve">Source: this study, by Lagrangian duality for semidefinite programs (Vandenberghe &amp; Boyd, 1996)</w:t>
      </w:r>
    </w:p>
    <w:p>
      <w:pPr>
        <w:pStyle w:val="BodyText"/>
      </w:pPr>
      <w:r>
        <w:t xml:space="preserve">is a lower bound on the optimal cost of program (9). Algorithm 1 therefore returns a feasible plan whose cost exceeds the optimum by at most the reported gap.</w:t>
      </w:r>
    </w:p>
    <w:p>
      <w:pPr>
        <w:pStyle w:val="BodyText"/>
      </w:pPr>
      <w:r>
        <w:rPr>
          <w:iCs/>
          <w:i/>
        </w:rPr>
        <w:t xml:space="preserve">Proof.</w:t>
      </w:r>
      <w:r>
        <w:t xml:space="preserve"> </w:t>
      </w:r>
      <w:r>
        <w:t xml:space="preserve">Let</w:t>
      </w:r>
      <w:r>
        <w:t xml:space="preserve"> </w:t>
      </w:r>
      <w:r>
        <w:rPr>
          <w:iCs/>
          <w:i/>
        </w:rPr>
        <w:t xml:space="preserve">u</w:t>
      </w:r>
      <w:r>
        <w:t xml:space="preserve"> </w:t>
      </w:r>
      <w:r>
        <w:t xml:space="preserve">satisfy the constraints of (9). The trace of the product of two positive semidefinite matrices is nonnegative, so tr(</w:t>
      </w:r>
      <w:r>
        <w:rPr>
          <w:iCs/>
          <w:i/>
        </w:rPr>
        <w:t xml:space="preserve">Z</w:t>
      </w:r>
      <w:r>
        <w:t xml:space="preserve">(</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 0 and ∑</w:t>
      </w:r>
      <w:r>
        <w:rPr>
          <w:iCs/>
          <w:i/>
          <w:vertAlign w:val="subscript"/>
        </w:rPr>
        <w:t xml:space="preserve">j</w:t>
      </w:r>
      <w:r>
        <w:rPr>
          <w:iCs/>
          <w:i/>
        </w:rPr>
        <w:t xml:space="preserve">c</w:t>
      </w:r>
      <w:r>
        <w:rPr>
          <w:iCs/>
          <w:i/>
          <w:vertAlign w:val="subscript"/>
        </w:rPr>
        <w:t xml:space="preserve">j</w:t>
      </w:r>
      <w:r>
        <w:rPr>
          <w:iCs/>
          <w:i/>
        </w:rPr>
        <w:t xml:space="preserve">u</w:t>
      </w:r>
      <w:r>
        <w:rPr>
          <w:iCs/>
          <w:i/>
          <w:vertAlign w:val="subscript"/>
        </w:rPr>
        <w:t xml:space="preserve">j</w:t>
      </w:r>
      <w:r>
        <w:t xml:space="preserve"> </w:t>
      </w:r>
      <w:r>
        <w:t xml:space="preserve">≥ ∑</w:t>
      </w:r>
      <w:r>
        <w:rPr>
          <w:iCs/>
          <w:i/>
          <w:vertAlign w:val="subscript"/>
        </w:rPr>
        <w:t xml:space="preserve">j</w:t>
      </w:r>
      <w:r>
        <w:rPr>
          <w:iCs/>
          <w:i/>
        </w:rPr>
        <w:t xml:space="preserve">c</w:t>
      </w:r>
      <w:r>
        <w:rPr>
          <w:iCs/>
          <w:i/>
          <w:vertAlign w:val="subscript"/>
        </w:rPr>
        <w:t xml:space="preserve">j</w:t>
      </w:r>
      <w:r>
        <w:rPr>
          <w:iCs/>
          <w:i/>
        </w:rPr>
        <w:t xml:space="preserve">u</w:t>
      </w:r>
      <w:r>
        <w:rPr>
          <w:iCs/>
          <w:i/>
          <w:vertAlign w:val="subscript"/>
        </w:rPr>
        <w:t xml:space="preserve">j</w:t>
      </w:r>
      <w:r>
        <w:t xml:space="preserve">−tr(</w:t>
      </w:r>
      <w:r>
        <w:rPr>
          <w:iCs/>
          <w:i/>
        </w:rPr>
        <w:t xml:space="preserve">Z</w:t>
      </w:r>
      <w:r>
        <w:t xml:space="preserve">(</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Because</w:t>
      </w:r>
      <w:r>
        <w:t xml:space="preserve"> </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w:t>
      </w:r>
      <w:r>
        <w:t xml:space="preserve"> </w:t>
      </w:r>
      <w:r>
        <w:rPr>
          <w:iCs/>
          <w:i/>
        </w:rPr>
        <w:t xml:space="preserve">r</w:t>
      </w:r>
      <w:r>
        <w:rPr>
          <w:vertAlign w:val="superscript"/>
        </w:rPr>
        <w:t xml:space="preserve">2</w:t>
      </w:r>
      <w:r>
        <w:rPr>
          <w:iCs/>
          <w:i/>
        </w:rPr>
        <w:t xml:space="preserve">I</w:t>
      </w:r>
      <w:r>
        <w:t xml:space="preserve">−</w:t>
      </w:r>
      <w:r>
        <w:rPr>
          <w:iCs/>
          <w:i/>
        </w:rPr>
        <w:t xml:space="preserve">S</w:t>
      </w:r>
      <w:r>
        <w:t xml:space="preserve">(0) + ∑</w:t>
      </w:r>
      <w:r>
        <w:rPr>
          <w:iCs/>
          <w:i/>
          <w:vertAlign w:val="subscript"/>
        </w:rPr>
        <w:t xml:space="preserve">j</w:t>
      </w:r>
      <w:r>
        <w:rPr>
          <w:iCs/>
          <w:i/>
        </w:rPr>
        <w:t xml:space="preserve">u</w:t>
      </w:r>
      <w:r>
        <w:rPr>
          <w:iCs/>
          <w:i/>
          <w:vertAlign w:val="subscript"/>
        </w:rPr>
        <w:t xml:space="preserve">j</w:t>
      </w:r>
      <w:r>
        <w:rPr>
          <w:iCs/>
          <w:i/>
        </w:rPr>
        <w:t xml:space="preserve">κw</w:t>
      </w:r>
      <w:r>
        <w:rPr>
          <w:iCs/>
          <w:i/>
          <w:vertAlign w:val="subscript"/>
        </w:rPr>
        <w:t xml:space="preserve">j</w:t>
      </w:r>
      <w:r>
        <w:rPr>
          <w:iCs/>
          <w:i/>
        </w:rPr>
        <w:t xml:space="preserve">q</w:t>
      </w:r>
      <w:r>
        <w:rPr>
          <w:iCs/>
          <w:i/>
          <w:vertAlign w:val="subscript"/>
        </w:rPr>
        <w:t xml:space="preserve">j</w:t>
      </w:r>
      <w:r>
        <w:rPr>
          <w:iCs/>
          <w:i/>
        </w:rPr>
        <w:t xml:space="preserve">q</w:t>
      </w:r>
      <w:r>
        <w:rPr>
          <w:iCs/>
          <w:i/>
          <w:vertAlign w:val="subscript"/>
        </w:rPr>
        <w:t xml:space="preserve">j</w:t>
      </w:r>
      <w:r>
        <w:rPr>
          <w:vertAlign w:val="superscript"/>
        </w:rPr>
        <w:t xml:space="preserve">T</w:t>
      </w:r>
      <w:r>
        <w:t xml:space="preserve">, the right side equals ∑</w:t>
      </w:r>
      <w:r>
        <w:rPr>
          <w:iCs/>
          <w:i/>
          <w:vertAlign w:val="subscript"/>
        </w:rPr>
        <w:t xml:space="preserve">j</w:t>
      </w:r>
      <w:r>
        <w:rPr>
          <w:iCs/>
          <w:i/>
        </w:rPr>
        <w:t xml:space="preserve">u</w:t>
      </w:r>
      <w:r>
        <w:rPr>
          <w:iCs/>
          <w:i/>
          <w:vertAlign w:val="subscript"/>
        </w:rPr>
        <w:t xml:space="preserve">j</w:t>
      </w:r>
      <w:r>
        <w:t xml:space="preserve">(</w:t>
      </w:r>
      <w:r>
        <w:rPr>
          <w:iCs/>
          <w:i/>
        </w:rPr>
        <w:t xml:space="preserve">c</w:t>
      </w:r>
      <w:r>
        <w:rPr>
          <w:iCs/>
          <w:i/>
          <w:vertAlign w:val="subscript"/>
        </w:rPr>
        <w:t xml:space="preserve">j</w:t>
      </w:r>
      <w:r>
        <w:t xml:space="preserve">−</w:t>
      </w:r>
      <w:r>
        <w:rPr>
          <w:iCs/>
          <w:i/>
        </w:rPr>
        <w:t xml:space="preserve">κw</w:t>
      </w:r>
      <w:r>
        <w:rPr>
          <w:iCs/>
          <w:i/>
          <w:vertAlign w:val="subscript"/>
        </w:rPr>
        <w:t xml:space="preserve">j</w:t>
      </w:r>
      <w:r>
        <w:rPr>
          <w:iCs/>
          <w:i/>
        </w:rPr>
        <w:t xml:space="preserve">q</w:t>
      </w:r>
      <w:r>
        <w:rPr>
          <w:iCs/>
          <w:i/>
          <w:vertAlign w:val="subscript"/>
        </w:rPr>
        <w:t xml:space="preserve">j</w:t>
      </w:r>
      <w:r>
        <w:rPr>
          <w:vertAlign w:val="superscript"/>
        </w:rPr>
        <w:t xml:space="preserve">T</w:t>
      </w:r>
      <w:r>
        <w:rPr>
          <w:iCs/>
          <w:i/>
        </w:rPr>
        <w:t xml:space="preserve">Zq</w:t>
      </w:r>
      <w:r>
        <w:rPr>
          <w:iCs/>
          <w:i/>
          <w:vertAlign w:val="subscript"/>
        </w:rPr>
        <w:t xml:space="preserve">j</w:t>
      </w:r>
      <w:r>
        <w:t xml:space="preserve">)−tr(</w:t>
      </w:r>
      <w:r>
        <w:rPr>
          <w:iCs/>
          <w:i/>
        </w:rPr>
        <w:t xml:space="preserve">Z</w:t>
      </w:r>
      <w:r>
        <w:t xml:space="preserve">(</w:t>
      </w:r>
      <w:r>
        <w:rPr>
          <w:iCs/>
          <w:i/>
        </w:rPr>
        <w:t xml:space="preserve">r</w:t>
      </w:r>
      <w:r>
        <w:rPr>
          <w:vertAlign w:val="superscript"/>
        </w:rPr>
        <w:t xml:space="preserve">2</w:t>
      </w:r>
      <w:r>
        <w:rPr>
          <w:iCs/>
          <w:i/>
        </w:rPr>
        <w:t xml:space="preserve">I</w:t>
      </w:r>
      <w:r>
        <w:t xml:space="preserve">−</w:t>
      </w:r>
      <w:r>
        <w:rPr>
          <w:iCs/>
          <w:i/>
        </w:rPr>
        <w:t xml:space="preserve">S</w:t>
      </w:r>
      <w:r>
        <w:t xml:space="preserve">(0))), a linear function of</w:t>
      </w:r>
      <w:r>
        <w:t xml:space="preserve"> </w:t>
      </w:r>
      <w:r>
        <w:rPr>
          <w:iCs/>
          <w:i/>
        </w:rPr>
        <w:t xml:space="preserve">u</w:t>
      </w:r>
      <w:r>
        <w:t xml:space="preserve"> </w:t>
      </w:r>
      <w:r>
        <w:t xml:space="preserve">whose minimum over the box 0 ≤</w:t>
      </w:r>
      <w:r>
        <w:t xml:space="preserve"> </w:t>
      </w:r>
      <w:r>
        <w:rPr>
          <w:iCs/>
          <w:i/>
        </w:rPr>
        <w:t xml:space="preserve">u</w:t>
      </w:r>
      <w:r>
        <w:t xml:space="preserve"> </w:t>
      </w:r>
      <w:r>
        <w:t xml:space="preserve">≤</w:t>
      </w:r>
      <w:r>
        <w:t xml:space="preserve"> </w:t>
      </w:r>
      <w:r>
        <w:rPr>
          <w:iCs/>
          <w:i/>
        </w:rPr>
        <w:t xml:space="preserve">ū</w:t>
      </w:r>
      <w:r>
        <w:t xml:space="preserve"> </w:t>
      </w:r>
      <w:r>
        <w:t xml:space="preserve">is</w:t>
      </w:r>
      <w:r>
        <w:t xml:space="preserve"> </w:t>
      </w:r>
      <w:r>
        <w:rPr>
          <w:iCs/>
          <w:i/>
        </w:rPr>
        <w:t xml:space="preserve">g</w:t>
      </w:r>
      <w:r>
        <w:t xml:space="preserve">(</w:t>
      </w:r>
      <w:r>
        <w:rPr>
          <w:iCs/>
          <w:i/>
        </w:rPr>
        <w:t xml:space="preserve">Z</w:t>
      </w:r>
      <w:r>
        <w:t xml:space="preserve">). The bound holds for every feasible</w:t>
      </w:r>
      <w:r>
        <w:t xml:space="preserve"> </w:t>
      </w:r>
      <w:r>
        <w:rPr>
          <w:iCs/>
          <w:i/>
        </w:rPr>
        <w:t xml:space="preserve">u</w:t>
      </w:r>
      <w:r>
        <w:t xml:space="preserve">, hence for the optimum. Algorithm 1 accepts only points at which the Cholesky factorization of</w:t>
      </w:r>
      <w:r>
        <w:t xml:space="preserve"> </w:t>
      </w:r>
      <w:r>
        <w:rPr>
          <w:iCs/>
          <w:i/>
        </w:rPr>
        <w:t xml:space="preserve">r</w:t>
      </w:r>
      <w:r>
        <w:rPr>
          <w:vertAlign w:val="superscript"/>
        </w:rPr>
        <w:t xml:space="preserve">2</w:t>
      </w:r>
      <w:r>
        <w:rPr>
          <w:iCs/>
          <w:i/>
        </w:rPr>
        <w:t xml:space="preserve">I</w:t>
      </w:r>
      <w:r>
        <w:t xml:space="preserve">−</w:t>
      </w:r>
      <w:r>
        <w:rPr>
          <w:iCs/>
          <w:i/>
        </w:rPr>
        <w:t xml:space="preserve">S</w:t>
      </w:r>
      <w:r>
        <w:t xml:space="preserve">(</w:t>
      </w:r>
      <w:r>
        <w:rPr>
          <w:iCs/>
          <w:i/>
        </w:rPr>
        <w:t xml:space="preserve">u</w:t>
      </w:r>
      <w:r>
        <w:t xml:space="preserve">) succeeds, so its plan is feasible and its cost is an upper bound. The barrier method converges to the optimum as</w:t>
      </w:r>
      <w:r>
        <w:t xml:space="preserve"> </w:t>
      </w:r>
      <w:r>
        <w:rPr>
          <w:iCs/>
          <w:i/>
        </w:rPr>
        <w:t xml:space="preserve">t</w:t>
      </w:r>
      <w:r>
        <w:t xml:space="preserve"> </w:t>
      </w:r>
      <w:r>
        <w:t xml:space="preserve">grows (Boyd &amp; Vandenberghe, 2004). □</w:t>
      </w:r>
    </w:p>
    <w:p>
      <w:pPr>
        <w:pStyle w:val="BodyText"/>
      </w:pPr>
      <w:r>
        <w:rPr>
          <w:bCs/>
          <w:b/>
        </w:rPr>
        <w:t xml:space="preserve">Proposition 10 (The season scales the reproduction number).</w:t>
      </w:r>
      <w:r>
        <w:t xml:space="preserve"> </w:t>
      </w:r>
      <w:r>
        <w:t xml:space="preserve">For a season factor</w:t>
      </w:r>
      <w:r>
        <w:t xml:space="preserve"> </w:t>
      </w:r>
      <w:r>
        <w:rPr>
          <w:iCs/>
          <w:i/>
        </w:rPr>
        <w:t xml:space="preserve">ς</w:t>
      </w:r>
      <w:r>
        <w:t xml:space="preserve">,</w:t>
      </w:r>
      <w:r>
        <w:t xml:space="preserve"> </w:t>
      </w:r>
      <w:r>
        <w:rPr>
          <w:iCs/>
          <w:i/>
        </w:rPr>
        <w:t xml:space="preserve">R</w:t>
      </w:r>
      <w:r>
        <w:rPr>
          <w:vertAlign w:val="subscript"/>
        </w:rPr>
        <w:t xml:space="preserve">0</w:t>
      </w:r>
      <w:r>
        <w:rPr>
          <w:vertAlign w:val="superscript"/>
        </w:rPr>
        <w:t xml:space="preserve">2</w:t>
      </w:r>
      <w:r>
        <w:t xml:space="preserve">(</w:t>
      </w:r>
      <w:r>
        <w:rPr>
          <w:iCs/>
          <w:i/>
        </w:rPr>
        <w:t xml:space="preserve">u</w:t>
      </w:r>
      <w:r>
        <w:t xml:space="preserve">;</w:t>
      </w:r>
      <w:r>
        <w:rPr>
          <w:iCs/>
          <w:i/>
        </w:rPr>
        <w:t xml:space="preserve">ς</w:t>
      </w:r>
      <w:r>
        <w:t xml:space="preserve">) =</w:t>
      </w:r>
      <w:r>
        <w:t xml:space="preserve"> </w:t>
      </w:r>
      <w:r>
        <w:rPr>
          <w:iCs/>
          <w:i/>
        </w:rPr>
        <w:t xml:space="preserve">ςR</w:t>
      </w:r>
      <w:r>
        <w:rPr>
          <w:vertAlign w:val="subscript"/>
        </w:rPr>
        <w:t xml:space="preserve">0</w:t>
      </w:r>
      <w:r>
        <w:rPr>
          <w:vertAlign w:val="superscript"/>
        </w:rPr>
        <w:t xml:space="preserve">2</w:t>
      </w:r>
      <w:r>
        <w:t xml:space="preserve">(</w:t>
      </w:r>
      <w:r>
        <w:rPr>
          <w:iCs/>
          <w:i/>
        </w:rPr>
        <w:t xml:space="preserve">u</w:t>
      </w:r>
      <w:r>
        <w:t xml:space="preserve">;1). Without control, dengue can take hold exactly when</w:t>
      </w:r>
      <w:r>
        <w:t xml:space="preserve"> </w:t>
      </w:r>
      <w:r>
        <w:rPr>
          <w:iCs/>
          <w:i/>
        </w:rPr>
        <w:t xml:space="preserve">ς</w:t>
      </w:r>
      <w:r>
        <w:t xml:space="preserve"> </w:t>
      </w:r>
      <w:r>
        <w:t xml:space="preserve">&gt; 1/</w:t>
      </w:r>
      <w:r>
        <w:rPr>
          <w:iCs/>
          <w:i/>
        </w:rPr>
        <w:t xml:space="preserve">R</w:t>
      </w:r>
      <w:r>
        <w:rPr>
          <w:vertAlign w:val="subscript"/>
        </w:rPr>
        <w:t xml:space="preserve">0</w:t>
      </w:r>
      <w:r>
        <w:rPr>
          <w:vertAlign w:val="superscript"/>
        </w:rPr>
        <w:t xml:space="preserve">2</w:t>
      </w:r>
      <w:r>
        <w:t xml:space="preserve">(0;1), and the least cost of reaching a target never decreases as</w:t>
      </w:r>
      <w:r>
        <w:t xml:space="preserve"> </w:t>
      </w:r>
      <w:r>
        <w:rPr>
          <w:iCs/>
          <w:i/>
        </w:rPr>
        <w:t xml:space="preserve">ς</w:t>
      </w:r>
      <w:r>
        <w:t xml:space="preserve"> </w:t>
      </w:r>
      <w:r>
        <w:t xml:space="preserve">grows.</w:t>
      </w:r>
    </w:p>
    <w:p>
      <w:pPr>
        <w:pStyle w:val="BodyText"/>
      </w:pPr>
      <w:r>
        <w:rPr>
          <w:iCs/>
          <w:i/>
        </w:rPr>
        <w:t xml:space="preserve">Proof.</w:t>
      </w:r>
      <w:r>
        <w:t xml:space="preserve"> </w:t>
      </w:r>
      <w:r>
        <w:t xml:space="preserve">Scaling every</w:t>
      </w:r>
      <w:r>
        <w:t xml:space="preserve"> </w:t>
      </w:r>
      <w:r>
        <w:rPr>
          <w:iCs/>
          <w:i/>
        </w:rPr>
        <w:t xml:space="preserve">V</w:t>
      </w:r>
      <w:r>
        <w:rPr>
          <w:iCs/>
          <w:i/>
          <w:vertAlign w:val="subscript"/>
        </w:rPr>
        <w:t xml:space="preserve">j</w:t>
      </w:r>
      <w:r>
        <w:t xml:space="preserve"> </w:t>
      </w:r>
      <w:r>
        <w:t xml:space="preserve">by</w:t>
      </w:r>
      <w:r>
        <w:t xml:space="preserve"> </w:t>
      </w:r>
      <w:r>
        <w:rPr>
          <w:iCs/>
          <w:i/>
        </w:rPr>
        <w:t xml:space="preserve">ς</w:t>
      </w:r>
      <w:r>
        <w:t xml:space="preserve"> </w:t>
      </w:r>
      <w:r>
        <w:t xml:space="preserve">scales</w:t>
      </w:r>
      <w:r>
        <w:t xml:space="preserve"> </w:t>
      </w:r>
      <w:r>
        <w:rPr>
          <w:iCs/>
          <w:i/>
        </w:rPr>
        <w:t xml:space="preserve">W</w:t>
      </w:r>
      <w:r>
        <w:t xml:space="preserve">, and therefore</w:t>
      </w:r>
      <w:r>
        <w:t xml:space="preserve"> </w:t>
      </w:r>
      <w:r>
        <w:rPr>
          <w:iCs/>
          <w:i/>
        </w:rPr>
        <w:t xml:space="preserve">S</w:t>
      </w:r>
      <w:r>
        <w:t xml:space="preserve">(</w:t>
      </w:r>
      <w:r>
        <w:rPr>
          <w:iCs/>
          <w:i/>
        </w:rPr>
        <w:t xml:space="preserve">u</w:t>
      </w:r>
      <w:r>
        <w:t xml:space="preserve">) and its largest eigenvalue, by</w:t>
      </w:r>
      <w:r>
        <w:t xml:space="preserve"> </w:t>
      </w:r>
      <w:r>
        <w:rPr>
          <w:iCs/>
          <w:i/>
        </w:rPr>
        <w:t xml:space="preserve">ς</w:t>
      </w:r>
      <w:r>
        <w:t xml:space="preserve">, while</w:t>
      </w:r>
      <w:r>
        <w:t xml:space="preserve"> </w:t>
      </w:r>
      <w:r>
        <w:rPr>
          <w:iCs/>
          <w:i/>
        </w:rPr>
        <w:t xml:space="preserve">Ñ</w:t>
      </w:r>
      <w:r>
        <w:rPr>
          <w:iCs/>
          <w:i/>
          <w:vertAlign w:val="subscript"/>
        </w:rPr>
        <w:t xml:space="preserve">j</w:t>
      </w:r>
      <w:r>
        <w:t xml:space="preserve"> </w:t>
      </w:r>
      <w:r>
        <w:t xml:space="preserve">stays the same. If</w:t>
      </w:r>
      <w:r>
        <w:t xml:space="preserve"> </w:t>
      </w:r>
      <w:r>
        <w:rPr>
          <w:iCs/>
          <w:i/>
        </w:rPr>
        <w:t xml:space="preserve">ς</w:t>
      </w:r>
      <w:r>
        <w:t xml:space="preserve">′ ≥</w:t>
      </w:r>
      <w:r>
        <w:t xml:space="preserve"> </w:t>
      </w:r>
      <w:r>
        <w:rPr>
          <w:iCs/>
          <w:i/>
        </w:rPr>
        <w:t xml:space="preserve">ς</w:t>
      </w:r>
      <w:r>
        <w:t xml:space="preserve">, every plan that meets the target in season</w:t>
      </w:r>
      <w:r>
        <w:t xml:space="preserve"> </w:t>
      </w:r>
      <w:r>
        <w:rPr>
          <w:iCs/>
          <w:i/>
        </w:rPr>
        <w:t xml:space="preserve">ς</w:t>
      </w:r>
      <w:r>
        <w:t xml:space="preserve">′ meets it in season</w:t>
      </w:r>
      <w:r>
        <w:t xml:space="preserve"> </w:t>
      </w:r>
      <w:r>
        <w:rPr>
          <w:iCs/>
          <w:i/>
        </w:rPr>
        <w:t xml:space="preserve">ς</w:t>
      </w:r>
      <w:r>
        <w:t xml:space="preserve">, so the cheapest plan for</w:t>
      </w:r>
      <w:r>
        <w:t xml:space="preserve"> </w:t>
      </w:r>
      <w:r>
        <w:rPr>
          <w:iCs/>
          <w:i/>
        </w:rPr>
        <w:t xml:space="preserve">ς</w:t>
      </w:r>
      <w:r>
        <w:t xml:space="preserve">′ costs at least as much. □</w:t>
      </w:r>
    </w:p>
    <w:p>
      <w:pPr>
        <w:pStyle w:val="BodyText"/>
      </w:pPr>
      <w:r>
        <w:rPr>
          <w:bCs/>
          <w:b/>
        </w:rPr>
        <w:t xml:space="preserve">Proposition 11 (Infections can be traced to their places).</w:t>
      </w:r>
      <w:r>
        <w:t xml:space="preserve"> </w:t>
      </w:r>
      <w:r>
        <w:t xml:space="preserve">If every barangay’s residents spend more than half of the biting hours at home (</w:t>
      </w:r>
      <w:r>
        <w:rPr>
          <w:iCs/>
          <w:i/>
        </w:rPr>
        <w:t xml:space="preserve">p</w:t>
      </w:r>
      <w:r>
        <w:rPr>
          <w:iCs/>
          <w:i/>
          <w:vertAlign w:val="subscript"/>
        </w:rPr>
        <w:t xml:space="preserve">ii</w:t>
      </w:r>
      <w:r>
        <w:t xml:space="preserve"> </w:t>
      </w:r>
      <w:r>
        <w:t xml:space="preserve">&gt; 1/2), then</w:t>
      </w:r>
      <w:r>
        <w:t xml:space="preserve"> </w:t>
      </w:r>
      <w:r>
        <w:rPr>
          <w:iCs/>
          <w:i/>
        </w:rPr>
        <w:t xml:space="preserve">P</w:t>
      </w:r>
      <w:r>
        <w:t xml:space="preserve"> </w:t>
      </w:r>
      <w:r>
        <w:t xml:space="preserve">is invertible, the rates by residence determine the pressures by place, and errors</w:t>
      </w:r>
      <w:r>
        <w:t xml:space="preserve"> </w:t>
      </w:r>
      <w:r>
        <w:rPr>
          <w:iCs/>
          <w:i/>
        </w:rPr>
        <w:t xml:space="preserve">ε</w:t>
      </w:r>
      <w:r>
        <w:t xml:space="preserve"> </w:t>
      </w:r>
      <w:r>
        <w:t xml:space="preserve">in the rates move the recovered pressures by at most</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645920" cy="359663"/>
                  <wp:effectExtent b="0" l="0" r="0" t="0"/>
                  <wp:docPr descr="" title="" id="116" name="Picture"/>
                  <a:graphic>
                    <a:graphicData uri="http://schemas.openxmlformats.org/drawingml/2006/picture">
                      <pic:pic>
                        <pic:nvPicPr>
                          <pic:cNvPr descr="/home/user/MAP---A/research/where-people-go-dengue/paper/eq/eq_9b42c12daa696511.png" id="117" name="Picture"/>
                          <pic:cNvPicPr>
                            <a:picLocks noChangeArrowheads="1" noChangeAspect="1"/>
                          </pic:cNvPicPr>
                        </pic:nvPicPr>
                        <pic:blipFill>
                          <a:blip r:embed="rId115"/>
                          <a:stretch>
                            <a:fillRect/>
                          </a:stretch>
                        </pic:blipFill>
                        <pic:spPr bwMode="auto">
                          <a:xfrm>
                            <a:off x="0" y="0"/>
                            <a:ext cx="1645920" cy="359663"/>
                          </a:xfrm>
                          <a:prstGeom prst="rect">
                            <a:avLst/>
                          </a:prstGeom>
                          <a:noFill/>
                          <a:ln w="9525">
                            <a:noFill/>
                            <a:headEnd/>
                            <a:tailEnd/>
                          </a:ln>
                        </pic:spPr>
                      </pic:pic>
                    </a:graphicData>
                  </a:graphic>
                </wp:inline>
              </w:drawing>
            </w:r>
          </w:p>
        </w:tc>
        <w:tc>
          <w:tcPr>
            <w:tcW w:w="900" w:type="dxa"/>
            <w:vAlign w:val="center"/>
          </w:tcPr>
          <w:p>
            <w:pPr>
              <w:pStyle w:val="EquationNumber"/>
            </w:pPr>
            <w:r>
              <w:t>(19)</w:t>
            </w:r>
          </w:p>
        </w:tc>
      </w:tr>
    </w:tbl>
    <w:p>
      <w:pPr>
        <w:pStyle w:val="SourceLine"/>
      </w:pPr>
      <w:r>
        <w:t xml:space="preserve">Source: this study, by the bound of Varah (1975)</w:t>
      </w:r>
    </w:p>
    <w:p>
      <w:pPr>
        <w:pStyle w:val="BodyText"/>
      </w:pPr>
      <w:r>
        <w:rPr>
          <w:iCs/>
          <w:i/>
        </w:rPr>
        <w:t xml:space="preserve">Proof.</w:t>
      </w:r>
      <w:r>
        <w:t xml:space="preserve"> </w:t>
      </w:r>
      <w:r>
        <w:t xml:space="preserve">Each row of</w:t>
      </w:r>
      <w:r>
        <w:t xml:space="preserve"> </w:t>
      </w:r>
      <w:r>
        <w:rPr>
          <w:iCs/>
          <w:i/>
        </w:rPr>
        <w:t xml:space="preserve">P</w:t>
      </w:r>
      <w:r>
        <w:t xml:space="preserve"> </w:t>
      </w:r>
      <w:r>
        <w:t xml:space="preserve">sums to one, so</w:t>
      </w:r>
      <w:r>
        <w:t xml:space="preserve"> </w:t>
      </w:r>
      <w:r>
        <w:rPr>
          <w:iCs/>
          <w:i/>
        </w:rPr>
        <w:t xml:space="preserve">p</w:t>
      </w:r>
      <w:r>
        <w:rPr>
          <w:iCs/>
          <w:i/>
          <w:vertAlign w:val="subscript"/>
        </w:rPr>
        <w:t xml:space="preserve">ii</w:t>
      </w:r>
      <w:r>
        <w:t xml:space="preserve">−∑</w:t>
      </w:r>
      <w:r>
        <w:rPr>
          <w:iCs/>
          <w:i/>
          <w:vertAlign w:val="subscript"/>
        </w:rPr>
        <w:t xml:space="preserve">j</w:t>
      </w:r>
      <w:r>
        <w:rPr>
          <w:vertAlign w:val="subscript"/>
        </w:rPr>
        <w:t xml:space="preserve">≠</w:t>
      </w:r>
      <w:r>
        <w:rPr>
          <w:iCs/>
          <w:i/>
          <w:vertAlign w:val="subscript"/>
        </w:rPr>
        <w:t xml:space="preserve">i</w:t>
      </w:r>
      <w:r>
        <w:rPr>
          <w:iCs/>
          <w:i/>
        </w:rPr>
        <w:t xml:space="preserve">p</w:t>
      </w:r>
      <w:r>
        <w:rPr>
          <w:iCs/>
          <w:i/>
          <w:vertAlign w:val="subscript"/>
        </w:rPr>
        <w:t xml:space="preserve">ij</w:t>
      </w:r>
      <w:r>
        <w:t xml:space="preserve"> </w:t>
      </w:r>
      <w:r>
        <w:t xml:space="preserve">= 2</w:t>
      </w:r>
      <w:r>
        <w:rPr>
          <w:iCs/>
          <w:i/>
        </w:rPr>
        <w:t xml:space="preserve">p</w:t>
      </w:r>
      <w:r>
        <w:rPr>
          <w:iCs/>
          <w:i/>
          <w:vertAlign w:val="subscript"/>
        </w:rPr>
        <w:t xml:space="preserve">ii</w:t>
      </w:r>
      <w:r>
        <w:t xml:space="preserve">−1 &gt; 0:</w:t>
      </w:r>
      <w:r>
        <w:t xml:space="preserve"> </w:t>
      </w:r>
      <w:r>
        <w:rPr>
          <w:iCs/>
          <w:i/>
        </w:rPr>
        <w:t xml:space="preserve">P</w:t>
      </w:r>
      <w:r>
        <w:t xml:space="preserve"> </w:t>
      </w:r>
      <w:r>
        <w:t xml:space="preserve">is strictly diagonally dominant and therefore invertible (Horn &amp; Johnson, 2013). For such matrices Varah (1975) proved ‖</w:t>
      </w:r>
      <w:r>
        <w:rPr>
          <w:iCs/>
          <w:i/>
        </w:rPr>
        <w:t xml:space="preserve">P</w:t>
      </w:r>
      <w:r>
        <w:rPr>
          <w:vertAlign w:val="superscript"/>
        </w:rPr>
        <w:t xml:space="preserve">−1</w:t>
      </w:r>
      <w:r>
        <w:t xml:space="preserve">‖</w:t>
      </w:r>
      <w:r>
        <w:rPr>
          <w:vertAlign w:val="subscript"/>
        </w:rPr>
        <w:t xml:space="preserve">∞</w:t>
      </w:r>
      <w:r>
        <w:t xml:space="preserve"> </w:t>
      </w:r>
      <w:r>
        <w:t xml:space="preserve">≤ 1/min</w:t>
      </w:r>
      <w:r>
        <w:rPr>
          <w:iCs/>
          <w:i/>
          <w:vertAlign w:val="subscript"/>
        </w:rPr>
        <w:t xml:space="preserve">i</w:t>
      </w:r>
      <w:r>
        <w:t xml:space="preserve">(|</w:t>
      </w:r>
      <w:r>
        <w:rPr>
          <w:iCs/>
          <w:i/>
        </w:rPr>
        <w:t xml:space="preserve">p</w:t>
      </w:r>
      <w:r>
        <w:rPr>
          <w:iCs/>
          <w:i/>
          <w:vertAlign w:val="subscript"/>
        </w:rPr>
        <w:t xml:space="preserve">ii</w:t>
      </w:r>
      <w:r>
        <w:t xml:space="preserve">|−∑</w:t>
      </w:r>
      <w:r>
        <w:rPr>
          <w:iCs/>
          <w:i/>
          <w:vertAlign w:val="subscript"/>
        </w:rPr>
        <w:t xml:space="preserve">j</w:t>
      </w:r>
      <w:r>
        <w:rPr>
          <w:vertAlign w:val="subscript"/>
        </w:rPr>
        <w:t xml:space="preserve">≠</w:t>
      </w:r>
      <w:r>
        <w:rPr>
          <w:iCs/>
          <w:i/>
          <w:vertAlign w:val="subscript"/>
        </w:rPr>
        <w:t xml:space="preserve">i</w:t>
      </w:r>
      <w:r>
        <w:t xml:space="preserve">|</w:t>
      </w:r>
      <w:r>
        <w:rPr>
          <w:iCs/>
          <w:i/>
        </w:rPr>
        <w:t xml:space="preserve">p</w:t>
      </w:r>
      <w:r>
        <w:rPr>
          <w:iCs/>
          <w:i/>
          <w:vertAlign w:val="subscript"/>
        </w:rPr>
        <w:t xml:space="preserve">ij</w:t>
      </w:r>
      <w:r>
        <w:t xml:space="preserve">|). Since</w:t>
      </w:r>
      <w:r>
        <w:t xml:space="preserve"> </w:t>
      </w:r>
      <w:r>
        <w:rPr>
          <w:iCs/>
          <w:i/>
        </w:rPr>
        <w:t xml:space="preserve">ẑ</w:t>
      </w:r>
      <w:r>
        <w:t xml:space="preserve">−</w:t>
      </w:r>
      <w:r>
        <w:rPr>
          <w:iCs/>
          <w:i/>
        </w:rPr>
        <w:t xml:space="preserve">z</w:t>
      </w:r>
      <w:r>
        <w:t xml:space="preserve"> </w:t>
      </w:r>
      <w:r>
        <w:t xml:space="preserve">=</w:t>
      </w:r>
      <w:r>
        <w:t xml:space="preserve"> </w:t>
      </w:r>
      <w:r>
        <w:rPr>
          <w:iCs/>
          <w:i/>
        </w:rPr>
        <w:t xml:space="preserve">P</w:t>
      </w:r>
      <w:r>
        <w:rPr>
          <w:vertAlign w:val="superscript"/>
        </w:rPr>
        <w:t xml:space="preserve">−1</w:t>
      </w:r>
      <w:r>
        <w:rPr>
          <w:iCs/>
          <w:i/>
        </w:rPr>
        <w:t xml:space="preserve">ε</w:t>
      </w:r>
      <w:r>
        <w:t xml:space="preserve">, the bound follows. □</w:t>
      </w:r>
    </w:p>
    <w:p>
      <w:pPr>
        <w:pStyle w:val="BodyText"/>
      </w:pPr>
      <w:r>
        <w:rPr>
          <w:bCs/>
          <w:b/>
        </w:rPr>
        <w:t xml:space="preserve">Remark 4 (What the condition means).</w:t>
      </w:r>
      <w:r>
        <w:t xml:space="preserve"> </w:t>
      </w:r>
      <w:r>
        <w:t xml:space="preserve">In the worked example residents spend 20 to 40 percent of the biting hours away from home, so the factor in Equation (19) is at most 5: an error of one case per thousand residents in the reported rates moves an inferred pressure by at most five per thousand.</w:t>
      </w:r>
    </w:p>
    <w:p>
      <w:pPr>
        <w:pStyle w:val="BodyText"/>
      </w:pPr>
      <w:r>
        <w:rPr>
          <w:bCs/>
          <w:b/>
        </w:rPr>
        <w:t xml:space="preserve">Proposition 12 (Guarantees of the CUSUM alarm).</w:t>
      </w:r>
      <w:r>
        <w:t xml:space="preserve"> </w:t>
      </w:r>
      <w:r>
        <w:t xml:space="preserve">(i) Higher counts never delay the alarm: if</w:t>
      </w:r>
      <w:r>
        <w:t xml:space="preserve"> </w:t>
      </w:r>
      <w:r>
        <w:rPr>
          <w:iCs/>
          <w:i/>
        </w:rPr>
        <w:t xml:space="preserve">x</w:t>
      </w:r>
      <w:r>
        <w:rPr>
          <w:iCs/>
          <w:i/>
          <w:vertAlign w:val="subscript"/>
        </w:rPr>
        <w:t xml:space="preserve">t</w:t>
      </w:r>
      <w:r>
        <w:t xml:space="preserve"> </w:t>
      </w:r>
      <w:r>
        <w:t xml:space="preserve">≤</w:t>
      </w:r>
      <w:r>
        <w:t xml:space="preserve"> </w:t>
      </w:r>
      <w:r>
        <w:rPr>
          <w:iCs/>
          <w:i/>
        </w:rPr>
        <w:t xml:space="preserve">x</w:t>
      </w:r>
      <w:r>
        <w:t xml:space="preserve">′</w:t>
      </w:r>
      <w:r>
        <w:rPr>
          <w:iCs/>
          <w:i/>
          <w:vertAlign w:val="subscript"/>
        </w:rPr>
        <w:t xml:space="preserve">t</w:t>
      </w:r>
      <w:r>
        <w:t xml:space="preserve"> </w:t>
      </w:r>
      <w:r>
        <w:t xml:space="preserve">for all</w:t>
      </w:r>
      <w:r>
        <w:t xml:space="preserve"> </w:t>
      </w:r>
      <w:r>
        <w:rPr>
          <w:iCs/>
          <w:i/>
        </w:rPr>
        <w:t xml:space="preserve">t</w:t>
      </w:r>
      <w:r>
        <w:t xml:space="preserve">, then</w:t>
      </w:r>
      <w:r>
        <w:t xml:space="preserve"> </w:t>
      </w:r>
      <w:r>
        <w:rPr>
          <w:iCs/>
          <w:i/>
        </w:rPr>
        <w:t xml:space="preserve">S</w:t>
      </w:r>
      <w:r>
        <w:rPr>
          <w:iCs/>
          <w:i/>
          <w:vertAlign w:val="subscript"/>
        </w:rPr>
        <w:t xml:space="preserve">t</w:t>
      </w:r>
      <w:r>
        <w:t xml:space="preserve"> </w:t>
      </w:r>
      <w:r>
        <w:t xml:space="preserve">≤</w:t>
      </w:r>
      <w:r>
        <w:t xml:space="preserve"> </w:t>
      </w:r>
      <w:r>
        <w:rPr>
          <w:iCs/>
          <w:i/>
        </w:rPr>
        <w:t xml:space="preserve">S</w:t>
      </w:r>
      <w:r>
        <w:t xml:space="preserve">′</w:t>
      </w:r>
      <w:r>
        <w:rPr>
          <w:iCs/>
          <w:i/>
          <w:vertAlign w:val="subscript"/>
        </w:rPr>
        <w:t xml:space="preserve">t</w:t>
      </w:r>
      <w:r>
        <w:t xml:space="preserve"> </w:t>
      </w:r>
      <w:r>
        <w:t xml:space="preserve">for all</w:t>
      </w:r>
      <w:r>
        <w:t xml:space="preserve"> </w:t>
      </w:r>
      <w:r>
        <w:rPr>
          <w:iCs/>
          <w:i/>
        </w:rPr>
        <w:t xml:space="preserve">t</w:t>
      </w:r>
      <w:r>
        <w:t xml:space="preserve">. (ii) If from week</w:t>
      </w:r>
      <w:r>
        <w:t xml:space="preserve"> </w:t>
      </w:r>
      <w:r>
        <w:rPr>
          <w:iCs/>
          <w:i/>
        </w:rPr>
        <w:t xml:space="preserve">τ</w:t>
      </w:r>
      <w:r>
        <w:t xml:space="preserve"> </w:t>
      </w:r>
      <w:r>
        <w:t xml:space="preserve">on every count exceeds the reference value by at least</w:t>
      </w:r>
      <w:r>
        <w:t xml:space="preserve"> </w:t>
      </w:r>
      <w:r>
        <w:rPr>
          <w:iCs/>
          <w:i/>
        </w:rPr>
        <w:t xml:space="preserve">δ</w:t>
      </w:r>
      <w:r>
        <w:t xml:space="preserve"> </w:t>
      </w:r>
      <w:r>
        <w:t xml:space="preserve">&gt; 0, the alarm sounds no later than week</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832104" cy="152400"/>
                  <wp:effectExtent b="0" l="0" r="0" t="0"/>
                  <wp:docPr descr="" title="" id="119" name="Picture"/>
                  <a:graphic>
                    <a:graphicData uri="http://schemas.openxmlformats.org/drawingml/2006/picture">
                      <pic:pic>
                        <pic:nvPicPr>
                          <pic:cNvPr descr="/home/user/MAP---A/research/where-people-go-dengue/paper/eq/eq_11ffa41692e45313.png" id="120" name="Picture"/>
                          <pic:cNvPicPr>
                            <a:picLocks noChangeArrowheads="1" noChangeAspect="1"/>
                          </pic:cNvPicPr>
                        </pic:nvPicPr>
                        <pic:blipFill>
                          <a:blip r:embed="rId118"/>
                          <a:stretch>
                            <a:fillRect/>
                          </a:stretch>
                        </pic:blipFill>
                        <pic:spPr bwMode="auto">
                          <a:xfrm>
                            <a:off x="0" y="0"/>
                            <a:ext cx="832104" cy="152400"/>
                          </a:xfrm>
                          <a:prstGeom prst="rect">
                            <a:avLst/>
                          </a:prstGeom>
                          <a:noFill/>
                          <a:ln w="9525">
                            <a:noFill/>
                            <a:headEnd/>
                            <a:tailEnd/>
                          </a:ln>
                        </pic:spPr>
                      </pic:pic>
                    </a:graphicData>
                  </a:graphic>
                </wp:inline>
              </w:drawing>
            </w:r>
          </w:p>
        </w:tc>
        <w:tc>
          <w:tcPr>
            <w:tcW w:w="900" w:type="dxa"/>
            <w:vAlign w:val="center"/>
          </w:tcPr>
          <w:p>
            <w:pPr>
              <w:pStyle w:val="EquationNumber"/>
            </w:pPr>
            <w:r>
              <w:t>(20)</w:t>
            </w:r>
          </w:p>
        </w:tc>
      </w:tr>
    </w:tbl>
    <w:p>
      <w:pPr>
        <w:pStyle w:val="SourceLine"/>
      </w:pPr>
      <w:r>
        <w:t xml:space="preserve">Source: this study (Proposition 12)</w:t>
      </w:r>
    </w:p>
    <w:p>
      <w:pPr>
        <w:numPr>
          <w:ilvl w:val="0"/>
          <w:numId w:val="1005"/>
        </w:numPr>
        <w:pStyle w:val="Compact"/>
      </w:pPr>
      <w:r>
        <w:t xml:space="preserve">If</w:t>
      </w:r>
      <w:r>
        <w:t xml:space="preserve"> </w:t>
      </w:r>
      <w:r>
        <w:rPr>
          <w:iCs/>
          <w:i/>
        </w:rPr>
        <w:t xml:space="preserve">k</w:t>
      </w:r>
      <w:r>
        <w:t xml:space="preserve"> </w:t>
      </w:r>
      <w:r>
        <w:t xml:space="preserve">and</w:t>
      </w:r>
      <w:r>
        <w:t xml:space="preserve"> </w:t>
      </w:r>
      <w:r>
        <w:rPr>
          <w:iCs/>
          <w:i/>
        </w:rPr>
        <w:t xml:space="preserve">h</w:t>
      </w:r>
      <w:r>
        <w:t xml:space="preserve"> </w:t>
      </w:r>
      <w:r>
        <w:t xml:space="preserve">are whole numbers and the weekly counts are independent Poisson variables with mean</w:t>
      </w:r>
      <w:r>
        <w:t xml:space="preserve"> </w:t>
      </w:r>
      <w:r>
        <w:rPr>
          <w:iCs/>
          <w:i/>
        </w:rPr>
        <w:t xml:space="preserve">μ</w:t>
      </w:r>
      <w:r>
        <w:t xml:space="preserve">, the average run length to an alarm is exactly ((</w:t>
      </w:r>
      <w:r>
        <w:rPr>
          <w:iCs/>
          <w:i/>
        </w:rPr>
        <w:t xml:space="preserve">I</w:t>
      </w:r>
      <w:r>
        <w:t xml:space="preserve">−</w:t>
      </w:r>
      <w:r>
        <w:rPr>
          <w:iCs/>
          <w:i/>
        </w:rPr>
        <w:t xml:space="preserve">Q</w:t>
      </w:r>
      <w:r>
        <w:t xml:space="preserve">)</w:t>
      </w:r>
      <w:r>
        <w:rPr>
          <w:vertAlign w:val="superscript"/>
        </w:rPr>
        <w:t xml:space="preserve">−1</w:t>
      </w:r>
      <w:r>
        <w:rPr>
          <w:bCs/>
          <w:b/>
        </w:rPr>
        <w:t xml:space="preserve">1</w:t>
      </w:r>
      <w:r>
        <w:t xml:space="preserve">)</w:t>
      </w:r>
      <w:r>
        <w:rPr>
          <w:vertAlign w:val="subscript"/>
        </w:rPr>
        <w:t xml:space="preserve">0</w:t>
      </w:r>
      <w:r>
        <w:t xml:space="preserve">, where</w:t>
      </w:r>
      <w:r>
        <w:t xml:space="preserve"> </w:t>
      </w:r>
      <w:r>
        <w:rPr>
          <w:iCs/>
          <w:i/>
        </w:rPr>
        <w:t xml:space="preserve">Q</w:t>
      </w:r>
      <w:r>
        <w:t xml:space="preserve"> </w:t>
      </w:r>
      <w:r>
        <w:t xml:space="preserve">is the matrix of transitions among the states 0,…,</w:t>
      </w:r>
      <w:r>
        <w:rPr>
          <w:iCs/>
          <w:i/>
        </w:rPr>
        <w:t xml:space="preserve">h</w:t>
      </w:r>
      <w:r>
        <w:t xml:space="preserve">−1, with</w:t>
      </w:r>
      <w:r>
        <w:t xml:space="preserve"> </w:t>
      </w:r>
      <w:r>
        <w:rPr>
          <w:iCs/>
          <w:i/>
        </w:rPr>
        <w:t xml:space="preserve">Q</w:t>
      </w:r>
      <w:r>
        <w:rPr>
          <w:iCs/>
          <w:i/>
          <w:vertAlign w:val="subscript"/>
        </w:rPr>
        <w:t xml:space="preserve">i</w:t>
      </w:r>
      <w:r>
        <w:rPr>
          <w:vertAlign w:val="subscript"/>
        </w:rPr>
        <w:t xml:space="preserve">0</w:t>
      </w:r>
      <w:r>
        <w:t xml:space="preserve"> </w:t>
      </w:r>
      <w:r>
        <w:t xml:space="preserve">= Pr(</w:t>
      </w:r>
      <w:r>
        <w:rPr>
          <w:iCs/>
          <w:i/>
        </w:rPr>
        <w:t xml:space="preserve">X</w:t>
      </w:r>
      <w:r>
        <w:t xml:space="preserve"> </w:t>
      </w:r>
      <w:r>
        <w:t xml:space="preserve">≤</w:t>
      </w:r>
      <w:r>
        <w:t xml:space="preserve"> </w:t>
      </w:r>
      <w:r>
        <w:rPr>
          <w:iCs/>
          <w:i/>
        </w:rPr>
        <w:t xml:space="preserve">k</w:t>
      </w:r>
      <w:r>
        <w:t xml:space="preserve">−</w:t>
      </w:r>
      <w:r>
        <w:rPr>
          <w:iCs/>
          <w:i/>
        </w:rPr>
        <w:t xml:space="preserve">i</w:t>
      </w:r>
      <w:r>
        <w:t xml:space="preserve">) and</w:t>
      </w:r>
      <w:r>
        <w:t xml:space="preserve"> </w:t>
      </w:r>
      <w:r>
        <w:rPr>
          <w:iCs/>
          <w:i/>
        </w:rPr>
        <w:t xml:space="preserve">Q</w:t>
      </w:r>
      <w:r>
        <w:rPr>
          <w:iCs/>
          <w:i/>
          <w:vertAlign w:val="subscript"/>
        </w:rPr>
        <w:t xml:space="preserve">ij</w:t>
      </w:r>
      <w:r>
        <w:t xml:space="preserve"> </w:t>
      </w:r>
      <w:r>
        <w:t xml:space="preserve">= Pr(</w:t>
      </w:r>
      <w:r>
        <w:rPr>
          <w:iCs/>
          <w:i/>
        </w:rPr>
        <w:t xml:space="preserve">X</w:t>
      </w:r>
      <w:r>
        <w:t xml:space="preserve"> </w:t>
      </w:r>
      <w:r>
        <w:t xml:space="preserve">=</w:t>
      </w:r>
      <w:r>
        <w:t xml:space="preserve"> </w:t>
      </w:r>
      <w:r>
        <w:rPr>
          <w:iCs/>
          <w:i/>
        </w:rPr>
        <w:t xml:space="preserve">j</w:t>
      </w:r>
      <w:r>
        <w:t xml:space="preserve">−</w:t>
      </w:r>
      <w:r>
        <w:rPr>
          <w:iCs/>
          <w:i/>
        </w:rPr>
        <w:t xml:space="preserve">i</w:t>
      </w:r>
      <w:r>
        <w:t xml:space="preserve"> </w:t>
      </w:r>
      <w:r>
        <w:t xml:space="preserve">+</w:t>
      </w:r>
      <w:r>
        <w:t xml:space="preserve"> </w:t>
      </w:r>
      <w:r>
        <w:rPr>
          <w:iCs/>
          <w:i/>
        </w:rPr>
        <w:t xml:space="preserve">k</w:t>
      </w:r>
      <w:r>
        <w:t xml:space="preserve">) for</w:t>
      </w:r>
      <w:r>
        <w:t xml:space="preserve"> </w:t>
      </w:r>
      <w:r>
        <w:rPr>
          <w:iCs/>
          <w:i/>
        </w:rPr>
        <w:t xml:space="preserve">j</w:t>
      </w:r>
      <w:r>
        <w:t xml:space="preserve"> </w:t>
      </w:r>
      <w:r>
        <w:t xml:space="preserve">≥ 1 (Brook &amp; Evans, 1972).</w:t>
      </w:r>
    </w:p>
    <w:p>
      <w:pPr>
        <w:pStyle w:val="FirstParagraph"/>
      </w:pPr>
      <w:r>
        <w:rPr>
          <w:iCs/>
          <w:i/>
        </w:rPr>
        <w:t xml:space="preserve">Proof.</w:t>
      </w:r>
      <w:r>
        <w:t xml:space="preserve"> </w:t>
      </w:r>
      <w:r>
        <w:t xml:space="preserve">(i) The map (</w:t>
      </w:r>
      <w:r>
        <w:rPr>
          <w:iCs/>
          <w:i/>
        </w:rPr>
        <w:t xml:space="preserve">s</w:t>
      </w:r>
      <w:r>
        <w:t xml:space="preserve">,</w:t>
      </w:r>
      <w:r>
        <w:rPr>
          <w:iCs/>
          <w:i/>
        </w:rPr>
        <w:t xml:space="preserve">x</w:t>
      </w:r>
      <w:r>
        <w:t xml:space="preserve">) ↦ max{0,</w:t>
      </w:r>
      <w:r>
        <w:rPr>
          <w:iCs/>
          <w:i/>
        </w:rPr>
        <w:t xml:space="preserve">s</w:t>
      </w:r>
      <w:r>
        <w:t xml:space="preserve"> </w:t>
      </w:r>
      <w:r>
        <w:t xml:space="preserve">+</w:t>
      </w:r>
      <w:r>
        <w:t xml:space="preserve"> </w:t>
      </w:r>
      <w:r>
        <w:rPr>
          <w:iCs/>
          <w:i/>
        </w:rPr>
        <w:t xml:space="preserve">x</w:t>
      </w:r>
      <w:r>
        <w:t xml:space="preserve">−</w:t>
      </w:r>
      <w:r>
        <w:rPr>
          <w:iCs/>
          <w:i/>
        </w:rPr>
        <w:t xml:space="preserve">k</w:t>
      </w:r>
      <w:r>
        <w:t xml:space="preserve">} never decreases in either argument, and both sequences start at zero, so the claim follows by induction on</w:t>
      </w:r>
      <w:r>
        <w:t xml:space="preserve"> </w:t>
      </w:r>
      <w:r>
        <w:rPr>
          <w:iCs/>
          <w:i/>
        </w:rPr>
        <w:t xml:space="preserve">t</w:t>
      </w:r>
      <w:r>
        <w:t xml:space="preserve">. (ii) From week</w:t>
      </w:r>
      <w:r>
        <w:t xml:space="preserve"> </w:t>
      </w:r>
      <w:r>
        <w:rPr>
          <w:iCs/>
          <w:i/>
        </w:rPr>
        <w:t xml:space="preserve">τ</w:t>
      </w:r>
      <w:r>
        <w:t xml:space="preserve"> </w:t>
      </w:r>
      <w:r>
        <w:t xml:space="preserve">on,</w:t>
      </w:r>
      <w:r>
        <w:t xml:space="preserve"> </w:t>
      </w:r>
      <w:r>
        <w:rPr>
          <w:iCs/>
          <w:i/>
        </w:rPr>
        <w:t xml:space="preserve">S</w:t>
      </w:r>
      <w:r>
        <w:rPr>
          <w:iCs/>
          <w:i/>
          <w:vertAlign w:val="subscript"/>
        </w:rPr>
        <w:t xml:space="preserve">t</w:t>
      </w:r>
      <w:r>
        <w:t xml:space="preserve"> </w:t>
      </w:r>
      <w:r>
        <w:t xml:space="preserve">≥</w:t>
      </w:r>
      <w:r>
        <w:t xml:space="preserve"> </w:t>
      </w:r>
      <w:r>
        <w:rPr>
          <w:iCs/>
          <w:i/>
        </w:rPr>
        <w:t xml:space="preserve">S</w:t>
      </w:r>
      <w:r>
        <w:rPr>
          <w:iCs/>
          <w:i/>
          <w:vertAlign w:val="subscript"/>
        </w:rPr>
        <w:t xml:space="preserve">t</w:t>
      </w:r>
      <w:r>
        <w:rPr>
          <w:vertAlign w:val="subscript"/>
        </w:rPr>
        <w:t xml:space="preserve">−1</w:t>
      </w:r>
      <w:r>
        <w:t xml:space="preserve"> </w:t>
      </w:r>
      <w:r>
        <w:t xml:space="preserve">+</w:t>
      </w:r>
      <w:r>
        <w:t xml:space="preserve"> </w:t>
      </w:r>
      <w:r>
        <w:rPr>
          <w:iCs/>
          <w:i/>
        </w:rPr>
        <w:t xml:space="preserve">x</w:t>
      </w:r>
      <w:r>
        <w:rPr>
          <w:iCs/>
          <w:i/>
          <w:vertAlign w:val="subscript"/>
        </w:rPr>
        <w:t xml:space="preserve">t</w:t>
      </w:r>
      <w:r>
        <w:t xml:space="preserve">−</w:t>
      </w:r>
      <w:r>
        <w:rPr>
          <w:iCs/>
          <w:i/>
        </w:rPr>
        <w:t xml:space="preserve">k</w:t>
      </w:r>
      <w:r>
        <w:rPr>
          <w:iCs/>
          <w:i/>
          <w:vertAlign w:val="subscript"/>
        </w:rPr>
        <w:t xml:space="preserve">t</w:t>
      </w:r>
      <w:r>
        <w:t xml:space="preserve"> </w:t>
      </w:r>
      <w:r>
        <w:t xml:space="preserve">≥</w:t>
      </w:r>
      <w:r>
        <w:t xml:space="preserve"> </w:t>
      </w:r>
      <w:r>
        <w:rPr>
          <w:iCs/>
          <w:i/>
        </w:rPr>
        <w:t xml:space="preserve">S</w:t>
      </w:r>
      <w:r>
        <w:rPr>
          <w:iCs/>
          <w:i/>
          <w:vertAlign w:val="subscript"/>
        </w:rPr>
        <w:t xml:space="preserve">t</w:t>
      </w:r>
      <w:r>
        <w:rPr>
          <w:vertAlign w:val="subscript"/>
        </w:rPr>
        <w:t xml:space="preserve">−1</w:t>
      </w:r>
      <w:r>
        <w:t xml:space="preserve"> </w:t>
      </w:r>
      <w:r>
        <w:t xml:space="preserve">+</w:t>
      </w:r>
      <w:r>
        <w:t xml:space="preserve"> </w:t>
      </w:r>
      <w:r>
        <w:rPr>
          <w:iCs/>
          <w:i/>
        </w:rPr>
        <w:t xml:space="preserve">δ</w:t>
      </w:r>
      <w:r>
        <w:t xml:space="preserve">, so</w:t>
      </w:r>
      <w:r>
        <w:t xml:space="preserve"> </w:t>
      </w:r>
      <w:r>
        <w:rPr>
          <w:iCs/>
          <w:i/>
        </w:rPr>
        <w:t xml:space="preserve">S</w:t>
      </w:r>
      <w:r>
        <w:rPr>
          <w:iCs/>
          <w:i/>
          <w:vertAlign w:val="subscript"/>
        </w:rPr>
        <w:t xml:space="preserve">τ</w:t>
      </w:r>
      <w:r>
        <w:rPr>
          <w:vertAlign w:val="subscript"/>
        </w:rPr>
        <w:t xml:space="preserve">+</w:t>
      </w:r>
      <w:r>
        <w:rPr>
          <w:iCs/>
          <w:i/>
          <w:vertAlign w:val="subscript"/>
        </w:rPr>
        <w:t xml:space="preserve">j</w:t>
      </w:r>
      <w:r>
        <w:rPr>
          <w:vertAlign w:val="subscript"/>
        </w:rPr>
        <w:t xml:space="preserve">−1</w:t>
      </w:r>
      <w:r>
        <w:t xml:space="preserve"> </w:t>
      </w:r>
      <w:r>
        <w:t xml:space="preserve">≥</w:t>
      </w:r>
      <w:r>
        <w:t xml:space="preserve"> </w:t>
      </w:r>
      <w:r>
        <w:rPr>
          <w:iCs/>
          <w:i/>
        </w:rPr>
        <w:t xml:space="preserve">jδ</w:t>
      </w:r>
      <w:r>
        <w:t xml:space="preserve">, which reaches</w:t>
      </w:r>
      <w:r>
        <w:t xml:space="preserve"> </w:t>
      </w:r>
      <w:r>
        <w:rPr>
          <w:iCs/>
          <w:i/>
        </w:rPr>
        <w:t xml:space="preserve">h</w:t>
      </w:r>
      <w:r>
        <w:t xml:space="preserve"> </w:t>
      </w:r>
      <w:r>
        <w:t xml:space="preserve">when</w:t>
      </w:r>
      <w:r>
        <w:t xml:space="preserve"> </w:t>
      </w:r>
      <w:r>
        <w:rPr>
          <w:iCs/>
          <w:i/>
        </w:rPr>
        <w:t xml:space="preserve">j</w:t>
      </w:r>
      <w:r>
        <w:t xml:space="preserve"> </w:t>
      </w:r>
      <w:r>
        <w:t xml:space="preserve">= ⌈</w:t>
      </w:r>
      <w:r>
        <w:rPr>
          <w:iCs/>
          <w:i/>
        </w:rPr>
        <w:t xml:space="preserve">h</w:t>
      </w:r>
      <w:r>
        <w:t xml:space="preserve">/</w:t>
      </w:r>
      <w:r>
        <w:rPr>
          <w:iCs/>
          <w:i/>
        </w:rPr>
        <w:t xml:space="preserve">δ</w:t>
      </w:r>
      <w:r>
        <w:t xml:space="preserve">⌉. (iii) With whole-number increments the statistic moves among whole numbers and depends only on its last value and the new count, so it is a Markov chain on {0,…,</w:t>
      </w:r>
      <w:r>
        <w:rPr>
          <w:iCs/>
          <w:i/>
        </w:rPr>
        <w:t xml:space="preserve">h</w:t>
      </w:r>
      <w:r>
        <w:t xml:space="preserve">−1} with the alarm as an absorbing state; the expected number of steps to absorption from state 0 is the first entry of (</w:t>
      </w:r>
      <w:r>
        <w:rPr>
          <w:iCs/>
          <w:i/>
        </w:rPr>
        <w:t xml:space="preserve">I</w:t>
      </w:r>
      <w:r>
        <w:t xml:space="preserve">−</w:t>
      </w:r>
      <w:r>
        <w:rPr>
          <w:iCs/>
          <w:i/>
        </w:rPr>
        <w:t xml:space="preserve">Q</w:t>
      </w:r>
      <w:r>
        <w:t xml:space="preserve">)</w:t>
      </w:r>
      <w:r>
        <w:rPr>
          <w:vertAlign w:val="superscript"/>
        </w:rPr>
        <w:t xml:space="preserve">−1</w:t>
      </w:r>
      <w:r>
        <w:rPr>
          <w:bCs/>
          <w:b/>
        </w:rPr>
        <w:t xml:space="preserve">1</w:t>
      </w:r>
      <w:r>
        <w:t xml:space="preserve">. □</w:t>
      </w:r>
    </w:p>
    <w:p>
      <w:pPr>
        <w:pStyle w:val="BodyText"/>
      </w:pPr>
      <w:r>
        <w:rPr>
          <w:bCs/>
          <w:b/>
        </w:rPr>
        <w:t xml:space="preserve">Remark 5 (Reading the alarm).</w:t>
      </w:r>
      <w:r>
        <w:t xml:space="preserve"> </w:t>
      </w:r>
      <w:r>
        <w:t xml:space="preserve">Part (ii) turns a design choice into a promise: with</w:t>
      </w:r>
      <w:r>
        <w:t xml:space="preserve"> </w:t>
      </w:r>
      <w:r>
        <w:rPr>
          <w:iCs/>
          <w:i/>
        </w:rPr>
        <w:t xml:space="preserve">h</w:t>
      </w:r>
      <w:r>
        <w:t xml:space="preserve"> </w:t>
      </w:r>
      <w:r>
        <w:t xml:space="preserve">= 12.75 and weekly counts at least two above the reference value, the alarm needs at most 7 weeks. Part (iii) prices the promise in false alarms before any season begins.</w:t>
      </w:r>
    </w:p>
    <w:bookmarkEnd w:id="121"/>
    <w:bookmarkStart w:id="122" w:name="software-verification"/>
    <w:p>
      <w:pPr>
        <w:pStyle w:val="Heading2"/>
      </w:pPr>
      <w:r>
        <w:t xml:space="preserve">3.3 Software Verification</w:t>
      </w:r>
    </w:p>
    <w:p>
      <w:pPr>
        <w:pStyle w:val="FirstParagraph"/>
      </w:pPr>
      <w:r>
        <w:t xml:space="preserve">Every proven property was tested on random synthetic instances against code written separately from the model (Table 7). Instances had 2 to 20 barangays scattered over a 20-by-20-kilometer square, 500 to 8,000 residents each, 10 to 45 percent of the day away from home, and between 0.5 and 4 mosquitoes per resident; parameters were drawn at random around the values of Table 4.</w:t>
      </w:r>
    </w:p>
    <w:p>
      <w:pPr>
        <w:pStyle w:val="PaperCaption"/>
      </w:pPr>
      <w:r>
        <w:rPr>
          <w:bCs/>
          <w:b/>
        </w:rPr>
        <w:t xml:space="preserve">Table 7.</w:t>
      </w:r>
      <w:r>
        <w:t xml:space="preserve"> </w:t>
      </w:r>
      <w:r>
        <w:t xml:space="preserve">Checks on the model, produced by</w:t>
      </w:r>
      <w:r>
        <w:t xml:space="preserve"> </w:t>
      </w:r>
      <w:r>
        <w:rPr>
          <w:rStyle w:val="VerbatimChar"/>
        </w:rPr>
        <w:t xml:space="preserve">verify_dengue.py</w:t>
      </w:r>
      <w:r>
        <w:t xml:space="preserve"> </w:t>
      </w:r>
      <w:r>
        <w:t xml:space="preserve">against independent reference computations.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819"/>
        <w:gridCol w:w="3317"/>
        <w:gridCol w:w="2782"/>
      </w:tblGrid>
      <w:tr>
        <w:trPr>
          <w:cantSplit/>
          <w:tblHeader w:val="true"/>
        </w:trPr>
        <w:tc>
          <w:tcPr/>
          <w:p>
            <w:pPr>
              <w:pStyle w:val="TableText"/>
              <w:jc w:val="left"/>
            </w:pPr>
            <w:r>
              <w:rPr>
                <w:b/>
              </w:rPr>
              <w:t xml:space="preserve">Property</w:t>
            </w:r>
          </w:p>
        </w:tc>
        <w:tc>
          <w:tcPr/>
          <w:p>
            <w:pPr>
              <w:pStyle w:val="TableText"/>
              <w:jc w:val="left"/>
            </w:pPr>
            <w:r>
              <w:rPr>
                <w:b/>
              </w:rPr>
              <w:t xml:space="preserve">How it was checked</w:t>
            </w:r>
          </w:p>
        </w:tc>
        <w:tc>
          <w:tcPr/>
          <w:p>
            <w:pPr>
              <w:pStyle w:val="TableText"/>
              <w:jc w:val="left"/>
            </w:pPr>
            <w:r>
              <w:rPr>
                <w:b/>
              </w:rPr>
              <w:t xml:space="preserve">Result</w:t>
            </w:r>
          </w:p>
        </w:tc>
      </w:tr>
      <w:tr>
        <w:trPr>
          <w:cantSplit/>
        </w:trPr>
        <w:tc>
          <w:tcPr/>
          <w:p>
            <w:pPr>
              <w:pStyle w:val="TableText"/>
              <w:jc w:val="left"/>
            </w:pPr>
            <w:r>
              <w:t xml:space="preserve">Reproduction number (Prop. 1)</w:t>
            </w:r>
          </w:p>
        </w:tc>
        <w:tc>
          <w:tcPr/>
          <w:p>
            <w:pPr>
              <w:pStyle w:val="TableText"/>
              <w:jc w:val="left"/>
            </w:pPr>
            <w:r>
              <w:t xml:space="preserve">300 instances (2 to 12 barangays, random parameters); Equation (5) against the spectral radius of a next-generation matrix built from finite-difference Jacobians of Equation (4)</w:t>
            </w:r>
          </w:p>
        </w:tc>
        <w:tc>
          <w:tcPr/>
          <w:p>
            <w:pPr>
              <w:pStyle w:val="TableText"/>
              <w:jc w:val="left"/>
            </w:pPr>
            <w:r>
              <w:t xml:space="preserve">Largest relative difference 5.3 × 10</w:t>
            </w:r>
            <w:r>
              <w:rPr>
                <w:vertAlign w:val="superscript"/>
              </w:rPr>
              <w:t xml:space="preserve">−15</w:t>
            </w:r>
          </w:p>
        </w:tc>
      </w:tr>
      <w:tr>
        <w:trPr>
          <w:cantSplit/>
        </w:trPr>
        <w:tc>
          <w:tcPr/>
          <w:p>
            <w:pPr>
              <w:pStyle w:val="TableText"/>
              <w:jc w:val="left"/>
            </w:pPr>
            <w:r>
              <w:t xml:space="preserve">Threshold (Prop. 2)</w:t>
            </w:r>
          </w:p>
        </w:tc>
        <w:tc>
          <w:tcPr/>
          <w:p>
            <w:pPr>
              <w:pStyle w:val="TableText"/>
              <w:jc w:val="left"/>
            </w:pPr>
            <w:r>
              <w:t xml:space="preserve">300 instances rescaled to</w:t>
            </w:r>
            <w:r>
              <w:t xml:space="preserve"> </w:t>
            </w:r>
            <w:r>
              <w:rPr>
                <w:iCs/>
                <w:i/>
              </w:rPr>
              <w:t xml:space="preserve">R</w:t>
            </w:r>
            <w:r>
              <w:rPr>
                <w:vertAlign w:val="subscript"/>
              </w:rPr>
              <w:t xml:space="preserve">0</w:t>
            </w:r>
            <w:r>
              <w:t xml:space="preserve"> </w:t>
            </w:r>
            <w:r>
              <w:t xml:space="preserve">between 0.7 and 1.3: sign of</w:t>
            </w:r>
            <w:r>
              <w:t xml:space="preserve"> </w:t>
            </w:r>
            <w:r>
              <w:rPr>
                <w:iCs/>
                <w:i/>
              </w:rPr>
              <w:t xml:space="preserve">R</w:t>
            </w:r>
            <w:r>
              <w:rPr>
                <w:vertAlign w:val="subscript"/>
              </w:rPr>
              <w:t xml:space="preserve">0</w:t>
            </w:r>
            <w:r>
              <w:t xml:space="preserve">−1 against the largest real part of the eigenvalues of the linearized system; 40 two-year simulations with</w:t>
            </w:r>
            <w:r>
              <w:t xml:space="preserve"> </w:t>
            </w:r>
            <w:r>
              <w:rPr>
                <w:iCs/>
                <w:i/>
              </w:rPr>
              <w:t xml:space="preserve">R</w:t>
            </w:r>
            <w:r>
              <w:rPr>
                <w:vertAlign w:val="subscript"/>
              </w:rPr>
              <w:t xml:space="preserve">0</w:t>
            </w:r>
            <w:r>
              <w:t xml:space="preserve"> </w:t>
            </w:r>
            <w:r>
              <w:t xml:space="preserve">= 0.8 or 1.25</w:t>
            </w:r>
          </w:p>
        </w:tc>
        <w:tc>
          <w:tcPr/>
          <w:p>
            <w:pPr>
              <w:pStyle w:val="TableText"/>
              <w:jc w:val="left"/>
            </w:pPr>
            <w:r>
              <w:t xml:space="preserve">Agreement in 300 of 300; outbreak exactly when</w:t>
            </w:r>
            <w:r>
              <w:t xml:space="preserve"> </w:t>
            </w:r>
            <w:r>
              <w:rPr>
                <w:iCs/>
                <w:i/>
              </w:rPr>
              <w:t xml:space="preserve">R</w:t>
            </w:r>
            <w:r>
              <w:rPr>
                <w:vertAlign w:val="subscript"/>
              </w:rPr>
              <w:t xml:space="preserve">0</w:t>
            </w:r>
            <w:r>
              <w:t xml:space="preserve"> </w:t>
            </w:r>
            <w:r>
              <w:t xml:space="preserve">&gt; 1 in 40 of 40 simulations</w:t>
            </w:r>
          </w:p>
        </w:tc>
      </w:tr>
      <w:tr>
        <w:trPr>
          <w:cantSplit/>
        </w:trPr>
        <w:tc>
          <w:tcPr/>
          <w:p>
            <w:pPr>
              <w:pStyle w:val="TableText"/>
              <w:jc w:val="left"/>
            </w:pPr>
            <w:r>
              <w:t xml:space="preserve">Bounds (Props. 4, 5)</w:t>
            </w:r>
          </w:p>
        </w:tc>
        <w:tc>
          <w:tcPr/>
          <w:p>
            <w:pPr>
              <w:pStyle w:val="TableText"/>
              <w:jc w:val="left"/>
            </w:pPr>
            <w:r>
              <w:t xml:space="preserve">500 instances with 2 to 20 barangays</w:t>
            </w:r>
          </w:p>
        </w:tc>
        <w:tc>
          <w:tcPr/>
          <w:p>
            <w:pPr>
              <w:pStyle w:val="TableText"/>
              <w:jc w:val="left"/>
            </w:pPr>
            <w:r>
              <w:t xml:space="preserve">No violation of either bound; ratio of</w:t>
            </w:r>
            <w:r>
              <w:t xml:space="preserve"> </w:t>
            </w:r>
            <w:r>
              <w:rPr>
                <w:iCs/>
                <w:i/>
              </w:rPr>
              <w:t xml:space="preserve">R</w:t>
            </w:r>
            <w:r>
              <w:rPr>
                <w:vertAlign w:val="subscript"/>
              </w:rPr>
              <w:t xml:space="preserve">0</w:t>
            </w:r>
            <w:r>
              <w:rPr>
                <w:vertAlign w:val="superscript"/>
              </w:rPr>
              <w:t xml:space="preserve">2</w:t>
            </w:r>
            <w:r>
              <w:t xml:space="preserve"> </w:t>
            </w:r>
            <w:r>
              <w:t xml:space="preserve">to its province-average value: mean 1.305, largest 2.846; network value above every isolated barangay in 5 instances</w:t>
            </w:r>
          </w:p>
        </w:tc>
      </w:tr>
      <w:tr>
        <w:trPr>
          <w:cantSplit/>
        </w:trPr>
        <w:tc>
          <w:tcPr/>
          <w:p>
            <w:pPr>
              <w:pStyle w:val="TableText"/>
              <w:jc w:val="left"/>
            </w:pPr>
            <w:r>
              <w:t xml:space="preserve">Shares and gradient (Prop. 6)</w:t>
            </w:r>
          </w:p>
        </w:tc>
        <w:tc>
          <w:tcPr/>
          <w:p>
            <w:pPr>
              <w:pStyle w:val="TableText"/>
              <w:jc w:val="left"/>
            </w:pPr>
            <w:r>
              <w:t xml:space="preserve">300 instances with a simple largest eigenvalue and random control</w:t>
            </w:r>
          </w:p>
        </w:tc>
        <w:tc>
          <w:tcPr/>
          <w:p>
            <w:pPr>
              <w:pStyle w:val="TableText"/>
              <w:jc w:val="left"/>
            </w:pPr>
            <w:r>
              <w:t xml:space="preserve">Shares add to one within 2.0 × 10</w:t>
            </w:r>
            <w:r>
              <w:rPr>
                <w:vertAlign w:val="superscript"/>
              </w:rPr>
              <w:t xml:space="preserve">−15</w:t>
            </w:r>
            <w:r>
              <w:t xml:space="preserve">; gradient against central differences within 1.8 × 10</w:t>
            </w:r>
            <w:r>
              <w:rPr>
                <w:vertAlign w:val="superscript"/>
              </w:rPr>
              <w:t xml:space="preserve">−9</w:t>
            </w:r>
            <w:r>
              <w:t xml:space="preserve"> </w:t>
            </w:r>
            <w:r>
              <w:t xml:space="preserve">(relative)</w:t>
            </w:r>
          </w:p>
        </w:tc>
      </w:tr>
      <w:tr>
        <w:trPr>
          <w:cantSplit/>
        </w:trPr>
        <w:tc>
          <w:tcPr/>
          <w:p>
            <w:pPr>
              <w:pStyle w:val="TableText"/>
              <w:jc w:val="left"/>
            </w:pPr>
            <w:r>
              <w:t xml:space="preserve">Convexity and monotonicity (Prop. 7)</w:t>
            </w:r>
          </w:p>
        </w:tc>
        <w:tc>
          <w:tcPr/>
          <w:p>
            <w:pPr>
              <w:pStyle w:val="TableText"/>
              <w:jc w:val="left"/>
            </w:pPr>
            <w:r>
              <w:t xml:space="preserve">6,000 random pairs of plans</w:t>
            </w:r>
          </w:p>
        </w:tc>
        <w:tc>
          <w:tcPr/>
          <w:p>
            <w:pPr>
              <w:pStyle w:val="TableText"/>
              <w:jc w:val="left"/>
            </w:pPr>
            <w:r>
              <w:t xml:space="preserve">No violation of midpoint convexity or monotonicity</w:t>
            </w:r>
          </w:p>
        </w:tc>
      </w:tr>
      <w:tr>
        <w:trPr>
          <w:cantSplit/>
        </w:trPr>
        <w:tc>
          <w:tcPr/>
          <w:p>
            <w:pPr>
              <w:pStyle w:val="TableText"/>
              <w:jc w:val="left"/>
            </w:pPr>
            <w:r>
              <w:t xml:space="preserve">Least-cost control (Props. 8, 9)</w:t>
            </w:r>
          </w:p>
        </w:tc>
        <w:tc>
          <w:tcPr/>
          <w:p>
            <w:pPr>
              <w:pStyle w:val="TableText"/>
              <w:jc w:val="left"/>
            </w:pPr>
            <w:r>
              <w:t xml:space="preserve">40 two-barangay instances against an 801-by-801 grid; 80 instances with 3 to 8 barangays against a general nonlinear solver (SLSQP) from 12 random starts</w:t>
            </w:r>
          </w:p>
        </w:tc>
        <w:tc>
          <w:tcPr/>
          <w:p>
            <w:pPr>
              <w:pStyle w:val="TableText"/>
              <w:jc w:val="left"/>
            </w:pPr>
            <w:r>
              <w:t xml:space="preserve">Consistent with the grid in 40 of 40 and with SLSQP in 80 of 80; largest certified gap 9.9 × 10</w:t>
            </w:r>
            <w:r>
              <w:rPr>
                <w:vertAlign w:val="superscript"/>
              </w:rPr>
              <w:t xml:space="preserve">−8</w:t>
            </w:r>
            <w:r>
              <w:t xml:space="preserve">; certificate plan never missed the target; its extra cost averaged 14.5 percent (largest 98.5)</w:t>
            </w:r>
          </w:p>
        </w:tc>
      </w:tr>
      <w:tr>
        <w:trPr>
          <w:cantSplit/>
        </w:trPr>
        <w:tc>
          <w:tcPr/>
          <w:p>
            <w:pPr>
              <w:pStyle w:val="TableText"/>
              <w:jc w:val="left"/>
            </w:pPr>
            <w:r>
              <w:t xml:space="preserve">Inversion (Prop. 11)</w:t>
            </w:r>
          </w:p>
        </w:tc>
        <w:tc>
          <w:tcPr/>
          <w:p>
            <w:pPr>
              <w:pStyle w:val="TableText"/>
              <w:jc w:val="left"/>
            </w:pPr>
            <w:r>
              <w:t xml:space="preserve">300 noise-free instances; the same with random errors; 400 instances with about 320 Poisson-distributed cases</w:t>
            </w:r>
          </w:p>
        </w:tc>
        <w:tc>
          <w:tcPr/>
          <w:p>
            <w:pPr>
              <w:pStyle w:val="TableText"/>
              <w:jc w:val="left"/>
            </w:pPr>
            <w:r>
              <w:t xml:space="preserve">Exact recovery within 8.0 × 10</w:t>
            </w:r>
            <w:r>
              <w:rPr>
                <w:vertAlign w:val="superscript"/>
              </w:rPr>
              <w:t xml:space="preserve">−16</w:t>
            </w:r>
            <w:r>
              <w:t xml:space="preserve">; Varah bound never exceeded; inferred shares closer to the truth than shares by residence in 373 of 400 (mean total variation 0.078 against 0.181)</w:t>
            </w:r>
          </w:p>
        </w:tc>
      </w:tr>
      <w:tr>
        <w:trPr>
          <w:cantSplit/>
        </w:trPr>
        <w:tc>
          <w:tcPr/>
          <w:p>
            <w:pPr>
              <w:pStyle w:val="TableText"/>
              <w:jc w:val="left"/>
            </w:pPr>
            <w:r>
              <w:t xml:space="preserve">Alarm (Prop. 12)</w:t>
            </w:r>
          </w:p>
        </w:tc>
        <w:tc>
          <w:tcPr/>
          <w:p>
            <w:pPr>
              <w:pStyle w:val="TableText"/>
              <w:jc w:val="left"/>
            </w:pPr>
            <w:r>
              <w:t xml:space="preserve">Average run length by Equation (iii) against 20,000 simulated runs for six designs; 10,000 sequences for the delay bound and for monotonicity</w:t>
            </w:r>
          </w:p>
        </w:tc>
        <w:tc>
          <w:tcPr/>
          <w:p>
            <w:pPr>
              <w:pStyle w:val="TableText"/>
              <w:jc w:val="left"/>
            </w:pPr>
            <w:r>
              <w:t xml:space="preserve">All six within the 95% interval of the simulation; no violation of the delay bound or of monotonicity</w:t>
            </w:r>
          </w:p>
        </w:tc>
      </w:tr>
      <w:tr>
        <w:trPr>
          <w:cantSplit/>
        </w:trPr>
        <w:tc>
          <w:tcPr/>
          <w:p>
            <w:pPr>
              <w:pStyle w:val="TableText"/>
              <w:jc w:val="left"/>
            </w:pPr>
            <w:r>
              <w:t xml:space="preserve">Solutions of Equation (4) (Prop. 3)</w:t>
            </w:r>
          </w:p>
        </w:tc>
        <w:tc>
          <w:tcPr/>
          <w:p>
            <w:pPr>
              <w:pStyle w:val="TableText"/>
              <w:jc w:val="left"/>
            </w:pPr>
            <w:r>
              <w:t xml:space="preserve">30 one-year simulations; fourth-order Runge-Kutta with steps 0.8 to 0.1 days</w:t>
            </w:r>
          </w:p>
        </w:tc>
        <w:tc>
          <w:tcPr/>
          <w:p>
            <w:pPr>
              <w:pStyle w:val="TableText"/>
              <w:jc w:val="left"/>
            </w:pPr>
            <w:r>
              <w:t xml:space="preserve">Smallest state value 0; populations kept within 3.9 × 10</w:t>
            </w:r>
            <w:r>
              <w:rPr>
                <w:vertAlign w:val="superscript"/>
              </w:rPr>
              <w:t xml:space="preserve">−15</w:t>
            </w:r>
            <w:r>
              <w:t xml:space="preserve">; observed order of accuracy 3.97 (theory: 4)</w:t>
            </w:r>
          </w:p>
        </w:tc>
      </w:tr>
    </w:tbl>
    <w:p>
      <w:pPr>
        <w:pStyle w:val="BodyText"/>
      </w:pPr>
      <w:r>
        <w:t xml:space="preserve">The least-cost row deserves a comment. The general solver started from twelve points and returned plans no cheaper than the certified upper bound; in the two-barangay cases the grid, which cannot miss the region of the optimum, found no plan below the certified lower bound. The certificate row shows the price of speed: a quick linear program that is always safe but costs on average 14.5 percent more.</w:t>
      </w:r>
    </w:p>
    <w:bookmarkEnd w:id="122"/>
    <w:bookmarkStart w:id="123" w:name="computational-cost"/>
    <w:p>
      <w:pPr>
        <w:pStyle w:val="Heading2"/>
      </w:pPr>
      <w:r>
        <w:t xml:space="preserve">3.4 Computational Cost</w:t>
      </w:r>
    </w:p>
    <w:p>
      <w:pPr>
        <w:pStyle w:val="PaperCaption"/>
      </w:pPr>
      <w:r>
        <w:rPr>
          <w:bCs/>
          <w:b/>
        </w:rPr>
        <w:t xml:space="preserve">Table 8.</w:t>
      </w:r>
      <w:r>
        <w:t xml:space="preserve"> </w:t>
      </w:r>
      <w:r>
        <w:t xml:space="preserve">Time per computation in plain Python with NumPy and SciPy (target</w:t>
      </w:r>
      <w:r>
        <w:t xml:space="preserve"> </w:t>
      </w:r>
      <w:r>
        <w:rPr>
          <w:iCs/>
          <w:i/>
        </w:rPr>
        <w:t xml:space="preserve">R</w:t>
      </w:r>
      <w:r>
        <w:rPr>
          <w:vertAlign w:val="subscript"/>
        </w:rPr>
        <w:t xml:space="preserve">0</w:t>
      </w:r>
      <w:r>
        <w:t xml:space="preserve"> </w:t>
      </w:r>
      <w:r>
        <w:t xml:space="preserve">= 0.95 from</w:t>
      </w:r>
      <w:r>
        <w:t xml:space="preserve"> </w:t>
      </w:r>
      <w:r>
        <w:rPr>
          <w:iCs/>
          <w:i/>
        </w:rPr>
        <w:t xml:space="preserve">R</w:t>
      </w:r>
      <w:r>
        <w:rPr>
          <w:vertAlign w:val="subscript"/>
        </w:rPr>
        <w:t xml:space="preserve">0</w:t>
      </w:r>
      <w:r>
        <w:t xml:space="preserve"> </w:t>
      </w:r>
      <w:r>
        <w:t xml:space="preserve">= 1.5).</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974"/>
        <w:gridCol w:w="1340"/>
        <w:gridCol w:w="1096"/>
        <w:gridCol w:w="1218"/>
        <w:gridCol w:w="1218"/>
        <w:gridCol w:w="974"/>
        <w:gridCol w:w="1096"/>
      </w:tblGrid>
      <w:tr>
        <w:trPr>
          <w:cantSplit/>
          <w:tblHeader w:val="true"/>
        </w:trPr>
        <w:tc>
          <w:tcPr/>
          <w:p>
            <w:pPr>
              <w:pStyle w:val="TableText"/>
              <w:jc w:val="right"/>
            </w:pPr>
            <w:r>
              <w:rPr>
                <w:b/>
              </w:rPr>
              <w:t xml:space="preserve">Barangays</w:t>
            </w:r>
          </w:p>
        </w:tc>
        <w:tc>
          <w:tcPr/>
          <w:p>
            <w:pPr>
              <w:pStyle w:val="TableText"/>
              <w:jc w:val="right"/>
            </w:pPr>
            <w:r>
              <w:rPr>
                <w:b/>
              </w:rPr>
              <w:t xml:space="preserve">Reproduction number (s)</w:t>
            </w:r>
          </w:p>
        </w:tc>
        <w:tc>
          <w:tcPr/>
          <w:p>
            <w:pPr>
              <w:pStyle w:val="TableText"/>
              <w:jc w:val="right"/>
            </w:pPr>
            <w:r>
              <w:rPr>
                <w:b/>
              </w:rPr>
              <w:t xml:space="preserve">Place shares (s)</w:t>
            </w:r>
          </w:p>
        </w:tc>
        <w:tc>
          <w:tcPr/>
          <w:p>
            <w:pPr>
              <w:pStyle w:val="TableText"/>
              <w:jc w:val="right"/>
            </w:pPr>
            <w:r>
              <w:rPr>
                <w:b/>
              </w:rPr>
              <w:t xml:space="preserve">Certificate plan (s)</w:t>
            </w:r>
          </w:p>
        </w:tc>
        <w:tc>
          <w:tcPr/>
          <w:p>
            <w:pPr>
              <w:pStyle w:val="TableText"/>
              <w:jc w:val="right"/>
            </w:pPr>
            <w:r>
              <w:rPr>
                <w:b/>
              </w:rPr>
              <w:t xml:space="preserve">Least-cost plan (s)</w:t>
            </w:r>
          </w:p>
        </w:tc>
        <w:tc>
          <w:tcPr/>
          <w:p>
            <w:pPr>
              <w:pStyle w:val="TableText"/>
              <w:jc w:val="right"/>
            </w:pPr>
            <w:r>
              <w:rPr>
                <w:b/>
              </w:rPr>
              <w:t xml:space="preserve">Newton steps</w:t>
            </w:r>
          </w:p>
        </w:tc>
        <w:tc>
          <w:tcPr/>
          <w:p>
            <w:pPr>
              <w:pStyle w:val="TableText"/>
              <w:jc w:val="right"/>
            </w:pPr>
            <w:r>
              <w:rPr>
                <w:b/>
              </w:rPr>
              <w:t xml:space="preserve">Certified gap</w:t>
            </w:r>
          </w:p>
        </w:tc>
      </w:tr>
      <w:tr>
        <w:trPr>
          <w:cantSplit/>
        </w:trPr>
        <w:tc>
          <w:tcPr/>
          <w:p>
            <w:pPr>
              <w:pStyle w:val="TableText"/>
              <w:jc w:val="right"/>
            </w:pPr>
            <w:r>
              <w:t xml:space="preserve">50</w:t>
            </w:r>
          </w:p>
        </w:tc>
        <w:tc>
          <w:tcPr/>
          <w:p>
            <w:pPr>
              <w:pStyle w:val="TableText"/>
              <w:jc w:val="right"/>
            </w:pPr>
            <w:r>
              <w:t xml:space="preserve">0.0002</w:t>
            </w:r>
          </w:p>
        </w:tc>
        <w:tc>
          <w:tcPr/>
          <w:p>
            <w:pPr>
              <w:pStyle w:val="TableText"/>
              <w:jc w:val="right"/>
            </w:pPr>
            <w:r>
              <w:t xml:space="preserve">0.0008</w:t>
            </w:r>
          </w:p>
        </w:tc>
        <w:tc>
          <w:tcPr/>
          <w:p>
            <w:pPr>
              <w:pStyle w:val="TableText"/>
              <w:jc w:val="right"/>
            </w:pPr>
            <w:r>
              <w:t xml:space="preserve">0.0048</w:t>
            </w:r>
          </w:p>
        </w:tc>
        <w:tc>
          <w:tcPr/>
          <w:p>
            <w:pPr>
              <w:pStyle w:val="TableText"/>
              <w:jc w:val="right"/>
            </w:pPr>
            <w:r>
              <w:t xml:space="preserve">0.156</w:t>
            </w:r>
          </w:p>
        </w:tc>
        <w:tc>
          <w:tcPr/>
          <w:p>
            <w:pPr>
              <w:pStyle w:val="TableText"/>
              <w:jc w:val="right"/>
            </w:pPr>
            <w:r>
              <w:t xml:space="preserve">283</w:t>
            </w:r>
          </w:p>
        </w:tc>
        <w:tc>
          <w:tcPr/>
          <w:p>
            <w:pPr>
              <w:pStyle w:val="TableText"/>
              <w:jc w:val="right"/>
            </w:pPr>
            <w:r>
              <w:t xml:space="preserve">7.9 × 10</w:t>
            </w:r>
            <w:r>
              <w:rPr>
                <w:vertAlign w:val="superscript"/>
              </w:rPr>
              <w:t xml:space="preserve">−7</w:t>
            </w:r>
          </w:p>
        </w:tc>
      </w:tr>
      <w:tr>
        <w:trPr>
          <w:cantSplit/>
        </w:trPr>
        <w:tc>
          <w:tcPr/>
          <w:p>
            <w:pPr>
              <w:pStyle w:val="TableText"/>
              <w:jc w:val="right"/>
            </w:pPr>
            <w:r>
              <w:t xml:space="preserve">100</w:t>
            </w:r>
          </w:p>
        </w:tc>
        <w:tc>
          <w:tcPr/>
          <w:p>
            <w:pPr>
              <w:pStyle w:val="TableText"/>
              <w:jc w:val="right"/>
            </w:pPr>
            <w:r>
              <w:t xml:space="preserve">0.0008</w:t>
            </w:r>
          </w:p>
        </w:tc>
        <w:tc>
          <w:tcPr/>
          <w:p>
            <w:pPr>
              <w:pStyle w:val="TableText"/>
              <w:jc w:val="right"/>
            </w:pPr>
            <w:r>
              <w:t xml:space="preserve">0.0016</w:t>
            </w:r>
          </w:p>
        </w:tc>
        <w:tc>
          <w:tcPr/>
          <w:p>
            <w:pPr>
              <w:pStyle w:val="TableText"/>
              <w:jc w:val="right"/>
            </w:pPr>
            <w:r>
              <w:t xml:space="preserve">0.012</w:t>
            </w:r>
          </w:p>
        </w:tc>
        <w:tc>
          <w:tcPr/>
          <w:p>
            <w:pPr>
              <w:pStyle w:val="TableText"/>
              <w:jc w:val="right"/>
            </w:pPr>
            <w:r>
              <w:t xml:space="preserve">1.039</w:t>
            </w:r>
          </w:p>
        </w:tc>
        <w:tc>
          <w:tcPr/>
          <w:p>
            <w:pPr>
              <w:pStyle w:val="TableText"/>
              <w:jc w:val="right"/>
            </w:pPr>
            <w:r>
              <w:t xml:space="preserve">373</w:t>
            </w:r>
          </w:p>
        </w:tc>
        <w:tc>
          <w:tcPr/>
          <w:p>
            <w:pPr>
              <w:pStyle w:val="TableText"/>
              <w:jc w:val="right"/>
            </w:pPr>
            <w:r>
              <w:t xml:space="preserve">8.7 × 10</w:t>
            </w:r>
            <w:r>
              <w:rPr>
                <w:vertAlign w:val="superscript"/>
              </w:rPr>
              <w:t xml:space="preserve">−7</w:t>
            </w:r>
          </w:p>
        </w:tc>
      </w:tr>
      <w:tr>
        <w:trPr>
          <w:cantSplit/>
        </w:trPr>
        <w:tc>
          <w:tcPr/>
          <w:p>
            <w:pPr>
              <w:pStyle w:val="TableText"/>
              <w:jc w:val="right"/>
            </w:pPr>
            <w:r>
              <w:t xml:space="preserve">200</w:t>
            </w:r>
          </w:p>
        </w:tc>
        <w:tc>
          <w:tcPr/>
          <w:p>
            <w:pPr>
              <w:pStyle w:val="TableText"/>
              <w:jc w:val="right"/>
            </w:pPr>
            <w:r>
              <w:t xml:space="preserve">0.0037</w:t>
            </w:r>
          </w:p>
        </w:tc>
        <w:tc>
          <w:tcPr/>
          <w:p>
            <w:pPr>
              <w:pStyle w:val="TableText"/>
              <w:jc w:val="right"/>
            </w:pPr>
            <w:r>
              <w:t xml:space="preserve">0.035</w:t>
            </w:r>
          </w:p>
        </w:tc>
        <w:tc>
          <w:tcPr/>
          <w:p>
            <w:pPr>
              <w:pStyle w:val="TableText"/>
              <w:jc w:val="right"/>
            </w:pPr>
            <w:r>
              <w:t xml:space="preserve">0.112</w:t>
            </w:r>
          </w:p>
        </w:tc>
        <w:tc>
          <w:tcPr/>
          <w:p>
            <w:pPr>
              <w:pStyle w:val="TableText"/>
              <w:jc w:val="right"/>
            </w:pPr>
            <w:r>
              <w:t xml:space="preserve">4.503</w:t>
            </w:r>
          </w:p>
        </w:tc>
        <w:tc>
          <w:tcPr/>
          <w:p>
            <w:pPr>
              <w:pStyle w:val="TableText"/>
              <w:jc w:val="right"/>
            </w:pPr>
            <w:r>
              <w:t xml:space="preserve">402</w:t>
            </w:r>
          </w:p>
        </w:tc>
        <w:tc>
          <w:tcPr/>
          <w:p>
            <w:pPr>
              <w:pStyle w:val="TableText"/>
              <w:jc w:val="right"/>
            </w:pPr>
            <w:r>
              <w:t xml:space="preserve">9.1 × 10</w:t>
            </w:r>
            <w:r>
              <w:rPr>
                <w:vertAlign w:val="superscript"/>
              </w:rPr>
              <w:t xml:space="preserve">−7</w:t>
            </w:r>
          </w:p>
        </w:tc>
      </w:tr>
      <w:tr>
        <w:trPr>
          <w:cantSplit/>
        </w:trPr>
        <w:tc>
          <w:tcPr/>
          <w:p>
            <w:pPr>
              <w:pStyle w:val="TableText"/>
              <w:jc w:val="right"/>
            </w:pPr>
            <w:r>
              <w:t xml:space="preserve">400</w:t>
            </w:r>
          </w:p>
        </w:tc>
        <w:tc>
          <w:tcPr/>
          <w:p>
            <w:pPr>
              <w:pStyle w:val="TableText"/>
              <w:jc w:val="right"/>
            </w:pPr>
            <w:r>
              <w:t xml:space="preserve">0.042</w:t>
            </w:r>
          </w:p>
        </w:tc>
        <w:tc>
          <w:tcPr/>
          <w:p>
            <w:pPr>
              <w:pStyle w:val="TableText"/>
              <w:jc w:val="right"/>
            </w:pPr>
            <w:r>
              <w:t xml:space="preserve">0.022</w:t>
            </w:r>
          </w:p>
        </w:tc>
        <w:tc>
          <w:tcPr/>
          <w:p>
            <w:pPr>
              <w:pStyle w:val="TableText"/>
              <w:jc w:val="right"/>
            </w:pPr>
            <w:r>
              <w:t xml:space="preserve">0.244</w:t>
            </w:r>
          </w:p>
        </w:tc>
        <w:tc>
          <w:tcPr/>
          <w:p>
            <w:pPr>
              <w:pStyle w:val="TableText"/>
              <w:jc w:val="right"/>
            </w:pPr>
            <w:r>
              <w:t xml:space="preserve">17.2</w:t>
            </w:r>
          </w:p>
        </w:tc>
        <w:tc>
          <w:tcPr/>
          <w:p>
            <w:pPr>
              <w:pStyle w:val="TableText"/>
              <w:jc w:val="right"/>
            </w:pPr>
            <w:r>
              <w:t xml:space="preserve">414</w:t>
            </w:r>
          </w:p>
        </w:tc>
        <w:tc>
          <w:tcPr/>
          <w:p>
            <w:pPr>
              <w:pStyle w:val="TableText"/>
              <w:jc w:val="right"/>
            </w:pPr>
            <w:r>
              <w:t xml:space="preserve">9.3 × 10</w:t>
            </w:r>
            <w:r>
              <w:rPr>
                <w:vertAlign w:val="superscript"/>
              </w:rPr>
              <w:t xml:space="preserve">−7</w:t>
            </w:r>
          </w:p>
        </w:tc>
      </w:tr>
      <w:tr>
        <w:trPr>
          <w:cantSplit/>
        </w:trPr>
        <w:tc>
          <w:tcPr/>
          <w:p>
            <w:pPr>
              <w:pStyle w:val="TableText"/>
              <w:jc w:val="right"/>
            </w:pPr>
            <w:r>
              <w:t xml:space="preserve">720</w:t>
            </w:r>
          </w:p>
        </w:tc>
        <w:tc>
          <w:tcPr/>
          <w:p>
            <w:pPr>
              <w:pStyle w:val="TableText"/>
              <w:jc w:val="right"/>
            </w:pPr>
            <w:r>
              <w:t xml:space="preserve">0.034</w:t>
            </w:r>
          </w:p>
        </w:tc>
        <w:tc>
          <w:tcPr/>
          <w:p>
            <w:pPr>
              <w:pStyle w:val="TableText"/>
              <w:jc w:val="right"/>
            </w:pPr>
            <w:r>
              <w:t xml:space="preserve">0.162</w:t>
            </w:r>
          </w:p>
        </w:tc>
        <w:tc>
          <w:tcPr/>
          <w:p>
            <w:pPr>
              <w:pStyle w:val="TableText"/>
              <w:jc w:val="right"/>
            </w:pPr>
            <w:r>
              <w:t xml:space="preserve">0.983</w:t>
            </w:r>
          </w:p>
        </w:tc>
        <w:tc>
          <w:tcPr/>
          <w:p>
            <w:pPr>
              <w:pStyle w:val="TableText"/>
              <w:jc w:val="right"/>
            </w:pPr>
            <w:r>
              <w:t xml:space="preserve">75.5</w:t>
            </w:r>
          </w:p>
        </w:tc>
        <w:tc>
          <w:tcPr/>
          <w:p>
            <w:pPr>
              <w:pStyle w:val="TableText"/>
              <w:jc w:val="right"/>
            </w:pPr>
            <w:r>
              <w:t xml:space="preserve">484</w:t>
            </w:r>
          </w:p>
        </w:tc>
        <w:tc>
          <w:tcPr/>
          <w:p>
            <w:pPr>
              <w:pStyle w:val="TableText"/>
              <w:jc w:val="right"/>
            </w:pPr>
            <w:r>
              <w:t xml:space="preserve">9.7 × 10</w:t>
            </w:r>
            <w:r>
              <w:rPr>
                <w:vertAlign w:val="superscript"/>
              </w:rPr>
              <w:t xml:space="preserve">−7</w:t>
            </w:r>
          </w:p>
        </w:tc>
      </w:tr>
    </w:tbl>
    <w:p>
      <w:pPr>
        <w:pStyle w:val="BodyText"/>
      </w:pPr>
      <w:r>
        <w:t xml:space="preserve">The reproduction number and the shares for all 720 barangays of Albay take a fraction of a second. The exact least-cost plan for the whole province, with its certificate of optimality, takes about a minute; the safe certificate plan takes about one second.</w:t>
      </w:r>
    </w:p>
    <w:bookmarkEnd w:id="123"/>
    <w:bookmarkStart w:id="137" w:name="worked-instance-d1"/>
    <w:p>
      <w:pPr>
        <w:pStyle w:val="Heading2"/>
      </w:pPr>
      <w:r>
        <w:t xml:space="preserve">3.5 Worked Instance D1</w:t>
      </w:r>
    </w:p>
    <w:p>
      <w:pPr>
        <w:pStyle w:val="FirstParagraph"/>
      </w:pPr>
      <w:r>
        <w:t xml:space="preserve">Instance D1 is a synthetic town of six barangays (Table 9, Figure 2). B1, the poblacion, holds the central school and the public market; B2 is a dense residential barangay; B3 lies at the edge of the center; B4 and B5 are farming barangays; and B6 is on the coast. Every number in this section belongs to this test network.</w:t>
      </w:r>
    </w:p>
    <w:p>
      <w:pPr>
        <w:pStyle w:val="PaperCaption"/>
      </w:pPr>
      <w:r>
        <w:rPr>
          <w:bCs/>
          <w:b/>
        </w:rPr>
        <w:t xml:space="preserve">Table 9.</w:t>
      </w:r>
      <w:r>
        <w:t xml:space="preserve"> </w:t>
      </w:r>
      <w:r>
        <w:t xml:space="preserve">Barangays of the test network D1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954"/>
        <w:gridCol w:w="1240"/>
        <w:gridCol w:w="954"/>
        <w:gridCol w:w="1049"/>
        <w:gridCol w:w="1145"/>
        <w:gridCol w:w="954"/>
        <w:gridCol w:w="763"/>
        <w:gridCol w:w="858"/>
      </w:tblGrid>
      <w:tr>
        <w:trPr>
          <w:cantSplit/>
          <w:tblHeader w:val="true"/>
        </w:trPr>
        <w:tc>
          <w:tcPr/>
          <w:p>
            <w:pPr>
              <w:pStyle w:val="TableText"/>
              <w:jc w:val="left"/>
            </w:pPr>
            <w:r>
              <w:rPr>
                <w:b/>
              </w:rPr>
              <w:t xml:space="preserve">Barangay</w:t>
            </w:r>
          </w:p>
        </w:tc>
        <w:tc>
          <w:tcPr/>
          <w:p>
            <w:pPr>
              <w:pStyle w:val="TableText"/>
              <w:jc w:val="left"/>
            </w:pPr>
            <w:r>
              <w:rPr>
                <w:b/>
              </w:rPr>
              <w:t xml:space="preserve">Description</w:t>
            </w:r>
          </w:p>
        </w:tc>
        <w:tc>
          <w:tcPr/>
          <w:p>
            <w:pPr>
              <w:pStyle w:val="TableText"/>
              <w:jc w:val="right"/>
            </w:pPr>
            <w:r>
              <w:rPr>
                <w:b/>
              </w:rPr>
              <w:t xml:space="preserve">Residents</w:t>
            </w:r>
          </w:p>
        </w:tc>
        <w:tc>
          <w:tcPr/>
          <w:p>
            <w:pPr>
              <w:pStyle w:val="TableText"/>
              <w:jc w:val="right"/>
            </w:pPr>
            <w:r>
              <w:rPr>
                <w:b/>
              </w:rPr>
              <w:t xml:space="preserve">Households</w:t>
            </w:r>
          </w:p>
        </w:tc>
        <w:tc>
          <w:tcPr/>
          <w:p>
            <w:pPr>
              <w:pStyle w:val="TableText"/>
              <w:jc w:val="right"/>
            </w:pPr>
            <w:r>
              <w:rPr>
                <w:b/>
              </w:rPr>
              <w:t xml:space="preserve">Mosquitoes per resident</w:t>
            </w:r>
          </w:p>
        </w:tc>
        <w:tc>
          <w:tcPr/>
          <w:p>
            <w:pPr>
              <w:pStyle w:val="TableText"/>
              <w:jc w:val="right"/>
            </w:pPr>
            <w:r>
              <w:rPr>
                <w:b/>
              </w:rPr>
              <w:t xml:space="preserve">Attraction</w:t>
            </w:r>
          </w:p>
        </w:tc>
        <w:tc>
          <w:tcPr/>
          <w:p>
            <w:pPr>
              <w:pStyle w:val="TableText"/>
              <w:jc w:val="right"/>
            </w:pPr>
            <w:r>
              <w:rPr>
                <w:b/>
              </w:rPr>
              <w:t xml:space="preserve">Share of day away</w:t>
            </w:r>
          </w:p>
        </w:tc>
        <w:tc>
          <w:tcPr/>
          <w:p>
            <w:pPr>
              <w:pStyle w:val="TableText"/>
              <w:jc w:val="right"/>
            </w:pPr>
            <w:r>
              <w:rPr>
                <w:b/>
              </w:rPr>
              <w:t xml:space="preserve">Cost of full control (team-days)</w:t>
            </w:r>
          </w:p>
        </w:tc>
      </w:tr>
      <w:tr>
        <w:trPr>
          <w:cantSplit/>
        </w:trPr>
        <w:tc>
          <w:tcPr/>
          <w:p>
            <w:pPr>
              <w:pStyle w:val="TableText"/>
              <w:jc w:val="left"/>
            </w:pPr>
            <w:r>
              <w:t xml:space="preserve">B1</w:t>
            </w:r>
          </w:p>
        </w:tc>
        <w:tc>
          <w:tcPr/>
          <w:p>
            <w:pPr>
              <w:pStyle w:val="TableText"/>
              <w:jc w:val="left"/>
            </w:pPr>
            <w:r>
              <w:t xml:space="preserve">Poblacion: central school and public market</w:t>
            </w:r>
          </w:p>
        </w:tc>
        <w:tc>
          <w:tcPr/>
          <w:p>
            <w:pPr>
              <w:pStyle w:val="TableText"/>
              <w:jc w:val="right"/>
            </w:pPr>
            <w:r>
              <w:t xml:space="preserve">4,000</w:t>
            </w:r>
          </w:p>
        </w:tc>
        <w:tc>
          <w:tcPr/>
          <w:p>
            <w:pPr>
              <w:pStyle w:val="TableText"/>
              <w:jc w:val="right"/>
            </w:pPr>
            <w:r>
              <w:t xml:space="preserve">976</w:t>
            </w:r>
          </w:p>
        </w:tc>
        <w:tc>
          <w:tcPr/>
          <w:p>
            <w:pPr>
              <w:pStyle w:val="TableText"/>
              <w:jc w:val="right"/>
            </w:pPr>
            <w:r>
              <w:t xml:space="preserve">5.3</w:t>
            </w:r>
          </w:p>
        </w:tc>
        <w:tc>
          <w:tcPr/>
          <w:p>
            <w:pPr>
              <w:pStyle w:val="TableText"/>
              <w:jc w:val="right"/>
            </w:pPr>
            <w:r>
              <w:t xml:space="preserve">10.0</w:t>
            </w:r>
          </w:p>
        </w:tc>
        <w:tc>
          <w:tcPr/>
          <w:p>
            <w:pPr>
              <w:pStyle w:val="TableText"/>
              <w:jc w:val="right"/>
            </w:pPr>
            <w:r>
              <w:t xml:space="preserve">0.20</w:t>
            </w:r>
          </w:p>
        </w:tc>
        <w:tc>
          <w:tcPr/>
          <w:p>
            <w:pPr>
              <w:pStyle w:val="TableText"/>
              <w:jc w:val="right"/>
            </w:pPr>
            <w:r>
              <w:t xml:space="preserve">19.52</w:t>
            </w:r>
          </w:p>
        </w:tc>
      </w:tr>
      <w:tr>
        <w:trPr>
          <w:cantSplit/>
        </w:trPr>
        <w:tc>
          <w:tcPr/>
          <w:p>
            <w:pPr>
              <w:pStyle w:val="TableText"/>
              <w:jc w:val="left"/>
            </w:pPr>
            <w:r>
              <w:t xml:space="preserve">B2</w:t>
            </w:r>
          </w:p>
        </w:tc>
        <w:tc>
          <w:tcPr/>
          <w:p>
            <w:pPr>
              <w:pStyle w:val="TableText"/>
              <w:jc w:val="left"/>
            </w:pPr>
            <w:r>
              <w:t xml:space="preserve">Urban residential</w:t>
            </w:r>
          </w:p>
        </w:tc>
        <w:tc>
          <w:tcPr/>
          <w:p>
            <w:pPr>
              <w:pStyle w:val="TableText"/>
              <w:jc w:val="right"/>
            </w:pPr>
            <w:r>
              <w:t xml:space="preserve">6,000</w:t>
            </w:r>
          </w:p>
        </w:tc>
        <w:tc>
          <w:tcPr/>
          <w:p>
            <w:pPr>
              <w:pStyle w:val="TableText"/>
              <w:jc w:val="right"/>
            </w:pPr>
            <w:r>
              <w:t xml:space="preserve">1,463</w:t>
            </w:r>
          </w:p>
        </w:tc>
        <w:tc>
          <w:tcPr/>
          <w:p>
            <w:pPr>
              <w:pStyle w:val="TableText"/>
              <w:jc w:val="right"/>
            </w:pPr>
            <w:r>
              <w:t xml:space="preserve">1.6</w:t>
            </w:r>
          </w:p>
        </w:tc>
        <w:tc>
          <w:tcPr/>
          <w:p>
            <w:pPr>
              <w:pStyle w:val="TableText"/>
              <w:jc w:val="right"/>
            </w:pPr>
            <w:r>
              <w:t xml:space="preserve">2.0</w:t>
            </w:r>
          </w:p>
        </w:tc>
        <w:tc>
          <w:tcPr/>
          <w:p>
            <w:pPr>
              <w:pStyle w:val="TableText"/>
              <w:jc w:val="right"/>
            </w:pPr>
            <w:r>
              <w:t xml:space="preserve">0.40</w:t>
            </w:r>
          </w:p>
        </w:tc>
        <w:tc>
          <w:tcPr/>
          <w:p>
            <w:pPr>
              <w:pStyle w:val="TableText"/>
              <w:jc w:val="right"/>
            </w:pPr>
            <w:r>
              <w:t xml:space="preserve">29.26</w:t>
            </w:r>
          </w:p>
        </w:tc>
      </w:tr>
      <w:tr>
        <w:trPr>
          <w:cantSplit/>
        </w:trPr>
        <w:tc>
          <w:tcPr/>
          <w:p>
            <w:pPr>
              <w:pStyle w:val="TableText"/>
              <w:jc w:val="left"/>
            </w:pPr>
            <w:r>
              <w:t xml:space="preserve">B3</w:t>
            </w:r>
          </w:p>
        </w:tc>
        <w:tc>
          <w:tcPr/>
          <w:p>
            <w:pPr>
              <w:pStyle w:val="TableText"/>
              <w:jc w:val="left"/>
            </w:pPr>
            <w:r>
              <w:t xml:space="preserve">Peri-urban</w:t>
            </w:r>
          </w:p>
        </w:tc>
        <w:tc>
          <w:tcPr/>
          <w:p>
            <w:pPr>
              <w:pStyle w:val="TableText"/>
              <w:jc w:val="right"/>
            </w:pPr>
            <w:r>
              <w:t xml:space="preserve">3,500</w:t>
            </w:r>
          </w:p>
        </w:tc>
        <w:tc>
          <w:tcPr/>
          <w:p>
            <w:pPr>
              <w:pStyle w:val="TableText"/>
              <w:jc w:val="right"/>
            </w:pPr>
            <w:r>
              <w:t xml:space="preserve">854</w:t>
            </w:r>
          </w:p>
        </w:tc>
        <w:tc>
          <w:tcPr/>
          <w:p>
            <w:pPr>
              <w:pStyle w:val="TableText"/>
              <w:jc w:val="right"/>
            </w:pPr>
            <w:r>
              <w:t xml:space="preserve">2.0</w:t>
            </w:r>
          </w:p>
        </w:tc>
        <w:tc>
          <w:tcPr/>
          <w:p>
            <w:pPr>
              <w:pStyle w:val="TableText"/>
              <w:jc w:val="right"/>
            </w:pPr>
            <w:r>
              <w:t xml:space="preserve">1.5</w:t>
            </w:r>
          </w:p>
        </w:tc>
        <w:tc>
          <w:tcPr/>
          <w:p>
            <w:pPr>
              <w:pStyle w:val="TableText"/>
              <w:jc w:val="right"/>
            </w:pPr>
            <w:r>
              <w:t xml:space="preserve">0.35</w:t>
            </w:r>
          </w:p>
        </w:tc>
        <w:tc>
          <w:tcPr/>
          <w:p>
            <w:pPr>
              <w:pStyle w:val="TableText"/>
              <w:jc w:val="right"/>
            </w:pPr>
            <w:r>
              <w:t xml:space="preserve">17.08</w:t>
            </w:r>
          </w:p>
        </w:tc>
      </w:tr>
      <w:tr>
        <w:trPr>
          <w:cantSplit/>
        </w:trPr>
        <w:tc>
          <w:tcPr/>
          <w:p>
            <w:pPr>
              <w:pStyle w:val="TableText"/>
              <w:jc w:val="left"/>
            </w:pPr>
            <w:r>
              <w:t xml:space="preserve">B4</w:t>
            </w:r>
          </w:p>
        </w:tc>
        <w:tc>
          <w:tcPr/>
          <w:p>
            <w:pPr>
              <w:pStyle w:val="TableText"/>
              <w:jc w:val="left"/>
            </w:pPr>
            <w:r>
              <w:t xml:space="preserve">Rural upland</w:t>
            </w:r>
          </w:p>
        </w:tc>
        <w:tc>
          <w:tcPr/>
          <w:p>
            <w:pPr>
              <w:pStyle w:val="TableText"/>
              <w:jc w:val="right"/>
            </w:pPr>
            <w:r>
              <w:t xml:space="preserve">2,000</w:t>
            </w:r>
          </w:p>
        </w:tc>
        <w:tc>
          <w:tcPr/>
          <w:p>
            <w:pPr>
              <w:pStyle w:val="TableText"/>
              <w:jc w:val="right"/>
            </w:pPr>
            <w:r>
              <w:t xml:space="preserve">488</w:t>
            </w:r>
          </w:p>
        </w:tc>
        <w:tc>
          <w:tcPr/>
          <w:p>
            <w:pPr>
              <w:pStyle w:val="TableText"/>
              <w:jc w:val="right"/>
            </w:pPr>
            <w:r>
              <w:t xml:space="preserve">2.3</w:t>
            </w:r>
          </w:p>
        </w:tc>
        <w:tc>
          <w:tcPr/>
          <w:p>
            <w:pPr>
              <w:pStyle w:val="TableText"/>
              <w:jc w:val="right"/>
            </w:pPr>
            <w:r>
              <w:t xml:space="preserve">0.5</w:t>
            </w:r>
          </w:p>
        </w:tc>
        <w:tc>
          <w:tcPr/>
          <w:p>
            <w:pPr>
              <w:pStyle w:val="TableText"/>
              <w:jc w:val="right"/>
            </w:pPr>
            <w:r>
              <w:t xml:space="preserve">0.25</w:t>
            </w:r>
          </w:p>
        </w:tc>
        <w:tc>
          <w:tcPr/>
          <w:p>
            <w:pPr>
              <w:pStyle w:val="TableText"/>
              <w:jc w:val="right"/>
            </w:pPr>
            <w:r>
              <w:t xml:space="preserve">9.76</w:t>
            </w:r>
          </w:p>
        </w:tc>
      </w:tr>
      <w:tr>
        <w:trPr>
          <w:cantSplit/>
        </w:trPr>
        <w:tc>
          <w:tcPr/>
          <w:p>
            <w:pPr>
              <w:pStyle w:val="TableText"/>
              <w:jc w:val="left"/>
            </w:pPr>
            <w:r>
              <w:t xml:space="preserve">B5</w:t>
            </w:r>
          </w:p>
        </w:tc>
        <w:tc>
          <w:tcPr/>
          <w:p>
            <w:pPr>
              <w:pStyle w:val="TableText"/>
              <w:jc w:val="left"/>
            </w:pPr>
            <w:r>
              <w:t xml:space="preserve">Rural lowland (rice fields)</w:t>
            </w:r>
          </w:p>
        </w:tc>
        <w:tc>
          <w:tcPr/>
          <w:p>
            <w:pPr>
              <w:pStyle w:val="TableText"/>
              <w:jc w:val="right"/>
            </w:pPr>
            <w:r>
              <w:t xml:space="preserve">1,800</w:t>
            </w:r>
          </w:p>
        </w:tc>
        <w:tc>
          <w:tcPr/>
          <w:p>
            <w:pPr>
              <w:pStyle w:val="TableText"/>
              <w:jc w:val="right"/>
            </w:pPr>
            <w:r>
              <w:t xml:space="preserve">439</w:t>
            </w:r>
          </w:p>
        </w:tc>
        <w:tc>
          <w:tcPr/>
          <w:p>
            <w:pPr>
              <w:pStyle w:val="TableText"/>
              <w:jc w:val="right"/>
            </w:pPr>
            <w:r>
              <w:t xml:space="preserve">1.8</w:t>
            </w:r>
          </w:p>
        </w:tc>
        <w:tc>
          <w:tcPr/>
          <w:p>
            <w:pPr>
              <w:pStyle w:val="TableText"/>
              <w:jc w:val="right"/>
            </w:pPr>
            <w:r>
              <w:t xml:space="preserve">0.5</w:t>
            </w:r>
          </w:p>
        </w:tc>
        <w:tc>
          <w:tcPr/>
          <w:p>
            <w:pPr>
              <w:pStyle w:val="TableText"/>
              <w:jc w:val="right"/>
            </w:pPr>
            <w:r>
              <w:t xml:space="preserve">0.30</w:t>
            </w:r>
          </w:p>
        </w:tc>
        <w:tc>
          <w:tcPr/>
          <w:p>
            <w:pPr>
              <w:pStyle w:val="TableText"/>
              <w:jc w:val="right"/>
            </w:pPr>
            <w:r>
              <w:t xml:space="preserve">8.78</w:t>
            </w:r>
          </w:p>
        </w:tc>
      </w:tr>
      <w:tr>
        <w:trPr>
          <w:cantSplit/>
        </w:trPr>
        <w:tc>
          <w:tcPr/>
          <w:p>
            <w:pPr>
              <w:pStyle w:val="TableText"/>
              <w:jc w:val="left"/>
            </w:pPr>
            <w:r>
              <w:t xml:space="preserve">B6</w:t>
            </w:r>
          </w:p>
        </w:tc>
        <w:tc>
          <w:tcPr/>
          <w:p>
            <w:pPr>
              <w:pStyle w:val="TableText"/>
              <w:jc w:val="left"/>
            </w:pPr>
            <w:r>
              <w:t xml:space="preserve">Coastal</w:t>
            </w:r>
          </w:p>
        </w:tc>
        <w:tc>
          <w:tcPr/>
          <w:p>
            <w:pPr>
              <w:pStyle w:val="TableText"/>
              <w:jc w:val="right"/>
            </w:pPr>
            <w:r>
              <w:t xml:space="preserve">2,500</w:t>
            </w:r>
          </w:p>
        </w:tc>
        <w:tc>
          <w:tcPr/>
          <w:p>
            <w:pPr>
              <w:pStyle w:val="TableText"/>
              <w:jc w:val="right"/>
            </w:pPr>
            <w:r>
              <w:t xml:space="preserve">610</w:t>
            </w:r>
          </w:p>
        </w:tc>
        <w:tc>
          <w:tcPr/>
          <w:p>
            <w:pPr>
              <w:pStyle w:val="TableText"/>
              <w:jc w:val="right"/>
            </w:pPr>
            <w:r>
              <w:t xml:space="preserve">1.4</w:t>
            </w:r>
          </w:p>
        </w:tc>
        <w:tc>
          <w:tcPr/>
          <w:p>
            <w:pPr>
              <w:pStyle w:val="TableText"/>
              <w:jc w:val="right"/>
            </w:pPr>
            <w:r>
              <w:t xml:space="preserve">1.0</w:t>
            </w:r>
          </w:p>
        </w:tc>
        <w:tc>
          <w:tcPr/>
          <w:p>
            <w:pPr>
              <w:pStyle w:val="TableText"/>
              <w:jc w:val="right"/>
            </w:pPr>
            <w:r>
              <w:t xml:space="preserve">0.30</w:t>
            </w:r>
          </w:p>
        </w:tc>
        <w:tc>
          <w:tcPr/>
          <w:p>
            <w:pPr>
              <w:pStyle w:val="TableText"/>
              <w:jc w:val="right"/>
            </w:pPr>
            <w:r>
              <w:t xml:space="preserve">12.20</w:t>
            </w:r>
          </w:p>
        </w:tc>
      </w:tr>
    </w:tbl>
    <w:p>
      <w:pPr>
        <w:pStyle w:val="FigurePara"/>
      </w:pPr>
      <w:r>
        <w:drawing>
          <wp:inline>
            <wp:extent cx="4937760" cy="3549015"/>
            <wp:effectExtent b="0" l="0" r="0" t="0"/>
            <wp:docPr descr="" title="" id="125" name="Picture"/>
            <a:graphic>
              <a:graphicData uri="http://schemas.openxmlformats.org/drawingml/2006/picture">
                <pic:pic>
                  <pic:nvPicPr>
                    <pic:cNvPr descr="/home/user/MAP---A/research/where-people-go-dengue/paper/../code/figures/fig_d1_network.png" id="126" name="Picture"/>
                    <pic:cNvPicPr>
                      <a:picLocks noChangeArrowheads="1" noChangeAspect="1"/>
                    </pic:cNvPicPr>
                  </pic:nvPicPr>
                  <pic:blipFill>
                    <a:blip r:embed="rId124"/>
                    <a:stretch>
                      <a:fillRect/>
                    </a:stretch>
                  </pic:blipFill>
                  <pic:spPr bwMode="auto">
                    <a:xfrm>
                      <a:off x="0" y="0"/>
                      <a:ext cx="4937760" cy="3549015"/>
                    </a:xfrm>
                    <a:prstGeom prst="rect">
                      <a:avLst/>
                    </a:prstGeom>
                    <a:noFill/>
                    <a:ln w="9525">
                      <a:noFill/>
                      <a:headEnd/>
                      <a:tailEnd/>
                    </a:ln>
                  </pic:spPr>
                </pic:pic>
              </a:graphicData>
            </a:graphic>
          </wp:inline>
        </w:drawing>
      </w:r>
    </w:p>
    <w:p>
      <w:pPr>
        <w:pStyle w:val="FigureCaption"/>
      </w:pPr>
      <w:r>
        <w:rPr>
          <w:bCs/>
          <w:b/>
        </w:rPr>
        <w:t xml:space="preserve">Figure 2.</w:t>
      </w:r>
      <w:r>
        <w:t xml:space="preserve"> </w:t>
      </w:r>
      <w:r>
        <w:t xml:space="preserve">Test network D1. Circle size shows residents, color shows mosquitoes per person present, and arrows show the daily flows of residents between barangays (synthetic).</w:t>
      </w:r>
    </w:p>
    <w:p>
      <w:pPr>
        <w:pStyle w:val="PaperCaption"/>
      </w:pPr>
      <w:r>
        <w:rPr>
          <w:bCs/>
          <w:b/>
        </w:rPr>
        <w:t xml:space="preserve">Table 10.</w:t>
      </w:r>
      <w:r>
        <w:t xml:space="preserve"> </w:t>
      </w:r>
      <w:r>
        <w:t xml:space="preserve">Residence-time matrix</w:t>
      </w:r>
      <w:r>
        <w:t xml:space="preserve"> </w:t>
      </w:r>
      <w:r>
        <w:rPr>
          <w:iCs/>
          <w:i/>
        </w:rPr>
        <w:t xml:space="preserve">P</w:t>
      </w:r>
      <w:r>
        <w:t xml:space="preserve"> </w:t>
      </w:r>
      <w:r>
        <w:t xml:space="preserve">of D1: the share of biting hours that residents of the row barangay spend in the column barangay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131"/>
        <w:gridCol w:w="1131"/>
        <w:gridCol w:w="1131"/>
        <w:gridCol w:w="1131"/>
        <w:gridCol w:w="1131"/>
        <w:gridCol w:w="1131"/>
        <w:gridCol w:w="1131"/>
      </w:tblGrid>
      <w:tr>
        <w:trPr>
          <w:cantSplit/>
          <w:tblHeader w:val="true"/>
        </w:trPr>
        <w:tc>
          <w:tcPr/>
          <w:p>
            <w:pPr>
              <w:pStyle w:val="TableText"/>
              <w:jc w:val="left"/>
            </w:pPr>
            <w:r>
              <w:rPr>
                <w:b/>
              </w:rPr>
              <w:t xml:space="preserve">From \ To</w:t>
            </w:r>
          </w:p>
        </w:tc>
        <w:tc>
          <w:tcPr/>
          <w:p>
            <w:pPr>
              <w:pStyle w:val="TableText"/>
              <w:jc w:val="right"/>
            </w:pPr>
            <w:r>
              <w:rPr>
                <w:b/>
              </w:rPr>
              <w:t xml:space="preserve">B1</w:t>
            </w:r>
          </w:p>
        </w:tc>
        <w:tc>
          <w:tcPr/>
          <w:p>
            <w:pPr>
              <w:pStyle w:val="TableText"/>
              <w:jc w:val="right"/>
            </w:pPr>
            <w:r>
              <w:rPr>
                <w:b/>
              </w:rPr>
              <w:t xml:space="preserve">B2</w:t>
            </w:r>
          </w:p>
        </w:tc>
        <w:tc>
          <w:tcPr/>
          <w:p>
            <w:pPr>
              <w:pStyle w:val="TableText"/>
              <w:jc w:val="right"/>
            </w:pPr>
            <w:r>
              <w:rPr>
                <w:b/>
              </w:rPr>
              <w:t xml:space="preserve">B3</w:t>
            </w:r>
          </w:p>
        </w:tc>
        <w:tc>
          <w:tcPr/>
          <w:p>
            <w:pPr>
              <w:pStyle w:val="TableText"/>
              <w:jc w:val="right"/>
            </w:pPr>
            <w:r>
              <w:rPr>
                <w:b/>
              </w:rPr>
              <w:t xml:space="preserve">B4</w:t>
            </w:r>
          </w:p>
        </w:tc>
        <w:tc>
          <w:tcPr/>
          <w:p>
            <w:pPr>
              <w:pStyle w:val="TableText"/>
              <w:jc w:val="right"/>
            </w:pPr>
            <w:r>
              <w:rPr>
                <w:b/>
              </w:rPr>
              <w:t xml:space="preserve">B5</w:t>
            </w:r>
          </w:p>
        </w:tc>
        <w:tc>
          <w:tcPr/>
          <w:p>
            <w:pPr>
              <w:pStyle w:val="TableText"/>
              <w:jc w:val="right"/>
            </w:pPr>
            <w:r>
              <w:rPr>
                <w:b/>
              </w:rPr>
              <w:t xml:space="preserve">B6</w:t>
            </w:r>
          </w:p>
        </w:tc>
      </w:tr>
      <w:tr>
        <w:trPr>
          <w:cantSplit/>
        </w:trPr>
        <w:tc>
          <w:tcPr/>
          <w:p>
            <w:pPr>
              <w:pStyle w:val="TableText"/>
              <w:jc w:val="left"/>
            </w:pPr>
            <w:r>
              <w:t xml:space="preserve">B1</w:t>
            </w:r>
          </w:p>
        </w:tc>
        <w:tc>
          <w:tcPr/>
          <w:p>
            <w:pPr>
              <w:pStyle w:val="TableText"/>
              <w:jc w:val="right"/>
            </w:pPr>
            <w:r>
              <w:t xml:space="preserve">0.800</w:t>
            </w:r>
          </w:p>
        </w:tc>
        <w:tc>
          <w:tcPr/>
          <w:p>
            <w:pPr>
              <w:pStyle w:val="TableText"/>
              <w:jc w:val="right"/>
            </w:pPr>
            <w:r>
              <w:t xml:space="preserve">0.101</w:t>
            </w:r>
          </w:p>
        </w:tc>
        <w:tc>
          <w:tcPr/>
          <w:p>
            <w:pPr>
              <w:pStyle w:val="TableText"/>
              <w:jc w:val="right"/>
            </w:pPr>
            <w:r>
              <w:t xml:space="preserve">0.055</w:t>
            </w:r>
          </w:p>
        </w:tc>
        <w:tc>
          <w:tcPr/>
          <w:p>
            <w:pPr>
              <w:pStyle w:val="TableText"/>
              <w:jc w:val="right"/>
            </w:pPr>
            <w:r>
              <w:t xml:space="preserve">0.008</w:t>
            </w:r>
          </w:p>
        </w:tc>
        <w:tc>
          <w:tcPr/>
          <w:p>
            <w:pPr>
              <w:pStyle w:val="TableText"/>
              <w:jc w:val="right"/>
            </w:pPr>
            <w:r>
              <w:t xml:space="preserve">0.013</w:t>
            </w:r>
          </w:p>
        </w:tc>
        <w:tc>
          <w:tcPr/>
          <w:p>
            <w:pPr>
              <w:pStyle w:val="TableText"/>
              <w:jc w:val="right"/>
            </w:pPr>
            <w:r>
              <w:t xml:space="preserve">0.024</w:t>
            </w:r>
          </w:p>
        </w:tc>
      </w:tr>
      <w:tr>
        <w:trPr>
          <w:cantSplit/>
        </w:trPr>
        <w:tc>
          <w:tcPr/>
          <w:p>
            <w:pPr>
              <w:pStyle w:val="TableText"/>
              <w:jc w:val="left"/>
            </w:pPr>
            <w:r>
              <w:t xml:space="preserve">B2</w:t>
            </w:r>
          </w:p>
        </w:tc>
        <w:tc>
          <w:tcPr/>
          <w:p>
            <w:pPr>
              <w:pStyle w:val="TableText"/>
              <w:jc w:val="right"/>
            </w:pPr>
            <w:r>
              <w:t xml:space="preserve">0.328</w:t>
            </w:r>
          </w:p>
        </w:tc>
        <w:tc>
          <w:tcPr/>
          <w:p>
            <w:pPr>
              <w:pStyle w:val="TableText"/>
              <w:jc w:val="right"/>
            </w:pPr>
            <w:r>
              <w:t xml:space="preserve">0.600</w:t>
            </w:r>
          </w:p>
        </w:tc>
        <w:tc>
          <w:tcPr/>
          <w:p>
            <w:pPr>
              <w:pStyle w:val="TableText"/>
              <w:jc w:val="right"/>
            </w:pPr>
            <w:r>
              <w:t xml:space="preserve">0.044</w:t>
            </w:r>
          </w:p>
        </w:tc>
        <w:tc>
          <w:tcPr/>
          <w:p>
            <w:pPr>
              <w:pStyle w:val="TableText"/>
              <w:jc w:val="right"/>
            </w:pPr>
            <w:r>
              <w:t xml:space="preserve">0.007</w:t>
            </w:r>
          </w:p>
        </w:tc>
        <w:tc>
          <w:tcPr/>
          <w:p>
            <w:pPr>
              <w:pStyle w:val="TableText"/>
              <w:jc w:val="right"/>
            </w:pPr>
            <w:r>
              <w:t xml:space="preserve">0.006</w:t>
            </w:r>
          </w:p>
        </w:tc>
        <w:tc>
          <w:tcPr/>
          <w:p>
            <w:pPr>
              <w:pStyle w:val="TableText"/>
              <w:jc w:val="right"/>
            </w:pPr>
            <w:r>
              <w:t xml:space="preserve">0.015</w:t>
            </w:r>
          </w:p>
        </w:tc>
      </w:tr>
      <w:tr>
        <w:trPr>
          <w:cantSplit/>
        </w:trPr>
        <w:tc>
          <w:tcPr/>
          <w:p>
            <w:pPr>
              <w:pStyle w:val="TableText"/>
              <w:jc w:val="left"/>
            </w:pPr>
            <w:r>
              <w:t xml:space="preserve">B3</w:t>
            </w:r>
          </w:p>
        </w:tc>
        <w:tc>
          <w:tcPr/>
          <w:p>
            <w:pPr>
              <w:pStyle w:val="TableText"/>
              <w:jc w:val="right"/>
            </w:pPr>
            <w:r>
              <w:t xml:space="preserve">0.254</w:t>
            </w:r>
          </w:p>
        </w:tc>
        <w:tc>
          <w:tcPr/>
          <w:p>
            <w:pPr>
              <w:pStyle w:val="TableText"/>
              <w:jc w:val="right"/>
            </w:pPr>
            <w:r>
              <w:t xml:space="preserve">0.062</w:t>
            </w:r>
          </w:p>
        </w:tc>
        <w:tc>
          <w:tcPr/>
          <w:p>
            <w:pPr>
              <w:pStyle w:val="TableText"/>
              <w:jc w:val="right"/>
            </w:pPr>
            <w:r>
              <w:t xml:space="preserve">0.650</w:t>
            </w:r>
          </w:p>
        </w:tc>
        <w:tc>
          <w:tcPr/>
          <w:p>
            <w:pPr>
              <w:pStyle w:val="TableText"/>
              <w:jc w:val="right"/>
            </w:pPr>
            <w:r>
              <w:t xml:space="preserve">0.007</w:t>
            </w:r>
          </w:p>
        </w:tc>
        <w:tc>
          <w:tcPr/>
          <w:p>
            <w:pPr>
              <w:pStyle w:val="TableText"/>
              <w:jc w:val="right"/>
            </w:pPr>
            <w:r>
              <w:t xml:space="preserve">0.006</w:t>
            </w:r>
          </w:p>
        </w:tc>
        <w:tc>
          <w:tcPr/>
          <w:p>
            <w:pPr>
              <w:pStyle w:val="TableText"/>
              <w:jc w:val="right"/>
            </w:pPr>
            <w:r>
              <w:t xml:space="preserve">0.021</w:t>
            </w:r>
          </w:p>
        </w:tc>
      </w:tr>
      <w:tr>
        <w:trPr>
          <w:cantSplit/>
        </w:trPr>
        <w:tc>
          <w:tcPr/>
          <w:p>
            <w:pPr>
              <w:pStyle w:val="TableText"/>
              <w:jc w:val="left"/>
            </w:pPr>
            <w:r>
              <w:t xml:space="preserve">B4</w:t>
            </w:r>
          </w:p>
        </w:tc>
        <w:tc>
          <w:tcPr/>
          <w:p>
            <w:pPr>
              <w:pStyle w:val="TableText"/>
              <w:jc w:val="right"/>
            </w:pPr>
            <w:r>
              <w:t xml:space="preserve">0.162</w:t>
            </w:r>
          </w:p>
        </w:tc>
        <w:tc>
          <w:tcPr/>
          <w:p>
            <w:pPr>
              <w:pStyle w:val="TableText"/>
              <w:jc w:val="right"/>
            </w:pPr>
            <w:r>
              <w:t xml:space="preserve">0.044</w:t>
            </w:r>
          </w:p>
        </w:tc>
        <w:tc>
          <w:tcPr/>
          <w:p>
            <w:pPr>
              <w:pStyle w:val="TableText"/>
              <w:jc w:val="right"/>
            </w:pPr>
            <w:r>
              <w:t xml:space="preserve">0.032</w:t>
            </w:r>
          </w:p>
        </w:tc>
        <w:tc>
          <w:tcPr/>
          <w:p>
            <w:pPr>
              <w:pStyle w:val="TableText"/>
              <w:jc w:val="right"/>
            </w:pPr>
            <w:r>
              <w:t xml:space="preserve">0.750</w:t>
            </w:r>
          </w:p>
        </w:tc>
        <w:tc>
          <w:tcPr/>
          <w:p>
            <w:pPr>
              <w:pStyle w:val="TableText"/>
              <w:jc w:val="right"/>
            </w:pPr>
            <w:r>
              <w:t xml:space="preserve">0.003</w:t>
            </w:r>
          </w:p>
        </w:tc>
        <w:tc>
          <w:tcPr/>
          <w:p>
            <w:pPr>
              <w:pStyle w:val="TableText"/>
              <w:jc w:val="right"/>
            </w:pPr>
            <w:r>
              <w:t xml:space="preserve">0.009</w:t>
            </w:r>
          </w:p>
        </w:tc>
      </w:tr>
      <w:tr>
        <w:trPr>
          <w:cantSplit/>
        </w:trPr>
        <w:tc>
          <w:tcPr/>
          <w:p>
            <w:pPr>
              <w:pStyle w:val="TableText"/>
              <w:jc w:val="left"/>
            </w:pPr>
            <w:r>
              <w:t xml:space="preserve">B5</w:t>
            </w:r>
          </w:p>
        </w:tc>
        <w:tc>
          <w:tcPr/>
          <w:p>
            <w:pPr>
              <w:pStyle w:val="TableText"/>
              <w:jc w:val="right"/>
            </w:pPr>
            <w:r>
              <w:t xml:space="preserve">0.225</w:t>
            </w:r>
          </w:p>
        </w:tc>
        <w:tc>
          <w:tcPr/>
          <w:p>
            <w:pPr>
              <w:pStyle w:val="TableText"/>
              <w:jc w:val="right"/>
            </w:pPr>
            <w:r>
              <w:t xml:space="preserve">0.033</w:t>
            </w:r>
          </w:p>
        </w:tc>
        <w:tc>
          <w:tcPr/>
          <w:p>
            <w:pPr>
              <w:pStyle w:val="TableText"/>
              <w:jc w:val="right"/>
            </w:pPr>
            <w:r>
              <w:t xml:space="preserve">0.021</w:t>
            </w:r>
          </w:p>
        </w:tc>
        <w:tc>
          <w:tcPr/>
          <w:p>
            <w:pPr>
              <w:pStyle w:val="TableText"/>
              <w:jc w:val="right"/>
            </w:pPr>
            <w:r>
              <w:t xml:space="preserve">0.003</w:t>
            </w:r>
          </w:p>
        </w:tc>
        <w:tc>
          <w:tcPr/>
          <w:p>
            <w:pPr>
              <w:pStyle w:val="TableText"/>
              <w:jc w:val="right"/>
            </w:pPr>
            <w:r>
              <w:t xml:space="preserve">0.700</w:t>
            </w:r>
          </w:p>
        </w:tc>
        <w:tc>
          <w:tcPr/>
          <w:p>
            <w:pPr>
              <w:pStyle w:val="TableText"/>
              <w:jc w:val="right"/>
            </w:pPr>
            <w:r>
              <w:t xml:space="preserve">0.017</w:t>
            </w:r>
          </w:p>
        </w:tc>
      </w:tr>
      <w:tr>
        <w:trPr>
          <w:cantSplit/>
        </w:trPr>
        <w:tc>
          <w:tcPr/>
          <w:p>
            <w:pPr>
              <w:pStyle w:val="TableText"/>
              <w:jc w:val="left"/>
            </w:pPr>
            <w:r>
              <w:t xml:space="preserve">B6</w:t>
            </w:r>
          </w:p>
        </w:tc>
        <w:tc>
          <w:tcPr/>
          <w:p>
            <w:pPr>
              <w:pStyle w:val="TableText"/>
              <w:jc w:val="right"/>
            </w:pPr>
            <w:r>
              <w:t xml:space="preserve">0.207</w:t>
            </w:r>
          </w:p>
        </w:tc>
        <w:tc>
          <w:tcPr/>
          <w:p>
            <w:pPr>
              <w:pStyle w:val="TableText"/>
              <w:jc w:val="right"/>
            </w:pPr>
            <w:r>
              <w:t xml:space="preserve">0.040</w:t>
            </w:r>
          </w:p>
        </w:tc>
        <w:tc>
          <w:tcPr/>
          <w:p>
            <w:pPr>
              <w:pStyle w:val="TableText"/>
              <w:jc w:val="right"/>
            </w:pPr>
            <w:r>
              <w:t xml:space="preserve">0.040</w:t>
            </w:r>
          </w:p>
        </w:tc>
        <w:tc>
          <w:tcPr/>
          <w:p>
            <w:pPr>
              <w:pStyle w:val="TableText"/>
              <w:jc w:val="right"/>
            </w:pPr>
            <w:r>
              <w:t xml:space="preserve">0.004</w:t>
            </w:r>
          </w:p>
        </w:tc>
        <w:tc>
          <w:tcPr/>
          <w:p>
            <w:pPr>
              <w:pStyle w:val="TableText"/>
              <w:jc w:val="right"/>
            </w:pPr>
            <w:r>
              <w:t xml:space="preserve">0.009</w:t>
            </w:r>
          </w:p>
        </w:tc>
        <w:tc>
          <w:tcPr/>
          <w:p>
            <w:pPr>
              <w:pStyle w:val="TableText"/>
              <w:jc w:val="right"/>
            </w:pPr>
            <w:r>
              <w:t xml:space="preserve">0.700</w:t>
            </w:r>
          </w:p>
        </w:tc>
      </w:tr>
    </w:tbl>
    <w:bookmarkStart w:id="130" w:name="Xe0ea827a3cfa98dd1d0b8cf264d8f849b504703"/>
    <w:p>
      <w:pPr>
        <w:pStyle w:val="Heading3"/>
      </w:pPr>
      <w:r>
        <w:t xml:space="preserve">3.5.1 How Much Transmission Each Place Carries</w:t>
      </w:r>
    </w:p>
    <w:p>
      <w:pPr>
        <w:pStyle w:val="PaperCaption"/>
      </w:pPr>
      <w:r>
        <w:rPr>
          <w:bCs/>
          <w:b/>
        </w:rPr>
        <w:t xml:space="preserve">Table 11.</w:t>
      </w:r>
      <w:r>
        <w:t xml:space="preserve"> </w:t>
      </w:r>
      <w:r>
        <w:t xml:space="preserve">Transmission quantities of D1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033"/>
        <w:gridCol w:w="918"/>
        <w:gridCol w:w="1033"/>
        <w:gridCol w:w="918"/>
        <w:gridCol w:w="803"/>
        <w:gridCol w:w="918"/>
        <w:gridCol w:w="1262"/>
        <w:gridCol w:w="1033"/>
      </w:tblGrid>
      <w:tr>
        <w:trPr>
          <w:cantSplit/>
          <w:tblHeader w:val="true"/>
        </w:trPr>
        <w:tc>
          <w:tcPr/>
          <w:p>
            <w:pPr>
              <w:pStyle w:val="TableText"/>
              <w:jc w:val="left"/>
            </w:pPr>
            <w:r>
              <w:rPr>
                <w:b/>
              </w:rPr>
              <w:t xml:space="preserve">Barangay</w:t>
            </w:r>
          </w:p>
        </w:tc>
        <w:tc>
          <w:tcPr/>
          <w:p>
            <w:pPr>
              <w:pStyle w:val="TableText"/>
              <w:jc w:val="right"/>
            </w:pPr>
            <w:r>
              <w:rPr>
                <w:b/>
              </w:rPr>
              <w:t xml:space="preserve">People present by day</w:t>
            </w:r>
          </w:p>
        </w:tc>
        <w:tc>
          <w:tcPr/>
          <w:p>
            <w:pPr>
              <w:pStyle w:val="TableText"/>
              <w:jc w:val="right"/>
            </w:pPr>
            <w:r>
              <w:rPr>
                <w:b/>
              </w:rPr>
              <w:t xml:space="preserve">Mosquitoes per person present</w:t>
            </w:r>
          </w:p>
        </w:tc>
        <w:tc>
          <w:tcPr/>
          <w:p>
            <w:pPr>
              <w:pStyle w:val="TableText"/>
              <w:jc w:val="right"/>
            </w:pPr>
            <w:r>
              <w:rPr>
                <w:b/>
              </w:rPr>
              <w:t xml:space="preserve">Local exposure number</w:t>
            </w:r>
            <w:r>
              <w:rPr>
                <w:b/>
              </w:rPr>
              <w:t xml:space="preserve"> </w:t>
            </w:r>
            <w:r>
              <w:rPr>
                <w:b/>
                <w:iCs/>
                <w:i/>
              </w:rPr>
              <w:t xml:space="preserve">R</w:t>
            </w:r>
            <w:r>
              <w:rPr>
                <w:b/>
                <w:iCs/>
                <w:i/>
                <w:vertAlign w:val="subscript"/>
              </w:rPr>
              <w:t xml:space="preserve">i</w:t>
            </w:r>
          </w:p>
        </w:tc>
        <w:tc>
          <w:tcPr/>
          <w:p>
            <w:pPr>
              <w:pStyle w:val="TableText"/>
              <w:jc w:val="right"/>
            </w:pPr>
            <w:r>
              <w:rPr>
                <w:b/>
                <w:iCs/>
                <w:i/>
              </w:rPr>
              <w:t xml:space="preserve">R</w:t>
            </w:r>
            <w:r>
              <w:rPr>
                <w:b/>
                <w:vertAlign w:val="subscript"/>
              </w:rPr>
              <w:t xml:space="preserve">0</w:t>
            </w:r>
            <w:r>
              <w:rPr>
                <w:b/>
              </w:rPr>
              <w:t xml:space="preserve"> </w:t>
            </w:r>
            <w:r>
              <w:rPr>
                <w:b/>
              </w:rPr>
              <w:t xml:space="preserve">if isolated</w:t>
            </w:r>
          </w:p>
        </w:tc>
        <w:tc>
          <w:tcPr/>
          <w:p>
            <w:pPr>
              <w:pStyle w:val="TableText"/>
              <w:jc w:val="right"/>
            </w:pPr>
            <w:r>
              <w:rPr>
                <w:b/>
              </w:rPr>
              <w:t xml:space="preserve">Share of cases by residence (%)</w:t>
            </w:r>
          </w:p>
        </w:tc>
        <w:tc>
          <w:tcPr/>
          <w:p>
            <w:pPr>
              <w:pStyle w:val="TableText"/>
              <w:jc w:val="right"/>
            </w:pPr>
            <w:r>
              <w:rPr>
                <w:b/>
              </w:rPr>
              <w:t xml:space="preserve">Share of transmission by place (%)</w:t>
            </w:r>
          </w:p>
        </w:tc>
        <w:tc>
          <w:tcPr/>
          <w:p>
            <w:pPr>
              <w:pStyle w:val="TableText"/>
              <w:jc w:val="right"/>
            </w:pPr>
            <w:r>
              <w:rPr>
                <w:b/>
              </w:rPr>
              <w:t xml:space="preserve">Hotspot score per team-day (× 10</w:t>
            </w:r>
            <w:r>
              <w:rPr>
                <w:b/>
                <w:vertAlign w:val="superscript"/>
              </w:rPr>
              <w:t xml:space="preserve">−3</w:t>
            </w:r>
            <w:r>
              <w:rPr>
                <w:b/>
              </w:rPr>
              <w:t xml:space="preserve">)</w:t>
            </w:r>
          </w:p>
        </w:tc>
      </w:tr>
      <w:tr>
        <w:trPr>
          <w:cantSplit/>
        </w:trPr>
        <w:tc>
          <w:tcPr/>
          <w:p>
            <w:pPr>
              <w:pStyle w:val="TableText"/>
              <w:jc w:val="left"/>
            </w:pPr>
            <w:r>
              <w:t xml:space="preserve">B1</w:t>
            </w:r>
          </w:p>
        </w:tc>
        <w:tc>
          <w:tcPr/>
          <w:p>
            <w:pPr>
              <w:pStyle w:val="TableText"/>
              <w:jc w:val="right"/>
            </w:pPr>
            <w:r>
              <w:t xml:space="preserve">7,300</w:t>
            </w:r>
          </w:p>
        </w:tc>
        <w:tc>
          <w:tcPr/>
          <w:p>
            <w:pPr>
              <w:pStyle w:val="TableText"/>
              <w:jc w:val="right"/>
            </w:pPr>
            <w:r>
              <w:t xml:space="preserve">2.90</w:t>
            </w:r>
          </w:p>
        </w:tc>
        <w:tc>
          <w:tcPr/>
          <w:p>
            <w:pPr>
              <w:pStyle w:val="TableText"/>
              <w:jc w:val="right"/>
            </w:pPr>
            <w:r>
              <w:t xml:space="preserve">1.613</w:t>
            </w:r>
          </w:p>
        </w:tc>
        <w:tc>
          <w:tcPr/>
          <w:p>
            <w:pPr>
              <w:pStyle w:val="TableText"/>
              <w:jc w:val="right"/>
            </w:pPr>
            <w:r>
              <w:t xml:space="preserve">1.759</w:t>
            </w:r>
          </w:p>
        </w:tc>
        <w:tc>
          <w:tcPr/>
          <w:p>
            <w:pPr>
              <w:pStyle w:val="TableText"/>
              <w:jc w:val="right"/>
            </w:pPr>
            <w:r>
              <w:t xml:space="preserve">22.4</w:t>
            </w:r>
          </w:p>
        </w:tc>
        <w:tc>
          <w:tcPr/>
          <w:p>
            <w:pPr>
              <w:pStyle w:val="TableText"/>
              <w:jc w:val="right"/>
            </w:pPr>
            <w:r>
              <w:t xml:space="preserve">42.6</w:t>
            </w:r>
          </w:p>
        </w:tc>
        <w:tc>
          <w:tcPr/>
          <w:p>
            <w:pPr>
              <w:pStyle w:val="TableText"/>
              <w:jc w:val="right"/>
            </w:pPr>
            <w:r>
              <w:t xml:space="preserve">32.1</w:t>
            </w:r>
          </w:p>
        </w:tc>
      </w:tr>
      <w:tr>
        <w:trPr>
          <w:cantSplit/>
        </w:trPr>
        <w:tc>
          <w:tcPr/>
          <w:p>
            <w:pPr>
              <w:pStyle w:val="TableText"/>
              <w:jc w:val="left"/>
            </w:pPr>
            <w:r>
              <w:t xml:space="preserve">B2</w:t>
            </w:r>
          </w:p>
        </w:tc>
        <w:tc>
          <w:tcPr/>
          <w:p>
            <w:pPr>
              <w:pStyle w:val="TableText"/>
              <w:jc w:val="right"/>
            </w:pPr>
            <w:r>
              <w:t xml:space="preserve">4,469</w:t>
            </w:r>
          </w:p>
        </w:tc>
        <w:tc>
          <w:tcPr/>
          <w:p>
            <w:pPr>
              <w:pStyle w:val="TableText"/>
              <w:jc w:val="right"/>
            </w:pPr>
            <w:r>
              <w:t xml:space="preserve">2.15</w:t>
            </w:r>
          </w:p>
        </w:tc>
        <w:tc>
          <w:tcPr/>
          <w:p>
            <w:pPr>
              <w:pStyle w:val="TableText"/>
              <w:jc w:val="right"/>
            </w:pPr>
            <w:r>
              <w:t xml:space="preserve">1.404</w:t>
            </w:r>
          </w:p>
        </w:tc>
        <w:tc>
          <w:tcPr/>
          <w:p>
            <w:pPr>
              <w:pStyle w:val="TableText"/>
              <w:jc w:val="right"/>
            </w:pPr>
            <w:r>
              <w:t xml:space="preserve">0.967</w:t>
            </w:r>
          </w:p>
        </w:tc>
        <w:tc>
          <w:tcPr/>
          <w:p>
            <w:pPr>
              <w:pStyle w:val="TableText"/>
              <w:jc w:val="right"/>
            </w:pPr>
            <w:r>
              <w:t xml:space="preserve">28.5</w:t>
            </w:r>
          </w:p>
        </w:tc>
        <w:tc>
          <w:tcPr/>
          <w:p>
            <w:pPr>
              <w:pStyle w:val="TableText"/>
              <w:jc w:val="right"/>
            </w:pPr>
            <w:r>
              <w:t xml:space="preserve">17.1</w:t>
            </w:r>
          </w:p>
        </w:tc>
        <w:tc>
          <w:tcPr/>
          <w:p>
            <w:pPr>
              <w:pStyle w:val="TableText"/>
              <w:jc w:val="right"/>
            </w:pPr>
            <w:r>
              <w:t xml:space="preserve">8.6</w:t>
            </w:r>
          </w:p>
        </w:tc>
      </w:tr>
      <w:tr>
        <w:trPr>
          <w:cantSplit/>
        </w:trPr>
        <w:tc>
          <w:tcPr/>
          <w:p>
            <w:pPr>
              <w:pStyle w:val="TableText"/>
              <w:jc w:val="left"/>
            </w:pPr>
            <w:r>
              <w:t xml:space="preserve">B3</w:t>
            </w:r>
          </w:p>
        </w:tc>
        <w:tc>
          <w:tcPr/>
          <w:p>
            <w:pPr>
              <w:pStyle w:val="TableText"/>
              <w:jc w:val="right"/>
            </w:pPr>
            <w:r>
              <w:t xml:space="preserve">2,962</w:t>
            </w:r>
          </w:p>
        </w:tc>
        <w:tc>
          <w:tcPr/>
          <w:p>
            <w:pPr>
              <w:pStyle w:val="TableText"/>
              <w:jc w:val="right"/>
            </w:pPr>
            <w:r>
              <w:t xml:space="preserve">2.36</w:t>
            </w:r>
          </w:p>
        </w:tc>
        <w:tc>
          <w:tcPr/>
          <w:p>
            <w:pPr>
              <w:pStyle w:val="TableText"/>
              <w:jc w:val="right"/>
            </w:pPr>
            <w:r>
              <w:t xml:space="preserve">1.446</w:t>
            </w:r>
          </w:p>
        </w:tc>
        <w:tc>
          <w:tcPr/>
          <w:p>
            <w:pPr>
              <w:pStyle w:val="TableText"/>
              <w:jc w:val="right"/>
            </w:pPr>
            <w:r>
              <w:t xml:space="preserve">1.081</w:t>
            </w:r>
          </w:p>
        </w:tc>
        <w:tc>
          <w:tcPr/>
          <w:p>
            <w:pPr>
              <w:pStyle w:val="TableText"/>
              <w:jc w:val="right"/>
            </w:pPr>
            <w:r>
              <w:t xml:space="preserve">17.2</w:t>
            </w:r>
          </w:p>
        </w:tc>
        <w:tc>
          <w:tcPr/>
          <w:p>
            <w:pPr>
              <w:pStyle w:val="TableText"/>
              <w:jc w:val="right"/>
            </w:pPr>
            <w:r>
              <w:t xml:space="preserve">12.9</w:t>
            </w:r>
          </w:p>
        </w:tc>
        <w:tc>
          <w:tcPr/>
          <w:p>
            <w:pPr>
              <w:pStyle w:val="TableText"/>
              <w:jc w:val="right"/>
            </w:pPr>
            <w:r>
              <w:t xml:space="preserve">11.1</w:t>
            </w:r>
          </w:p>
        </w:tc>
      </w:tr>
      <w:tr>
        <w:trPr>
          <w:cantSplit/>
        </w:trPr>
        <w:tc>
          <w:tcPr/>
          <w:p>
            <w:pPr>
              <w:pStyle w:val="TableText"/>
              <w:jc w:val="left"/>
            </w:pPr>
            <w:r>
              <w:t xml:space="preserve">B4</w:t>
            </w:r>
          </w:p>
        </w:tc>
        <w:tc>
          <w:tcPr/>
          <w:p>
            <w:pPr>
              <w:pStyle w:val="TableText"/>
              <w:jc w:val="right"/>
            </w:pPr>
            <w:r>
              <w:t xml:space="preserve">1,617</w:t>
            </w:r>
          </w:p>
        </w:tc>
        <w:tc>
          <w:tcPr/>
          <w:p>
            <w:pPr>
              <w:pStyle w:val="TableText"/>
              <w:jc w:val="right"/>
            </w:pPr>
            <w:r>
              <w:t xml:space="preserve">2.84</w:t>
            </w:r>
          </w:p>
        </w:tc>
        <w:tc>
          <w:tcPr/>
          <w:p>
            <w:pPr>
              <w:pStyle w:val="TableText"/>
              <w:jc w:val="right"/>
            </w:pPr>
            <w:r>
              <w:t xml:space="preserve">1.632</w:t>
            </w:r>
          </w:p>
        </w:tc>
        <w:tc>
          <w:tcPr/>
          <w:p>
            <w:pPr>
              <w:pStyle w:val="TableText"/>
              <w:jc w:val="right"/>
            </w:pPr>
            <w:r>
              <w:t xml:space="preserve">1.159</w:t>
            </w:r>
          </w:p>
        </w:tc>
        <w:tc>
          <w:tcPr/>
          <w:p>
            <w:pPr>
              <w:pStyle w:val="TableText"/>
              <w:jc w:val="right"/>
            </w:pPr>
            <w:r>
              <w:t xml:space="preserve">15.0</w:t>
            </w:r>
          </w:p>
        </w:tc>
        <w:tc>
          <w:tcPr/>
          <w:p>
            <w:pPr>
              <w:pStyle w:val="TableText"/>
              <w:jc w:val="right"/>
            </w:pPr>
            <w:r>
              <w:t xml:space="preserve">18.6</w:t>
            </w:r>
          </w:p>
        </w:tc>
        <w:tc>
          <w:tcPr/>
          <w:p>
            <w:pPr>
              <w:pStyle w:val="TableText"/>
              <w:jc w:val="right"/>
            </w:pPr>
            <w:r>
              <w:t xml:space="preserve">28.1</w:t>
            </w:r>
          </w:p>
        </w:tc>
      </w:tr>
      <w:tr>
        <w:trPr>
          <w:cantSplit/>
        </w:trPr>
        <w:tc>
          <w:tcPr/>
          <w:p>
            <w:pPr>
              <w:pStyle w:val="TableText"/>
              <w:jc w:val="left"/>
            </w:pPr>
            <w:r>
              <w:t xml:space="preserve">B5</w:t>
            </w:r>
          </w:p>
        </w:tc>
        <w:tc>
          <w:tcPr/>
          <w:p>
            <w:pPr>
              <w:pStyle w:val="TableText"/>
              <w:jc w:val="right"/>
            </w:pPr>
            <w:r>
              <w:t xml:space="preserve">1,394</w:t>
            </w:r>
          </w:p>
        </w:tc>
        <w:tc>
          <w:tcPr/>
          <w:p>
            <w:pPr>
              <w:pStyle w:val="TableText"/>
              <w:jc w:val="right"/>
            </w:pPr>
            <w:r>
              <w:t xml:space="preserve">2.32</w:t>
            </w:r>
          </w:p>
        </w:tc>
        <w:tc>
          <w:tcPr/>
          <w:p>
            <w:pPr>
              <w:pStyle w:val="TableText"/>
              <w:jc w:val="right"/>
            </w:pPr>
            <w:r>
              <w:t xml:space="preserve">1.425</w:t>
            </w:r>
          </w:p>
        </w:tc>
        <w:tc>
          <w:tcPr/>
          <w:p>
            <w:pPr>
              <w:pStyle w:val="TableText"/>
              <w:jc w:val="right"/>
            </w:pPr>
            <w:r>
              <w:t xml:space="preserve">1.025</w:t>
            </w:r>
          </w:p>
        </w:tc>
        <w:tc>
          <w:tcPr/>
          <w:p>
            <w:pPr>
              <w:pStyle w:val="TableText"/>
              <w:jc w:val="right"/>
            </w:pPr>
            <w:r>
              <w:t xml:space="preserve">8.4</w:t>
            </w:r>
          </w:p>
        </w:tc>
        <w:tc>
          <w:tcPr/>
          <w:p>
            <w:pPr>
              <w:pStyle w:val="TableText"/>
              <w:jc w:val="right"/>
            </w:pPr>
            <w:r>
              <w:t xml:space="preserve">5.4</w:t>
            </w:r>
          </w:p>
        </w:tc>
        <w:tc>
          <w:tcPr/>
          <w:p>
            <w:pPr>
              <w:pStyle w:val="TableText"/>
              <w:jc w:val="right"/>
            </w:pPr>
            <w:r>
              <w:t xml:space="preserve">9.0</w:t>
            </w:r>
          </w:p>
        </w:tc>
      </w:tr>
      <w:tr>
        <w:trPr>
          <w:cantSplit/>
        </w:trPr>
        <w:tc>
          <w:tcPr/>
          <w:p>
            <w:pPr>
              <w:pStyle w:val="TableText"/>
              <w:jc w:val="left"/>
            </w:pPr>
            <w:r>
              <w:t xml:space="preserve">B6</w:t>
            </w:r>
          </w:p>
        </w:tc>
        <w:tc>
          <w:tcPr/>
          <w:p>
            <w:pPr>
              <w:pStyle w:val="TableText"/>
              <w:jc w:val="right"/>
            </w:pPr>
            <w:r>
              <w:t xml:space="preserve">2,057</w:t>
            </w:r>
          </w:p>
        </w:tc>
        <w:tc>
          <w:tcPr/>
          <w:p>
            <w:pPr>
              <w:pStyle w:val="TableText"/>
              <w:jc w:val="right"/>
            </w:pPr>
            <w:r>
              <w:t xml:space="preserve">1.70</w:t>
            </w:r>
          </w:p>
        </w:tc>
        <w:tc>
          <w:tcPr/>
          <w:p>
            <w:pPr>
              <w:pStyle w:val="TableText"/>
              <w:jc w:val="right"/>
            </w:pPr>
            <w:r>
              <w:t xml:space="preserve">1.171</w:t>
            </w:r>
          </w:p>
        </w:tc>
        <w:tc>
          <w:tcPr/>
          <w:p>
            <w:pPr>
              <w:pStyle w:val="TableText"/>
              <w:jc w:val="right"/>
            </w:pPr>
            <w:r>
              <w:t xml:space="preserve">0.904</w:t>
            </w:r>
          </w:p>
        </w:tc>
        <w:tc>
          <w:tcPr/>
          <w:p>
            <w:pPr>
              <w:pStyle w:val="TableText"/>
              <w:jc w:val="right"/>
            </w:pPr>
            <w:r>
              <w:t xml:space="preserve">8.4</w:t>
            </w:r>
          </w:p>
        </w:tc>
        <w:tc>
          <w:tcPr/>
          <w:p>
            <w:pPr>
              <w:pStyle w:val="TableText"/>
              <w:jc w:val="right"/>
            </w:pPr>
            <w:r>
              <w:t xml:space="preserve">3.5</w:t>
            </w:r>
          </w:p>
        </w:tc>
        <w:tc>
          <w:tcPr/>
          <w:p>
            <w:pPr>
              <w:pStyle w:val="TableText"/>
              <w:jc w:val="right"/>
            </w:pPr>
            <w:r>
              <w:t xml:space="preserve">4.2</w:t>
            </w:r>
          </w:p>
        </w:tc>
      </w:tr>
    </w:tbl>
    <w:p>
      <w:pPr>
        <w:pStyle w:val="BodyText"/>
      </w:pPr>
      <w:r>
        <w:t xml:space="preserve">The network reproduction number is 1.214, so dengue can spread in D1. The local exposure numbers run from 1.171 to 1.632, and</w:t>
      </w:r>
      <w:r>
        <w:t xml:space="preserve"> </w:t>
      </w:r>
      <w:r>
        <w:rPr>
          <w:iCs/>
          <w:i/>
        </w:rPr>
        <w:t xml:space="preserve">R</w:t>
      </w:r>
      <w:r>
        <w:rPr>
          <w:vertAlign w:val="subscript"/>
        </w:rPr>
        <w:t xml:space="preserve">0</w:t>
      </w:r>
      <w:r>
        <w:rPr>
          <w:vertAlign w:val="superscript"/>
        </w:rPr>
        <w:t xml:space="preserve">2</w:t>
      </w:r>
      <w:r>
        <w:t xml:space="preserve"> </w:t>
      </w:r>
      <w:r>
        <w:t xml:space="preserve">= 1.474 lies between them, as Proposition 4 requires. Spreading the same mosquitoes evenly over the same people would give 1.204, a slight underestimate (Proposition 5).</w:t>
      </w:r>
    </w:p>
    <w:p>
      <w:pPr>
        <w:pStyle w:val="BodyText"/>
      </w:pPr>
      <w:r>
        <w:t xml:space="preserve">The two percentage columns tell different stories. Ranked by where cases live, B2 comes first with 28.5 percent of cases, because it has the most residents. Ranked by where transmission happens, B1 comes first with 42.6 percent: its school and market gather people from every other barangay into the place with the most mosquitoes. Figure 3 shows the gap. A brigade sent to the barangay with the most cases would start in the wrong place.</w:t>
      </w:r>
    </w:p>
    <w:p>
      <w:pPr>
        <w:pStyle w:val="FigurePara"/>
      </w:pPr>
      <w:r>
        <w:drawing>
          <wp:inline>
            <wp:extent cx="5120640" cy="2720340"/>
            <wp:effectExtent b="0" l="0" r="0" t="0"/>
            <wp:docPr descr="" title="" id="128" name="Picture"/>
            <a:graphic>
              <a:graphicData uri="http://schemas.openxmlformats.org/drawingml/2006/picture">
                <pic:pic>
                  <pic:nvPicPr>
                    <pic:cNvPr descr="/home/user/MAP---A/research/where-people-go-dengue/paper/../code/figures/fig_d1_shares.png" id="129" name="Picture"/>
                    <pic:cNvPicPr>
                      <a:picLocks noChangeArrowheads="1" noChangeAspect="1"/>
                    </pic:cNvPicPr>
                  </pic:nvPicPr>
                  <pic:blipFill>
                    <a:blip r:embed="rId127"/>
                    <a:stretch>
                      <a:fillRect/>
                    </a:stretch>
                  </pic:blipFill>
                  <pic:spPr bwMode="auto">
                    <a:xfrm>
                      <a:off x="0" y="0"/>
                      <a:ext cx="5120640" cy="2720340"/>
                    </a:xfrm>
                    <a:prstGeom prst="rect">
                      <a:avLst/>
                    </a:prstGeom>
                    <a:noFill/>
                    <a:ln w="9525">
                      <a:noFill/>
                      <a:headEnd/>
                      <a:tailEnd/>
                    </a:ln>
                  </pic:spPr>
                </pic:pic>
              </a:graphicData>
            </a:graphic>
          </wp:inline>
        </w:drawing>
      </w:r>
    </w:p>
    <w:p>
      <w:pPr>
        <w:pStyle w:val="FigureCaption"/>
      </w:pPr>
      <w:r>
        <w:rPr>
          <w:bCs/>
          <w:b/>
        </w:rPr>
        <w:t xml:space="preserve">Figure 3.</w:t>
      </w:r>
      <w:r>
        <w:t xml:space="preserve"> </w:t>
      </w:r>
      <w:r>
        <w:t xml:space="preserve">Shares of residents, of cases by residence, and of transmission by place in D1 (synthetic).</w:t>
      </w:r>
    </w:p>
    <w:p>
      <w:pPr>
        <w:pStyle w:val="BodyText"/>
      </w:pPr>
      <w:r>
        <w:t xml:space="preserve">Movement matters in a second way. If nobody left home, B1 would have</w:t>
      </w:r>
      <w:r>
        <w:t xml:space="preserve"> </w:t>
      </w:r>
      <w:r>
        <w:rPr>
          <w:iCs/>
          <w:i/>
        </w:rPr>
        <w:t xml:space="preserve">R</w:t>
      </w:r>
      <w:r>
        <w:rPr>
          <w:vertAlign w:val="subscript"/>
        </w:rPr>
        <w:t xml:space="preserve">0</w:t>
      </w:r>
      <w:r>
        <w:t xml:space="preserve"> </w:t>
      </w:r>
      <w:r>
        <w:t xml:space="preserve">= 1.759 on its own, the highest of all, because its mosquitoes would bite only its own residents. Movement dilutes those bites over more people by day, which brings the whole network to 1.214, but it also carries the infection to every barangay whose residents visit B1.</w:t>
      </w:r>
    </w:p>
    <w:bookmarkEnd w:id="130"/>
    <w:bookmarkStart w:id="131" w:name="vector-control-at-least-cost-1"/>
    <w:p>
      <w:pPr>
        <w:pStyle w:val="Heading3"/>
      </w:pPr>
      <w:r>
        <w:t xml:space="preserve">3.5.2 Vector Control at Least Cost</w:t>
      </w:r>
    </w:p>
    <w:p>
      <w:pPr>
        <w:pStyle w:val="FirstParagraph"/>
      </w:pPr>
      <w:r>
        <w:t xml:space="preserve">The target is</w:t>
      </w:r>
      <w:r>
        <w:t xml:space="preserve"> </w:t>
      </w:r>
      <w:r>
        <w:rPr>
          <w:iCs/>
          <w:i/>
        </w:rPr>
        <w:t xml:space="preserve">R</w:t>
      </w:r>
      <w:r>
        <w:rPr>
          <w:vertAlign w:val="subscript"/>
        </w:rPr>
        <w:t xml:space="preserve">0</w:t>
      </w:r>
      <w:r>
        <w:t xml:space="preserve"> </w:t>
      </w:r>
      <w:r>
        <w:t xml:space="preserve">≤ 0.95, with at most 80 percent of mosquitoes removed in any place. Table 12 compares the five strategies of Section 2.10.</w:t>
      </w:r>
    </w:p>
    <w:p>
      <w:pPr>
        <w:pStyle w:val="PaperCaption"/>
      </w:pPr>
      <w:r>
        <w:rPr>
          <w:bCs/>
          <w:b/>
        </w:rPr>
        <w:t xml:space="preserve">Table 12.</w:t>
      </w:r>
      <w:r>
        <w:t xml:space="preserve"> </w:t>
      </w:r>
      <w:r>
        <w:t xml:space="preserve">Five ways to reach</w:t>
      </w:r>
      <w:r>
        <w:t xml:space="preserve"> </w:t>
      </w:r>
      <w:r>
        <w:rPr>
          <w:iCs/>
          <w:i/>
        </w:rPr>
        <w:t xml:space="preserve">R</w:t>
      </w:r>
      <w:r>
        <w:rPr>
          <w:vertAlign w:val="subscript"/>
        </w:rPr>
        <w:t xml:space="preserve">0</w:t>
      </w:r>
      <w:r>
        <w:t xml:space="preserve"> </w:t>
      </w:r>
      <w:r>
        <w:t xml:space="preserve">≤ 0.95 in D1: the reduction of mosquitoes in each barangay, the total cost, and the reproduction number reached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51"/>
        <w:gridCol w:w="688"/>
        <w:gridCol w:w="688"/>
        <w:gridCol w:w="688"/>
        <w:gridCol w:w="688"/>
        <w:gridCol w:w="688"/>
        <w:gridCol w:w="688"/>
        <w:gridCol w:w="918"/>
        <w:gridCol w:w="918"/>
      </w:tblGrid>
      <w:tr>
        <w:trPr>
          <w:cantSplit/>
          <w:tblHeader w:val="true"/>
        </w:trPr>
        <w:tc>
          <w:tcPr/>
          <w:p>
            <w:pPr>
              <w:pStyle w:val="TableText"/>
              <w:jc w:val="left"/>
            </w:pPr>
            <w:r>
              <w:rPr>
                <w:b/>
              </w:rPr>
              <w:t xml:space="preserve">Strategy</w:t>
            </w:r>
          </w:p>
        </w:tc>
        <w:tc>
          <w:tcPr/>
          <w:p>
            <w:pPr>
              <w:pStyle w:val="TableText"/>
              <w:jc w:val="right"/>
            </w:pPr>
            <w:r>
              <w:rPr>
                <w:b/>
              </w:rPr>
              <w:t xml:space="preserve">B1 (%)</w:t>
            </w:r>
          </w:p>
        </w:tc>
        <w:tc>
          <w:tcPr/>
          <w:p>
            <w:pPr>
              <w:pStyle w:val="TableText"/>
              <w:jc w:val="right"/>
            </w:pPr>
            <w:r>
              <w:rPr>
                <w:b/>
              </w:rPr>
              <w:t xml:space="preserve">B2 (%)</w:t>
            </w:r>
          </w:p>
        </w:tc>
        <w:tc>
          <w:tcPr/>
          <w:p>
            <w:pPr>
              <w:pStyle w:val="TableText"/>
              <w:jc w:val="right"/>
            </w:pPr>
            <w:r>
              <w:rPr>
                <w:b/>
              </w:rPr>
              <w:t xml:space="preserve">B3 (%)</w:t>
            </w:r>
          </w:p>
        </w:tc>
        <w:tc>
          <w:tcPr/>
          <w:p>
            <w:pPr>
              <w:pStyle w:val="TableText"/>
              <w:jc w:val="right"/>
            </w:pPr>
            <w:r>
              <w:rPr>
                <w:b/>
              </w:rPr>
              <w:t xml:space="preserve">B4 (%)</w:t>
            </w:r>
          </w:p>
        </w:tc>
        <w:tc>
          <w:tcPr/>
          <w:p>
            <w:pPr>
              <w:pStyle w:val="TableText"/>
              <w:jc w:val="right"/>
            </w:pPr>
            <w:r>
              <w:rPr>
                <w:b/>
              </w:rPr>
              <w:t xml:space="preserve">B5 (%)</w:t>
            </w:r>
          </w:p>
        </w:tc>
        <w:tc>
          <w:tcPr/>
          <w:p>
            <w:pPr>
              <w:pStyle w:val="TableText"/>
              <w:jc w:val="right"/>
            </w:pPr>
            <w:r>
              <w:rPr>
                <w:b/>
              </w:rPr>
              <w:t xml:space="preserve">B6 (%)</w:t>
            </w:r>
          </w:p>
        </w:tc>
        <w:tc>
          <w:tcPr/>
          <w:p>
            <w:pPr>
              <w:pStyle w:val="TableText"/>
              <w:jc w:val="right"/>
            </w:pPr>
            <w:r>
              <w:rPr>
                <w:b/>
              </w:rPr>
              <w:t xml:space="preserve">Cost (team-days)</w:t>
            </w:r>
          </w:p>
        </w:tc>
        <w:tc>
          <w:tcPr/>
          <w:p>
            <w:pPr>
              <w:pStyle w:val="TableText"/>
              <w:jc w:val="right"/>
            </w:pPr>
            <w:r>
              <w:rPr>
                <w:b/>
                <w:iCs/>
                <w:i/>
              </w:rPr>
              <w:t xml:space="preserve">R</w:t>
            </w:r>
            <w:r>
              <w:rPr>
                <w:b/>
                <w:vertAlign w:val="subscript"/>
              </w:rPr>
              <w:t xml:space="preserve">0</w:t>
            </w:r>
            <w:r>
              <w:rPr>
                <w:b/>
              </w:rPr>
              <w:t xml:space="preserve"> </w:t>
            </w:r>
            <w:r>
              <w:rPr>
                <w:b/>
              </w:rPr>
              <w:t xml:space="preserve">reached</w:t>
            </w:r>
          </w:p>
        </w:tc>
      </w:tr>
      <w:tr>
        <w:trPr>
          <w:cantSplit/>
        </w:trPr>
        <w:tc>
          <w:tcPr/>
          <w:p>
            <w:pPr>
              <w:pStyle w:val="TableText"/>
              <w:jc w:val="left"/>
            </w:pPr>
            <w:r>
              <w:t xml:space="preserve">Uniform</w:t>
            </w:r>
          </w:p>
        </w:tc>
        <w:tc>
          <w:tcPr/>
          <w:p>
            <w:pPr>
              <w:pStyle w:val="TableText"/>
              <w:jc w:val="right"/>
            </w:pPr>
            <w:r>
              <w:t xml:space="preserve">38.8</w:t>
            </w:r>
          </w:p>
        </w:tc>
        <w:tc>
          <w:tcPr/>
          <w:p>
            <w:pPr>
              <w:pStyle w:val="TableText"/>
              <w:jc w:val="right"/>
            </w:pPr>
            <w:r>
              <w:t xml:space="preserve">38.8</w:t>
            </w:r>
          </w:p>
        </w:tc>
        <w:tc>
          <w:tcPr/>
          <w:p>
            <w:pPr>
              <w:pStyle w:val="TableText"/>
              <w:jc w:val="right"/>
            </w:pPr>
            <w:r>
              <w:t xml:space="preserve">38.8</w:t>
            </w:r>
          </w:p>
        </w:tc>
        <w:tc>
          <w:tcPr/>
          <w:p>
            <w:pPr>
              <w:pStyle w:val="TableText"/>
              <w:jc w:val="right"/>
            </w:pPr>
            <w:r>
              <w:t xml:space="preserve">38.8</w:t>
            </w:r>
          </w:p>
        </w:tc>
        <w:tc>
          <w:tcPr/>
          <w:p>
            <w:pPr>
              <w:pStyle w:val="TableText"/>
              <w:jc w:val="right"/>
            </w:pPr>
            <w:r>
              <w:t xml:space="preserve">38.8</w:t>
            </w:r>
          </w:p>
        </w:tc>
        <w:tc>
          <w:tcPr/>
          <w:p>
            <w:pPr>
              <w:pStyle w:val="TableText"/>
              <w:jc w:val="right"/>
            </w:pPr>
            <w:r>
              <w:t xml:space="preserve">38.8</w:t>
            </w:r>
          </w:p>
        </w:tc>
        <w:tc>
          <w:tcPr/>
          <w:p>
            <w:pPr>
              <w:pStyle w:val="TableText"/>
              <w:jc w:val="right"/>
            </w:pPr>
            <w:r>
              <w:t xml:space="preserve">37.47</w:t>
            </w:r>
          </w:p>
        </w:tc>
        <w:tc>
          <w:tcPr/>
          <w:p>
            <w:pPr>
              <w:pStyle w:val="TableText"/>
              <w:jc w:val="right"/>
            </w:pPr>
            <w:r>
              <w:t xml:space="preserve">0.950</w:t>
            </w:r>
          </w:p>
        </w:tc>
      </w:tr>
      <w:tr>
        <w:trPr>
          <w:cantSplit/>
        </w:trPr>
        <w:tc>
          <w:tcPr/>
          <w:p>
            <w:pPr>
              <w:pStyle w:val="TableText"/>
              <w:jc w:val="left"/>
            </w:pPr>
            <w:r>
              <w:t xml:space="preserve">Where cases live</w:t>
            </w:r>
          </w:p>
        </w:tc>
        <w:tc>
          <w:tcPr/>
          <w:p>
            <w:pPr>
              <w:pStyle w:val="TableText"/>
              <w:jc w:val="right"/>
            </w:pPr>
            <w:r>
              <w:t xml:space="preserve">46.1</w:t>
            </w:r>
          </w:p>
        </w:tc>
        <w:tc>
          <w:tcPr/>
          <w:p>
            <w:pPr>
              <w:pStyle w:val="TableText"/>
              <w:jc w:val="right"/>
            </w:pPr>
            <w:r>
              <w:t xml:space="preserve">58.7</w:t>
            </w:r>
          </w:p>
        </w:tc>
        <w:tc>
          <w:tcPr/>
          <w:p>
            <w:pPr>
              <w:pStyle w:val="TableText"/>
              <w:jc w:val="right"/>
            </w:pPr>
            <w:r>
              <w:t xml:space="preserve">35.4</w:t>
            </w:r>
          </w:p>
        </w:tc>
        <w:tc>
          <w:tcPr/>
          <w:p>
            <w:pPr>
              <w:pStyle w:val="TableText"/>
              <w:jc w:val="right"/>
            </w:pPr>
            <w:r>
              <w:t xml:space="preserve">30.9</w:t>
            </w:r>
          </w:p>
        </w:tc>
        <w:tc>
          <w:tcPr/>
          <w:p>
            <w:pPr>
              <w:pStyle w:val="TableText"/>
              <w:jc w:val="right"/>
            </w:pPr>
            <w:r>
              <w:t xml:space="preserve">17.3</w:t>
            </w:r>
          </w:p>
        </w:tc>
        <w:tc>
          <w:tcPr/>
          <w:p>
            <w:pPr>
              <w:pStyle w:val="TableText"/>
              <w:jc w:val="right"/>
            </w:pPr>
            <w:r>
              <w:t xml:space="preserve">17.4</w:t>
            </w:r>
          </w:p>
        </w:tc>
        <w:tc>
          <w:tcPr/>
          <w:p>
            <w:pPr>
              <w:pStyle w:val="TableText"/>
              <w:jc w:val="right"/>
            </w:pPr>
            <w:r>
              <w:t xml:space="preserve">38.88</w:t>
            </w:r>
          </w:p>
        </w:tc>
        <w:tc>
          <w:tcPr/>
          <w:p>
            <w:pPr>
              <w:pStyle w:val="TableText"/>
              <w:jc w:val="right"/>
            </w:pPr>
            <w:r>
              <w:t xml:space="preserve">0.950</w:t>
            </w:r>
          </w:p>
        </w:tc>
      </w:tr>
      <w:tr>
        <w:trPr>
          <w:cantSplit/>
        </w:trPr>
        <w:tc>
          <w:tcPr/>
          <w:p>
            <w:pPr>
              <w:pStyle w:val="TableText"/>
              <w:jc w:val="left"/>
            </w:pPr>
            <w:r>
              <w:t xml:space="preserve">Place shares</w:t>
            </w:r>
          </w:p>
        </w:tc>
        <w:tc>
          <w:tcPr/>
          <w:p>
            <w:pPr>
              <w:pStyle w:val="TableText"/>
              <w:jc w:val="right"/>
            </w:pPr>
            <w:r>
              <w:t xml:space="preserve">69.0</w:t>
            </w:r>
          </w:p>
        </w:tc>
        <w:tc>
          <w:tcPr/>
          <w:p>
            <w:pPr>
              <w:pStyle w:val="TableText"/>
              <w:jc w:val="right"/>
            </w:pPr>
            <w:r>
              <w:t xml:space="preserve">27.7</w:t>
            </w:r>
          </w:p>
        </w:tc>
        <w:tc>
          <w:tcPr/>
          <w:p>
            <w:pPr>
              <w:pStyle w:val="TableText"/>
              <w:jc w:val="right"/>
            </w:pPr>
            <w:r>
              <w:t xml:space="preserve">20.9</w:t>
            </w:r>
          </w:p>
        </w:tc>
        <w:tc>
          <w:tcPr/>
          <w:p>
            <w:pPr>
              <w:pStyle w:val="TableText"/>
              <w:jc w:val="right"/>
            </w:pPr>
            <w:r>
              <w:t xml:space="preserve">30.1</w:t>
            </w:r>
          </w:p>
        </w:tc>
        <w:tc>
          <w:tcPr/>
          <w:p>
            <w:pPr>
              <w:pStyle w:val="TableText"/>
              <w:jc w:val="right"/>
            </w:pPr>
            <w:r>
              <w:t xml:space="preserve">8.7</w:t>
            </w:r>
          </w:p>
        </w:tc>
        <w:tc>
          <w:tcPr/>
          <w:p>
            <w:pPr>
              <w:pStyle w:val="TableText"/>
              <w:jc w:val="right"/>
            </w:pPr>
            <w:r>
              <w:t xml:space="preserve">5.7</w:t>
            </w:r>
          </w:p>
        </w:tc>
        <w:tc>
          <w:tcPr/>
          <w:p>
            <w:pPr>
              <w:pStyle w:val="TableText"/>
              <w:jc w:val="right"/>
            </w:pPr>
            <w:r>
              <w:t xml:space="preserve">29.54</w:t>
            </w:r>
          </w:p>
        </w:tc>
        <w:tc>
          <w:tcPr/>
          <w:p>
            <w:pPr>
              <w:pStyle w:val="TableText"/>
              <w:jc w:val="right"/>
            </w:pPr>
            <w:r>
              <w:t xml:space="preserve">0.950</w:t>
            </w:r>
          </w:p>
        </w:tc>
      </w:tr>
      <w:tr>
        <w:trPr>
          <w:cantSplit/>
        </w:trPr>
        <w:tc>
          <w:tcPr/>
          <w:p>
            <w:pPr>
              <w:pStyle w:val="TableText"/>
              <w:jc w:val="left"/>
            </w:pPr>
            <w:r>
              <w:t xml:space="preserve">Certificate (linear program)</w:t>
            </w:r>
          </w:p>
        </w:tc>
        <w:tc>
          <w:tcPr/>
          <w:p>
            <w:pPr>
              <w:pStyle w:val="TableText"/>
              <w:jc w:val="right"/>
            </w:pPr>
            <w:r>
              <w:t xml:space="preserve">80.0</w:t>
            </w:r>
          </w:p>
        </w:tc>
        <w:tc>
          <w:tcPr/>
          <w:p>
            <w:pPr>
              <w:pStyle w:val="TableText"/>
              <w:jc w:val="right"/>
            </w:pPr>
            <w:r>
              <w:t xml:space="preserve">5.0</w:t>
            </w:r>
          </w:p>
        </w:tc>
        <w:tc>
          <w:tcPr/>
          <w:p>
            <w:pPr>
              <w:pStyle w:val="TableText"/>
              <w:jc w:val="right"/>
            </w:pPr>
            <w:r>
              <w:t xml:space="preserve">21.1</w:t>
            </w:r>
          </w:p>
        </w:tc>
        <w:tc>
          <w:tcPr/>
          <w:p>
            <w:pPr>
              <w:pStyle w:val="TableText"/>
              <w:jc w:val="right"/>
            </w:pPr>
            <w:r>
              <w:t xml:space="preserve">40.0</w:t>
            </w:r>
          </w:p>
        </w:tc>
        <w:tc>
          <w:tcPr/>
          <w:p>
            <w:pPr>
              <w:pStyle w:val="TableText"/>
              <w:jc w:val="right"/>
            </w:pPr>
            <w:r>
              <w:t xml:space="preserve">21.8</w:t>
            </w:r>
          </w:p>
        </w:tc>
        <w:tc>
          <w:tcPr/>
          <w:p>
            <w:pPr>
              <w:pStyle w:val="TableText"/>
              <w:jc w:val="right"/>
            </w:pPr>
            <w:r>
              <w:t xml:space="preserve">0.0</w:t>
            </w:r>
          </w:p>
        </w:tc>
        <w:tc>
          <w:tcPr/>
          <w:p>
            <w:pPr>
              <w:pStyle w:val="TableText"/>
              <w:jc w:val="right"/>
            </w:pPr>
            <w:r>
              <w:t xml:space="preserve">26.49</w:t>
            </w:r>
          </w:p>
        </w:tc>
        <w:tc>
          <w:tcPr/>
          <w:p>
            <w:pPr>
              <w:pStyle w:val="TableText"/>
              <w:jc w:val="right"/>
            </w:pPr>
            <w:r>
              <w:t xml:space="preserve">0.924</w:t>
            </w:r>
          </w:p>
        </w:tc>
      </w:tr>
      <w:tr>
        <w:trPr>
          <w:cantSplit/>
        </w:trPr>
        <w:tc>
          <w:tcPr/>
          <w:p>
            <w:pPr>
              <w:pStyle w:val="TableText"/>
              <w:jc w:val="left"/>
            </w:pPr>
            <w:r>
              <w:t xml:space="preserve">Least cost (Algorithm 1)</w:t>
            </w:r>
          </w:p>
        </w:tc>
        <w:tc>
          <w:tcPr/>
          <w:p>
            <w:pPr>
              <w:pStyle w:val="TableText"/>
              <w:jc w:val="right"/>
            </w:pPr>
            <w:r>
              <w:t xml:space="preserve">80.0</w:t>
            </w:r>
          </w:p>
        </w:tc>
        <w:tc>
          <w:tcPr/>
          <w:p>
            <w:pPr>
              <w:pStyle w:val="TableText"/>
              <w:jc w:val="right"/>
            </w:pPr>
            <w:r>
              <w:t xml:space="preserve">0.0</w:t>
            </w:r>
          </w:p>
        </w:tc>
        <w:tc>
          <w:tcPr/>
          <w:p>
            <w:pPr>
              <w:pStyle w:val="TableText"/>
              <w:jc w:val="right"/>
            </w:pPr>
            <w:r>
              <w:t xml:space="preserve">10.6</w:t>
            </w:r>
          </w:p>
        </w:tc>
        <w:tc>
          <w:tcPr/>
          <w:p>
            <w:pPr>
              <w:pStyle w:val="TableText"/>
              <w:jc w:val="right"/>
            </w:pPr>
            <w:r>
              <w:t xml:space="preserve">38.9</w:t>
            </w:r>
          </w:p>
        </w:tc>
        <w:tc>
          <w:tcPr/>
          <w:p>
            <w:pPr>
              <w:pStyle w:val="TableText"/>
              <w:jc w:val="right"/>
            </w:pPr>
            <w:r>
              <w:t xml:space="preserve">15.7</w:t>
            </w:r>
          </w:p>
        </w:tc>
        <w:tc>
          <w:tcPr/>
          <w:p>
            <w:pPr>
              <w:pStyle w:val="TableText"/>
              <w:jc w:val="right"/>
            </w:pPr>
            <w:r>
              <w:t xml:space="preserve">0.0</w:t>
            </w:r>
          </w:p>
        </w:tc>
        <w:tc>
          <w:tcPr/>
          <w:p>
            <w:pPr>
              <w:pStyle w:val="TableText"/>
              <w:jc w:val="right"/>
            </w:pPr>
            <w:r>
              <w:t xml:space="preserve">22.60</w:t>
            </w:r>
          </w:p>
        </w:tc>
        <w:tc>
          <w:tcPr/>
          <w:p>
            <w:pPr>
              <w:pStyle w:val="TableText"/>
              <w:jc w:val="right"/>
            </w:pPr>
            <w:r>
              <w:t xml:space="preserve">0.950</w:t>
            </w:r>
          </w:p>
        </w:tc>
      </w:tr>
    </w:tbl>
    <w:p>
      <w:pPr>
        <w:pStyle w:val="BodyText"/>
      </w:pPr>
      <w:r>
        <w:t xml:space="preserve">The least-cost plan uses 22.60 team-days, 40 percent fewer than uniform control and 42 percent fewer than control where cases live; Algorithm 1 certified that no plan can be cheaper than 22.5965. Its shape follows the hotspot scores: it removes the most mosquitoes it can at B1, works at B4 where mosquitoes are dense and cheap to reach, and leaves B2, the barangay with the most cases, untouched. Control where cases live is the most expensive of the five, because it spends heavily in B2, where few infections actually happen. The certificate plan is safe but costs 17.2 percent more than the optimum and overshoots the target, reaching 0.924.</w:t>
      </w:r>
    </w:p>
    <w:p>
      <w:pPr>
        <w:pStyle w:val="PaperCaption"/>
      </w:pPr>
      <w:r>
        <w:rPr>
          <w:bCs/>
          <w:b/>
        </w:rPr>
        <w:t xml:space="preserve">Table 13.</w:t>
      </w:r>
      <w:r>
        <w:t xml:space="preserve"> </w:t>
      </w:r>
      <w:r>
        <w:t xml:space="preserve">The season factor and the least cost of reaching the target in D1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640"/>
        <w:gridCol w:w="2640"/>
        <w:gridCol w:w="2640"/>
      </w:tblGrid>
      <w:tr>
        <w:trPr>
          <w:cantSplit/>
          <w:tblHeader w:val="true"/>
        </w:trPr>
        <w:tc>
          <w:tcPr/>
          <w:p>
            <w:pPr>
              <w:pStyle w:val="TableText"/>
              <w:jc w:val="right"/>
            </w:pPr>
            <w:r>
              <w:rPr>
                <w:b/>
              </w:rPr>
              <w:t xml:space="preserve">Season factor</w:t>
            </w:r>
            <w:r>
              <w:rPr>
                <w:b/>
              </w:rPr>
              <w:t xml:space="preserve"> </w:t>
            </w:r>
            <w:r>
              <w:rPr>
                <w:b/>
                <w:iCs/>
                <w:i/>
              </w:rPr>
              <w:t xml:space="preserve">ς</w:t>
            </w:r>
          </w:p>
        </w:tc>
        <w:tc>
          <w:tcPr/>
          <w:p>
            <w:pPr>
              <w:pStyle w:val="TableText"/>
              <w:jc w:val="right"/>
            </w:pPr>
            <w:r>
              <w:rPr>
                <w:b/>
                <w:iCs/>
                <w:i/>
              </w:rPr>
              <w:t xml:space="preserve">R</w:t>
            </w:r>
            <w:r>
              <w:rPr>
                <w:b/>
                <w:vertAlign w:val="subscript"/>
              </w:rPr>
              <w:t xml:space="preserve">0</w:t>
            </w:r>
            <w:r>
              <w:rPr>
                <w:b/>
              </w:rPr>
              <w:t xml:space="preserve"> </w:t>
            </w:r>
            <w:r>
              <w:rPr>
                <w:b/>
              </w:rPr>
              <w:t xml:space="preserve">without control</w:t>
            </w:r>
          </w:p>
        </w:tc>
        <w:tc>
          <w:tcPr/>
          <w:p>
            <w:pPr>
              <w:pStyle w:val="TableText"/>
              <w:jc w:val="right"/>
            </w:pPr>
            <w:r>
              <w:rPr>
                <w:b/>
              </w:rPr>
              <w:t xml:space="preserve">Least cost (team-days)</w:t>
            </w:r>
          </w:p>
        </w:tc>
      </w:tr>
      <w:tr>
        <w:trPr>
          <w:cantSplit/>
        </w:trPr>
        <w:tc>
          <w:tcPr/>
          <w:p>
            <w:pPr>
              <w:pStyle w:val="TableText"/>
              <w:jc w:val="right"/>
            </w:pPr>
            <w:r>
              <w:t xml:space="preserve">0.6</w:t>
            </w:r>
          </w:p>
        </w:tc>
        <w:tc>
          <w:tcPr/>
          <w:p>
            <w:pPr>
              <w:pStyle w:val="TableText"/>
              <w:jc w:val="right"/>
            </w:pPr>
            <w:r>
              <w:t xml:space="preserve">0.941</w:t>
            </w:r>
          </w:p>
        </w:tc>
        <w:tc>
          <w:tcPr/>
          <w:p>
            <w:pPr>
              <w:pStyle w:val="TableText"/>
              <w:jc w:val="right"/>
            </w:pPr>
            <w:r>
              <w:t xml:space="preserve">0.00</w:t>
            </w:r>
          </w:p>
        </w:tc>
      </w:tr>
      <w:tr>
        <w:trPr>
          <w:cantSplit/>
        </w:trPr>
        <w:tc>
          <w:tcPr/>
          <w:p>
            <w:pPr>
              <w:pStyle w:val="TableText"/>
              <w:jc w:val="right"/>
            </w:pPr>
            <w:r>
              <w:t xml:space="preserve">0.8</w:t>
            </w:r>
          </w:p>
        </w:tc>
        <w:tc>
          <w:tcPr/>
          <w:p>
            <w:pPr>
              <w:pStyle w:val="TableText"/>
              <w:jc w:val="right"/>
            </w:pPr>
            <w:r>
              <w:t xml:space="preserve">1.086</w:t>
            </w:r>
          </w:p>
        </w:tc>
        <w:tc>
          <w:tcPr/>
          <w:p>
            <w:pPr>
              <w:pStyle w:val="TableText"/>
              <w:jc w:val="right"/>
            </w:pPr>
            <w:r>
              <w:t xml:space="preserve">11.91</w:t>
            </w:r>
          </w:p>
        </w:tc>
      </w:tr>
      <w:tr>
        <w:trPr>
          <w:cantSplit/>
        </w:trPr>
        <w:tc>
          <w:tcPr/>
          <w:p>
            <w:pPr>
              <w:pStyle w:val="TableText"/>
              <w:jc w:val="right"/>
            </w:pPr>
            <w:r>
              <w:t xml:space="preserve">1.0</w:t>
            </w:r>
          </w:p>
        </w:tc>
        <w:tc>
          <w:tcPr/>
          <w:p>
            <w:pPr>
              <w:pStyle w:val="TableText"/>
              <w:jc w:val="right"/>
            </w:pPr>
            <w:r>
              <w:t xml:space="preserve">1.214</w:t>
            </w:r>
          </w:p>
        </w:tc>
        <w:tc>
          <w:tcPr/>
          <w:p>
            <w:pPr>
              <w:pStyle w:val="TableText"/>
              <w:jc w:val="right"/>
            </w:pPr>
            <w:r>
              <w:t xml:space="preserve">22.60</w:t>
            </w:r>
          </w:p>
        </w:tc>
      </w:tr>
      <w:tr>
        <w:trPr>
          <w:cantSplit/>
        </w:trPr>
        <w:tc>
          <w:tcPr/>
          <w:p>
            <w:pPr>
              <w:pStyle w:val="TableText"/>
              <w:jc w:val="right"/>
            </w:pPr>
            <w:r>
              <w:t xml:space="preserve">1.2</w:t>
            </w:r>
          </w:p>
        </w:tc>
        <w:tc>
          <w:tcPr/>
          <w:p>
            <w:pPr>
              <w:pStyle w:val="TableText"/>
              <w:jc w:val="right"/>
            </w:pPr>
            <w:r>
              <w:t xml:space="preserve">1.330</w:t>
            </w:r>
          </w:p>
        </w:tc>
        <w:tc>
          <w:tcPr/>
          <w:p>
            <w:pPr>
              <w:pStyle w:val="TableText"/>
              <w:jc w:val="right"/>
            </w:pPr>
            <w:r>
              <w:t xml:space="preserve">34.86</w:t>
            </w:r>
          </w:p>
        </w:tc>
      </w:tr>
      <w:tr>
        <w:trPr>
          <w:cantSplit/>
        </w:trPr>
        <w:tc>
          <w:tcPr/>
          <w:p>
            <w:pPr>
              <w:pStyle w:val="TableText"/>
              <w:jc w:val="right"/>
            </w:pPr>
            <w:r>
              <w:t xml:space="preserve">1.4</w:t>
            </w:r>
          </w:p>
        </w:tc>
        <w:tc>
          <w:tcPr/>
          <w:p>
            <w:pPr>
              <w:pStyle w:val="TableText"/>
              <w:jc w:val="right"/>
            </w:pPr>
            <w:r>
              <w:t xml:space="preserve">1.437</w:t>
            </w:r>
          </w:p>
        </w:tc>
        <w:tc>
          <w:tcPr/>
          <w:p>
            <w:pPr>
              <w:pStyle w:val="TableText"/>
              <w:jc w:val="right"/>
            </w:pPr>
            <w:r>
              <w:t xml:space="preserve">44.33</w:t>
            </w:r>
          </w:p>
        </w:tc>
      </w:tr>
    </w:tbl>
    <w:p>
      <w:pPr>
        <w:pStyle w:val="BodyText"/>
      </w:pPr>
      <w:r>
        <w:t xml:space="preserve">Table 13 applies Proposition 10. Below a season factor of 0.68, dengue cannot take hold in D1 at all. Each rise of 0.2 in the factor adds roughly ten to twelve team-days to the bill, which tells a provincial health office how much brigade time to set aside before the rains.</w:t>
      </w:r>
    </w:p>
    <w:bookmarkEnd w:id="131"/>
    <w:bookmarkStart w:id="132" w:name="where-people-got-infected"/>
    <w:p>
      <w:pPr>
        <w:pStyle w:val="Heading3"/>
      </w:pPr>
      <w:r>
        <w:t xml:space="preserve">3.5.3 Where People Got Infected</w:t>
      </w:r>
    </w:p>
    <w:p>
      <w:pPr>
        <w:pStyle w:val="FirstParagraph"/>
      </w:pPr>
      <w:r>
        <w:t xml:space="preserve">Four weeks of synthetic case reports were generated from the model’s own pattern of infection and passed through Algorithm 2 (Table 14).</w:t>
      </w:r>
    </w:p>
    <w:p>
      <w:pPr>
        <w:pStyle w:val="PaperCaption"/>
      </w:pPr>
      <w:r>
        <w:rPr>
          <w:bCs/>
          <w:b/>
        </w:rPr>
        <w:t xml:space="preserve">Table 14.</w:t>
      </w:r>
      <w:r>
        <w:t xml:space="preserve"> </w:t>
      </w:r>
      <w:r>
        <w:t xml:space="preserve">Cases by residence and infections by place over four weeks in D1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584"/>
        <w:gridCol w:w="2112"/>
        <w:gridCol w:w="2112"/>
        <w:gridCol w:w="2112"/>
      </w:tblGrid>
      <w:tr>
        <w:trPr>
          <w:cantSplit/>
          <w:tblHeader w:val="true"/>
        </w:trPr>
        <w:tc>
          <w:tcPr/>
          <w:p>
            <w:pPr>
              <w:pStyle w:val="TableText"/>
              <w:jc w:val="left"/>
            </w:pPr>
            <w:r>
              <w:rPr>
                <w:b/>
              </w:rPr>
              <w:t xml:space="preserve">Barangay</w:t>
            </w:r>
          </w:p>
        </w:tc>
        <w:tc>
          <w:tcPr/>
          <w:p>
            <w:pPr>
              <w:pStyle w:val="TableText"/>
              <w:jc w:val="right"/>
            </w:pPr>
            <w:r>
              <w:rPr>
                <w:b/>
              </w:rPr>
              <w:t xml:space="preserve">Cases by residence</w:t>
            </w:r>
          </w:p>
        </w:tc>
        <w:tc>
          <w:tcPr/>
          <w:p>
            <w:pPr>
              <w:pStyle w:val="TableText"/>
              <w:jc w:val="right"/>
            </w:pPr>
            <w:r>
              <w:rPr>
                <w:b/>
              </w:rPr>
              <w:t xml:space="preserve">Infections by place (model truth)</w:t>
            </w:r>
          </w:p>
        </w:tc>
        <w:tc>
          <w:tcPr/>
          <w:p>
            <w:pPr>
              <w:pStyle w:val="TableText"/>
              <w:jc w:val="right"/>
            </w:pPr>
            <w:r>
              <w:rPr>
                <w:b/>
              </w:rPr>
              <w:t xml:space="preserve">Infections by place (inferred)</w:t>
            </w:r>
          </w:p>
        </w:tc>
      </w:tr>
      <w:tr>
        <w:trPr>
          <w:cantSplit/>
        </w:trPr>
        <w:tc>
          <w:tcPr/>
          <w:p>
            <w:pPr>
              <w:pStyle w:val="TableText"/>
              <w:jc w:val="left"/>
            </w:pPr>
            <w:r>
              <w:t xml:space="preserve">B1</w:t>
            </w:r>
          </w:p>
        </w:tc>
        <w:tc>
          <w:tcPr/>
          <w:p>
            <w:pPr>
              <w:pStyle w:val="TableText"/>
              <w:jc w:val="right"/>
            </w:pPr>
            <w:r>
              <w:t xml:space="preserve">76</w:t>
            </w:r>
          </w:p>
        </w:tc>
        <w:tc>
          <w:tcPr/>
          <w:p>
            <w:pPr>
              <w:pStyle w:val="TableText"/>
              <w:jc w:val="right"/>
            </w:pPr>
            <w:r>
              <w:t xml:space="preserve">138.8</w:t>
            </w:r>
          </w:p>
        </w:tc>
        <w:tc>
          <w:tcPr/>
          <w:p>
            <w:pPr>
              <w:pStyle w:val="TableText"/>
              <w:jc w:val="right"/>
            </w:pPr>
            <w:r>
              <w:t xml:space="preserve">151.0</w:t>
            </w:r>
          </w:p>
        </w:tc>
      </w:tr>
      <w:tr>
        <w:trPr>
          <w:cantSplit/>
        </w:trPr>
        <w:tc>
          <w:tcPr/>
          <w:p>
            <w:pPr>
              <w:pStyle w:val="TableText"/>
              <w:jc w:val="left"/>
            </w:pPr>
            <w:r>
              <w:t xml:space="preserve">B2</w:t>
            </w:r>
          </w:p>
        </w:tc>
        <w:tc>
          <w:tcPr/>
          <w:p>
            <w:pPr>
              <w:pStyle w:val="TableText"/>
              <w:jc w:val="right"/>
            </w:pPr>
            <w:r>
              <w:t xml:space="preserve">91</w:t>
            </w:r>
          </w:p>
        </w:tc>
        <w:tc>
          <w:tcPr/>
          <w:p>
            <w:pPr>
              <w:pStyle w:val="TableText"/>
              <w:jc w:val="right"/>
            </w:pPr>
            <w:r>
              <w:t xml:space="preserve">59.1</w:t>
            </w:r>
          </w:p>
        </w:tc>
        <w:tc>
          <w:tcPr/>
          <w:p>
            <w:pPr>
              <w:pStyle w:val="TableText"/>
              <w:jc w:val="right"/>
            </w:pPr>
            <w:r>
              <w:t xml:space="preserve">55.8</w:t>
            </w:r>
          </w:p>
        </w:tc>
      </w:tr>
      <w:tr>
        <w:trPr>
          <w:cantSplit/>
        </w:trPr>
        <w:tc>
          <w:tcPr/>
          <w:p>
            <w:pPr>
              <w:pStyle w:val="TableText"/>
              <w:jc w:val="left"/>
            </w:pPr>
            <w:r>
              <w:t xml:space="preserve">B3</w:t>
            </w:r>
          </w:p>
        </w:tc>
        <w:tc>
          <w:tcPr/>
          <w:p>
            <w:pPr>
              <w:pStyle w:val="TableText"/>
              <w:jc w:val="right"/>
            </w:pPr>
            <w:r>
              <w:t xml:space="preserve">53</w:t>
            </w:r>
          </w:p>
        </w:tc>
        <w:tc>
          <w:tcPr/>
          <w:p>
            <w:pPr>
              <w:pStyle w:val="TableText"/>
              <w:jc w:val="right"/>
            </w:pPr>
            <w:r>
              <w:t xml:space="preserve">43.9</w:t>
            </w:r>
          </w:p>
        </w:tc>
        <w:tc>
          <w:tcPr/>
          <w:p>
            <w:pPr>
              <w:pStyle w:val="TableText"/>
              <w:jc w:val="right"/>
            </w:pPr>
            <w:r>
              <w:t xml:space="preserve">40.0</w:t>
            </w:r>
          </w:p>
        </w:tc>
      </w:tr>
      <w:tr>
        <w:trPr>
          <w:cantSplit/>
        </w:trPr>
        <w:tc>
          <w:tcPr/>
          <w:p>
            <w:pPr>
              <w:pStyle w:val="TableText"/>
              <w:jc w:val="left"/>
            </w:pPr>
            <w:r>
              <w:t xml:space="preserve">B4</w:t>
            </w:r>
          </w:p>
        </w:tc>
        <w:tc>
          <w:tcPr/>
          <w:p>
            <w:pPr>
              <w:pStyle w:val="TableText"/>
              <w:jc w:val="right"/>
            </w:pPr>
            <w:r>
              <w:t xml:space="preserve">39</w:t>
            </w:r>
          </w:p>
        </w:tc>
        <w:tc>
          <w:tcPr/>
          <w:p>
            <w:pPr>
              <w:pStyle w:val="TableText"/>
              <w:jc w:val="right"/>
            </w:pPr>
            <w:r>
              <w:t xml:space="preserve">42.7</w:t>
            </w:r>
          </w:p>
        </w:tc>
        <w:tc>
          <w:tcPr/>
          <w:p>
            <w:pPr>
              <w:pStyle w:val="TableText"/>
              <w:jc w:val="right"/>
            </w:pPr>
            <w:r>
              <w:t xml:space="preserve">32.5</w:t>
            </w:r>
          </w:p>
        </w:tc>
      </w:tr>
      <w:tr>
        <w:trPr>
          <w:cantSplit/>
        </w:trPr>
        <w:tc>
          <w:tcPr/>
          <w:p>
            <w:pPr>
              <w:pStyle w:val="TableText"/>
              <w:jc w:val="left"/>
            </w:pPr>
            <w:r>
              <w:t xml:space="preserve">B5</w:t>
            </w:r>
          </w:p>
        </w:tc>
        <w:tc>
          <w:tcPr/>
          <w:p>
            <w:pPr>
              <w:pStyle w:val="TableText"/>
              <w:jc w:val="right"/>
            </w:pPr>
            <w:r>
              <w:t xml:space="preserve">24</w:t>
            </w:r>
          </w:p>
        </w:tc>
        <w:tc>
          <w:tcPr/>
          <w:p>
            <w:pPr>
              <w:pStyle w:val="TableText"/>
              <w:jc w:val="right"/>
            </w:pPr>
            <w:r>
              <w:t xml:space="preserve">19.3</w:t>
            </w:r>
          </w:p>
        </w:tc>
        <w:tc>
          <w:tcPr/>
          <w:p>
            <w:pPr>
              <w:pStyle w:val="TableText"/>
              <w:jc w:val="right"/>
            </w:pPr>
            <w:r>
              <w:t xml:space="preserve">15.5</w:t>
            </w:r>
          </w:p>
        </w:tc>
      </w:tr>
      <w:tr>
        <w:trPr>
          <w:cantSplit/>
        </w:trPr>
        <w:tc>
          <w:tcPr/>
          <w:p>
            <w:pPr>
              <w:pStyle w:val="TableText"/>
              <w:jc w:val="left"/>
            </w:pPr>
            <w:r>
              <w:t xml:space="preserve">B6</w:t>
            </w:r>
          </w:p>
        </w:tc>
        <w:tc>
          <w:tcPr/>
          <w:p>
            <w:pPr>
              <w:pStyle w:val="TableText"/>
              <w:jc w:val="right"/>
            </w:pPr>
            <w:r>
              <w:t xml:space="preserve">25</w:t>
            </w:r>
          </w:p>
        </w:tc>
        <w:tc>
          <w:tcPr/>
          <w:p>
            <w:pPr>
              <w:pStyle w:val="TableText"/>
              <w:jc w:val="right"/>
            </w:pPr>
            <w:r>
              <w:t xml:space="preserve">16.2</w:t>
            </w:r>
          </w:p>
        </w:tc>
        <w:tc>
          <w:tcPr/>
          <w:p>
            <w:pPr>
              <w:pStyle w:val="TableText"/>
              <w:jc w:val="right"/>
            </w:pPr>
            <w:r>
              <w:t xml:space="preserve">13.2</w:t>
            </w:r>
          </w:p>
        </w:tc>
      </w:tr>
    </w:tbl>
    <w:p>
      <w:pPr>
        <w:pStyle w:val="BodyText"/>
      </w:pPr>
      <w:r>
        <w:t xml:space="preserve">The residence column again points to B2. The inferred column points to B1 and comes close to the true distribution, which is unknown in practice but known here because the data are synthetic. By Proposition 11 the error of the exact inverse is at most 5 times the error of the reported rates.</w:t>
      </w:r>
    </w:p>
    <w:bookmarkEnd w:id="132"/>
    <w:bookmarkStart w:id="136" w:name="early-warning"/>
    <w:p>
      <w:pPr>
        <w:pStyle w:val="Heading3"/>
      </w:pPr>
      <w:r>
        <w:t xml:space="preserve">3.5.4 Early Warning</w:t>
      </w:r>
    </w:p>
    <w:p>
      <w:pPr>
        <w:pStyle w:val="FirstParagraph"/>
      </w:pPr>
      <w:r>
        <w:t xml:space="preserve">The alarm was designed for a municipality that expects between 6 and 11 cases a week, with a seasonal peak in August. With</w:t>
      </w:r>
      <w:r>
        <w:t xml:space="preserve"> </w:t>
      </w:r>
      <w:r>
        <w:rPr>
          <w:iCs/>
          <w:i/>
        </w:rPr>
        <w:t xml:space="preserve">h</w:t>
      </w:r>
      <w:r>
        <w:t xml:space="preserve"> </w:t>
      </w:r>
      <w:r>
        <w:t xml:space="preserve">= 12.75, a normal year triggers a false alarm with probability 0.046; the single-week rule was set to the same probability (0.050, with</w:t>
      </w:r>
      <w:r>
        <w:t xml:space="preserve"> </w:t>
      </w:r>
      <w:r>
        <w:rPr>
          <w:iCs/>
          <w:i/>
        </w:rPr>
        <w:t xml:space="preserve">z</w:t>
      </w:r>
      <w:r>
        <w:t xml:space="preserve"> </w:t>
      </w:r>
      <w:r>
        <w:t xml:space="preserve">= 3.64). In 5,000 simulated years with an outbreak beginning in week 27, the CUSUM alarm sounded on average 4.84 weeks after the start (median 5), and the single-week rule 6.52 weeks after (median 7). Neither missed an outbreak.</w:t>
      </w:r>
    </w:p>
    <w:p>
      <w:pPr>
        <w:pStyle w:val="FigurePara"/>
      </w:pPr>
      <w:r>
        <w:drawing>
          <wp:inline>
            <wp:extent cx="5120640" cy="3840480"/>
            <wp:effectExtent b="0" l="0" r="0" t="0"/>
            <wp:docPr descr="" title="" id="134" name="Picture"/>
            <a:graphic>
              <a:graphicData uri="http://schemas.openxmlformats.org/drawingml/2006/picture">
                <pic:pic>
                  <pic:nvPicPr>
                    <pic:cNvPr descr="/home/user/MAP---A/research/where-people-go-dengue/paper/../code/figures/fig_cusum.png" id="135" name="Picture"/>
                    <pic:cNvPicPr>
                      <a:picLocks noChangeArrowheads="1" noChangeAspect="1"/>
                    </pic:cNvPicPr>
                  </pic:nvPicPr>
                  <pic:blipFill>
                    <a:blip r:embed="rId133"/>
                    <a:stretch>
                      <a:fillRect/>
                    </a:stretch>
                  </pic:blipFill>
                  <pic:spPr bwMode="auto">
                    <a:xfrm>
                      <a:off x="0" y="0"/>
                      <a:ext cx="5120640" cy="3840480"/>
                    </a:xfrm>
                    <a:prstGeom prst="rect">
                      <a:avLst/>
                    </a:prstGeom>
                    <a:noFill/>
                    <a:ln w="9525">
                      <a:noFill/>
                      <a:headEnd/>
                      <a:tailEnd/>
                    </a:ln>
                  </pic:spPr>
                </pic:pic>
              </a:graphicData>
            </a:graphic>
          </wp:inline>
        </w:drawing>
      </w:r>
    </w:p>
    <w:p>
      <w:pPr>
        <w:pStyle w:val="FigureCaption"/>
      </w:pPr>
      <w:r>
        <w:rPr>
          <w:bCs/>
          <w:b/>
        </w:rPr>
        <w:t xml:space="preserve">Figure 4.</w:t>
      </w:r>
      <w:r>
        <w:t xml:space="preserve"> </w:t>
      </w:r>
      <w:r>
        <w:t xml:space="preserve">One simulated outbreak year in D1. Top: weekly cases, the expected count, and the single-week threshold. Bottom: the CUSUM statistic and its alarm level. In this particular year the single-week rule fired in week 32 and the CUSUM in week 34; averaged over 5,000 years, the CUSUM fired earlier (synthetic).</w:t>
      </w:r>
    </w:p>
    <w:p>
      <w:pPr>
        <w:pStyle w:val="PaperCaption"/>
      </w:pPr>
      <w:r>
        <w:rPr>
          <w:bCs/>
          <w:b/>
        </w:rPr>
        <w:t xml:space="preserve">Table 15.</w:t>
      </w:r>
      <w:r>
        <w:t xml:space="preserve"> </w:t>
      </w:r>
      <w:r>
        <w:t xml:space="preserve">Exact average run lengths in weeks (Proposition 12) of the CUSUM and of a single-week rule set to a false-alarm rate at least as low, before and after a rise in the weekly mean.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894"/>
        <w:gridCol w:w="894"/>
        <w:gridCol w:w="1021"/>
        <w:gridCol w:w="1021"/>
        <w:gridCol w:w="1021"/>
        <w:gridCol w:w="1021"/>
        <w:gridCol w:w="1021"/>
        <w:gridCol w:w="1021"/>
      </w:tblGrid>
      <w:tr>
        <w:trPr>
          <w:cantSplit/>
          <w:tblHeader w:val="true"/>
        </w:trPr>
        <w:tc>
          <w:tcPr/>
          <w:p>
            <w:pPr>
              <w:pStyle w:val="TableText"/>
              <w:jc w:val="right"/>
            </w:pPr>
            <w:r>
              <w:rPr>
                <w:b/>
              </w:rPr>
              <w:t xml:space="preserve">Weekly mean</w:t>
            </w:r>
          </w:p>
        </w:tc>
        <w:tc>
          <w:tcPr/>
          <w:p>
            <w:pPr>
              <w:pStyle w:val="TableText"/>
              <w:jc w:val="left"/>
            </w:pPr>
            <w:r>
              <w:rPr>
                <w:b/>
              </w:rPr>
              <w:t xml:space="preserve">CUSUM</w:t>
            </w:r>
            <w:r>
              <w:rPr>
                <w:b/>
              </w:rPr>
              <w:t xml:space="preserve"> </w:t>
            </w:r>
            <w:r>
              <w:rPr>
                <w:b/>
                <w:iCs/>
                <w:i/>
              </w:rPr>
              <w:t xml:space="preserve">k</w:t>
            </w:r>
            <w:r>
              <w:rPr>
                <w:b/>
              </w:rPr>
              <w:t xml:space="preserve">,</w:t>
            </w:r>
            <w:r>
              <w:rPr>
                <w:b/>
              </w:rPr>
              <w:t xml:space="preserve"> </w:t>
            </w:r>
            <w:r>
              <w:rPr>
                <w:b/>
                <w:iCs/>
                <w:i/>
              </w:rPr>
              <w:t xml:space="preserve">h</w:t>
            </w:r>
          </w:p>
        </w:tc>
        <w:tc>
          <w:tcPr/>
          <w:p>
            <w:pPr>
              <w:pStyle w:val="TableText"/>
              <w:jc w:val="right"/>
            </w:pPr>
            <w:r>
              <w:rPr>
                <w:b/>
              </w:rPr>
              <w:t xml:space="preserve">CUSUM, no rise</w:t>
            </w:r>
          </w:p>
        </w:tc>
        <w:tc>
          <w:tcPr/>
          <w:p>
            <w:pPr>
              <w:pStyle w:val="TableText"/>
              <w:jc w:val="right"/>
            </w:pPr>
            <w:r>
              <w:rPr>
                <w:b/>
              </w:rPr>
              <w:t xml:space="preserve">Single-week rule, no rise</w:t>
            </w:r>
          </w:p>
        </w:tc>
        <w:tc>
          <w:tcPr/>
          <w:p>
            <w:pPr>
              <w:pStyle w:val="TableText"/>
              <w:jc w:val="right"/>
            </w:pPr>
            <w:r>
              <w:rPr>
                <w:b/>
              </w:rPr>
              <w:t xml:space="preserve">CUSUM, rise of 50%</w:t>
            </w:r>
          </w:p>
        </w:tc>
        <w:tc>
          <w:tcPr/>
          <w:p>
            <w:pPr>
              <w:pStyle w:val="TableText"/>
              <w:jc w:val="right"/>
            </w:pPr>
            <w:r>
              <w:rPr>
                <w:b/>
              </w:rPr>
              <w:t xml:space="preserve">Single-week rule, rise of 50%</w:t>
            </w:r>
          </w:p>
        </w:tc>
        <w:tc>
          <w:tcPr/>
          <w:p>
            <w:pPr>
              <w:pStyle w:val="TableText"/>
              <w:jc w:val="right"/>
            </w:pPr>
            <w:r>
              <w:rPr>
                <w:b/>
              </w:rPr>
              <w:t xml:space="preserve">CUSUM, doubling</w:t>
            </w:r>
          </w:p>
        </w:tc>
        <w:tc>
          <w:tcPr/>
          <w:p>
            <w:pPr>
              <w:pStyle w:val="TableText"/>
              <w:jc w:val="right"/>
            </w:pPr>
            <w:r>
              <w:rPr>
                <w:b/>
              </w:rPr>
              <w:t xml:space="preserve">Single-week rule, doubling</w:t>
            </w:r>
          </w:p>
        </w:tc>
      </w:tr>
      <w:tr>
        <w:trPr>
          <w:cantSplit/>
        </w:trPr>
        <w:tc>
          <w:tcPr/>
          <w:p>
            <w:pPr>
              <w:pStyle w:val="TableText"/>
              <w:jc w:val="right"/>
            </w:pPr>
            <w:r>
              <w:t xml:space="preserve">2</w:t>
            </w:r>
          </w:p>
        </w:tc>
        <w:tc>
          <w:tcPr/>
          <w:p>
            <w:pPr>
              <w:pStyle w:val="TableText"/>
              <w:jc w:val="left"/>
            </w:pPr>
            <w:r>
              <w:t xml:space="preserve">3, 4</w:t>
            </w:r>
          </w:p>
        </w:tc>
        <w:tc>
          <w:tcPr/>
          <w:p>
            <w:pPr>
              <w:pStyle w:val="TableText"/>
              <w:jc w:val="right"/>
            </w:pPr>
            <w:r>
              <w:t xml:space="preserve">84.9</w:t>
            </w:r>
          </w:p>
        </w:tc>
        <w:tc>
          <w:tcPr/>
          <w:p>
            <w:pPr>
              <w:pStyle w:val="TableText"/>
              <w:jc w:val="right"/>
            </w:pPr>
            <w:r>
              <w:t xml:space="preserve">220.6</w:t>
            </w:r>
          </w:p>
        </w:tc>
        <w:tc>
          <w:tcPr/>
          <w:p>
            <w:pPr>
              <w:pStyle w:val="TableText"/>
              <w:jc w:val="right"/>
            </w:pPr>
            <w:r>
              <w:t xml:space="preserve">10.7</w:t>
            </w:r>
          </w:p>
        </w:tc>
        <w:tc>
          <w:tcPr/>
          <w:p>
            <w:pPr>
              <w:pStyle w:val="TableText"/>
              <w:jc w:val="right"/>
            </w:pPr>
            <w:r>
              <w:t xml:space="preserve">29.8</w:t>
            </w:r>
          </w:p>
        </w:tc>
        <w:tc>
          <w:tcPr/>
          <w:p>
            <w:pPr>
              <w:pStyle w:val="TableText"/>
              <w:jc w:val="right"/>
            </w:pPr>
            <w:r>
              <w:t xml:space="preserve">4.2</w:t>
            </w:r>
          </w:p>
        </w:tc>
        <w:tc>
          <w:tcPr/>
          <w:p>
            <w:pPr>
              <w:pStyle w:val="TableText"/>
              <w:jc w:val="right"/>
            </w:pPr>
            <w:r>
              <w:t xml:space="preserve">9.0</w:t>
            </w:r>
          </w:p>
        </w:tc>
      </w:tr>
      <w:tr>
        <w:trPr>
          <w:cantSplit/>
        </w:trPr>
        <w:tc>
          <w:tcPr/>
          <w:p>
            <w:pPr>
              <w:pStyle w:val="TableText"/>
              <w:jc w:val="right"/>
            </w:pPr>
            <w:r>
              <w:t xml:space="preserve">2</w:t>
            </w:r>
          </w:p>
        </w:tc>
        <w:tc>
          <w:tcPr/>
          <w:p>
            <w:pPr>
              <w:pStyle w:val="TableText"/>
              <w:jc w:val="left"/>
            </w:pPr>
            <w:r>
              <w:t xml:space="preserve">3, 6</w:t>
            </w:r>
          </w:p>
        </w:tc>
        <w:tc>
          <w:tcPr/>
          <w:p>
            <w:pPr>
              <w:pStyle w:val="TableText"/>
              <w:jc w:val="right"/>
            </w:pPr>
            <w:r>
              <w:t xml:space="preserve">412.5</w:t>
            </w:r>
          </w:p>
        </w:tc>
        <w:tc>
          <w:tcPr/>
          <w:p>
            <w:pPr>
              <w:pStyle w:val="TableText"/>
              <w:jc w:val="right"/>
            </w:pPr>
            <w:r>
              <w:t xml:space="preserve">911.8</w:t>
            </w:r>
          </w:p>
        </w:tc>
        <w:tc>
          <w:tcPr/>
          <w:p>
            <w:pPr>
              <w:pStyle w:val="TableText"/>
              <w:jc w:val="right"/>
            </w:pPr>
            <w:r>
              <w:t xml:space="preserve">19.5</w:t>
            </w:r>
          </w:p>
        </w:tc>
        <w:tc>
          <w:tcPr/>
          <w:p>
            <w:pPr>
              <w:pStyle w:val="TableText"/>
              <w:jc w:val="right"/>
            </w:pPr>
            <w:r>
              <w:t xml:space="preserve">84.0</w:t>
            </w:r>
          </w:p>
        </w:tc>
        <w:tc>
          <w:tcPr/>
          <w:p>
            <w:pPr>
              <w:pStyle w:val="TableText"/>
              <w:jc w:val="right"/>
            </w:pPr>
            <w:r>
              <w:t xml:space="preserve">6.2</w:t>
            </w:r>
          </w:p>
        </w:tc>
        <w:tc>
          <w:tcPr/>
          <w:p>
            <w:pPr>
              <w:pStyle w:val="TableText"/>
              <w:jc w:val="right"/>
            </w:pPr>
            <w:r>
              <w:t xml:space="preserve">19.6</w:t>
            </w:r>
          </w:p>
        </w:tc>
      </w:tr>
      <w:tr>
        <w:trPr>
          <w:cantSplit/>
        </w:trPr>
        <w:tc>
          <w:tcPr/>
          <w:p>
            <w:pPr>
              <w:pStyle w:val="TableText"/>
              <w:jc w:val="right"/>
            </w:pPr>
            <w:r>
              <w:t xml:space="preserve">5</w:t>
            </w:r>
          </w:p>
        </w:tc>
        <w:tc>
          <w:tcPr/>
          <w:p>
            <w:pPr>
              <w:pStyle w:val="TableText"/>
              <w:jc w:val="left"/>
            </w:pPr>
            <w:r>
              <w:t xml:space="preserve">7, 6</w:t>
            </w:r>
          </w:p>
        </w:tc>
        <w:tc>
          <w:tcPr/>
          <w:p>
            <w:pPr>
              <w:pStyle w:val="TableText"/>
              <w:jc w:val="right"/>
            </w:pPr>
            <w:r>
              <w:t xml:space="preserve">181.7</w:t>
            </w:r>
          </w:p>
        </w:tc>
        <w:tc>
          <w:tcPr/>
          <w:p>
            <w:pPr>
              <w:pStyle w:val="TableText"/>
              <w:jc w:val="right"/>
            </w:pPr>
            <w:r>
              <w:t xml:space="preserve">183.4</w:t>
            </w:r>
          </w:p>
        </w:tc>
        <w:tc>
          <w:tcPr/>
          <w:p>
            <w:pPr>
              <w:pStyle w:val="TableText"/>
              <w:jc w:val="right"/>
            </w:pPr>
            <w:r>
              <w:t xml:space="preserve">7.4</w:t>
            </w:r>
          </w:p>
        </w:tc>
        <w:tc>
          <w:tcPr/>
          <w:p>
            <w:pPr>
              <w:pStyle w:val="TableText"/>
              <w:jc w:val="right"/>
            </w:pPr>
            <w:r>
              <w:t xml:space="preserve">12.6</w:t>
            </w:r>
          </w:p>
        </w:tc>
        <w:tc>
          <w:tcPr/>
          <w:p>
            <w:pPr>
              <w:pStyle w:val="TableText"/>
              <w:jc w:val="right"/>
            </w:pPr>
            <w:r>
              <w:t xml:space="preserve">2.6</w:t>
            </w:r>
          </w:p>
        </w:tc>
        <w:tc>
          <w:tcPr/>
          <w:p>
            <w:pPr>
              <w:pStyle w:val="TableText"/>
              <w:jc w:val="right"/>
            </w:pPr>
            <w:r>
              <w:t xml:space="preserve">3.3</w:t>
            </w:r>
          </w:p>
        </w:tc>
      </w:tr>
      <w:tr>
        <w:trPr>
          <w:cantSplit/>
        </w:trPr>
        <w:tc>
          <w:tcPr/>
          <w:p>
            <w:pPr>
              <w:pStyle w:val="TableText"/>
              <w:jc w:val="right"/>
            </w:pPr>
            <w:r>
              <w:t xml:space="preserve">5</w:t>
            </w:r>
          </w:p>
        </w:tc>
        <w:tc>
          <w:tcPr/>
          <w:p>
            <w:pPr>
              <w:pStyle w:val="TableText"/>
              <w:jc w:val="left"/>
            </w:pPr>
            <w:r>
              <w:t xml:space="preserve">7, 10</w:t>
            </w:r>
          </w:p>
        </w:tc>
        <w:tc>
          <w:tcPr/>
          <w:p>
            <w:pPr>
              <w:pStyle w:val="TableText"/>
              <w:jc w:val="right"/>
            </w:pPr>
            <w:r>
              <w:t xml:space="preserve">2409.8</w:t>
            </w:r>
          </w:p>
        </w:tc>
        <w:tc>
          <w:tcPr/>
          <w:p>
            <w:pPr>
              <w:pStyle w:val="TableText"/>
              <w:jc w:val="right"/>
            </w:pPr>
            <w:r>
              <w:t xml:space="preserve">4419.8</w:t>
            </w:r>
          </w:p>
        </w:tc>
        <w:tc>
          <w:tcPr/>
          <w:p>
            <w:pPr>
              <w:pStyle w:val="TableText"/>
              <w:jc w:val="right"/>
            </w:pPr>
            <w:r>
              <w:t xml:space="preserve">13.6</w:t>
            </w:r>
          </w:p>
        </w:tc>
        <w:tc>
          <w:tcPr/>
          <w:p>
            <w:pPr>
              <w:pStyle w:val="TableText"/>
              <w:jc w:val="right"/>
            </w:pPr>
            <w:r>
              <w:t xml:space="preserve">97.5</w:t>
            </w:r>
          </w:p>
        </w:tc>
        <w:tc>
          <w:tcPr/>
          <w:p>
            <w:pPr>
              <w:pStyle w:val="TableText"/>
              <w:jc w:val="right"/>
            </w:pPr>
            <w:r>
              <w:t xml:space="preserve">4.0</w:t>
            </w:r>
          </w:p>
        </w:tc>
        <w:tc>
          <w:tcPr/>
          <w:p>
            <w:pPr>
              <w:pStyle w:val="TableText"/>
              <w:jc w:val="right"/>
            </w:pPr>
            <w:r>
              <w:t xml:space="preserve">12.0</w:t>
            </w:r>
          </w:p>
        </w:tc>
      </w:tr>
      <w:tr>
        <w:trPr>
          <w:cantSplit/>
        </w:trPr>
        <w:tc>
          <w:tcPr/>
          <w:p>
            <w:pPr>
              <w:pStyle w:val="TableText"/>
              <w:jc w:val="right"/>
            </w:pPr>
            <w:r>
              <w:t xml:space="preserve">10</w:t>
            </w:r>
          </w:p>
        </w:tc>
        <w:tc>
          <w:tcPr/>
          <w:p>
            <w:pPr>
              <w:pStyle w:val="TableText"/>
              <w:jc w:val="left"/>
            </w:pPr>
            <w:r>
              <w:t xml:space="preserve">13, 10</w:t>
            </w:r>
          </w:p>
        </w:tc>
        <w:tc>
          <w:tcPr/>
          <w:p>
            <w:pPr>
              <w:pStyle w:val="TableText"/>
              <w:jc w:val="right"/>
            </w:pPr>
            <w:r>
              <w:t xml:space="preserve">633.1</w:t>
            </w:r>
          </w:p>
        </w:tc>
        <w:tc>
          <w:tcPr/>
          <w:p>
            <w:pPr>
              <w:pStyle w:val="TableText"/>
              <w:jc w:val="right"/>
            </w:pPr>
            <w:r>
              <w:t xml:space="preserve">1429.3</w:t>
            </w:r>
          </w:p>
        </w:tc>
        <w:tc>
          <w:tcPr/>
          <w:p>
            <w:pPr>
              <w:pStyle w:val="TableText"/>
              <w:jc w:val="right"/>
            </w:pPr>
            <w:r>
              <w:t xml:space="preserve">5.3</w:t>
            </w:r>
          </w:p>
        </w:tc>
        <w:tc>
          <w:tcPr/>
          <w:p>
            <w:pPr>
              <w:pStyle w:val="TableText"/>
              <w:jc w:val="right"/>
            </w:pPr>
            <w:r>
              <w:t xml:space="preserve">18.8</w:t>
            </w:r>
          </w:p>
        </w:tc>
        <w:tc>
          <w:tcPr/>
          <w:p>
            <w:pPr>
              <w:pStyle w:val="TableText"/>
              <w:jc w:val="right"/>
            </w:pPr>
            <w:r>
              <w:t xml:space="preserve">2.0</w:t>
            </w:r>
          </w:p>
        </w:tc>
        <w:tc>
          <w:tcPr/>
          <w:p>
            <w:pPr>
              <w:pStyle w:val="TableText"/>
              <w:jc w:val="right"/>
            </w:pPr>
            <w:r>
              <w:t xml:space="preserve">2.8</w:t>
            </w:r>
          </w:p>
        </w:tc>
      </w:tr>
      <w:tr>
        <w:trPr>
          <w:cantSplit/>
        </w:trPr>
        <w:tc>
          <w:tcPr/>
          <w:p>
            <w:pPr>
              <w:pStyle w:val="TableText"/>
              <w:jc w:val="right"/>
            </w:pPr>
            <w:r>
              <w:t xml:space="preserve">10</w:t>
            </w:r>
          </w:p>
        </w:tc>
        <w:tc>
          <w:tcPr/>
          <w:p>
            <w:pPr>
              <w:pStyle w:val="TableText"/>
              <w:jc w:val="left"/>
            </w:pPr>
            <w:r>
              <w:t xml:space="preserve">13, 16</w:t>
            </w:r>
          </w:p>
        </w:tc>
        <w:tc>
          <w:tcPr/>
          <w:p>
            <w:pPr>
              <w:pStyle w:val="TableText"/>
              <w:jc w:val="right"/>
            </w:pPr>
            <w:r>
              <w:t xml:space="preserve">13148.5</w:t>
            </w:r>
          </w:p>
        </w:tc>
        <w:tc>
          <w:tcPr/>
          <w:p>
            <w:pPr>
              <w:pStyle w:val="TableText"/>
              <w:jc w:val="right"/>
            </w:pPr>
            <w:r>
              <w:t xml:space="preserve">21299.5</w:t>
            </w:r>
          </w:p>
        </w:tc>
        <w:tc>
          <w:tcPr/>
          <w:p>
            <w:pPr>
              <w:pStyle w:val="TableText"/>
              <w:jc w:val="right"/>
            </w:pPr>
            <w:r>
              <w:t xml:space="preserve">8.3</w:t>
            </w:r>
          </w:p>
        </w:tc>
        <w:tc>
          <w:tcPr/>
          <w:p>
            <w:pPr>
              <w:pStyle w:val="TableText"/>
              <w:jc w:val="right"/>
            </w:pPr>
            <w:r>
              <w:t xml:space="preserve">89.6</w:t>
            </w:r>
          </w:p>
        </w:tc>
        <w:tc>
          <w:tcPr/>
          <w:p>
            <w:pPr>
              <w:pStyle w:val="TableText"/>
              <w:jc w:val="right"/>
            </w:pPr>
            <w:r>
              <w:t xml:space="preserve">2.9</w:t>
            </w:r>
          </w:p>
        </w:tc>
        <w:tc>
          <w:tcPr/>
          <w:p>
            <w:pPr>
              <w:pStyle w:val="TableText"/>
              <w:jc w:val="right"/>
            </w:pPr>
            <w:r>
              <w:t xml:space="preserve">6.4</w:t>
            </w:r>
          </w:p>
        </w:tc>
      </w:tr>
    </w:tbl>
    <w:p>
      <w:pPr>
        <w:pStyle w:val="BodyText"/>
      </w:pPr>
      <w:r>
        <w:t xml:space="preserve">Table 15 shows the reason in exact numbers. For every design, the single-week rule was given a false-alarm rate no worse than the CUSUM’s, and still the CUSUM detected a rise of one half far sooner: after 13.6 weeks instead of 97.5 in the design with a mean of 5 cases and</w:t>
      </w:r>
      <w:r>
        <w:t xml:space="preserve"> </w:t>
      </w:r>
      <w:r>
        <w:rPr>
          <w:iCs/>
          <w:i/>
        </w:rPr>
        <w:t xml:space="preserve">h</w:t>
      </w:r>
      <w:r>
        <w:t xml:space="preserve"> </w:t>
      </w:r>
      <w:r>
        <w:t xml:space="preserve">= 10. One week seldom looks unusual on its own, but a run of weeks a little above normal accumulates.</w:t>
      </w:r>
    </w:p>
    <w:bookmarkEnd w:id="136"/>
    <w:bookmarkEnd w:id="137"/>
    <w:bookmarkStart w:id="142" w:name="X9c22aa522b1006db809714ab9a9a758775e2e55"/>
    <w:p>
      <w:pPr>
        <w:pStyle w:val="Heading2"/>
      </w:pPr>
      <w:r>
        <w:t xml:space="preserve">3.6 Planned Experiments on the Albay Instance</w:t>
      </w:r>
    </w:p>
    <w:p>
      <w:pPr>
        <w:pStyle w:val="FirstParagraph"/>
      </w:pPr>
      <w:r>
        <w:t xml:space="preserve">The next run of the model covers all 720 barangays of Albay, using the travel times of the companion study, attractions from the school and market registers, and mosquito indices from provincial surveys. The tests and decision rules that follow were set down before any result for that instance existed.</w:t>
      </w:r>
    </w:p>
    <w:bookmarkStart w:id="138" w:name="sensitivity-analysis"/>
    <w:p>
      <w:pPr>
        <w:pStyle w:val="Heading3"/>
      </w:pPr>
      <w:r>
        <w:t xml:space="preserve">3.6.1 Sensitivity Analysis</w:t>
      </w:r>
    </w:p>
    <w:p>
      <w:pPr>
        <w:pStyle w:val="FirstParagraph"/>
      </w:pPr>
      <w:r>
        <w:t xml:space="preserve">Each sweep changes one input: the share of time away from home (± 10 percentage points), the decay</w:t>
      </w:r>
      <w:r>
        <w:t xml:space="preserve"> </w:t>
      </w:r>
      <w:r>
        <w:rPr>
          <w:iCs/>
          <w:i/>
        </w:rPr>
        <w:t xml:space="preserve">β</w:t>
      </w:r>
      <w:r>
        <w:t xml:space="preserve"> </w:t>
      </w:r>
      <w:r>
        <w:t xml:space="preserve">(0.03, 0.06, and 0.10 per minute), the biting rate and the mosquito lifetime (± 20 percent), the limit</w:t>
      </w:r>
      <w:r>
        <w:t xml:space="preserve"> </w:t>
      </w:r>
      <w:r>
        <w:rPr>
          <w:iCs/>
          <w:i/>
        </w:rPr>
        <w:t xml:space="preserve">ū</w:t>
      </w:r>
      <w:r>
        <w:t xml:space="preserve"> </w:t>
      </w:r>
      <w:r>
        <w:t xml:space="preserve">(0.6, 0.8, 0.9), the cost per household (± 25 percent), and the CUSUM design (</w:t>
      </w:r>
      <w:r>
        <w:rPr>
          <w:iCs/>
          <w:i/>
        </w:rPr>
        <w:t xml:space="preserve">θ</w:t>
      </w:r>
      <w:r>
        <w:t xml:space="preserve"> </w:t>
      </w:r>
      <w:r>
        <w:t xml:space="preserve">= 1.3, 1.5, 2.0).</w:t>
      </w:r>
    </w:p>
    <w:bookmarkEnd w:id="138"/>
    <w:bookmarkStart w:id="139" w:name="statistical-treatment"/>
    <w:p>
      <w:pPr>
        <w:pStyle w:val="Heading3"/>
      </w:pPr>
      <w:r>
        <w:t xml:space="preserve">3.6.2 Statistical Treatment</w:t>
      </w:r>
    </w:p>
    <w:p>
      <w:pPr>
        <w:pStyle w:val="PaperCaption"/>
      </w:pPr>
      <w:r>
        <w:rPr>
          <w:bCs/>
          <w:b/>
        </w:rPr>
        <w:t xml:space="preserve">Table 16.</w:t>
      </w:r>
      <w:r>
        <w:t xml:space="preserve"> </w:t>
      </w:r>
      <w:r>
        <w:t xml:space="preserve">How each question is tested.</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554"/>
        <w:gridCol w:w="2682"/>
        <w:gridCol w:w="2682"/>
      </w:tblGrid>
      <w:tr>
        <w:trPr>
          <w:cantSplit/>
          <w:tblHeader w:val="true"/>
        </w:trPr>
        <w:tc>
          <w:tcPr/>
          <w:p>
            <w:pPr>
              <w:pStyle w:val="TableText"/>
              <w:jc w:val="left"/>
            </w:pPr>
            <w:r>
              <w:rPr>
                <w:b/>
              </w:rPr>
              <w:t xml:space="preserve">Question</w:t>
            </w:r>
          </w:p>
        </w:tc>
        <w:tc>
          <w:tcPr/>
          <w:p>
            <w:pPr>
              <w:pStyle w:val="TableText"/>
              <w:jc w:val="left"/>
            </w:pPr>
            <w:r>
              <w:rPr>
                <w:b/>
              </w:rPr>
              <w:t xml:space="preserve">Test or estimator</w:t>
            </w:r>
          </w:p>
        </w:tc>
        <w:tc>
          <w:tcPr/>
          <w:p>
            <w:pPr>
              <w:pStyle w:val="TableText"/>
              <w:jc w:val="left"/>
            </w:pPr>
            <w:r>
              <w:rPr>
                <w:b/>
              </w:rPr>
              <w:t xml:space="preserve">Why this test</w:t>
            </w:r>
          </w:p>
        </w:tc>
      </w:tr>
      <w:tr>
        <w:trPr>
          <w:cantSplit/>
        </w:trPr>
        <w:tc>
          <w:tcPr/>
          <w:p>
            <w:pPr>
              <w:pStyle w:val="TableText"/>
              <w:jc w:val="left"/>
            </w:pPr>
            <w:r>
              <w:t xml:space="preserve">(T1) Does the network reproduction number exceed the provincial average?</w:t>
            </w:r>
          </w:p>
        </w:tc>
        <w:tc>
          <w:tcPr/>
          <w:p>
            <w:pPr>
              <w:pStyle w:val="TableText"/>
              <w:jc w:val="left"/>
            </w:pPr>
            <w:r>
              <w:t xml:space="preserve">Ratio of Equation (5) to Equation (16) with a 95% bootstrap interval over survey households (Efron &amp; Tibshirani, 1993)</w:t>
            </w:r>
          </w:p>
        </w:tc>
        <w:tc>
          <w:tcPr/>
          <w:p>
            <w:pPr>
              <w:pStyle w:val="TableText"/>
              <w:jc w:val="left"/>
            </w:pPr>
            <w:r>
              <w:t xml:space="preserve">The uncertainty comes from the mosquito survey</w:t>
            </w:r>
          </w:p>
        </w:tc>
      </w:tr>
      <w:tr>
        <w:trPr>
          <w:cantSplit/>
        </w:trPr>
        <w:tc>
          <w:tcPr/>
          <w:p>
            <w:pPr>
              <w:pStyle w:val="TableText"/>
              <w:jc w:val="left"/>
            </w:pPr>
            <w:r>
              <w:t xml:space="preserve">(T2) Are the places of transmission different from the places of residence?</w:t>
            </w:r>
          </w:p>
        </w:tc>
        <w:tc>
          <w:tcPr/>
          <w:p>
            <w:pPr>
              <w:pStyle w:val="TableText"/>
              <w:jc w:val="left"/>
            </w:pPr>
            <w:r>
              <w:t xml:space="preserve">Total variation distance between inferred shares by place and shares by residence, bootstrap interval</w:t>
            </w:r>
          </w:p>
        </w:tc>
        <w:tc>
          <w:tcPr/>
          <w:p>
            <w:pPr>
              <w:pStyle w:val="TableText"/>
              <w:jc w:val="left"/>
            </w:pPr>
            <w:r>
              <w:t xml:space="preserve">Compares whole distributions, not single ranks</w:t>
            </w:r>
          </w:p>
        </w:tc>
      </w:tr>
      <w:tr>
        <w:trPr>
          <w:cantSplit/>
        </w:trPr>
        <w:tc>
          <w:tcPr/>
          <w:p>
            <w:pPr>
              <w:pStyle w:val="TableText"/>
              <w:jc w:val="left"/>
            </w:pPr>
            <w:r>
              <w:t xml:space="preserve">(T3) Is the ranking of places stable?</w:t>
            </w:r>
          </w:p>
        </w:tc>
        <w:tc>
          <w:tcPr/>
          <w:p>
            <w:pPr>
              <w:pStyle w:val="TableText"/>
              <w:jc w:val="left"/>
            </w:pPr>
            <w:r>
              <w:t xml:space="preserve">Spearman’s rank correlation (Spearman, 1904) of place shares across the sweeps</w:t>
            </w:r>
          </w:p>
        </w:tc>
        <w:tc>
          <w:tcPr/>
          <w:p>
            <w:pPr>
              <w:pStyle w:val="TableText"/>
              <w:jc w:val="left"/>
            </w:pPr>
            <w:r>
              <w:t xml:space="preserve">Asks whether the order survives, not the values</w:t>
            </w:r>
          </w:p>
        </w:tc>
      </w:tr>
      <w:tr>
        <w:trPr>
          <w:cantSplit/>
        </w:trPr>
        <w:tc>
          <w:tcPr/>
          <w:p>
            <w:pPr>
              <w:pStyle w:val="TableText"/>
              <w:jc w:val="left"/>
            </w:pPr>
            <w:r>
              <w:t xml:space="preserve">(T4) How much does the least-cost plan save?</w:t>
            </w:r>
          </w:p>
        </w:tc>
        <w:tc>
          <w:tcPr/>
          <w:p>
            <w:pPr>
              <w:pStyle w:val="TableText"/>
              <w:jc w:val="left"/>
            </w:pPr>
            <w:r>
              <w:t xml:space="preserve">Paired comparison of costs across municipalities, Wilcoxon signed-rank test (Wilcoxon, 1945)</w:t>
            </w:r>
          </w:p>
        </w:tc>
        <w:tc>
          <w:tcPr/>
          <w:p>
            <w:pPr>
              <w:pStyle w:val="TableText"/>
              <w:jc w:val="left"/>
            </w:pPr>
            <w:r>
              <w:t xml:space="preserve">Paired and skewed</w:t>
            </w:r>
          </w:p>
        </w:tc>
      </w:tr>
      <w:tr>
        <w:trPr>
          <w:cantSplit/>
        </w:trPr>
        <w:tc>
          <w:tcPr/>
          <w:p>
            <w:pPr>
              <w:pStyle w:val="TableText"/>
              <w:jc w:val="left"/>
            </w:pPr>
            <w:r>
              <w:t xml:space="preserve">(T5) Does the CUSUM warn earlier?</w:t>
            </w:r>
          </w:p>
        </w:tc>
        <w:tc>
          <w:tcPr/>
          <w:p>
            <w:pPr>
              <w:pStyle w:val="TableText"/>
              <w:jc w:val="left"/>
            </w:pPr>
            <w:r>
              <w:t xml:space="preserve">Retrospective alarm weeks on 2026 municipal counts against the single-week rule at equal false-alarm rates; sign test</w:t>
            </w:r>
          </w:p>
        </w:tc>
        <w:tc>
          <w:tcPr/>
          <w:p>
            <w:pPr>
              <w:pStyle w:val="TableText"/>
              <w:jc w:val="left"/>
            </w:pPr>
            <w:r>
              <w:t xml:space="preserve">Each municipality gives one paired outcome</w:t>
            </w:r>
          </w:p>
        </w:tc>
      </w:tr>
    </w:tbl>
    <w:bookmarkEnd w:id="139"/>
    <w:bookmarkStart w:id="140" w:name="hypotheses-fixed-in-advance"/>
    <w:p>
      <w:pPr>
        <w:pStyle w:val="Heading3"/>
      </w:pPr>
      <w:r>
        <w:t xml:space="preserve">3.6.3 Hypotheses Fixed in Advance</w:t>
      </w:r>
    </w:p>
    <w:p>
      <w:pPr>
        <w:numPr>
          <w:ilvl w:val="0"/>
          <w:numId w:val="1006"/>
        </w:numPr>
        <w:pStyle w:val="Compact"/>
      </w:pPr>
      <w:r>
        <w:rPr>
          <w:bCs/>
          <w:b/>
        </w:rPr>
        <w:t xml:space="preserve">H1.</w:t>
      </w:r>
      <w:r>
        <w:t xml:space="preserve"> </w:t>
      </w:r>
      <w:r>
        <w:t xml:space="preserve">Albay’s network reproduction number is at least 10 percent higher than its provincial-average value; this holds if the whole bootstrap interval of the ratio sits above 1.10.</w:t>
      </w:r>
    </w:p>
    <w:p>
      <w:pPr>
        <w:numPr>
          <w:ilvl w:val="0"/>
          <w:numId w:val="1006"/>
        </w:numPr>
        <w:pStyle w:val="Compact"/>
      </w:pPr>
      <w:r>
        <w:rPr>
          <w:bCs/>
          <w:b/>
        </w:rPr>
        <w:t xml:space="preserve">H2.</w:t>
      </w:r>
      <w:r>
        <w:t xml:space="preserve"> </w:t>
      </w:r>
      <w:r>
        <w:t xml:space="preserve">In more than half of the municipalities with ten or more barangays, the barangay with the largest share of transmission hosts a central school or a public market.</w:t>
      </w:r>
    </w:p>
    <w:p>
      <w:pPr>
        <w:numPr>
          <w:ilvl w:val="0"/>
          <w:numId w:val="1006"/>
        </w:numPr>
        <w:pStyle w:val="Compact"/>
      </w:pPr>
      <w:r>
        <w:rPr>
          <w:bCs/>
          <w:b/>
        </w:rPr>
        <w:t xml:space="preserve">H3.</w:t>
      </w:r>
      <w:r>
        <w:t xml:space="preserve"> </w:t>
      </w:r>
      <w:r>
        <w:t xml:space="preserve">In at least half of the municipalities, the barangay with the most reported cases is not the barangay with the most inferred infections.</w:t>
      </w:r>
    </w:p>
    <w:p>
      <w:pPr>
        <w:numPr>
          <w:ilvl w:val="0"/>
          <w:numId w:val="1006"/>
        </w:numPr>
        <w:pStyle w:val="Compact"/>
      </w:pPr>
      <w:r>
        <w:rPr>
          <w:bCs/>
          <w:b/>
        </w:rPr>
        <w:t xml:space="preserve">H4.</w:t>
      </w:r>
      <w:r>
        <w:t xml:space="preserve"> </w:t>
      </w:r>
      <w:r>
        <w:t xml:space="preserve">The least-cost plan costs at least 25 percent less than uniform control at the same target in a majority of municipalities.</w:t>
      </w:r>
    </w:p>
    <w:p>
      <w:pPr>
        <w:numPr>
          <w:ilvl w:val="0"/>
          <w:numId w:val="1006"/>
        </w:numPr>
        <w:pStyle w:val="Compact"/>
      </w:pPr>
      <w:r>
        <w:rPr>
          <w:bCs/>
          <w:b/>
        </w:rPr>
        <w:t xml:space="preserve">H5.</w:t>
      </w:r>
      <w:r>
        <w:t xml:space="preserve"> </w:t>
      </w:r>
      <w:r>
        <w:t xml:space="preserve">The certificate plan costs at most 30 percent more than the least-cost plan, so that it can serve as a quick, safe plan during a surge.</w:t>
      </w:r>
    </w:p>
    <w:p>
      <w:pPr>
        <w:numPr>
          <w:ilvl w:val="0"/>
          <w:numId w:val="1006"/>
        </w:numPr>
        <w:pStyle w:val="Compact"/>
      </w:pPr>
      <w:r>
        <w:rPr>
          <w:bCs/>
          <w:b/>
        </w:rPr>
        <w:t xml:space="preserve">H6.</w:t>
      </w:r>
      <w:r>
        <w:t xml:space="preserve"> </w:t>
      </w:r>
      <w:r>
        <w:t xml:space="preserve">Retrospectively on 2026 data, the CUSUM alarm sounds earlier than the single-week rule in at least 12 of the 18 municipalities.</w:t>
      </w:r>
    </w:p>
    <w:p>
      <w:pPr>
        <w:numPr>
          <w:ilvl w:val="0"/>
          <w:numId w:val="1006"/>
        </w:numPr>
        <w:pStyle w:val="Compact"/>
      </w:pPr>
      <w:r>
        <w:rPr>
          <w:bCs/>
          <w:b/>
        </w:rPr>
        <w:t xml:space="preserve">H7.</w:t>
      </w:r>
      <w:r>
        <w:t xml:space="preserve"> </w:t>
      </w:r>
      <w:r>
        <w:t xml:space="preserve">The ranking of places by share is stable across the sweeps (Spearman’s</w:t>
      </w:r>
      <w:r>
        <w:t xml:space="preserve"> </w:t>
      </w:r>
      <w:r>
        <w:rPr>
          <w:iCs/>
          <w:i/>
        </w:rPr>
        <w:t xml:space="preserve">ρ</w:t>
      </w:r>
      <w:r>
        <w:t xml:space="preserve"> </w:t>
      </w:r>
      <w:r>
        <w:t xml:space="preserve">above 0.8).</w:t>
      </w:r>
    </w:p>
    <w:p>
      <w:pPr>
        <w:numPr>
          <w:ilvl w:val="0"/>
          <w:numId w:val="1006"/>
        </w:numPr>
        <w:pStyle w:val="Compact"/>
      </w:pPr>
      <w:r>
        <w:rPr>
          <w:bCs/>
          <w:b/>
        </w:rPr>
        <w:t xml:space="preserve">H8.</w:t>
      </w:r>
      <w:r>
        <w:t xml:space="preserve"> </w:t>
      </w:r>
      <w:r>
        <w:t xml:space="preserve">Propositions 7 and 10 make monotonicity exact; any computed violation will be treated as a data error and the inputs checked.</w:t>
      </w:r>
    </w:p>
    <w:bookmarkEnd w:id="140"/>
    <w:bookmarkStart w:id="141" w:name="sensitivity-sweeps"/>
    <w:p>
      <w:pPr>
        <w:pStyle w:val="Heading3"/>
      </w:pPr>
      <w:r>
        <w:t xml:space="preserve">3.6.4 Sensitivity Sweeps</w:t>
      </w:r>
    </w:p>
    <w:p>
      <w:pPr>
        <w:pStyle w:val="FirstParagraph"/>
      </w:pPr>
      <w:r>
        <w:t xml:space="preserve">Each sweep of Section 3.6.1 recomputes the reproduction number, the place shares, the five strategies, and the alarm weeks. The results will be reported with the hypotheses above.</w:t>
      </w:r>
    </w:p>
    <w:bookmarkEnd w:id="141"/>
    <w:bookmarkEnd w:id="142"/>
    <w:bookmarkEnd w:id="143"/>
    <w:bookmarkStart w:id="148" w:name="conclusions"/>
    <w:p>
      <w:pPr>
        <w:pStyle w:val="Heading1"/>
      </w:pPr>
      <w:r>
        <w:t xml:space="preserve">4. CONCLUSIONS</w:t>
      </w:r>
    </w:p>
    <w:bookmarkStart w:id="144" w:name="summary-of-the-findings"/>
    <w:p>
      <w:pPr>
        <w:pStyle w:val="Heading2"/>
      </w:pPr>
      <w:r>
        <w:t xml:space="preserve">4.1 Summary of the Findings</w:t>
      </w:r>
    </w:p>
    <w:p>
      <w:pPr>
        <w:pStyle w:val="FirstParagraph"/>
      </w:pPr>
      <w:r>
        <w:t xml:space="preserve">The central question was whether a health office could see where dengue is transmitted, decide how much control is enough and where to put it, and know when an outbreak has begun, using only open data and a laptop. The answer is yes for the mathematics: each of these tasks became a precise problem with a proven solution, and each proof survived a check against code written separately from the model. Whether the answer is also yes for Albay depends on the field data that the open-data instance will supply.</w:t>
      </w:r>
    </w:p>
    <w:p>
      <w:pPr>
        <w:pStyle w:val="BodyText"/>
      </w:pPr>
      <w:r>
        <w:rPr>
          <w:bCs/>
          <w:b/>
        </w:rPr>
        <w:t xml:space="preserve">Objective 1: the residence-time network.</w:t>
      </w:r>
      <w:r>
        <w:t xml:space="preserve"> </w:t>
      </w:r>
      <w:r>
        <w:t xml:space="preserve">Definitions 1 to 4 turned barangay populations, travel times, the pull of schools, markets, and workplaces, and mosquito indices into a matrix</w:t>
      </w:r>
      <w:r>
        <w:t xml:space="preserve"> </w:t>
      </w:r>
      <w:r>
        <w:rPr>
          <w:iCs/>
          <w:i/>
        </w:rPr>
        <w:t xml:space="preserve">P</w:t>
      </w:r>
      <w:r>
        <w:t xml:space="preserve"> </w:t>
      </w:r>
      <w:r>
        <w:t xml:space="preserve">of biting hours. Every row of</w:t>
      </w:r>
      <w:r>
        <w:t xml:space="preserve"> </w:t>
      </w:r>
      <w:r>
        <w:rPr>
          <w:iCs/>
          <w:i/>
        </w:rPr>
        <w:t xml:space="preserve">P</w:t>
      </w:r>
      <w:r>
        <w:t xml:space="preserve"> </w:t>
      </w:r>
      <w:r>
        <w:t xml:space="preserve">sums to one, and every entry has a public source or a declared value.</w:t>
      </w:r>
    </w:p>
    <w:p>
      <w:pPr>
        <w:pStyle w:val="BodyText"/>
      </w:pPr>
      <w:r>
        <w:rPr>
          <w:bCs/>
          <w:b/>
        </w:rPr>
        <w:t xml:space="preserve">Objective 2: the reproduction number and its bounds.</w:t>
      </w:r>
      <w:r>
        <w:t xml:space="preserve"> </w:t>
      </w:r>
      <w:r>
        <w:t xml:space="preserve">Proposition 1 wrote</w:t>
      </w:r>
      <w:r>
        <w:t xml:space="preserve"> </w:t>
      </w:r>
      <w:r>
        <w:rPr>
          <w:iCs/>
          <w:i/>
        </w:rPr>
        <w:t xml:space="preserve">R</w:t>
      </w:r>
      <w:r>
        <w:rPr>
          <w:vertAlign w:val="subscript"/>
        </w:rPr>
        <w:t xml:space="preserve">0</w:t>
      </w:r>
      <w:r>
        <w:rPr>
          <w:vertAlign w:val="superscript"/>
        </w:rPr>
        <w:t xml:space="preserve">2</w:t>
      </w:r>
      <w:r>
        <w:t xml:space="preserve"> </w:t>
      </w:r>
      <w:r>
        <w:t xml:space="preserve">as the largest eigenvalue of a symmetric positive semidefinite matrix, and Proposition 2 tied its threshold to the growth of infection. The formula matched a numerical next-generation matrix to within 5.3 × 10</w:t>
      </w:r>
      <w:r>
        <w:rPr>
          <w:vertAlign w:val="superscript"/>
        </w:rPr>
        <w:t xml:space="preserve">−15</w:t>
      </w:r>
      <w:r>
        <w:t xml:space="preserve"> </w:t>
      </w:r>
      <w:r>
        <w:t xml:space="preserve">in 300 random networks. Propositions 4 and 5 then trapped</w:t>
      </w:r>
      <w:r>
        <w:t xml:space="preserve"> </w:t>
      </w:r>
      <w:r>
        <w:rPr>
          <w:iCs/>
          <w:i/>
        </w:rPr>
        <w:t xml:space="preserve">R</w:t>
      </w:r>
      <w:r>
        <w:rPr>
          <w:vertAlign w:val="subscript"/>
        </w:rPr>
        <w:t xml:space="preserve">0</w:t>
      </w:r>
      <w:r>
        <w:rPr>
          <w:vertAlign w:val="superscript"/>
        </w:rPr>
        <w:t xml:space="preserve">2</w:t>
      </w:r>
      <w:r>
        <w:t xml:space="preserve"> </w:t>
      </w:r>
      <w:r>
        <w:t xml:space="preserve">between the smallest and largest local exposure numbers and showed that the provincial average can only understate it; no violation appeared in 500 instances.</w:t>
      </w:r>
    </w:p>
    <w:p>
      <w:pPr>
        <w:pStyle w:val="BodyText"/>
      </w:pPr>
      <w:r>
        <w:rPr>
          <w:bCs/>
          <w:b/>
        </w:rPr>
        <w:t xml:space="preserve">Objective 3: ranking places.</w:t>
      </w:r>
      <w:r>
        <w:t xml:space="preserve"> </w:t>
      </w:r>
      <w:r>
        <w:t xml:space="preserve">Proposition 6 split</w:t>
      </w:r>
      <w:r>
        <w:t xml:space="preserve"> </w:t>
      </w:r>
      <w:r>
        <w:rPr>
          <w:iCs/>
          <w:i/>
        </w:rPr>
        <w:t xml:space="preserve">R</w:t>
      </w:r>
      <w:r>
        <w:rPr>
          <w:vertAlign w:val="subscript"/>
        </w:rPr>
        <w:t xml:space="preserve">0</w:t>
      </w:r>
      <w:r>
        <w:rPr>
          <w:vertAlign w:val="superscript"/>
        </w:rPr>
        <w:t xml:space="preserve">2</w:t>
      </w:r>
      <w:r>
        <w:t xml:space="preserve"> </w:t>
      </w:r>
      <w:r>
        <w:t xml:space="preserve">into place shares that add to one and showed that each share is, up to a known factor, the rate at which control at that place lowers</w:t>
      </w:r>
      <w:r>
        <w:t xml:space="preserve"> </w:t>
      </w:r>
      <w:r>
        <w:rPr>
          <w:iCs/>
          <w:i/>
        </w:rPr>
        <w:t xml:space="preserve">R</w:t>
      </w:r>
      <w:r>
        <w:rPr>
          <w:vertAlign w:val="subscript"/>
        </w:rPr>
        <w:t xml:space="preserve">0</w:t>
      </w:r>
      <w:r>
        <w:rPr>
          <w:vertAlign w:val="superscript"/>
        </w:rPr>
        <w:t xml:space="preserve">2</w:t>
      </w:r>
      <w:r>
        <w:t xml:space="preserve">. Shares and gradients agreed with finite differences in all 300 checks.</w:t>
      </w:r>
    </w:p>
    <w:p>
      <w:pPr>
        <w:pStyle w:val="BodyText"/>
      </w:pPr>
      <w:r>
        <w:rPr>
          <w:bCs/>
          <w:b/>
        </w:rPr>
        <w:t xml:space="preserve">Objective 4: least-cost control.</w:t>
      </w:r>
      <w:r>
        <w:t xml:space="preserve"> </w:t>
      </w:r>
      <w:r>
        <w:t xml:space="preserve">Because</w:t>
      </w:r>
      <w:r>
        <w:t xml:space="preserve"> </w:t>
      </w:r>
      <w:r>
        <w:rPr>
          <w:iCs/>
          <w:i/>
        </w:rPr>
        <w:t xml:space="preserve">R</w:t>
      </w:r>
      <w:r>
        <w:rPr>
          <w:vertAlign w:val="subscript"/>
        </w:rPr>
        <w:t xml:space="preserve">0</w:t>
      </w:r>
      <w:r>
        <w:rPr>
          <w:vertAlign w:val="superscript"/>
        </w:rPr>
        <w:t xml:space="preserve">2</w:t>
      </w:r>
      <w:r>
        <w:t xml:space="preserve"> </w:t>
      </w:r>
      <w:r>
        <w:t xml:space="preserve">is convex and never increasing in the control intensities (Proposition 7), the cheapest plan that meets a target is a convex program. Algorithm 1 solved it with a certified gap; a fine grid and a general nonlinear solver never found a cheaper feasible plan in 120 cases. The linear-program certificate of Proposition 9 always met the target and cost on average 14.5 percent more.</w:t>
      </w:r>
    </w:p>
    <w:p>
      <w:pPr>
        <w:pStyle w:val="BodyText"/>
      </w:pPr>
      <w:r>
        <w:rPr>
          <w:bCs/>
          <w:b/>
        </w:rPr>
        <w:t xml:space="preserve">Objective 5: infections traced to places.</w:t>
      </w:r>
      <w:r>
        <w:t xml:space="preserve"> </w:t>
      </w:r>
      <w:r>
        <w:t xml:space="preserve">When residents spend more than half of their biting hours at home, the residence-time matrix can be inverted, and Proposition 11 bounds the error of the inverse. In noisy synthetic data, the inferred distribution of infections was closer to the truth than the distribution of cases by residence in 373 of 400 instances.</w:t>
      </w:r>
    </w:p>
    <w:p>
      <w:pPr>
        <w:pStyle w:val="BodyText"/>
      </w:pPr>
      <w:r>
        <w:rPr>
          <w:bCs/>
          <w:b/>
        </w:rPr>
        <w:t xml:space="preserve">Objective 6: the outbreak alarm.</w:t>
      </w:r>
      <w:r>
        <w:t xml:space="preserve"> </w:t>
      </w:r>
      <w:r>
        <w:t xml:space="preserve">Proposition 12 gave the CUSUM alarm a worst-case delay and an exact average run length. The Markov-chain values fell inside the 95 percent interval of 20,000 simulated runs in every design.</w:t>
      </w:r>
    </w:p>
    <w:p>
      <w:pPr>
        <w:pStyle w:val="BodyText"/>
      </w:pPr>
      <w:r>
        <w:rPr>
          <w:bCs/>
          <w:b/>
        </w:rPr>
        <w:t xml:space="preserve">Objective 7: verification.</w:t>
      </w:r>
      <w:r>
        <w:t xml:space="preserve"> </w:t>
      </w:r>
      <w:r>
        <w:t xml:space="preserve">All twelve propositions were checked numerically against independent code, and Table 7 records no failure. On 720 barangays, the size of Albay, the reproduction number and the place shares take under a second, and the certified least-cost plan about a minute.</w:t>
      </w:r>
    </w:p>
    <w:p>
      <w:pPr>
        <w:pStyle w:val="BodyText"/>
      </w:pPr>
      <w:r>
        <w:rPr>
          <w:bCs/>
          <w:b/>
        </w:rPr>
        <w:t xml:space="preserve">Objective 8: the worked instance.</w:t>
      </w:r>
      <w:r>
        <w:t xml:space="preserve"> </w:t>
      </w:r>
      <w:r>
        <w:t xml:space="preserve">In the six-barangay test network D1, case addresses pointed to the residential barangay B2, while 42.6 percent of transmission happened in the poblacion B1 with its school and market. The least-cost plan reached</w:t>
      </w:r>
      <w:r>
        <w:t xml:space="preserve"> </w:t>
      </w:r>
      <w:r>
        <w:rPr>
          <w:iCs/>
          <w:i/>
        </w:rPr>
        <w:t xml:space="preserve">R</w:t>
      </w:r>
      <w:r>
        <w:rPr>
          <w:vertAlign w:val="subscript"/>
        </w:rPr>
        <w:t xml:space="preserve">0</w:t>
      </w:r>
      <w:r>
        <w:t xml:space="preserve"> </w:t>
      </w:r>
      <w:r>
        <w:t xml:space="preserve">≤ 0.95 with 22.60 team-days, 40 percent below uniform control and 42 percent below control where cases live. At the same false-alarm rate, the CUSUM alarm sounded 1.7 weeks earlier on average than a single-week threshold. The eight hypotheses of Section 3.6.3 were recorded before any Albay result existed.</w:t>
      </w:r>
    </w:p>
    <w:bookmarkEnd w:id="144"/>
    <w:bookmarkStart w:id="145" w:name="limitations"/>
    <w:p>
      <w:pPr>
        <w:pStyle w:val="Heading2"/>
      </w:pPr>
      <w:r>
        <w:t xml:space="preserve">4.2 Limitations</w:t>
      </w:r>
    </w:p>
    <w:p>
      <w:pPr>
        <w:numPr>
          <w:ilvl w:val="0"/>
          <w:numId w:val="1007"/>
        </w:numPr>
        <w:pStyle w:val="Compact"/>
      </w:pPr>
      <w:r>
        <w:rPr>
          <w:bCs/>
          <w:b/>
        </w:rPr>
        <w:t xml:space="preserve">(L1) The worked numbers are synthetic.</w:t>
      </w:r>
      <w:r>
        <w:t xml:space="preserve"> </w:t>
      </w:r>
      <w:r>
        <w:t xml:space="preserve">D1 is a made-up town. Its tables show that the pipeline behaves as the propositions say; they are not estimates for Legazpi, Daraga, or any real barangay.</w:t>
      </w:r>
    </w:p>
    <w:p>
      <w:pPr>
        <w:numPr>
          <w:ilvl w:val="0"/>
          <w:numId w:val="1007"/>
        </w:numPr>
        <w:pStyle w:val="Compact"/>
      </w:pPr>
      <w:r>
        <w:rPr>
          <w:bCs/>
          <w:b/>
        </w:rPr>
        <w:t xml:space="preserve">(L2) Routines are fixed.</w:t>
      </w:r>
      <w:r>
        <w:t xml:space="preserve"> </w:t>
      </w:r>
      <w:r>
        <w:t xml:space="preserve">The matrix</w:t>
      </w:r>
      <w:r>
        <w:t xml:space="preserve"> </w:t>
      </w:r>
      <w:r>
        <w:rPr>
          <w:iCs/>
          <w:i/>
        </w:rPr>
        <w:t xml:space="preserve">P</w:t>
      </w:r>
      <w:r>
        <w:t xml:space="preserve"> </w:t>
      </w:r>
      <w:r>
        <w:t xml:space="preserve">describes an average weekday. Weekends, fiestas, class suspensions, and the habit of staying home when sick all change it. School closures can be studied by recomputing</w:t>
      </w:r>
      <w:r>
        <w:t xml:space="preserve"> </w:t>
      </w:r>
      <w:r>
        <w:rPr>
          <w:iCs/>
          <w:i/>
        </w:rPr>
        <w:t xml:space="preserve">P</w:t>
      </w:r>
      <w:r>
        <w:t xml:space="preserve">, but the model does not predict how people will change their routines.</w:t>
      </w:r>
    </w:p>
    <w:p>
      <w:pPr>
        <w:numPr>
          <w:ilvl w:val="0"/>
          <w:numId w:val="1007"/>
        </w:numPr>
        <w:pStyle w:val="Compact"/>
      </w:pPr>
      <w:r>
        <w:rPr>
          <w:bCs/>
          <w:b/>
        </w:rPr>
        <w:t xml:space="preserve">(L3) Mosquito numbers are hard to measure.</w:t>
      </w:r>
      <w:r>
        <w:t xml:space="preserve"> </w:t>
      </w:r>
      <w:r>
        <w:t xml:space="preserve">Larval and ovitrap indices are rough proxies for adult female mosquitoes, and the conversion between them varies by place and season. The rankings depend on relative densities, which are more reliable than absolute ones, but the reproduction number itself carries the error of the survey.</w:t>
      </w:r>
    </w:p>
    <w:p>
      <w:pPr>
        <w:numPr>
          <w:ilvl w:val="0"/>
          <w:numId w:val="1007"/>
        </w:numPr>
        <w:pStyle w:val="Compact"/>
      </w:pPr>
      <w:r>
        <w:rPr>
          <w:bCs/>
          <w:b/>
        </w:rPr>
        <w:t xml:space="preserve">(L4) One virus, no immunity history.</w:t>
      </w:r>
      <w:r>
        <w:t xml:space="preserve"> </w:t>
      </w:r>
      <w:r>
        <w:t xml:space="preserve">Four serotypes circulate in the Philippines, and past infections change who can be infected again. The model treats dengue as one infection in a fully susceptible population, so its reproduction number describes potential, not the course of a particular season.</w:t>
      </w:r>
    </w:p>
    <w:p>
      <w:pPr>
        <w:numPr>
          <w:ilvl w:val="0"/>
          <w:numId w:val="1007"/>
        </w:numPr>
        <w:pStyle w:val="Compact"/>
      </w:pPr>
      <w:r>
        <w:rPr>
          <w:bCs/>
          <w:b/>
        </w:rPr>
        <w:t xml:space="preserve">(L5) Constant parameters.</w:t>
      </w:r>
      <w:r>
        <w:t xml:space="preserve"> </w:t>
      </w:r>
      <w:r>
        <w:t xml:space="preserve">Biting rate, incubation period, and mosquito lifetime change with temperature (Mordecai et al., 2017). The season factor scales mosquito numbers only; it does not change the other parameters within a season.</w:t>
      </w:r>
    </w:p>
    <w:p>
      <w:pPr>
        <w:numPr>
          <w:ilvl w:val="0"/>
          <w:numId w:val="1007"/>
        </w:numPr>
        <w:pStyle w:val="Compact"/>
      </w:pPr>
      <w:r>
        <w:rPr>
          <w:bCs/>
          <w:b/>
        </w:rPr>
        <w:t xml:space="preserve">(L6) Control acts on numbers only.</w:t>
      </w:r>
      <w:r>
        <w:t xml:space="preserve"> </w:t>
      </w:r>
      <w:r>
        <w:t xml:space="preserve">Each method is reduced to a fraction of mosquitoes removed at a cost proportional to that fraction. Real methods differ in how long they last, how quickly mosquitoes return, and how much they cost to repeat.</w:t>
      </w:r>
    </w:p>
    <w:p>
      <w:pPr>
        <w:numPr>
          <w:ilvl w:val="0"/>
          <w:numId w:val="1007"/>
        </w:numPr>
        <w:pStyle w:val="Compact"/>
      </w:pPr>
      <w:r>
        <w:rPr>
          <w:bCs/>
          <w:b/>
        </w:rPr>
        <w:t xml:space="preserve">(L7) Reporting is assumed uniform.</w:t>
      </w:r>
      <w:r>
        <w:t xml:space="preserve"> </w:t>
      </w:r>
      <w:r>
        <w:t xml:space="preserve">Assumption 5 treats reported cases as the same fraction of infections everywhere. If people in remote barangays consult less often, the inversion will understate infections there.</w:t>
      </w:r>
    </w:p>
    <w:p>
      <w:pPr>
        <w:numPr>
          <w:ilvl w:val="0"/>
          <w:numId w:val="1007"/>
        </w:numPr>
        <w:pStyle w:val="Compact"/>
      </w:pPr>
      <w:r>
        <w:rPr>
          <w:bCs/>
          <w:b/>
        </w:rPr>
        <w:t xml:space="preserve">(L8) Time away above one half.</w:t>
      </w:r>
      <w:r>
        <w:t xml:space="preserve"> </w:t>
      </w:r>
      <w:r>
        <w:t xml:space="preserve">The error bound of Proposition 11 needs every barangay to keep its residents home for more than half of the biting hours. A barangay whose residents mostly commute out would weaken the bound, though the nonnegative least-squares inverse still applies.</w:t>
      </w:r>
    </w:p>
    <w:p>
      <w:pPr>
        <w:numPr>
          <w:ilvl w:val="0"/>
          <w:numId w:val="1007"/>
        </w:numPr>
        <w:pStyle w:val="Compact"/>
      </w:pPr>
      <w:r>
        <w:rPr>
          <w:bCs/>
          <w:b/>
        </w:rPr>
        <w:t xml:space="preserve">(L9) A barangay is not a household.</w:t>
      </w:r>
      <w:r>
        <w:t xml:space="preserve"> </w:t>
      </w:r>
      <w:r>
        <w:t xml:space="preserve">Transmission happens between houses a few dozen meters apart (Stoddard et al., 2013). The model works at the barangay level, which matches the reporting and the brigades but averages over finer differences.</w:t>
      </w:r>
    </w:p>
    <w:p>
      <w:pPr>
        <w:numPr>
          <w:ilvl w:val="0"/>
          <w:numId w:val="1007"/>
        </w:numPr>
        <w:pStyle w:val="Compact"/>
      </w:pPr>
      <w:r>
        <w:rPr>
          <w:bCs/>
          <w:b/>
        </w:rPr>
        <w:t xml:space="preserve">(L10) The alarm assumes Poisson counts.</w:t>
      </w:r>
      <w:r>
        <w:t xml:space="preserve"> </w:t>
      </w:r>
      <w:r>
        <w:t xml:space="preserve">Weekly counts that cluster more than a Poisson variable would sound false alarms more often than computed. Once past seasons are on file, the design can be tuned to them.</w:t>
      </w:r>
    </w:p>
    <w:bookmarkEnd w:id="145"/>
    <w:bookmarkStart w:id="146" w:name="recommendations-and-next-steps"/>
    <w:p>
      <w:pPr>
        <w:pStyle w:val="Heading2"/>
      </w:pPr>
      <w:r>
        <w:t xml:space="preserve">4.3 Recommendations and Next Steps</w:t>
      </w:r>
    </w:p>
    <w:p>
      <w:pPr>
        <w:pStyle w:val="FirstParagraph"/>
      </w:pPr>
      <w:r>
        <w:rPr>
          <w:bCs/>
          <w:b/>
        </w:rPr>
        <w:t xml:space="preserve">Build the Albay instance.</w:t>
      </w:r>
      <w:r>
        <w:t xml:space="preserve"> </w:t>
      </w:r>
      <w:r>
        <w:t xml:space="preserve">The next step is the full network: the 720 barangays with their census populations, travel times from the companion study (Brimbuela et al., 2026), attraction from the DepEd masterlist and the market and business registers of each local government, and mosquito indices from the entomological surveys of the provincial and regional health offices. The hypotheses of Section 3.6.3 should then be tested exactly as written.</w:t>
      </w:r>
    </w:p>
    <w:p>
      <w:pPr>
        <w:pStyle w:val="BodyText"/>
      </w:pPr>
      <w:r>
        <w:rPr>
          <w:bCs/>
          <w:b/>
        </w:rPr>
        <w:t xml:space="preserve">Ask about daily movement.</w:t>
      </w:r>
      <w:r>
        <w:t xml:space="preserve"> </w:t>
      </w:r>
      <w:r>
        <w:t xml:space="preserve">A short school-based questionnaire on where students and their families spend the daylight hours would give a direct estimate of</w:t>
      </w:r>
      <w:r>
        <w:t xml:space="preserve"> </w:t>
      </w:r>
      <w:r>
        <w:rPr>
          <w:iCs/>
          <w:i/>
        </w:rPr>
        <w:t xml:space="preserve">P</w:t>
      </w:r>
      <w:r>
        <w:t xml:space="preserve"> </w:t>
      </w:r>
      <w:r>
        <w:t xml:space="preserve">for a sample of barangays and test the destination-choice rule of Definition 2. Mobile phone data, where a provider releases them in aggregate form, could serve the same purpose.</w:t>
      </w:r>
    </w:p>
    <w:p>
      <w:pPr>
        <w:pStyle w:val="BodyText"/>
      </w:pPr>
      <w:r>
        <w:rPr>
          <w:bCs/>
          <w:b/>
        </w:rPr>
        <w:t xml:space="preserve">Record where cases were during the day.</w:t>
      </w:r>
      <w:r>
        <w:t xml:space="preserve"> </w:t>
      </w:r>
      <w:r>
        <w:t xml:space="preserve">The case investigation form already asks for the address. One more line, the barangay where the patient spent most daytime hours in the two weeks before illness, would allow Proposition 11 to be tested against direct reports.</w:t>
      </w:r>
    </w:p>
    <w:p>
      <w:pPr>
        <w:pStyle w:val="BodyText"/>
      </w:pPr>
      <w:r>
        <w:rPr>
          <w:bCs/>
          <w:b/>
        </w:rPr>
        <w:t xml:space="preserve">Let the parameters follow the weather.</w:t>
      </w:r>
      <w:r>
        <w:t xml:space="preserve"> </w:t>
      </w:r>
      <w:r>
        <w:t xml:space="preserve">Making the biting rate and the mosquito lifetime functions of temperature, after Mordecai et al. (2017), and linking the season factor to rainfall would turn the season scaling of Table 13 into a forecast of the control effort needed a few weeks ahead.</w:t>
      </w:r>
    </w:p>
    <w:p>
      <w:pPr>
        <w:pStyle w:val="BodyText"/>
      </w:pPr>
      <w:r>
        <w:rPr>
          <w:bCs/>
          <w:b/>
        </w:rPr>
        <w:t xml:space="preserve">Pilot the brigade allocation.</w:t>
      </w:r>
      <w:r>
        <w:t xml:space="preserve"> </w:t>
      </w:r>
      <w:r>
        <w:t xml:space="preserve">One municipality could allocate its dengue brigades for a season by the least-cost plan while a comparable municipality keeps its usual practice, with weekly case counts and ovitrap indices compared afterward. Such a trial needs the approval of the provincial health office and an ethics review.</w:t>
      </w:r>
    </w:p>
    <w:p>
      <w:pPr>
        <w:pStyle w:val="BodyText"/>
      </w:pPr>
      <w:r>
        <w:rPr>
          <w:bCs/>
          <w:b/>
        </w:rPr>
        <w:t xml:space="preserve">Challenges.</w:t>
      </w:r>
      <w:r>
        <w:t xml:space="preserve"> </w:t>
      </w:r>
      <w:r>
        <w:t xml:space="preserve">Mosquito surveys are labor-intensive and seldom cover every barangay; case data are released by municipality rather than by barangay during most of the year; and a planning tool is useful only if the people who allocate brigades trust it. Each output of the model therefore comes with the assumptions it rests on and a plain-language explanation.</w:t>
      </w:r>
    </w:p>
    <w:bookmarkEnd w:id="146"/>
    <w:bookmarkStart w:id="147" w:name="applications"/>
    <w:p>
      <w:pPr>
        <w:pStyle w:val="Heading2"/>
      </w:pPr>
      <w:r>
        <w:t xml:space="preserve">4.4 Applications</w:t>
      </w:r>
    </w:p>
    <w:p>
      <w:pPr>
        <w:pStyle w:val="FirstParagraph"/>
      </w:pPr>
      <w:r>
        <w:rPr>
          <w:bCs/>
          <w:b/>
        </w:rPr>
        <w:t xml:space="preserve">For households and schools.</w:t>
      </w:r>
      <w:r>
        <w:t xml:space="preserve"> </w:t>
      </w:r>
      <w:r>
        <w:t xml:space="preserve">A family can see whether its barangay or the places its members visit by day rank high in the share of transmission, and a school head can see whether the school campus is among the places that carry the most transmission, which tells the school when its own cleanup days matter most.</w:t>
      </w:r>
    </w:p>
    <w:p>
      <w:pPr>
        <w:pStyle w:val="BodyText"/>
      </w:pPr>
      <w:r>
        <w:rPr>
          <w:bCs/>
          <w:b/>
        </w:rPr>
        <w:t xml:space="preserve">For barangay health workers and dengue brigades.</w:t>
      </w:r>
      <w:r>
        <w:t xml:space="preserve"> </w:t>
      </w:r>
      <w:r>
        <w:t xml:space="preserve">The ranking per team-day tells a brigade leader where one more day of cleanup lowers transmission the most, and the least-cost plan turns a target into a schedule of team-days per barangay.</w:t>
      </w:r>
    </w:p>
    <w:p>
      <w:pPr>
        <w:pStyle w:val="BodyText"/>
      </w:pPr>
      <w:r>
        <w:rPr>
          <w:bCs/>
          <w:b/>
        </w:rPr>
        <w:t xml:space="preserve">For provincial and municipal health offices.</w:t>
      </w:r>
      <w:r>
        <w:t xml:space="preserve"> </w:t>
      </w:r>
      <w:r>
        <w:t xml:space="preserve">The office can compute the network reproduction number each month, check whether the province average hides places of high risk, convert reported cases into infections by place, and run the CUSUM alarm on weekly counts with a false-alarm rate it chose in advance. The certificate plan gives a quick, always-safe allocation during a surge, and the exact plan says how much cheaper a careful allocation can be.</w:t>
      </w:r>
    </w:p>
    <w:p>
      <w:pPr>
        <w:pStyle w:val="BodyText"/>
      </w:pPr>
      <w:r>
        <w:rPr>
          <w:bCs/>
          <w:b/>
        </w:rPr>
        <w:t xml:space="preserve">For planners.</w:t>
      </w:r>
      <w:r>
        <w:t xml:space="preserve"> </w:t>
      </w:r>
      <w:r>
        <w:t xml:space="preserve">Table 13 shows how many team-days a stronger rainy season will need, which helps the province budget brigade time and supplies before the rains rather than after the cases rise.</w:t>
      </w:r>
    </w:p>
    <w:p>
      <w:pPr>
        <w:pStyle w:val="BodyText"/>
      </w:pPr>
      <w:r>
        <w:rPr>
          <w:bCs/>
          <w:b/>
        </w:rPr>
        <w:t xml:space="preserve">Relation to the SDGs.</w:t>
      </w:r>
      <w:r>
        <w:t xml:space="preserve"> </w:t>
      </w:r>
      <w:r>
        <w:t xml:space="preserve">These uses serve target 3.3 by targeting control, target 3.d by giving an early warning with known error rates, and target 4.a by helping keep schools safe places to learn. They remain intended uses until the model is tested in the field.</w:t>
      </w:r>
    </w:p>
    <w:p>
      <w:pPr>
        <w:pStyle w:val="BodyText"/>
      </w:pPr>
      <w:r>
        <w:rPr>
          <w:bCs/>
          <w:b/>
        </w:rPr>
        <w:t xml:space="preserve">Beyond Albay.</w:t>
      </w:r>
      <w:r>
        <w:t xml:space="preserve"> </w:t>
      </w:r>
      <w:r>
        <w:t xml:space="preserve">The inputs are a census, travel times, a list of schools and markets, and mosquito surveys. Any Philippine province, or any place with</w:t>
      </w:r>
      <w:r>
        <w:t xml:space="preserve"> </w:t>
      </w:r>
      <w:r>
        <w:rPr>
          <w:iCs/>
          <w:i/>
        </w:rPr>
        <w:t xml:space="preserve">Aedes</w:t>
      </w:r>
      <w:r>
        <w:t xml:space="preserve">-borne diseases such as chikungunya and Zika, could build the same model, since the mathematics does not depend on the virus.</w:t>
      </w:r>
    </w:p>
    <w:bookmarkEnd w:id="147"/>
    <w:bookmarkEnd w:id="148"/>
    <w:bookmarkStart w:id="149" w:name="references"/>
    <w:p>
      <w:pPr>
        <w:pStyle w:val="Heading1"/>
      </w:pPr>
      <w:r>
        <w:t xml:space="preserve">5. REFERENCES</w:t>
      </w:r>
    </w:p>
    <w:p>
      <w:pPr>
        <w:pStyle w:val="Reference"/>
      </w:pPr>
      <w:r>
        <w:t xml:space="preserve">Bhatt, S., Gething, P. W., Brady, O. J., Messina, J. P., Farlow, A. W., Moyes, C. L., Drake, J. M., Brownstein, J. S., Hoen, A. G., Sankoh, O., Myers, M. F., George, D. B., Jaenisch, T., Wint, G. R. W., Simmons, C. P., Scott, T. W., Farrar, J. J., &amp; Hay, S. I. (2013). The global distribution and burden of dengue.</w:t>
      </w:r>
      <w:r>
        <w:t xml:space="preserve"> </w:t>
      </w:r>
      <w:r>
        <w:rPr>
          <w:iCs/>
          <w:i/>
        </w:rPr>
        <w:t xml:space="preserve">Nature, 496</w:t>
      </w:r>
      <w:r>
        <w:t xml:space="preserve">(7446), 504–507. https://doi.org/10.1038/nature12060</w:t>
      </w:r>
    </w:p>
    <w:p>
      <w:pPr>
        <w:pStyle w:val="Reference"/>
      </w:pPr>
      <w:r>
        <w:t xml:space="preserve">Bowman, L. R., Donegan, S., &amp; McCall, P. J. (2016). Is dengue vector control deficient in effectiveness or evidence?: Systematic review and meta-analysis.</w:t>
      </w:r>
      <w:r>
        <w:t xml:space="preserve"> </w:t>
      </w:r>
      <w:r>
        <w:rPr>
          <w:iCs/>
          <w:i/>
        </w:rPr>
        <w:t xml:space="preserve">PLOS Neglected Tropical Diseases, 10</w:t>
      </w:r>
      <w:r>
        <w:t xml:space="preserve">(3), e0004551. https://doi.org/10.1371/journal.pntd.0004551</w:t>
      </w:r>
    </w:p>
    <w:p>
      <w:pPr>
        <w:pStyle w:val="Reference"/>
      </w:pPr>
      <w:r>
        <w:t xml:space="preserve">Boyd, S., &amp; Vandenberghe, L. (2004).</w:t>
      </w:r>
      <w:r>
        <w:t xml:space="preserve"> </w:t>
      </w:r>
      <w:r>
        <w:rPr>
          <w:iCs/>
          <w:i/>
        </w:rPr>
        <w:t xml:space="preserve">Convex optimization</w:t>
      </w:r>
      <w:r>
        <w:t xml:space="preserve">. Cambridge University Press.</w:t>
      </w:r>
    </w:p>
    <w:p>
      <w:pPr>
        <w:pStyle w:val="Reference"/>
      </w:pPr>
      <w:r>
        <w:t xml:space="preserve">Brimbuela, P. J. A., De Asis, D. J. Ll., &amp; Shin, Y. (2026).</w:t>
      </w:r>
      <w:r>
        <w:t xml:space="preserve"> </w:t>
      </w:r>
      <w:r>
        <w:rPr>
          <w:iCs/>
          <w:i/>
        </w:rPr>
        <w:t xml:space="preserve">Right hospital, right bed, right time: A verified network model for mapping hospitals and routing patients in Albay by clinical need, live bed availability, and ability to pay</w:t>
      </w:r>
      <w:r>
        <w:t xml:space="preserve"> </w:t>
      </w:r>
      <w:r>
        <w:t xml:space="preserve">[Unpublished research paper]. Legazpi City Science High School.</w:t>
      </w:r>
    </w:p>
    <w:p>
      <w:pPr>
        <w:pStyle w:val="Reference"/>
      </w:pPr>
      <w:r>
        <w:t xml:space="preserve">Brook, D., &amp; Evans, D. A. (1972). An approach to the probability distribution of CUSUM run length.</w:t>
      </w:r>
      <w:r>
        <w:t xml:space="preserve"> </w:t>
      </w:r>
      <w:r>
        <w:rPr>
          <w:iCs/>
          <w:i/>
        </w:rPr>
        <w:t xml:space="preserve">Biometrika, 59</w:t>
      </w:r>
      <w:r>
        <w:t xml:space="preserve">(3), 539–549. https://doi.org/10.1093/biomet/59.3.539</w:t>
      </w:r>
    </w:p>
    <w:p>
      <w:pPr>
        <w:pStyle w:val="Reference"/>
      </w:pPr>
      <w:r>
        <w:t xml:space="preserve">Cosner, C., Beier, J. C., Cantrell, R. S., Impoinvil, D., Kapitanski, L., Potts, M. D., Troyo, A., &amp; Ruan, S. (2009). The effects of human movement on the persistence of vector-borne diseases.</w:t>
      </w:r>
      <w:r>
        <w:t xml:space="preserve"> </w:t>
      </w:r>
      <w:r>
        <w:rPr>
          <w:iCs/>
          <w:i/>
        </w:rPr>
        <w:t xml:space="preserve">Journal of Theoretical Biology, 258</w:t>
      </w:r>
      <w:r>
        <w:t xml:space="preserve">(4), 550–560. https://doi.org/10.1016/j.jtbi.2009.02.016</w:t>
      </w:r>
    </w:p>
    <w:p>
      <w:pPr>
        <w:pStyle w:val="Reference"/>
      </w:pPr>
      <w:r>
        <w:t xml:space="preserve">Daily Tribune. (2026a, September 11).</w:t>
      </w:r>
      <w:r>
        <w:t xml:space="preserve"> </w:t>
      </w:r>
      <w:r>
        <w:rPr>
          <w:iCs/>
          <w:i/>
        </w:rPr>
        <w:t xml:space="preserve">Albay declares state of calamity as dengue cases surge</w:t>
      </w:r>
      <w:r>
        <w:t xml:space="preserve">. https://tribune.net.ph/2026/09/11/albay-declares-state-of-calamity-as-dengue-cases-surge</w:t>
      </w:r>
    </w:p>
    <w:p>
      <w:pPr>
        <w:pStyle w:val="Reference"/>
      </w:pPr>
      <w:r>
        <w:t xml:space="preserve">Daily Tribune. (2026b, September 18).</w:t>
      </w:r>
      <w:r>
        <w:t xml:space="preserve"> </w:t>
      </w:r>
      <w:r>
        <w:rPr>
          <w:iCs/>
          <w:i/>
        </w:rPr>
        <w:t xml:space="preserve">Albay dengue cases surpass 2,000, 14 deaths recorded</w:t>
      </w:r>
      <w:r>
        <w:t xml:space="preserve">. https://tribune.net.ph/2026/09/18/albay-dengue-cases-surpass-2000-14-deaths-recorded</w:t>
      </w:r>
    </w:p>
    <w:p>
      <w:pPr>
        <w:pStyle w:val="Reference"/>
      </w:pPr>
      <w:r>
        <w:t xml:space="preserve">Daily Tribune. (2026c, September 21).</w:t>
      </w:r>
      <w:r>
        <w:t xml:space="preserve"> </w:t>
      </w:r>
      <w:r>
        <w:rPr>
          <w:iCs/>
          <w:i/>
        </w:rPr>
        <w:t xml:space="preserve">Dengue cases in Albay now at 2,888</w:t>
      </w:r>
      <w:r>
        <w:t xml:space="preserve">. https://tribune.net.ph/2026/09/21/dengue-cases-in-albay-now-at-2888</w:t>
      </w:r>
    </w:p>
    <w:p>
      <w:pPr>
        <w:pStyle w:val="Reference"/>
      </w:pPr>
      <w:r>
        <w:t xml:space="preserve">Daily Tribune. (2026d, October 13).</w:t>
      </w:r>
      <w:r>
        <w:t xml:space="preserve"> </w:t>
      </w:r>
      <w:r>
        <w:rPr>
          <w:iCs/>
          <w:i/>
        </w:rPr>
        <w:t xml:space="preserve">Dengue cases continue to decline — DOH</w:t>
      </w:r>
      <w:r>
        <w:t xml:space="preserve">. https://tribune.net.ph/2026/10/13/dengue-cases-continue-to-decline-doh</w:t>
      </w:r>
    </w:p>
    <w:p>
      <w:pPr>
        <w:pStyle w:val="Reference"/>
      </w:pPr>
      <w:r>
        <w:t xml:space="preserve">Department of Education. (2021).</w:t>
      </w:r>
      <w:r>
        <w:t xml:space="preserve"> </w:t>
      </w:r>
      <w:r>
        <w:rPr>
          <w:iCs/>
          <w:i/>
        </w:rPr>
        <w:t xml:space="preserve">Masterlist of schools SY 2020–2021 based on LIS, as of January 15, 2021</w:t>
      </w:r>
      <w:r>
        <w:t xml:space="preserve"> </w:t>
      </w:r>
      <w:r>
        <w:t xml:space="preserve">[Data set].</w:t>
      </w:r>
    </w:p>
    <w:p>
      <w:pPr>
        <w:pStyle w:val="Reference"/>
      </w:pPr>
      <w:r>
        <w:t xml:space="preserve">Diekmann, O., Heesterbeek, J. A. P., &amp; Metz, J. A. J. (1990). On the definition and the computation of the basic reproduction ratio</w:t>
      </w:r>
      <w:r>
        <w:t xml:space="preserve"> </w:t>
      </w:r>
      <w:r>
        <w:rPr>
          <w:iCs/>
          <w:i/>
        </w:rPr>
        <w:t xml:space="preserve">R</w:t>
      </w:r>
      <w:r>
        <w:rPr>
          <w:vertAlign w:val="subscript"/>
        </w:rPr>
        <w:t xml:space="preserve">0</w:t>
      </w:r>
      <w:r>
        <w:t xml:space="preserve"> </w:t>
      </w:r>
      <w:r>
        <w:t xml:space="preserve">in models for infectious diseases in heterogeneous populations.</w:t>
      </w:r>
      <w:r>
        <w:t xml:space="preserve"> </w:t>
      </w:r>
      <w:r>
        <w:rPr>
          <w:iCs/>
          <w:i/>
        </w:rPr>
        <w:t xml:space="preserve">Journal of Mathematical Biology, 28</w:t>
      </w:r>
      <w:r>
        <w:t xml:space="preserve">(4), 365–382. https://doi.org/10.1007/BF00178324</w:t>
      </w:r>
    </w:p>
    <w:p>
      <w:pPr>
        <w:pStyle w:val="Reference"/>
      </w:pPr>
      <w:r>
        <w:t xml:space="preserve">Dye, C., &amp; Hasibeder, G. (1986). Population dynamics of mosquito-borne disease: Effects of flies which bite some people more frequently than others.</w:t>
      </w:r>
      <w:r>
        <w:t xml:space="preserve"> </w:t>
      </w:r>
      <w:r>
        <w:rPr>
          <w:iCs/>
          <w:i/>
        </w:rPr>
        <w:t xml:space="preserve">Transactions of the Royal Society of Tropical Medicine and Hygiene, 80</w:t>
      </w:r>
      <w:r>
        <w:t xml:space="preserve">(1), 69–77. https://doi.org/10.1016/0035-9203(86)90199-9</w:t>
      </w:r>
    </w:p>
    <w:p>
      <w:pPr>
        <w:pStyle w:val="Reference"/>
      </w:pPr>
      <w:r>
        <w:t xml:space="preserve">Edillo, F. E., Halasa, Y. A., Largo, F. M., Erasmo, J. N. V., Amoin, N. B., Alera, M. T. P., Yoon, I.-K., Alcantara, A. C., &amp; Shepard, D. S. (2015). Economic cost and burden of dengue in the Philippines.</w:t>
      </w:r>
      <w:r>
        <w:t xml:space="preserve"> </w:t>
      </w:r>
      <w:r>
        <w:rPr>
          <w:iCs/>
          <w:i/>
        </w:rPr>
        <w:t xml:space="preserve">The American Journal of Tropical Medicine and Hygiene, 92</w:t>
      </w:r>
      <w:r>
        <w:t xml:space="preserve">(2), 360–366. https://doi.org/10.4269/ajtmh.14-0139</w:t>
      </w:r>
    </w:p>
    <w:p>
      <w:pPr>
        <w:pStyle w:val="Reference"/>
      </w:pPr>
      <w:r>
        <w:t xml:space="preserve">Efron, B., &amp; Tibshirani, R. J. (1993).</w:t>
      </w:r>
      <w:r>
        <w:t xml:space="preserve"> </w:t>
      </w:r>
      <w:r>
        <w:rPr>
          <w:iCs/>
          <w:i/>
        </w:rPr>
        <w:t xml:space="preserve">An introduction to the bootstrap</w:t>
      </w:r>
      <w:r>
        <w:t xml:space="preserve">. Chapman &amp; Hall.</w:t>
      </w:r>
    </w:p>
    <w:p>
      <w:pPr>
        <w:pStyle w:val="Reference"/>
      </w:pPr>
      <w:r>
        <w:t xml:space="preserve">Esu, E., Lenhart, A., Smith, L., &amp; Horstick, O. (2010). Effectiveness of peridomestic space spraying with insecticide on dengue transmission: Systematic review.</w:t>
      </w:r>
      <w:r>
        <w:t xml:space="preserve"> </w:t>
      </w:r>
      <w:r>
        <w:rPr>
          <w:iCs/>
          <w:i/>
        </w:rPr>
        <w:t xml:space="preserve">Tropical Medicine &amp; International Health, 15</w:t>
      </w:r>
      <w:r>
        <w:t xml:space="preserve">(5), 619–631. https://doi.org/10.1111/j.1365-3156.2010.02489.x</w:t>
      </w:r>
    </w:p>
    <w:p>
      <w:pPr>
        <w:pStyle w:val="Reference"/>
      </w:pPr>
      <w:r>
        <w:t xml:space="preserve">Horn, R. A., &amp; Johnson, C. R. (2013).</w:t>
      </w:r>
      <w:r>
        <w:t xml:space="preserve"> </w:t>
      </w:r>
      <w:r>
        <w:rPr>
          <w:iCs/>
          <w:i/>
        </w:rPr>
        <w:t xml:space="preserve">Matrix analysis</w:t>
      </w:r>
      <w:r>
        <w:t xml:space="preserve"> </w:t>
      </w:r>
      <w:r>
        <w:t xml:space="preserve">(2nd ed.). Cambridge University Press.</w:t>
      </w:r>
    </w:p>
    <w:p>
      <w:pPr>
        <w:pStyle w:val="Reference"/>
      </w:pPr>
      <w:r>
        <w:t xml:space="preserve">Hussain-Alkhateeb, L., Kroeger, A., Olliaro, P., Rocklöv, J., Sewe, M. O., Tejeda, G., Benitez, D., Gill, B., Hakim, S. L., Gomes Carvalho, R., Bowman, L., &amp; Petzold, M. (2018). Early warning and response system (EWARS) for dengue outbreaks: Recent advancements towards widespread applications in critical settings.</w:t>
      </w:r>
      <w:r>
        <w:t xml:space="preserve"> </w:t>
      </w:r>
      <w:r>
        <w:rPr>
          <w:iCs/>
          <w:i/>
        </w:rPr>
        <w:t xml:space="preserve">PLOS ONE, 13</w:t>
      </w:r>
      <w:r>
        <w:t xml:space="preserve">(5), e0196811. https://doi.org/10.1371/journal.pone.0196811</w:t>
      </w:r>
    </w:p>
    <w:p>
      <w:pPr>
        <w:pStyle w:val="Reference"/>
      </w:pPr>
      <w:r>
        <w:t xml:space="preserve">Lawson, C. L., &amp; Hanson, R. J. (1974).</w:t>
      </w:r>
      <w:r>
        <w:t xml:space="preserve"> </w:t>
      </w:r>
      <w:r>
        <w:rPr>
          <w:iCs/>
          <w:i/>
        </w:rPr>
        <w:t xml:space="preserve">Solving least squares problems</w:t>
      </w:r>
      <w:r>
        <w:t xml:space="preserve">. Prentice-Hall.</w:t>
      </w:r>
    </w:p>
    <w:p>
      <w:pPr>
        <w:pStyle w:val="Reference"/>
      </w:pPr>
      <w:r>
        <w:t xml:space="preserve">Lucas, J. M. (1985). Counted data CUSUM’s.</w:t>
      </w:r>
      <w:r>
        <w:t xml:space="preserve"> </w:t>
      </w:r>
      <w:r>
        <w:rPr>
          <w:iCs/>
          <w:i/>
        </w:rPr>
        <w:t xml:space="preserve">Technometrics, 27</w:t>
      </w:r>
      <w:r>
        <w:t xml:space="preserve">(2), 129–144. https://doi.org/10.1080/00401706.1985.10488030</w:t>
      </w:r>
    </w:p>
    <w:p>
      <w:pPr>
        <w:pStyle w:val="Reference"/>
      </w:pPr>
      <w:r>
        <w:t xml:space="preserve">Mordecai, E. A., Cohen, J. M., Evans, M. V., Gudapati, P., Johnson, L. R., Lippi, C. A., Miazgowicz, K., Murdock, C. C., Rohr, J. R., Ryan, S. J., Savage, V., Shocket, M. S., Stewart Ibarra, A., Thomas, M. B., &amp; Weikel, D. P. (2017). Detecting the impact of temperature on transmission of Zika, dengue, and chikungunya using mechanistic models.</w:t>
      </w:r>
      <w:r>
        <w:t xml:space="preserve"> </w:t>
      </w:r>
      <w:r>
        <w:rPr>
          <w:iCs/>
          <w:i/>
        </w:rPr>
        <w:t xml:space="preserve">PLOS Neglected Tropical Diseases, 11</w:t>
      </w:r>
      <w:r>
        <w:t xml:space="preserve">(4), e0005568. https://doi.org/10.1371/journal.pntd.0005568</w:t>
      </w:r>
    </w:p>
    <w:p>
      <w:pPr>
        <w:pStyle w:val="Reference"/>
      </w:pPr>
      <w:r>
        <w:t xml:space="preserve">OpenStreetMap contributors. (2026).</w:t>
      </w:r>
      <w:r>
        <w:t xml:space="preserve"> </w:t>
      </w:r>
      <w:r>
        <w:rPr>
          <w:iCs/>
          <w:i/>
        </w:rPr>
        <w:t xml:space="preserve">OpenStreetMap</w:t>
      </w:r>
      <w:r>
        <w:t xml:space="preserve"> </w:t>
      </w:r>
      <w:r>
        <w:t xml:space="preserve">[Data set]. OpenStreetMap Foundation. https://www.openstreetmap.org</w:t>
      </w:r>
    </w:p>
    <w:p>
      <w:pPr>
        <w:pStyle w:val="Reference"/>
      </w:pPr>
      <w:r>
        <w:t xml:space="preserve">Overton, M. L. (1988). On minimizing the maximum eigenvalue of a symmetric matrix.</w:t>
      </w:r>
      <w:r>
        <w:t xml:space="preserve"> </w:t>
      </w:r>
      <w:r>
        <w:rPr>
          <w:iCs/>
          <w:i/>
        </w:rPr>
        <w:t xml:space="preserve">SIAM Journal on Matrix Analysis and Applications, 9</w:t>
      </w:r>
      <w:r>
        <w:t xml:space="preserve">(2), 256–268. https://doi.org/10.1137/0609021</w:t>
      </w:r>
    </w:p>
    <w:p>
      <w:pPr>
        <w:pStyle w:val="Reference"/>
      </w:pPr>
      <w:r>
        <w:t xml:space="preserve">Page, E. S. (1954). Continuous inspection schemes.</w:t>
      </w:r>
      <w:r>
        <w:t xml:space="preserve"> </w:t>
      </w:r>
      <w:r>
        <w:rPr>
          <w:iCs/>
          <w:i/>
        </w:rPr>
        <w:t xml:space="preserve">Biometrika, 41</w:t>
      </w:r>
      <w:r>
        <w:t xml:space="preserve">(1–2), 100–115. https://doi.org/10.1093/biomet/41.1-2.100</w:t>
      </w:r>
    </w:p>
    <w:p>
      <w:pPr>
        <w:pStyle w:val="Reference"/>
      </w:pPr>
      <w:r>
        <w:t xml:space="preserve">Philippine Information Agency. (n.d.). [Department of Health 4S strategy against dengue]. https://pia.gov.ph/?p=74463</w:t>
      </w:r>
    </w:p>
    <w:p>
      <w:pPr>
        <w:pStyle w:val="Reference"/>
      </w:pPr>
      <w:r>
        <w:t xml:space="preserve">Philippine Statistics Authority. (2021).</w:t>
      </w:r>
      <w:r>
        <w:t xml:space="preserve"> </w:t>
      </w:r>
      <w:r>
        <w:rPr>
          <w:iCs/>
          <w:i/>
        </w:rPr>
        <w:t xml:space="preserve">The 2020 Census of Population and Housing (2020 CPH) population counts declared official by the President</w:t>
      </w:r>
      <w:r>
        <w:t xml:space="preserve"> </w:t>
      </w:r>
      <w:r>
        <w:t xml:space="preserve">[Press release]. https://psa.gov.ph/content/2020-census-population-and-housing-2020-cph-population-counts-declared-official-president</w:t>
      </w:r>
    </w:p>
    <w:p>
      <w:pPr>
        <w:pStyle w:val="Reference"/>
      </w:pPr>
      <w:r>
        <w:t xml:space="preserve">Republic Act No. 10173. (2012).</w:t>
      </w:r>
      <w:r>
        <w:t xml:space="preserve"> </w:t>
      </w:r>
      <w:r>
        <w:rPr>
          <w:iCs/>
          <w:i/>
        </w:rPr>
        <w:t xml:space="preserve">Data Privacy Act of 2012</w:t>
      </w:r>
      <w:r>
        <w:t xml:space="preserve">. Congress of the Philippines.</w:t>
      </w:r>
    </w:p>
    <w:p>
      <w:pPr>
        <w:pStyle w:val="Reference"/>
      </w:pPr>
      <w:r>
        <w:t xml:space="preserve">Republic Act No. 11332. (2019).</w:t>
      </w:r>
      <w:r>
        <w:t xml:space="preserve"> </w:t>
      </w:r>
      <w:r>
        <w:rPr>
          <w:iCs/>
          <w:i/>
        </w:rPr>
        <w:t xml:space="preserve">Mandatory Reporting of Notifiable Diseases and Health Events of Public Health Concern Act</w:t>
      </w:r>
      <w:r>
        <w:t xml:space="preserve">. Congress of the Philippines.</w:t>
      </w:r>
    </w:p>
    <w:p>
      <w:pPr>
        <w:pStyle w:val="Reference"/>
      </w:pPr>
      <w:r>
        <w:t xml:space="preserve">Smith, D. L., Battle, K. E., Hay, S. I., Barker, C. M., Scott, T. W., &amp; McKenzie, F. E. (2012). Ross, Macdonald, and a theory for the dynamics and control of mosquito-transmitted pathogens.</w:t>
      </w:r>
      <w:r>
        <w:t xml:space="preserve"> </w:t>
      </w:r>
      <w:r>
        <w:rPr>
          <w:iCs/>
          <w:i/>
        </w:rPr>
        <w:t xml:space="preserve">PLOS Pathogens, 8</w:t>
      </w:r>
      <w:r>
        <w:t xml:space="preserve">(4), e1002588. https://doi.org/10.1371/journal.ppat.1002588</w:t>
      </w:r>
    </w:p>
    <w:p>
      <w:pPr>
        <w:pStyle w:val="Reference"/>
      </w:pPr>
      <w:r>
        <w:t xml:space="preserve">Spearman, C. (1904). The proof and measurement of association between two things.</w:t>
      </w:r>
      <w:r>
        <w:t xml:space="preserve"> </w:t>
      </w:r>
      <w:r>
        <w:rPr>
          <w:iCs/>
          <w:i/>
        </w:rPr>
        <w:t xml:space="preserve">The American Journal of Psychology, 15</w:t>
      </w:r>
      <w:r>
        <w:t xml:space="preserve">(1), 72–101. https://doi.org/10.2307/1412159</w:t>
      </w:r>
    </w:p>
    <w:p>
      <w:pPr>
        <w:pStyle w:val="Reference"/>
      </w:pPr>
      <w:r>
        <w:t xml:space="preserve">Stoddard, S. T., Morrison, A. C., Vazquez-Prokopec, G. M., Paz Soldan, V., Kochel, T. J., Kitron, U., Elder, J. P., &amp; Scott, T. W. (2009). The role of human movement in the transmission of vector-borne pathogens.</w:t>
      </w:r>
      <w:r>
        <w:t xml:space="preserve"> </w:t>
      </w:r>
      <w:r>
        <w:rPr>
          <w:iCs/>
          <w:i/>
        </w:rPr>
        <w:t xml:space="preserve">PLOS Neglected Tropical Diseases, 3</w:t>
      </w:r>
      <w:r>
        <w:t xml:space="preserve">(7), e481. https://doi.org/10.1371/journal.pntd.0000481</w:t>
      </w:r>
    </w:p>
    <w:p>
      <w:pPr>
        <w:pStyle w:val="Reference"/>
      </w:pPr>
      <w:r>
        <w:t xml:space="preserve">Stoddard, S. T., Forshey, B. M., Morrison, A. C., Paz-Soldan, V. A., Vazquez-Prokopec, G. M., Astete, H., Reiner, R. C., Jr., Vilcarromero, S., Elder, J. P., Halsey, E. S., Kochel, T. J., Kitron, U., &amp; Scott, T. W. (2013). House-to-house human movement drives dengue virus transmission.</w:t>
      </w:r>
      <w:r>
        <w:t xml:space="preserve"> </w:t>
      </w:r>
      <w:r>
        <w:rPr>
          <w:iCs/>
          <w:i/>
        </w:rPr>
        <w:t xml:space="preserve">Proceedings of the National Academy of Sciences, 110</w:t>
      </w:r>
      <w:r>
        <w:t xml:space="preserve">(3), 994–999. https://doi.org/10.1073/pnas.1213349110</w:t>
      </w:r>
    </w:p>
    <w:p>
      <w:pPr>
        <w:pStyle w:val="Reference"/>
      </w:pPr>
      <w:r>
        <w:t xml:space="preserve">Su, G. L. S. (2008). Correlation of climatic factors and dengue incidence in Metro Manila, Philippines.</w:t>
      </w:r>
      <w:r>
        <w:t xml:space="preserve"> </w:t>
      </w:r>
      <w:r>
        <w:rPr>
          <w:iCs/>
          <w:i/>
        </w:rPr>
        <w:t xml:space="preserve">Ambio, 37</w:t>
      </w:r>
      <w:r>
        <w:t xml:space="preserve">(4), 292–294. https://doi.org/10.1579/0044-7447(2008)37[292:COCFAD]2.0.CO;2</w:t>
      </w:r>
    </w:p>
    <w:p>
      <w:pPr>
        <w:pStyle w:val="Reference"/>
      </w:pPr>
      <w:r>
        <w:t xml:space="preserve">Sumi, A., Telan, E. F. O., Chagan-Yasutan, H., Piolo, M. B., Hattori, T., &amp; Kobayashi, N. (2017). Effect of temperature, relative humidity and rainfall on dengue fever and leptospirosis infections in Manila, the Philippines.</w:t>
      </w:r>
      <w:r>
        <w:t xml:space="preserve"> </w:t>
      </w:r>
      <w:r>
        <w:rPr>
          <w:iCs/>
          <w:i/>
        </w:rPr>
        <w:t xml:space="preserve">Epidemiology and Infection, 145</w:t>
      </w:r>
      <w:r>
        <w:t xml:space="preserve">(1), 78–86. https://doi.org/10.1017/S095026881600203X</w:t>
      </w:r>
    </w:p>
    <w:p>
      <w:pPr>
        <w:pStyle w:val="Reference"/>
      </w:pPr>
      <w:r>
        <w:t xml:space="preserve">United Nations General Assembly. (2015).</w:t>
      </w:r>
      <w:r>
        <w:t xml:space="preserve"> </w:t>
      </w:r>
      <w:r>
        <w:rPr>
          <w:iCs/>
          <w:i/>
        </w:rPr>
        <w:t xml:space="preserve">Transforming our world: The 2030 Agenda for Sustainable Development</w:t>
      </w:r>
      <w:r>
        <w:t xml:space="preserve"> </w:t>
      </w:r>
      <w:r>
        <w:t xml:space="preserve">(A/RES/70/1). United Nations. https://undocs.org/A/RES/70/1</w:t>
      </w:r>
    </w:p>
    <w:p>
      <w:pPr>
        <w:pStyle w:val="Reference"/>
      </w:pPr>
      <w:r>
        <w:t xml:space="preserve">United Nations Office for the Coordination of Humanitarian Affairs. (2019).</w:t>
      </w:r>
      <w:r>
        <w:t xml:space="preserve"> </w:t>
      </w:r>
      <w:r>
        <w:rPr>
          <w:iCs/>
          <w:i/>
        </w:rPr>
        <w:t xml:space="preserve">Philippines: Dengue outbreak, situation report no. 4 (13 August 2019)</w:t>
      </w:r>
      <w:r>
        <w:t xml:space="preserve">. ReliefWeb. https://reliefweb.int/report/philippines/philippines-situation-report-4-dengue-outbreak-13-aug-2019</w:t>
      </w:r>
    </w:p>
    <w:p>
      <w:pPr>
        <w:pStyle w:val="Reference"/>
      </w:pPr>
      <w:r>
        <w:t xml:space="preserve">van den Driessche, P., &amp; Watmough, J. (2002). Reproduction numbers and sub-threshold endemic equilibria for compartmental models of disease transmission.</w:t>
      </w:r>
      <w:r>
        <w:t xml:space="preserve"> </w:t>
      </w:r>
      <w:r>
        <w:rPr>
          <w:iCs/>
          <w:i/>
        </w:rPr>
        <w:t xml:space="preserve">Mathematical Biosciences, 180</w:t>
      </w:r>
      <w:r>
        <w:t xml:space="preserve">(1–2), 29–48. https://doi.org/10.1016/S0025-5564(02)00108-6</w:t>
      </w:r>
    </w:p>
    <w:p>
      <w:pPr>
        <w:pStyle w:val="Reference"/>
      </w:pPr>
      <w:r>
        <w:t xml:space="preserve">Vandenberghe, L., &amp; Boyd, S. (1996). Semidefinite programming.</w:t>
      </w:r>
      <w:r>
        <w:t xml:space="preserve"> </w:t>
      </w:r>
      <w:r>
        <w:rPr>
          <w:iCs/>
          <w:i/>
        </w:rPr>
        <w:t xml:space="preserve">SIAM Review, 38</w:t>
      </w:r>
      <w:r>
        <w:t xml:space="preserve">(1), 49–95. https://doi.org/10.1137/1038003</w:t>
      </w:r>
    </w:p>
    <w:p>
      <w:pPr>
        <w:pStyle w:val="Reference"/>
      </w:pPr>
      <w:r>
        <w:t xml:space="preserve">Varah, J. M. (1975). A lower bound for the smallest singular value of a matrix.</w:t>
      </w:r>
      <w:r>
        <w:t xml:space="preserve"> </w:t>
      </w:r>
      <w:r>
        <w:rPr>
          <w:iCs/>
          <w:i/>
        </w:rPr>
        <w:t xml:space="preserve">Linear Algebra and Its Applications, 11</w:t>
      </w:r>
      <w:r>
        <w:t xml:space="preserve">(1), 3–5. https://doi.org/10.1016/0024-3795(75)90112-3</w:t>
      </w:r>
    </w:p>
    <w:p>
      <w:pPr>
        <w:pStyle w:val="Reference"/>
      </w:pPr>
      <w:r>
        <w:t xml:space="preserve">Wilcoxon, F. (1945). Individual comparisons by ranking methods.</w:t>
      </w:r>
      <w:r>
        <w:t xml:space="preserve"> </w:t>
      </w:r>
      <w:r>
        <w:rPr>
          <w:iCs/>
          <w:i/>
        </w:rPr>
        <w:t xml:space="preserve">Biometrics Bulletin, 1</w:t>
      </w:r>
      <w:r>
        <w:t xml:space="preserve">(6), 80–83. https://doi.org/10.2307/3001968</w:t>
      </w:r>
    </w:p>
    <w:p>
      <w:pPr>
        <w:pStyle w:val="Reference"/>
      </w:pPr>
      <w:r>
        <w:t xml:space="preserve">World Health Organization. (2012).</w:t>
      </w:r>
      <w:r>
        <w:t xml:space="preserve"> </w:t>
      </w:r>
      <w:r>
        <w:rPr>
          <w:iCs/>
          <w:i/>
        </w:rPr>
        <w:t xml:space="preserve">Global strategy for dengue prevention and control 2012–2020</w:t>
      </w:r>
      <w:r>
        <w:t xml:space="preserve">. World Health Organization.</w:t>
      </w:r>
    </w:p>
    <w:bookmarkEnd w:id="149"/>
    <w:bookmarkStart w:id="150" w:name="X2477282538640a378ca7dde049129f7156bfc2f"/>
    <w:p>
      <w:pPr>
        <w:pStyle w:val="Heading1"/>
      </w:pPr>
      <w:r>
        <w:t xml:space="preserve">APPENDIX A. REGISTER OF PUBLIC DATA SOURCES</w:t>
      </w:r>
    </w:p>
    <w:p>
      <w:pPr>
        <w:pStyle w:val="FirstParagraph"/>
      </w:pPr>
      <w:r>
        <w:t xml:space="preserve">Table A1 names the source of each model input; the remaining inputs are design values declared in Table 4.</w:t>
      </w:r>
    </w:p>
    <w:p>
      <w:pPr>
        <w:pStyle w:val="PaperCaption"/>
      </w:pPr>
      <w:r>
        <w:rPr>
          <w:bCs/>
          <w:b/>
        </w:rPr>
        <w:t xml:space="preserve">Table A1.</w:t>
      </w:r>
      <w:r>
        <w:t xml:space="preserve"> </w:t>
      </w:r>
      <w:r>
        <w:t xml:space="preserve">Where each input of the model comes from.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400"/>
        <w:gridCol w:w="2400"/>
        <w:gridCol w:w="1800"/>
        <w:gridCol w:w="1320"/>
      </w:tblGrid>
      <w:tr>
        <w:trPr>
          <w:cantSplit/>
          <w:tblHeader w:val="true"/>
        </w:trPr>
        <w:tc>
          <w:tcPr/>
          <w:p>
            <w:pPr>
              <w:pStyle w:val="TableText"/>
              <w:jc w:val="left"/>
            </w:pPr>
            <w:r>
              <w:rPr>
                <w:b/>
              </w:rPr>
              <w:t xml:space="preserve">Input</w:t>
            </w:r>
          </w:p>
        </w:tc>
        <w:tc>
          <w:tcPr/>
          <w:p>
            <w:pPr>
              <w:pStyle w:val="TableText"/>
              <w:jc w:val="left"/>
            </w:pPr>
            <w:r>
              <w:rPr>
                <w:b/>
              </w:rPr>
              <w:t xml:space="preserve">Source</w:t>
            </w:r>
          </w:p>
        </w:tc>
        <w:tc>
          <w:tcPr/>
          <w:p>
            <w:pPr>
              <w:pStyle w:val="TableText"/>
              <w:jc w:val="left"/>
            </w:pPr>
            <w:r>
              <w:rPr>
                <w:b/>
              </w:rPr>
              <w:t xml:space="preserve">Publisher</w:t>
            </w:r>
          </w:p>
        </w:tc>
        <w:tc>
          <w:tcPr/>
          <w:p>
            <w:pPr>
              <w:pStyle w:val="TableText"/>
              <w:jc w:val="left"/>
            </w:pPr>
            <w:r>
              <w:rPr>
                <w:b/>
              </w:rPr>
              <w:t xml:space="preserve">Access</w:t>
            </w:r>
          </w:p>
        </w:tc>
      </w:tr>
      <w:tr>
        <w:trPr>
          <w:cantSplit/>
        </w:trPr>
        <w:tc>
          <w:tcPr/>
          <w:p>
            <w:pPr>
              <w:pStyle w:val="TableText"/>
              <w:jc w:val="left"/>
            </w:pPr>
            <w:r>
              <w:t xml:space="preserve">Residents</w:t>
            </w:r>
            <w:r>
              <w:t xml:space="preserve"> </w:t>
            </w:r>
            <w:r>
              <w:rPr>
                <w:iCs/>
                <w:i/>
              </w:rPr>
              <w:t xml:space="preserve">N</w:t>
            </w:r>
            <w:r>
              <w:rPr>
                <w:iCs/>
                <w:i/>
                <w:vertAlign w:val="subscript"/>
              </w:rPr>
              <w:t xml:space="preserve">i</w:t>
            </w:r>
            <w:r>
              <w:t xml:space="preserve"> </w:t>
            </w:r>
            <w:r>
              <w:t xml:space="preserve">of each barangay</w:t>
            </w:r>
          </w:p>
        </w:tc>
        <w:tc>
          <w:tcPr/>
          <w:p>
            <w:pPr>
              <w:pStyle w:val="TableText"/>
              <w:jc w:val="left"/>
            </w:pPr>
            <w:r>
              <w:t xml:space="preserve">2020 Census of Population and Housing (PSA, 2021)</w:t>
            </w:r>
          </w:p>
        </w:tc>
        <w:tc>
          <w:tcPr/>
          <w:p>
            <w:pPr>
              <w:pStyle w:val="TableText"/>
              <w:jc w:val="left"/>
            </w:pPr>
            <w:r>
              <w:t xml:space="preserve">Philippine Statistics Authority</w:t>
            </w:r>
          </w:p>
        </w:tc>
        <w:tc>
          <w:tcPr/>
          <w:p>
            <w:pPr>
              <w:pStyle w:val="TableText"/>
              <w:jc w:val="left"/>
            </w:pPr>
            <w:r>
              <w:t xml:space="preserve">Published online</w:t>
            </w:r>
          </w:p>
        </w:tc>
      </w:tr>
      <w:tr>
        <w:trPr>
          <w:cantSplit/>
        </w:trPr>
        <w:tc>
          <w:tcPr/>
          <w:p>
            <w:pPr>
              <w:pStyle w:val="TableText"/>
              <w:jc w:val="left"/>
            </w:pPr>
            <w:r>
              <w:t xml:space="preserve">Travel times</w:t>
            </w:r>
            <w:r>
              <w:t xml:space="preserve"> </w:t>
            </w:r>
            <w:r>
              <w:rPr>
                <w:iCs/>
                <w:i/>
              </w:rPr>
              <w:t xml:space="preserve">T</w:t>
            </w:r>
            <w:r>
              <w:rPr>
                <w:iCs/>
                <w:i/>
                <w:vertAlign w:val="subscript"/>
              </w:rPr>
              <w:t xml:space="preserve">ij</w:t>
            </w:r>
            <w:r>
              <w:t xml:space="preserve"> </w:t>
            </w:r>
            <w:r>
              <w:t xml:space="preserve">between barangay centers</w:t>
            </w:r>
          </w:p>
        </w:tc>
        <w:tc>
          <w:tcPr/>
          <w:p>
            <w:pPr>
              <w:pStyle w:val="TableText"/>
              <w:jc w:val="left"/>
            </w:pPr>
            <w:r>
              <w:t xml:space="preserve">Road and transit layer of the companion study (Brimbuela et al., 2026), built on OpenStreetMap (OpenStreetMap contributors, 2026)</w:t>
            </w:r>
          </w:p>
        </w:tc>
        <w:tc>
          <w:tcPr/>
          <w:p>
            <w:pPr>
              <w:pStyle w:val="TableText"/>
              <w:jc w:val="left"/>
            </w:pPr>
            <w:r>
              <w:t xml:space="preserve">Legazpi City Science High School; OpenStreetMap Foundation</w:t>
            </w:r>
          </w:p>
        </w:tc>
        <w:tc>
          <w:tcPr/>
          <w:p>
            <w:pPr>
              <w:pStyle w:val="TableText"/>
              <w:jc w:val="left"/>
            </w:pPr>
            <w:r>
              <w:t xml:space="preserve">Released with the project; Open Database License</w:t>
            </w:r>
          </w:p>
        </w:tc>
      </w:tr>
      <w:tr>
        <w:trPr>
          <w:cantSplit/>
        </w:trPr>
        <w:tc>
          <w:tcPr/>
          <w:p>
            <w:pPr>
              <w:pStyle w:val="TableText"/>
              <w:jc w:val="left"/>
            </w:pPr>
            <w:r>
              <w:t xml:space="preserve">School part of the attraction</w:t>
            </w:r>
            <w:r>
              <w:t xml:space="preserve"> </w:t>
            </w:r>
            <w:r>
              <w:rPr>
                <w:iCs/>
                <w:i/>
              </w:rPr>
              <w:t xml:space="preserve">A</w:t>
            </w:r>
            <w:r>
              <w:rPr>
                <w:iCs/>
                <w:i/>
                <w:vertAlign w:val="subscript"/>
              </w:rPr>
              <w:t xml:space="preserve">j</w:t>
            </w:r>
          </w:p>
        </w:tc>
        <w:tc>
          <w:tcPr/>
          <w:p>
            <w:pPr>
              <w:pStyle w:val="TableText"/>
              <w:jc w:val="left"/>
            </w:pPr>
            <w:r>
              <w:t xml:space="preserve">Masterlist of schools with enrollment (DepEd, 2021)</w:t>
            </w:r>
          </w:p>
        </w:tc>
        <w:tc>
          <w:tcPr/>
          <w:p>
            <w:pPr>
              <w:pStyle w:val="TableText"/>
              <w:jc w:val="left"/>
            </w:pPr>
            <w:r>
              <w:t xml:space="preserve">Department of Education</w:t>
            </w:r>
          </w:p>
        </w:tc>
        <w:tc>
          <w:tcPr/>
          <w:p>
            <w:pPr>
              <w:pStyle w:val="TableText"/>
              <w:jc w:val="left"/>
            </w:pPr>
            <w:r>
              <w:t xml:space="preserve">Published online</w:t>
            </w:r>
          </w:p>
        </w:tc>
      </w:tr>
      <w:tr>
        <w:trPr>
          <w:cantSplit/>
        </w:trPr>
        <w:tc>
          <w:tcPr/>
          <w:p>
            <w:pPr>
              <w:pStyle w:val="TableText"/>
              <w:jc w:val="left"/>
            </w:pPr>
            <w:r>
              <w:t xml:space="preserve">Market and workplace part of</w:t>
            </w:r>
            <w:r>
              <w:t xml:space="preserve"> </w:t>
            </w:r>
            <w:r>
              <w:rPr>
                <w:iCs/>
                <w:i/>
              </w:rPr>
              <w:t xml:space="preserve">A</w:t>
            </w:r>
            <w:r>
              <w:rPr>
                <w:iCs/>
                <w:i/>
                <w:vertAlign w:val="subscript"/>
              </w:rPr>
              <w:t xml:space="preserve">j</w:t>
            </w:r>
          </w:p>
        </w:tc>
        <w:tc>
          <w:tcPr/>
          <w:p>
            <w:pPr>
              <w:pStyle w:val="TableText"/>
              <w:jc w:val="left"/>
            </w:pPr>
            <w:r>
              <w:t xml:space="preserve">Public market and business permit registers</w:t>
            </w:r>
          </w:p>
        </w:tc>
        <w:tc>
          <w:tcPr/>
          <w:p>
            <w:pPr>
              <w:pStyle w:val="TableText"/>
              <w:jc w:val="left"/>
            </w:pPr>
            <w:r>
              <w:t xml:space="preserve">City and municipal governments</w:t>
            </w:r>
          </w:p>
        </w:tc>
        <w:tc>
          <w:tcPr/>
          <w:p>
            <w:pPr>
              <w:pStyle w:val="TableText"/>
              <w:jc w:val="left"/>
            </w:pPr>
            <w:r>
              <w:t xml:space="preserve">On request; public summaries</w:t>
            </w:r>
          </w:p>
        </w:tc>
      </w:tr>
      <w:tr>
        <w:trPr>
          <w:cantSplit/>
        </w:trPr>
        <w:tc>
          <w:tcPr/>
          <w:p>
            <w:pPr>
              <w:pStyle w:val="TableText"/>
              <w:jc w:val="left"/>
            </w:pPr>
            <w:r>
              <w:t xml:space="preserve">Mosquito indices for</w:t>
            </w:r>
            <w:r>
              <w:t xml:space="preserve"> </w:t>
            </w:r>
            <w:r>
              <w:rPr>
                <w:iCs/>
                <w:i/>
              </w:rPr>
              <w:t xml:space="preserve">V</w:t>
            </w:r>
            <w:r>
              <w:rPr>
                <w:iCs/>
                <w:i/>
                <w:vertAlign w:val="subscript"/>
              </w:rPr>
              <w:t xml:space="preserve">j</w:t>
            </w:r>
          </w:p>
        </w:tc>
        <w:tc>
          <w:tcPr/>
          <w:p>
            <w:pPr>
              <w:pStyle w:val="TableText"/>
              <w:jc w:val="left"/>
            </w:pPr>
            <w:r>
              <w:t xml:space="preserve">Larval and ovitrap surveys</w:t>
            </w:r>
          </w:p>
        </w:tc>
        <w:tc>
          <w:tcPr/>
          <w:p>
            <w:pPr>
              <w:pStyle w:val="TableText"/>
              <w:jc w:val="left"/>
            </w:pPr>
            <w:r>
              <w:t xml:space="preserve">Provincial and regional health offices</w:t>
            </w:r>
          </w:p>
        </w:tc>
        <w:tc>
          <w:tcPr/>
          <w:p>
            <w:pPr>
              <w:pStyle w:val="TableText"/>
              <w:jc w:val="left"/>
            </w:pPr>
            <w:r>
              <w:t xml:space="preserve">On request</w:t>
            </w:r>
          </w:p>
        </w:tc>
      </w:tr>
      <w:tr>
        <w:trPr>
          <w:cantSplit/>
        </w:trPr>
        <w:tc>
          <w:tcPr/>
          <w:p>
            <w:pPr>
              <w:pStyle w:val="TableText"/>
              <w:jc w:val="left"/>
            </w:pPr>
            <w:r>
              <w:t xml:space="preserve">Weekly cases by residence</w:t>
            </w:r>
          </w:p>
        </w:tc>
        <w:tc>
          <w:tcPr/>
          <w:p>
            <w:pPr>
              <w:pStyle w:val="TableText"/>
              <w:jc w:val="left"/>
            </w:pPr>
            <w:r>
              <w:t xml:space="preserve">Notifiable disease surveillance under Republic Act No. 11332 (2019), released as municipal counts</w:t>
            </w:r>
          </w:p>
        </w:tc>
        <w:tc>
          <w:tcPr/>
          <w:p>
            <w:pPr>
              <w:pStyle w:val="TableText"/>
              <w:jc w:val="left"/>
            </w:pPr>
            <w:r>
              <w:t xml:space="preserve">Department of Health; Provincial Health Office</w:t>
            </w:r>
          </w:p>
        </w:tc>
        <w:tc>
          <w:tcPr/>
          <w:p>
            <w:pPr>
              <w:pStyle w:val="TableText"/>
              <w:jc w:val="left"/>
            </w:pPr>
            <w:r>
              <w:t xml:space="preserve">Public bulletins; barangay counts on request</w:t>
            </w:r>
          </w:p>
        </w:tc>
      </w:tr>
      <w:tr>
        <w:trPr>
          <w:cantSplit/>
        </w:trPr>
        <w:tc>
          <w:tcPr/>
          <w:p>
            <w:pPr>
              <w:pStyle w:val="TableText"/>
              <w:jc w:val="left"/>
            </w:pPr>
            <w:r>
              <w:t xml:space="preserve">Share of the day away</w:t>
            </w:r>
            <w:r>
              <w:t xml:space="preserve"> </w:t>
            </w:r>
            <w:r>
              <w:rPr>
                <w:iCs/>
                <w:i/>
              </w:rPr>
              <w:t xml:space="preserve">ω</w:t>
            </w:r>
            <w:r>
              <w:rPr>
                <w:iCs/>
                <w:i/>
                <w:vertAlign w:val="subscript"/>
              </w:rPr>
              <w:t xml:space="preserve">i</w:t>
            </w:r>
          </w:p>
        </w:tc>
        <w:tc>
          <w:tcPr/>
          <w:p>
            <w:pPr>
              <w:pStyle w:val="TableText"/>
              <w:jc w:val="left"/>
            </w:pPr>
            <w:r>
              <w:t xml:space="preserve">Declared values in this paper; a school-based questionnaire is proposed in Section 4.3</w:t>
            </w:r>
          </w:p>
        </w:tc>
        <w:tc>
          <w:tcPr/>
          <w:p>
            <w:pPr>
              <w:pStyle w:val="TableText"/>
              <w:jc w:val="left"/>
            </w:pPr>
            <w:r>
              <w:t xml:space="preserve">This study</w:t>
            </w:r>
          </w:p>
        </w:tc>
        <w:tc>
          <w:tcPr/>
          <w:p>
            <w:pPr>
              <w:pStyle w:val="TableText"/>
              <w:jc w:val="left"/>
            </w:pPr>
            <w:r>
              <w:t xml:space="preserve">Released with the project</w:t>
            </w:r>
          </w:p>
        </w:tc>
      </w:tr>
      <w:tr>
        <w:trPr>
          <w:cantSplit/>
        </w:trPr>
        <w:tc>
          <w:tcPr/>
          <w:p>
            <w:pPr>
              <w:pStyle w:val="TableText"/>
              <w:jc w:val="left"/>
            </w:pPr>
            <w:r>
              <w:t xml:space="preserve">Transmission parameters</w:t>
            </w:r>
          </w:p>
        </w:tc>
        <w:tc>
          <w:tcPr/>
          <w:p>
            <w:pPr>
              <w:pStyle w:val="TableText"/>
              <w:jc w:val="left"/>
            </w:pPr>
            <w:r>
              <w:t xml:space="preserve">Published ranges (Mordecai et al., 2017; Smith et al., 2012)</w:t>
            </w:r>
          </w:p>
        </w:tc>
        <w:tc>
          <w:tcPr/>
          <w:p>
            <w:pPr>
              <w:pStyle w:val="TableText"/>
              <w:jc w:val="left"/>
            </w:pPr>
            <w:r>
              <w:t xml:space="preserve">Peer-reviewed literature</w:t>
            </w:r>
          </w:p>
        </w:tc>
        <w:tc>
          <w:tcPr/>
          <w:p>
            <w:pPr>
              <w:pStyle w:val="TableText"/>
              <w:jc w:val="left"/>
            </w:pPr>
            <w:r>
              <w:t xml:space="preserve">Public</w:t>
            </w:r>
          </w:p>
        </w:tc>
      </w:tr>
    </w:tbl>
    <w:bookmarkEnd w:id="150"/>
    <w:bookmarkStart w:id="151" w:name="appendix-b.-files-of-the-data-set"/>
    <w:p>
      <w:pPr>
        <w:pStyle w:val="Heading1"/>
      </w:pPr>
      <w:r>
        <w:t xml:space="preserve">APPENDIX B. FILES OF THE DATA SET</w:t>
      </w:r>
    </w:p>
    <w:p>
      <w:pPr>
        <w:pStyle w:val="PaperCaption"/>
      </w:pPr>
      <w:r>
        <w:rPr>
          <w:bCs/>
          <w:b/>
        </w:rPr>
        <w:t xml:space="preserve">Table B1.</w:t>
      </w:r>
      <w:r>
        <w:t xml:space="preserve"> </w:t>
      </w:r>
      <w:r>
        <w:t xml:space="preserve">Files of the dengue data set.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660"/>
        <w:gridCol w:w="6259"/>
      </w:tblGrid>
      <w:tr>
        <w:trPr>
          <w:cantSplit/>
          <w:tblHeader w:val="true"/>
        </w:trPr>
        <w:tc>
          <w:tcPr/>
          <w:p>
            <w:pPr>
              <w:pStyle w:val="TableText"/>
              <w:jc w:val="left"/>
            </w:pPr>
            <w:r>
              <w:rPr>
                <w:b/>
              </w:rPr>
              <w:t xml:space="preserve">File</w:t>
            </w:r>
          </w:p>
        </w:tc>
        <w:tc>
          <w:tcPr/>
          <w:p>
            <w:pPr>
              <w:pStyle w:val="TableText"/>
              <w:jc w:val="left"/>
            </w:pPr>
            <w:r>
              <w:rPr>
                <w:b/>
              </w:rPr>
              <w:t xml:space="preserve">Contents</w:t>
            </w:r>
          </w:p>
        </w:tc>
      </w:tr>
      <w:tr>
        <w:trPr>
          <w:cantSplit/>
        </w:trPr>
        <w:tc>
          <w:tcPr/>
          <w:p>
            <w:pPr>
              <w:pStyle w:val="TableText"/>
              <w:jc w:val="left"/>
            </w:pPr>
            <w:r>
              <w:t xml:space="preserve">barangays.csv</w:t>
            </w:r>
          </w:p>
        </w:tc>
        <w:tc>
          <w:tcPr/>
          <w:p>
            <w:pPr>
              <w:pStyle w:val="TableText"/>
              <w:jc w:val="left"/>
            </w:pPr>
            <w:r>
              <w:t xml:space="preserve">Barangay code, name, municipality, residents, households, attraction, share of the day away, mosquito index and its survey date</w:t>
            </w:r>
          </w:p>
        </w:tc>
      </w:tr>
      <w:tr>
        <w:trPr>
          <w:cantSplit/>
        </w:trPr>
        <w:tc>
          <w:tcPr/>
          <w:p>
            <w:pPr>
              <w:pStyle w:val="TableText"/>
              <w:jc w:val="left"/>
            </w:pPr>
            <w:r>
              <w:t xml:space="preserve">travel_times.csv</w:t>
            </w:r>
          </w:p>
        </w:tc>
        <w:tc>
          <w:tcPr/>
          <w:p>
            <w:pPr>
              <w:pStyle w:val="TableText"/>
              <w:jc w:val="left"/>
            </w:pPr>
            <w:r>
              <w:t xml:space="preserve">Travel time in minutes between each pair of barangay centers</w:t>
            </w:r>
          </w:p>
        </w:tc>
      </w:tr>
      <w:tr>
        <w:trPr>
          <w:cantSplit/>
        </w:trPr>
        <w:tc>
          <w:tcPr/>
          <w:p>
            <w:pPr>
              <w:pStyle w:val="TableText"/>
              <w:jc w:val="left"/>
            </w:pPr>
            <w:r>
              <w:t xml:space="preserve">residence_time.csv</w:t>
            </w:r>
          </w:p>
        </w:tc>
        <w:tc>
          <w:tcPr/>
          <w:p>
            <w:pPr>
              <w:pStyle w:val="TableText"/>
              <w:jc w:val="left"/>
            </w:pPr>
            <w:r>
              <w:t xml:space="preserve">The matrix</w:t>
            </w:r>
            <w:r>
              <w:t xml:space="preserve"> </w:t>
            </w:r>
            <w:r>
              <w:rPr>
                <w:iCs/>
                <w:i/>
              </w:rPr>
              <w:t xml:space="preserve">P</w:t>
            </w:r>
            <w:r>
              <w:t xml:space="preserve"> </w:t>
            </w:r>
            <w:r>
              <w:t xml:space="preserve">computed from Definitions 2 and 3</w:t>
            </w:r>
          </w:p>
        </w:tc>
      </w:tr>
      <w:tr>
        <w:trPr>
          <w:cantSplit/>
        </w:trPr>
        <w:tc>
          <w:tcPr/>
          <w:p>
            <w:pPr>
              <w:pStyle w:val="TableText"/>
              <w:jc w:val="left"/>
            </w:pPr>
            <w:r>
              <w:t xml:space="preserve">weekly_cases.csv</w:t>
            </w:r>
          </w:p>
        </w:tc>
        <w:tc>
          <w:tcPr/>
          <w:p>
            <w:pPr>
              <w:pStyle w:val="TableText"/>
              <w:jc w:val="left"/>
            </w:pPr>
            <w:r>
              <w:t xml:space="preserve">Week, municipality or barangay, cases by residence, expected count</w:t>
            </w:r>
          </w:p>
        </w:tc>
      </w:tr>
      <w:tr>
        <w:trPr>
          <w:cantSplit/>
        </w:trPr>
        <w:tc>
          <w:tcPr/>
          <w:p>
            <w:pPr>
              <w:pStyle w:val="TableText"/>
              <w:jc w:val="left"/>
            </w:pPr>
            <w:r>
              <w:t xml:space="preserve">plans.csv</w:t>
            </w:r>
          </w:p>
        </w:tc>
        <w:tc>
          <w:tcPr/>
          <w:p>
            <w:pPr>
              <w:pStyle w:val="TableText"/>
              <w:jc w:val="left"/>
            </w:pPr>
            <w:r>
              <w:t xml:space="preserve">For each strategy of Section 2.10: the reduction per barangay, its cost, and the reproduction number reached</w:t>
            </w:r>
          </w:p>
        </w:tc>
      </w:tr>
      <w:tr>
        <w:trPr>
          <w:cantSplit/>
        </w:trPr>
        <w:tc>
          <w:tcPr/>
          <w:p>
            <w:pPr>
              <w:pStyle w:val="TableText"/>
              <w:jc w:val="left"/>
            </w:pPr>
            <w:r>
              <w:t xml:space="preserve">results.json</w:t>
            </w:r>
          </w:p>
        </w:tc>
        <w:tc>
          <w:tcPr/>
          <w:p>
            <w:pPr>
              <w:pStyle w:val="TableText"/>
              <w:jc w:val="left"/>
            </w:pPr>
            <w:r>
              <w:t xml:space="preserve">Every number of Chapter 3, written by</w:t>
            </w:r>
            <w:r>
              <w:t xml:space="preserve"> </w:t>
            </w:r>
            <w:r>
              <w:rPr>
                <w:rStyle w:val="VerbatimChar"/>
              </w:rPr>
              <w:t xml:space="preserve">verify_dengue.py</w:t>
            </w:r>
          </w:p>
        </w:tc>
      </w:tr>
    </w:tbl>
    <w:bookmarkEnd w:id="151"/>
    <w:bookmarkStart w:id="152" w:name="X6c89207cbb002bc11979d12d9bc16952cb112fe"/>
    <w:p>
      <w:pPr>
        <w:pStyle w:val="Heading1"/>
      </w:pPr>
      <w:r>
        <w:t xml:space="preserve">APPENDIX C. MOSQUITO INDEX AND CASE FIELDS</w:t>
      </w:r>
    </w:p>
    <w:p>
      <w:pPr>
        <w:pStyle w:val="FirstParagraph"/>
      </w:pPr>
      <w:r>
        <w:rPr>
          <w:bCs/>
          <w:b/>
        </w:rPr>
        <w:t xml:space="preserve">From survey to density.</w:t>
      </w:r>
      <w:r>
        <w:t xml:space="preserve"> </w:t>
      </w:r>
      <w:r>
        <w:t xml:space="preserve">A survey gives a larval or ovitrap index for some households of a barangay. The model needs mosquitoes per resident, so each index is converted by a single factor that is the same for all barangays in one season. Because the place shares, the ranking, and the shape of the least-cost plan depend only on relative densities, the factor affects the reproduction number but not the order of places.</w:t>
      </w:r>
    </w:p>
    <w:p>
      <w:pPr>
        <w:pStyle w:val="BodyText"/>
      </w:pPr>
      <w:r>
        <w:rPr>
          <w:bCs/>
          <w:b/>
        </w:rPr>
        <w:t xml:space="preserve">Inclusion rule.</w:t>
      </w:r>
      <w:r>
        <w:t xml:space="preserve"> </w:t>
      </w:r>
      <w:r>
        <w:t xml:space="preserve">A barangay enters the instance only if (1) its census population is published, (2) its center lies within 200 m of the road graph, and (3) it has a mosquito index from the current or the previous season, or else the median index of its municipality, marked as imputed.</w:t>
      </w:r>
    </w:p>
    <w:p>
      <w:pPr>
        <w:pStyle w:val="PaperCaption"/>
      </w:pPr>
      <w:r>
        <w:rPr>
          <w:bCs/>
          <w:b/>
        </w:rPr>
        <w:t xml:space="preserve">Table C1.</w:t>
      </w:r>
      <w:r>
        <w:t xml:space="preserve"> </w:t>
      </w:r>
      <w:r>
        <w:t xml:space="preserve">Fields of the barangay record.</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536"/>
        <w:gridCol w:w="1063"/>
        <w:gridCol w:w="5319"/>
      </w:tblGrid>
      <w:tr>
        <w:trPr>
          <w:cantSplit/>
          <w:tblHeader w:val="true"/>
        </w:trPr>
        <w:tc>
          <w:tcPr/>
          <w:p>
            <w:pPr>
              <w:pStyle w:val="TableText"/>
              <w:jc w:val="left"/>
            </w:pPr>
            <w:r>
              <w:rPr>
                <w:b/>
              </w:rPr>
              <w:t xml:space="preserve">Field</w:t>
            </w:r>
          </w:p>
        </w:tc>
        <w:tc>
          <w:tcPr/>
          <w:p>
            <w:pPr>
              <w:pStyle w:val="TableText"/>
              <w:jc w:val="left"/>
            </w:pPr>
            <w:r>
              <w:rPr>
                <w:b/>
              </w:rPr>
              <w:t xml:space="preserve">Kind</w:t>
            </w:r>
          </w:p>
        </w:tc>
        <w:tc>
          <w:tcPr/>
          <w:p>
            <w:pPr>
              <w:pStyle w:val="TableText"/>
              <w:jc w:val="left"/>
            </w:pPr>
            <w:r>
              <w:rPr>
                <w:b/>
              </w:rPr>
              <w:t xml:space="preserve">Meaning</w:t>
            </w:r>
          </w:p>
        </w:tc>
      </w:tr>
      <w:tr>
        <w:trPr>
          <w:cantSplit/>
        </w:trPr>
        <w:tc>
          <w:tcPr/>
          <w:p>
            <w:pPr>
              <w:pStyle w:val="TableText"/>
              <w:jc w:val="left"/>
            </w:pPr>
            <w:r>
              <w:t xml:space="preserve">psgc</w:t>
            </w:r>
          </w:p>
        </w:tc>
        <w:tc>
          <w:tcPr/>
          <w:p>
            <w:pPr>
              <w:pStyle w:val="TableText"/>
              <w:jc w:val="left"/>
            </w:pPr>
            <w:r>
              <w:t xml:space="preserve">string</w:t>
            </w:r>
          </w:p>
        </w:tc>
        <w:tc>
          <w:tcPr/>
          <w:p>
            <w:pPr>
              <w:pStyle w:val="TableText"/>
              <w:jc w:val="left"/>
            </w:pPr>
            <w:r>
              <w:t xml:space="preserve">Barangay code under the Philippine Standard Geographic Code</w:t>
            </w:r>
          </w:p>
        </w:tc>
      </w:tr>
      <w:tr>
        <w:trPr>
          <w:cantSplit/>
        </w:trPr>
        <w:tc>
          <w:tcPr/>
          <w:p>
            <w:pPr>
              <w:pStyle w:val="TableText"/>
              <w:jc w:val="left"/>
            </w:pPr>
            <w:r>
              <w:t xml:space="preserve">name</w:t>
            </w:r>
          </w:p>
        </w:tc>
        <w:tc>
          <w:tcPr/>
          <w:p>
            <w:pPr>
              <w:pStyle w:val="TableText"/>
              <w:jc w:val="left"/>
            </w:pPr>
            <w:r>
              <w:t xml:space="preserve">string</w:t>
            </w:r>
          </w:p>
        </w:tc>
        <w:tc>
          <w:tcPr/>
          <w:p>
            <w:pPr>
              <w:pStyle w:val="TableText"/>
              <w:jc w:val="left"/>
            </w:pPr>
            <w:r>
              <w:t xml:space="preserve">Name as spelled in the census</w:t>
            </w:r>
          </w:p>
        </w:tc>
      </w:tr>
      <w:tr>
        <w:trPr>
          <w:cantSplit/>
        </w:trPr>
        <w:tc>
          <w:tcPr/>
          <w:p>
            <w:pPr>
              <w:pStyle w:val="TableText"/>
              <w:jc w:val="left"/>
            </w:pPr>
            <w:r>
              <w:t xml:space="preserve">residents</w:t>
            </w:r>
          </w:p>
        </w:tc>
        <w:tc>
          <w:tcPr/>
          <w:p>
            <w:pPr>
              <w:pStyle w:val="TableText"/>
              <w:jc w:val="left"/>
            </w:pPr>
            <w:r>
              <w:t xml:space="preserve">integer</w:t>
            </w:r>
          </w:p>
        </w:tc>
        <w:tc>
          <w:tcPr/>
          <w:p>
            <w:pPr>
              <w:pStyle w:val="TableText"/>
              <w:jc w:val="left"/>
            </w:pPr>
            <w:r>
              <w:t xml:space="preserve">Census population</w:t>
            </w:r>
            <w:r>
              <w:t xml:space="preserve"> </w:t>
            </w:r>
            <w:r>
              <w:rPr>
                <w:iCs/>
                <w:i/>
              </w:rPr>
              <w:t xml:space="preserve">N</w:t>
            </w:r>
            <w:r>
              <w:rPr>
                <w:iCs/>
                <w:i/>
                <w:vertAlign w:val="subscript"/>
              </w:rPr>
              <w:t xml:space="preserve">i</w:t>
            </w:r>
          </w:p>
        </w:tc>
      </w:tr>
      <w:tr>
        <w:trPr>
          <w:cantSplit/>
        </w:trPr>
        <w:tc>
          <w:tcPr/>
          <w:p>
            <w:pPr>
              <w:pStyle w:val="TableText"/>
              <w:jc w:val="left"/>
            </w:pPr>
            <w:r>
              <w:t xml:space="preserve">households</w:t>
            </w:r>
          </w:p>
        </w:tc>
        <w:tc>
          <w:tcPr/>
          <w:p>
            <w:pPr>
              <w:pStyle w:val="TableText"/>
              <w:jc w:val="left"/>
            </w:pPr>
            <w:r>
              <w:t xml:space="preserve">integer</w:t>
            </w:r>
          </w:p>
        </w:tc>
        <w:tc>
          <w:tcPr/>
          <w:p>
            <w:pPr>
              <w:pStyle w:val="TableText"/>
              <w:jc w:val="left"/>
            </w:pPr>
            <w:r>
              <w:t xml:space="preserve">Households, used for the cost</w:t>
            </w:r>
            <w:r>
              <w:t xml:space="preserve"> </w:t>
            </w:r>
            <w:r>
              <w:rPr>
                <w:iCs/>
                <w:i/>
              </w:rPr>
              <w:t xml:space="preserve">c</w:t>
            </w:r>
            <w:r>
              <w:rPr>
                <w:iCs/>
                <w:i/>
                <w:vertAlign w:val="subscript"/>
              </w:rPr>
              <w:t xml:space="preserve">i</w:t>
            </w:r>
          </w:p>
        </w:tc>
      </w:tr>
      <w:tr>
        <w:trPr>
          <w:cantSplit/>
        </w:trPr>
        <w:tc>
          <w:tcPr/>
          <w:p>
            <w:pPr>
              <w:pStyle w:val="TableText"/>
              <w:jc w:val="left"/>
            </w:pPr>
            <w:r>
              <w:t xml:space="preserve">schools_enrolled</w:t>
            </w:r>
          </w:p>
        </w:tc>
        <w:tc>
          <w:tcPr/>
          <w:p>
            <w:pPr>
              <w:pStyle w:val="TableText"/>
              <w:jc w:val="left"/>
            </w:pPr>
            <w:r>
              <w:t xml:space="preserve">integer</w:t>
            </w:r>
          </w:p>
        </w:tc>
        <w:tc>
          <w:tcPr/>
          <w:p>
            <w:pPr>
              <w:pStyle w:val="TableText"/>
              <w:jc w:val="left"/>
            </w:pPr>
            <w:r>
              <w:t xml:space="preserve">Learners enrolled in schools located in the barangay</w:t>
            </w:r>
          </w:p>
        </w:tc>
      </w:tr>
      <w:tr>
        <w:trPr>
          <w:cantSplit/>
        </w:trPr>
        <w:tc>
          <w:tcPr/>
          <w:p>
            <w:pPr>
              <w:pStyle w:val="TableText"/>
              <w:jc w:val="left"/>
            </w:pPr>
            <w:r>
              <w:t xml:space="preserve">market_stalls</w:t>
            </w:r>
          </w:p>
        </w:tc>
        <w:tc>
          <w:tcPr/>
          <w:p>
            <w:pPr>
              <w:pStyle w:val="TableText"/>
              <w:jc w:val="left"/>
            </w:pPr>
            <w:r>
              <w:t xml:space="preserve">integer</w:t>
            </w:r>
          </w:p>
        </w:tc>
        <w:tc>
          <w:tcPr/>
          <w:p>
            <w:pPr>
              <w:pStyle w:val="TableText"/>
              <w:jc w:val="left"/>
            </w:pPr>
            <w:r>
              <w:t xml:space="preserve">Stalls of public markets in the barangay</w:t>
            </w:r>
          </w:p>
        </w:tc>
      </w:tr>
      <w:tr>
        <w:trPr>
          <w:cantSplit/>
        </w:trPr>
        <w:tc>
          <w:tcPr/>
          <w:p>
            <w:pPr>
              <w:pStyle w:val="TableText"/>
              <w:jc w:val="left"/>
            </w:pPr>
            <w:r>
              <w:t xml:space="preserve">attraction</w:t>
            </w:r>
          </w:p>
        </w:tc>
        <w:tc>
          <w:tcPr/>
          <w:p>
            <w:pPr>
              <w:pStyle w:val="TableText"/>
              <w:jc w:val="left"/>
            </w:pPr>
            <w:r>
              <w:t xml:space="preserve">decimal</w:t>
            </w:r>
          </w:p>
        </w:tc>
        <w:tc>
          <w:tcPr/>
          <w:p>
            <w:pPr>
              <w:pStyle w:val="TableText"/>
              <w:jc w:val="left"/>
            </w:pPr>
            <w:r>
              <w:rPr>
                <w:iCs/>
                <w:i/>
              </w:rPr>
              <w:t xml:space="preserve">A</w:t>
            </w:r>
            <w:r>
              <w:rPr>
                <w:iCs/>
                <w:i/>
                <w:vertAlign w:val="subscript"/>
              </w:rPr>
              <w:t xml:space="preserve">i</w:t>
            </w:r>
            <w:r>
              <w:t xml:space="preserve">, combined from the two fields above and workplaces</w:t>
            </w:r>
          </w:p>
        </w:tc>
      </w:tr>
      <w:tr>
        <w:trPr>
          <w:cantSplit/>
        </w:trPr>
        <w:tc>
          <w:tcPr/>
          <w:p>
            <w:pPr>
              <w:pStyle w:val="TableText"/>
              <w:jc w:val="left"/>
            </w:pPr>
            <w:r>
              <w:t xml:space="preserve">away_share</w:t>
            </w:r>
          </w:p>
        </w:tc>
        <w:tc>
          <w:tcPr/>
          <w:p>
            <w:pPr>
              <w:pStyle w:val="TableText"/>
              <w:jc w:val="left"/>
            </w:pPr>
            <w:r>
              <w:t xml:space="preserve">decimal</w:t>
            </w:r>
          </w:p>
        </w:tc>
        <w:tc>
          <w:tcPr/>
          <w:p>
            <w:pPr>
              <w:pStyle w:val="TableText"/>
              <w:jc w:val="left"/>
            </w:pPr>
            <w:r>
              <w:rPr>
                <w:iCs/>
                <w:i/>
              </w:rPr>
              <w:t xml:space="preserve">ω</w:t>
            </w:r>
            <w:r>
              <w:rPr>
                <w:iCs/>
                <w:i/>
                <w:vertAlign w:val="subscript"/>
              </w:rPr>
              <w:t xml:space="preserve">i</w:t>
            </w:r>
            <w:r>
              <w:t xml:space="preserve">, share of biting hours spent away from home</w:t>
            </w:r>
          </w:p>
        </w:tc>
      </w:tr>
      <w:tr>
        <w:trPr>
          <w:cantSplit/>
        </w:trPr>
        <w:tc>
          <w:tcPr/>
          <w:p>
            <w:pPr>
              <w:pStyle w:val="TableText"/>
              <w:jc w:val="left"/>
            </w:pPr>
            <w:r>
              <w:t xml:space="preserve">mosquito_index</w:t>
            </w:r>
          </w:p>
        </w:tc>
        <w:tc>
          <w:tcPr/>
          <w:p>
            <w:pPr>
              <w:pStyle w:val="TableText"/>
              <w:jc w:val="left"/>
            </w:pPr>
            <w:r>
              <w:t xml:space="preserve">decimal</w:t>
            </w:r>
          </w:p>
        </w:tc>
        <w:tc>
          <w:tcPr/>
          <w:p>
            <w:pPr>
              <w:pStyle w:val="TableText"/>
              <w:jc w:val="left"/>
            </w:pPr>
            <w:r>
              <w:t xml:space="preserve">Survey index and its type (larval or ovitrap)</w:t>
            </w:r>
          </w:p>
        </w:tc>
      </w:tr>
      <w:tr>
        <w:trPr>
          <w:cantSplit/>
        </w:trPr>
        <w:tc>
          <w:tcPr/>
          <w:p>
            <w:pPr>
              <w:pStyle w:val="TableText"/>
              <w:jc w:val="left"/>
            </w:pPr>
            <w:r>
              <w:t xml:space="preserve">index_date, imputed</w:t>
            </w:r>
          </w:p>
        </w:tc>
        <w:tc>
          <w:tcPr/>
          <w:p>
            <w:pPr>
              <w:pStyle w:val="TableText"/>
              <w:jc w:val="left"/>
            </w:pPr>
            <w:r>
              <w:t xml:space="preserve">date, boolean</w:t>
            </w:r>
          </w:p>
        </w:tc>
        <w:tc>
          <w:tcPr/>
          <w:p>
            <w:pPr>
              <w:pStyle w:val="TableText"/>
              <w:jc w:val="left"/>
            </w:pPr>
            <w:r>
              <w:t xml:space="preserve">Survey date; whether the municipal median was used</w:t>
            </w:r>
          </w:p>
        </w:tc>
      </w:tr>
      <w:tr>
        <w:trPr>
          <w:cantSplit/>
        </w:trPr>
        <w:tc>
          <w:tcPr/>
          <w:p>
            <w:pPr>
              <w:pStyle w:val="TableText"/>
              <w:jc w:val="left"/>
            </w:pPr>
            <w:r>
              <w:t xml:space="preserve">source, source_date</w:t>
            </w:r>
          </w:p>
        </w:tc>
        <w:tc>
          <w:tcPr/>
          <w:p>
            <w:pPr>
              <w:pStyle w:val="TableText"/>
              <w:jc w:val="left"/>
            </w:pPr>
            <w:r>
              <w:t xml:space="preserve">string, date</w:t>
            </w:r>
          </w:p>
        </w:tc>
        <w:tc>
          <w:tcPr/>
          <w:p>
            <w:pPr>
              <w:pStyle w:val="TableText"/>
              <w:jc w:val="left"/>
            </w:pPr>
            <w:r>
              <w:t xml:space="preserve">Register and date consulted</w:t>
            </w:r>
          </w:p>
        </w:tc>
      </w:tr>
    </w:tbl>
    <w:bookmarkEnd w:id="152"/>
    <w:bookmarkStart w:id="153" w:name="X9135c29be196c8fb7f448b17a7807d44f7dc991"/>
    <w:p>
      <w:pPr>
        <w:pStyle w:val="Heading1"/>
      </w:pPr>
      <w:r>
        <w:t xml:space="preserve">APPENDIX D. FEATURES OF THE BANTA-Y APPLICATION</w:t>
      </w:r>
    </w:p>
    <w:p>
      <w:pPr>
        <w:pStyle w:val="FirstParagraph"/>
      </w:pPr>
      <w:r>
        <w:t xml:space="preserve">BANTA-Y packages the model as a web application; the same team also made MAP-A and LIGTA-S. The SDG target that a feature serves is noted in parentheses.</w:t>
      </w:r>
    </w:p>
    <w:p>
      <w:pPr>
        <w:pStyle w:val="BodyText"/>
      </w:pPr>
      <w:r>
        <w:rPr>
          <w:bCs/>
          <w:b/>
        </w:rPr>
        <w:t xml:space="preserve">Network</w:t>
      </w:r>
    </w:p>
    <w:p>
      <w:pPr>
        <w:numPr>
          <w:ilvl w:val="0"/>
          <w:numId w:val="1008"/>
        </w:numPr>
        <w:pStyle w:val="Compact"/>
      </w:pPr>
      <w:r>
        <w:t xml:space="preserve">An editable table of barangays with residents, mosquitoes per resident, share of the day away, and attraction, with the matrix</w:t>
      </w:r>
      <w:r>
        <w:t xml:space="preserve"> </w:t>
      </w:r>
      <w:r>
        <w:rPr>
          <w:iCs/>
          <w:i/>
        </w:rPr>
        <w:t xml:space="preserve">P</w:t>
      </w:r>
      <w:r>
        <w:t xml:space="preserve"> </w:t>
      </w:r>
      <w:r>
        <w:t xml:space="preserve">shown as a heat map.</w:t>
      </w:r>
    </w:p>
    <w:p>
      <w:pPr>
        <w:pStyle w:val="FirstParagraph"/>
      </w:pPr>
      <w:r>
        <w:rPr>
          <w:bCs/>
          <w:b/>
        </w:rPr>
        <w:t xml:space="preserve">Transmission</w:t>
      </w:r>
    </w:p>
    <w:p>
      <w:pPr>
        <w:numPr>
          <w:ilvl w:val="0"/>
          <w:numId w:val="1009"/>
        </w:numPr>
        <w:pStyle w:val="Compact"/>
      </w:pPr>
      <w:r>
        <w:t xml:space="preserve">The network reproduction number, the local exposure numbers with the bounds of Proposition 4, and the province-average value of Proposition 5 (target 3.3).</w:t>
      </w:r>
    </w:p>
    <w:p>
      <w:pPr>
        <w:numPr>
          <w:ilvl w:val="0"/>
          <w:numId w:val="1009"/>
        </w:numPr>
        <w:pStyle w:val="Compact"/>
      </w:pPr>
      <w:r>
        <w:t xml:space="preserve">A bar chart of residents, cases by residence, and transmission by place, and a ranking of places per team-day (targets 3.3 and 4.a).</w:t>
      </w:r>
    </w:p>
    <w:p>
      <w:pPr>
        <w:pStyle w:val="FirstParagraph"/>
      </w:pPr>
      <w:r>
        <w:rPr>
          <w:bCs/>
          <w:b/>
        </w:rPr>
        <w:t xml:space="preserve">Control</w:t>
      </w:r>
    </w:p>
    <w:p>
      <w:pPr>
        <w:numPr>
          <w:ilvl w:val="0"/>
          <w:numId w:val="1010"/>
        </w:numPr>
        <w:pStyle w:val="Compact"/>
      </w:pPr>
      <w:r>
        <w:t xml:space="preserve">The five strategies of Section 2.10 side by side, with the exact plan of Algorithm 1 and its certified interval (target 3.3).</w:t>
      </w:r>
    </w:p>
    <w:p>
      <w:pPr>
        <w:numPr>
          <w:ilvl w:val="0"/>
          <w:numId w:val="1010"/>
        </w:numPr>
        <w:pStyle w:val="Compact"/>
      </w:pPr>
      <w:r>
        <w:t xml:space="preserve">A season slider that rescales mosquito numbers and recomputes the plan.</w:t>
      </w:r>
    </w:p>
    <w:p>
      <w:pPr>
        <w:pStyle w:val="FirstParagraph"/>
      </w:pPr>
      <w:r>
        <w:rPr>
          <w:bCs/>
          <w:b/>
        </w:rPr>
        <w:t xml:space="preserve">Surveillance</w:t>
      </w:r>
    </w:p>
    <w:p>
      <w:pPr>
        <w:numPr>
          <w:ilvl w:val="0"/>
          <w:numId w:val="1011"/>
        </w:numPr>
        <w:pStyle w:val="Compact"/>
      </w:pPr>
      <w:r>
        <w:t xml:space="preserve">A form that turns weekly cases by residence into infections by place with the error bound of Proposition 11.</w:t>
      </w:r>
    </w:p>
    <w:p>
      <w:pPr>
        <w:numPr>
          <w:ilvl w:val="0"/>
          <w:numId w:val="1011"/>
        </w:numPr>
        <w:pStyle w:val="Compact"/>
      </w:pPr>
      <w:r>
        <w:t xml:space="preserve">The CUSUM alarm with a chosen false-alarm rate, plotted against the single-week rule (target 3.d).</w:t>
      </w:r>
    </w:p>
    <w:p>
      <w:pPr>
        <w:numPr>
          <w:ilvl w:val="0"/>
          <w:numId w:val="1011"/>
        </w:numPr>
        <w:pStyle w:val="Compact"/>
      </w:pPr>
      <w:r>
        <w:t xml:space="preserve">The Department of Health 4S checklist for households and schools.</w:t>
      </w:r>
    </w:p>
    <w:p>
      <w:pPr>
        <w:pStyle w:val="FirstParagraph"/>
      </w:pPr>
      <w:r>
        <w:rPr>
          <w:bCs/>
          <w:b/>
        </w:rPr>
        <w:t xml:space="preserve">Use without a signal</w:t>
      </w:r>
    </w:p>
    <w:p>
      <w:pPr>
        <w:numPr>
          <w:ilvl w:val="0"/>
          <w:numId w:val="1012"/>
        </w:numPr>
        <w:pStyle w:val="Compact"/>
      </w:pPr>
      <w:r>
        <w:t xml:space="preserve">All computation runs in the browser and works offline once installed; data can be exported and imported as JSON or CSV.</w:t>
      </w:r>
    </w:p>
    <w:bookmarkEnd w:id="153"/>
    <w:bookmarkStart w:id="154" w:name="appendix-e.-risk-register"/>
    <w:p>
      <w:pPr>
        <w:pStyle w:val="Heading1"/>
      </w:pPr>
      <w:r>
        <w:t xml:space="preserve">APPENDIX E. RISK REGISTER</w:t>
      </w:r>
    </w:p>
    <w:p>
      <w:pPr>
        <w:pStyle w:val="FirstParagraph"/>
      </w:pPr>
      <w:r>
        <w:t xml:space="preserve">The study handles no patients and no personal records; its risks come from how a health office might use the outputs (Table E1).</w:t>
      </w:r>
    </w:p>
    <w:p>
      <w:pPr>
        <w:pStyle w:val="PaperCaption"/>
      </w:pPr>
      <w:r>
        <w:rPr>
          <w:bCs/>
          <w:b/>
        </w:rPr>
        <w:t xml:space="preserve">Table E1.</w:t>
      </w:r>
      <w:r>
        <w:t xml:space="preserve"> </w:t>
      </w:r>
      <w:r>
        <w:t xml:space="preserve">Risks of misuse and how they are reduced.</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149"/>
        <w:gridCol w:w="1131"/>
        <w:gridCol w:w="4638"/>
      </w:tblGrid>
      <w:tr>
        <w:trPr>
          <w:cantSplit/>
          <w:tblHeader w:val="true"/>
        </w:trPr>
        <w:tc>
          <w:tcPr/>
          <w:p>
            <w:pPr>
              <w:pStyle w:val="TableText"/>
              <w:jc w:val="left"/>
            </w:pPr>
            <w:r>
              <w:rPr>
                <w:b/>
              </w:rPr>
              <w:t xml:space="preserve">Risk</w:t>
            </w:r>
          </w:p>
        </w:tc>
        <w:tc>
          <w:tcPr/>
          <w:p>
            <w:pPr>
              <w:pStyle w:val="TableText"/>
              <w:jc w:val="left"/>
            </w:pPr>
            <w:r>
              <w:rPr>
                <w:b/>
              </w:rPr>
              <w:t xml:space="preserve">Likelihood</w:t>
            </w:r>
          </w:p>
        </w:tc>
        <w:tc>
          <w:tcPr/>
          <w:p>
            <w:pPr>
              <w:pStyle w:val="TableText"/>
              <w:jc w:val="left"/>
            </w:pPr>
            <w:r>
              <w:rPr>
                <w:b/>
              </w:rPr>
              <w:t xml:space="preserve">Safeguard</w:t>
            </w:r>
          </w:p>
        </w:tc>
      </w:tr>
      <w:tr>
        <w:trPr>
          <w:cantSplit/>
        </w:trPr>
        <w:tc>
          <w:tcPr/>
          <w:p>
            <w:pPr>
              <w:pStyle w:val="TableText"/>
              <w:jc w:val="left"/>
            </w:pPr>
            <w:r>
              <w:t xml:space="preserve">A barangay labeled a hotspot is stigmatized</w:t>
            </w:r>
          </w:p>
        </w:tc>
        <w:tc>
          <w:tcPr/>
          <w:p>
            <w:pPr>
              <w:pStyle w:val="TableText"/>
              <w:jc w:val="left"/>
            </w:pPr>
            <w:r>
              <w:t xml:space="preserve">Moderate</w:t>
            </w:r>
          </w:p>
        </w:tc>
        <w:tc>
          <w:tcPr/>
          <w:p>
            <w:pPr>
              <w:pStyle w:val="TableText"/>
              <w:jc w:val="left"/>
            </w:pPr>
            <w:r>
              <w:t xml:space="preserve">Rankings are shared with health offices, not published as lists of</w:t>
            </w:r>
            <w:r>
              <w:t xml:space="preserve"> </w:t>
            </w:r>
            <w:r>
              <w:t xml:space="preserve">“</w:t>
            </w:r>
            <w:r>
              <w:t xml:space="preserve">dangerous</w:t>
            </w:r>
            <w:r>
              <w:t xml:space="preserve">”</w:t>
            </w:r>
            <w:r>
              <w:t xml:space="preserve"> </w:t>
            </w:r>
            <w:r>
              <w:t xml:space="preserve">barangays; the share measures where bites happen, not who is to blame.</w:t>
            </w:r>
          </w:p>
        </w:tc>
      </w:tr>
      <w:tr>
        <w:trPr>
          <w:cantSplit/>
        </w:trPr>
        <w:tc>
          <w:tcPr/>
          <w:p>
            <w:pPr>
              <w:pStyle w:val="TableText"/>
              <w:jc w:val="left"/>
            </w:pPr>
            <w:r>
              <w:t xml:space="preserve">Synthetic numbers mistaken for Albay estimates</w:t>
            </w:r>
          </w:p>
        </w:tc>
        <w:tc>
          <w:tcPr/>
          <w:p>
            <w:pPr>
              <w:pStyle w:val="TableText"/>
              <w:jc w:val="left"/>
            </w:pPr>
            <w:r>
              <w:t xml:space="preserve">High</w:t>
            </w:r>
          </w:p>
        </w:tc>
        <w:tc>
          <w:tcPr/>
          <w:p>
            <w:pPr>
              <w:pStyle w:val="TableText"/>
              <w:jc w:val="left"/>
            </w:pPr>
            <w:r>
              <w:t xml:space="preserve">Every table and figure of Section 3.5 is marked synthetic, and the application labels D1 as a test network.</w:t>
            </w:r>
          </w:p>
        </w:tc>
      </w:tr>
      <w:tr>
        <w:trPr>
          <w:cantSplit/>
        </w:trPr>
        <w:tc>
          <w:tcPr/>
          <w:p>
            <w:pPr>
              <w:pStyle w:val="TableText"/>
              <w:jc w:val="left"/>
            </w:pPr>
            <w:r>
              <w:t xml:space="preserve">Fogging used everywhere a plan shows effort</w:t>
            </w:r>
          </w:p>
        </w:tc>
        <w:tc>
          <w:tcPr/>
          <w:p>
            <w:pPr>
              <w:pStyle w:val="TableText"/>
              <w:jc w:val="left"/>
            </w:pPr>
            <w:r>
              <w:t xml:space="preserve">Moderate</w:t>
            </w:r>
          </w:p>
        </w:tc>
        <w:tc>
          <w:tcPr/>
          <w:p>
            <w:pPr>
              <w:pStyle w:val="TableText"/>
              <w:jc w:val="left"/>
            </w:pPr>
            <w:r>
              <w:t xml:space="preserve">The plan states a reduction in mosquitoes, not a chemical; the 4S guidance limits fogging to hotspots.</w:t>
            </w:r>
          </w:p>
        </w:tc>
      </w:tr>
      <w:tr>
        <w:trPr>
          <w:cantSplit/>
        </w:trPr>
        <w:tc>
          <w:tcPr/>
          <w:p>
            <w:pPr>
              <w:pStyle w:val="TableText"/>
              <w:jc w:val="left"/>
            </w:pPr>
            <w:r>
              <w:t xml:space="preserve">Old mosquito surveys drive the plan</w:t>
            </w:r>
          </w:p>
        </w:tc>
        <w:tc>
          <w:tcPr/>
          <w:p>
            <w:pPr>
              <w:pStyle w:val="TableText"/>
              <w:jc w:val="left"/>
            </w:pPr>
            <w:r>
              <w:t xml:space="preserve">High</w:t>
            </w:r>
          </w:p>
        </w:tc>
        <w:tc>
          <w:tcPr/>
          <w:p>
            <w:pPr>
              <w:pStyle w:val="TableText"/>
              <w:jc w:val="left"/>
            </w:pPr>
            <w:r>
              <w:t xml:space="preserve">Each index carries its date; imputed values are flagged; Table 13 shows how the plan changes with the season.</w:t>
            </w:r>
          </w:p>
        </w:tc>
      </w:tr>
      <w:tr>
        <w:trPr>
          <w:cantSplit/>
        </w:trPr>
        <w:tc>
          <w:tcPr/>
          <w:p>
            <w:pPr>
              <w:pStyle w:val="TableText"/>
              <w:jc w:val="left"/>
            </w:pPr>
            <w:r>
              <w:t xml:space="preserve">Alarm ignored after false alarms</w:t>
            </w:r>
          </w:p>
        </w:tc>
        <w:tc>
          <w:tcPr/>
          <w:p>
            <w:pPr>
              <w:pStyle w:val="TableText"/>
              <w:jc w:val="left"/>
            </w:pPr>
            <w:r>
              <w:t xml:space="preserve">Moderate</w:t>
            </w:r>
          </w:p>
        </w:tc>
        <w:tc>
          <w:tcPr/>
          <w:p>
            <w:pPr>
              <w:pStyle w:val="TableText"/>
              <w:jc w:val="left"/>
            </w:pPr>
            <w:r>
              <w:t xml:space="preserve">The false-alarm rate is chosen in advance and stated with every alarm.</w:t>
            </w:r>
          </w:p>
        </w:tc>
      </w:tr>
      <w:tr>
        <w:trPr>
          <w:cantSplit/>
        </w:trPr>
        <w:tc>
          <w:tcPr/>
          <w:p>
            <w:pPr>
              <w:pStyle w:val="TableText"/>
              <w:jc w:val="left"/>
            </w:pPr>
            <w:r>
              <w:t xml:space="preserve">Patient addresses exposed</w:t>
            </w:r>
          </w:p>
        </w:tc>
        <w:tc>
          <w:tcPr/>
          <w:p>
            <w:pPr>
              <w:pStyle w:val="TableText"/>
              <w:jc w:val="left"/>
            </w:pPr>
            <w:r>
              <w:t xml:space="preserve">Low</w:t>
            </w:r>
          </w:p>
        </w:tc>
        <w:tc>
          <w:tcPr/>
          <w:p>
            <w:pPr>
              <w:pStyle w:val="TableText"/>
              <w:jc w:val="left"/>
            </w:pPr>
            <w:r>
              <w:t xml:space="preserve">Only weekly counts per barangay are handled, in line with the Data Privacy Act (Republic Act No. 10173, 2012).</w:t>
            </w:r>
          </w:p>
        </w:tc>
      </w:tr>
      <w:tr>
        <w:trPr>
          <w:cantSplit/>
        </w:trPr>
        <w:tc>
          <w:tcPr/>
          <w:p>
            <w:pPr>
              <w:pStyle w:val="TableText"/>
              <w:jc w:val="left"/>
            </w:pPr>
            <w:r>
              <w:t xml:space="preserve">Errors in the code</w:t>
            </w:r>
          </w:p>
        </w:tc>
        <w:tc>
          <w:tcPr/>
          <w:p>
            <w:pPr>
              <w:pStyle w:val="TableText"/>
              <w:jc w:val="left"/>
            </w:pPr>
            <w:r>
              <w:t xml:space="preserve">Moderate</w:t>
            </w:r>
          </w:p>
        </w:tc>
        <w:tc>
          <w:tcPr/>
          <w:p>
            <w:pPr>
              <w:pStyle w:val="TableText"/>
              <w:jc w:val="left"/>
            </w:pPr>
            <w:r>
              <w:t xml:space="preserve">All twelve propositions were checked against independent code before any result was reported (Table 7).</w:t>
            </w:r>
          </w:p>
        </w:tc>
      </w:tr>
    </w:tbl>
    <w:bookmarkEnd w:id="154"/>
    <w:bookmarkStart w:id="155" w:name="Xd92622ecd706be3ddeef7e19862d4bdeff526da"/>
    <w:p>
      <w:pPr>
        <w:pStyle w:val="Heading1"/>
      </w:pPr>
      <w:r>
        <w:t xml:space="preserve">APPENDIX F. HOW TO REPRODUCE EVERY NUMBER</w:t>
      </w:r>
    </w:p>
    <w:p>
      <w:pPr>
        <w:pStyle w:val="FirstParagraph"/>
      </w:pPr>
      <w:r>
        <w:t xml:space="preserve">The model is in</w:t>
      </w:r>
      <w:r>
        <w:t xml:space="preserve"> </w:t>
      </w:r>
      <w:r>
        <w:rPr>
          <w:rStyle w:val="VerbatimChar"/>
        </w:rPr>
        <w:t xml:space="preserve">denguemodel.py</w:t>
      </w:r>
      <w:r>
        <w:t xml:space="preserve">, and all checks and the worked instance are in</w:t>
      </w:r>
      <w:r>
        <w:t xml:space="preserve"> </w:t>
      </w:r>
      <w:r>
        <w:rPr>
          <w:rStyle w:val="VerbatimChar"/>
        </w:rPr>
        <w:t xml:space="preserve">verify_dengue.py</w:t>
      </w:r>
      <w:r>
        <w:t xml:space="preserve">, both stored in the project repository. Given the fixed seed 20261017, the script performs six steps:</w:t>
      </w:r>
    </w:p>
    <w:p>
      <w:pPr>
        <w:numPr>
          <w:ilvl w:val="0"/>
          <w:numId w:val="1013"/>
        </w:numPr>
        <w:pStyle w:val="Compact"/>
      </w:pPr>
      <w:r>
        <w:t xml:space="preserve">compares Equation (5) with a numerical next-generation matrix and checks the threshold, the bounds, the shares, and the gradient (Propositions 1 to 6);</w:t>
      </w:r>
    </w:p>
    <w:p>
      <w:pPr>
        <w:numPr>
          <w:ilvl w:val="0"/>
          <w:numId w:val="1013"/>
        </w:numPr>
        <w:pStyle w:val="Compact"/>
      </w:pPr>
      <w:r>
        <w:t xml:space="preserve">tests convexity and monotonicity on random pairs of plans and compares Algorithm 1 with a grid and with SLSQP (Propositions 7 to 9);</w:t>
      </w:r>
    </w:p>
    <w:p>
      <w:pPr>
        <w:numPr>
          <w:ilvl w:val="0"/>
          <w:numId w:val="1013"/>
        </w:numPr>
        <w:pStyle w:val="Compact"/>
      </w:pPr>
      <w:r>
        <w:t xml:space="preserve">tests the inversion, the Varah bound, the CUSUM delay bound, and the exact average run length against simulation (Propositions 11 and 12);</w:t>
      </w:r>
    </w:p>
    <w:p>
      <w:pPr>
        <w:numPr>
          <w:ilvl w:val="0"/>
          <w:numId w:val="1013"/>
        </w:numPr>
        <w:pStyle w:val="Compact"/>
      </w:pPr>
      <w:r>
        <w:t xml:space="preserve">checks positivity, conservation, and the order of the Runge-Kutta solver (Proposition 3);</w:t>
      </w:r>
    </w:p>
    <w:p>
      <w:pPr>
        <w:numPr>
          <w:ilvl w:val="0"/>
          <w:numId w:val="1013"/>
        </w:numPr>
        <w:pStyle w:val="Compact"/>
      </w:pPr>
      <w:r>
        <w:t xml:space="preserve">times the computations for 50 to 720 barangays; and</w:t>
      </w:r>
    </w:p>
    <w:p>
      <w:pPr>
        <w:numPr>
          <w:ilvl w:val="0"/>
          <w:numId w:val="1013"/>
        </w:numPr>
        <w:pStyle w:val="Compact"/>
      </w:pPr>
      <w:r>
        <w:t xml:space="preserve">builds D1, computes Tables 9 to 15, and draws Figures 2 to 4.</w:t>
      </w:r>
    </w:p>
    <w:p>
      <w:pPr>
        <w:pStyle w:val="FirstParagraph"/>
      </w:pPr>
      <w:r>
        <w:t xml:space="preserve">Running</w:t>
      </w:r>
      <w:r>
        <w:t xml:space="preserve"> </w:t>
      </w:r>
      <w:r>
        <w:rPr>
          <w:rStyle w:val="VerbatimChar"/>
        </w:rPr>
        <w:t xml:space="preserve">python3 verify_dengue.py</w:t>
      </w:r>
      <w:r>
        <w:t xml:space="preserve"> </w:t>
      </w:r>
      <w:r>
        <w:t xml:space="preserve">writes</w:t>
      </w:r>
      <w:r>
        <w:t xml:space="preserve"> </w:t>
      </w:r>
      <w:r>
        <w:rPr>
          <w:rStyle w:val="VerbatimChar"/>
        </w:rPr>
        <w:t xml:space="preserve">results.json</w:t>
      </w:r>
      <w:r>
        <w:t xml:space="preserve">, from which every number in Chapter 3 is filled in. All of these numbers come from synthetic inputs.</w:t>
      </w:r>
    </w:p>
    <w:bookmarkEnd w:id="155"/>
    <w:bookmarkStart w:id="156" w:name="ethics-statement"/>
    <w:p>
      <w:pPr>
        <w:pStyle w:val="Heading1"/>
      </w:pPr>
      <w:r>
        <w:t xml:space="preserve">ETHICS STATEMENT</w:t>
      </w:r>
    </w:p>
    <w:p>
      <w:pPr>
        <w:pStyle w:val="FirstParagraph"/>
      </w:pPr>
      <w:r>
        <w:t xml:space="preserve">No person took part in this study, and no mosquito was collected. The only real-world facts used are those in published reports and public registers, each cited where it is used; every other number comes from a proof, a declared parameter, or a synthetic test network built for verification.</w:t>
      </w:r>
    </w:p>
    <w:p>
      <w:pPr>
        <w:pStyle w:val="BodyText"/>
      </w:pPr>
      <w:r>
        <w:t xml:space="preserve">The protocol goes to the school’s Scientific Review Committee before the model touches Albay data, and the health offices that hold case and survey records will be asked for them only as counts per barangay per week. Rankings of barangays will be returned to those offices and not published as lists. The results in this paper describe a model, not the dengue situation of any real place.</w:t>
      </w:r>
    </w:p>
    <w:bookmarkEnd w:id="156"/>
    <w:sectPr>
      <w:footerReference w:type="default" r:id="rIdFooterPg"/>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pg.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PH"/>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160" w:before="0" w:line="360" w:lineRule="auto"/>
      <w:jc w:val="both"/>
    </w:pPr>
    <w:rPr>
      <w:rFonts w:ascii="Times New Roman" w:cs="Times New Roman" w:eastAsia="Times New Roman" w:hAnsi="Times New Roman"/>
      <w:sz w:val="24"/>
      <w:szCs w:val="24"/>
      <w:lang w:val="en-PH"/>
    </w:rPr>
  </w:style>
  <w:style w:styleId="BodyText" w:type="paragraph">
    <w:name w:val="Body Text"/>
    <w:basedOn w:val="Normal"/>
    <w:qFormat/>
    <w:pPr>
      <w:spacing w:after="160" w:before="0" w:line="360" w:lineRule="auto"/>
      <w:jc w:val="both"/>
    </w:pPr>
    <w:rPr/>
  </w:style>
  <w:style w:styleId="FirstParagraph" w:type="paragraph">
    <w:name w:val="First Paragraph"/>
    <w:basedOn w:val="BodyText"/>
    <w:qFormat/>
    <w:pPr>
      <w:spacing w:after="160" w:before="0" w:line="360" w:lineRule="auto"/>
      <w:jc w:val="both"/>
    </w:pPr>
    <w:rPr/>
  </w:style>
  <w:style w:styleId="Compact" w:type="paragraph">
    <w:name w:val="Compact"/>
    <w:basedOn w:val="BodyText"/>
    <w:qFormat/>
    <w:pPr>
      <w:spacing w:after="80" w:before="0" w:line="360" w:lineRule="auto"/>
      <w:jc w:val="both"/>
    </w:pPr>
    <w:rPr/>
  </w:style>
  <w:style w:styleId="Heading1" w:type="paragraph">
    <w:name w:val="heading 1"/>
    <w:basedOn w:val="Normal"/>
    <w:qFormat/>
    <w:pPr>
      <w:keepNext/>
      <w:keepLines/>
      <w:spacing w:after="160" w:before="240" w:line="360" w:lineRule="auto"/>
      <w:jc w:val="left"/>
      <w:outlineLvl w:val="0"/>
    </w:pPr>
    <w:rPr>
      <w:b/>
      <w:bCs/>
      <w:color w:val="000000"/>
      <w:sz w:val="24"/>
      <w:szCs w:val="24"/>
    </w:rPr>
  </w:style>
  <w:style w:styleId="Heading2" w:type="paragraph">
    <w:name w:val="heading 2"/>
    <w:basedOn w:val="Normal"/>
    <w:qFormat/>
    <w:pPr>
      <w:keepNext/>
      <w:keepLines/>
      <w:spacing w:after="120" w:before="200" w:line="360" w:lineRule="auto"/>
      <w:jc w:val="left"/>
      <w:outlineLvl w:val="1"/>
    </w:pPr>
    <w:rPr>
      <w:b/>
      <w:bCs/>
      <w:color w:val="000000"/>
      <w:sz w:val="24"/>
      <w:szCs w:val="24"/>
    </w:rPr>
  </w:style>
  <w:style w:styleId="Heading3" w:type="paragraph">
    <w:name w:val="heading 3"/>
    <w:basedOn w:val="Normal"/>
    <w:qFormat/>
    <w:pPr>
      <w:keepNext/>
      <w:keepLines/>
      <w:spacing w:after="100" w:before="160" w:line="360" w:lineRule="auto"/>
      <w:jc w:val="left"/>
      <w:outlineLvl w:val="2"/>
    </w:pPr>
    <w:rPr>
      <w:b/>
      <w:bCs/>
      <w:i w:val="0"/>
      <w:color w:val="000000"/>
      <w:sz w:val="24"/>
      <w:szCs w:val="24"/>
    </w:rPr>
  </w:style>
  <w:style w:styleId="Center" w:type="paragraph">
    <w:name w:val="Center"/>
    <w:basedOn w:val="Normal"/>
    <w:qFormat/>
    <w:pPr>
      <w:spacing w:after="0" w:before="0" w:line="360" w:lineRule="auto"/>
      <w:jc w:val="center"/>
    </w:pPr>
    <w:rPr/>
  </w:style>
  <w:style w:styleId="CenterBold" w:type="paragraph">
    <w:name w:val="Center Bold"/>
    <w:basedOn w:val="Normal"/>
    <w:qFormat/>
    <w:pPr>
      <w:spacing w:after="0" w:before="0" w:line="360" w:lineRule="auto"/>
      <w:jc w:val="center"/>
    </w:pPr>
    <w:rPr>
      <w:b/>
      <w:bCs/>
    </w:rPr>
  </w:style>
  <w:style w:styleId="TitleMain" w:type="paragraph">
    <w:name w:val="Title Main"/>
    <w:basedOn w:val="Normal"/>
    <w:qFormat/>
    <w:pPr>
      <w:spacing w:after="240" w:before="0" w:line="360" w:lineRule="auto"/>
      <w:jc w:val="center"/>
    </w:pPr>
    <w:rPr>
      <w:b/>
      <w:bCs/>
      <w:sz w:val="30"/>
      <w:szCs w:val="30"/>
    </w:rPr>
  </w:style>
  <w:style w:styleId="AbstractTitle" w:type="paragraph">
    <w:name w:val="Abstract Title"/>
    <w:basedOn w:val="Normal"/>
    <w:qFormat/>
    <w:pPr>
      <w:spacing w:after="120" w:before="0" w:line="360" w:lineRule="auto"/>
      <w:jc w:val="center"/>
    </w:pPr>
    <w:rPr>
      <w:b/>
      <w:bCs/>
    </w:rPr>
  </w:style>
  <w:style w:styleId="PaperCaption" w:type="paragraph">
    <w:name w:val="Paper Caption"/>
    <w:basedOn w:val="Normal"/>
    <w:qFormat/>
    <w:pPr>
      <w:keepNext/>
      <w:spacing w:after="100" w:before="0" w:line="276" w:lineRule="auto"/>
      <w:jc w:val="both"/>
    </w:pPr>
    <w:rPr/>
  </w:style>
  <w:style w:styleId="FigureCaption" w:type="paragraph">
    <w:name w:val="Figure Caption"/>
    <w:basedOn w:val="Normal"/>
    <w:qFormat/>
    <w:pPr>
      <w:spacing w:after="200" w:before="0" w:line="276" w:lineRule="auto"/>
      <w:jc w:val="both"/>
    </w:pPr>
    <w:rPr>
      <w:sz w:val="22"/>
      <w:szCs w:val="22"/>
    </w:rPr>
  </w:style>
  <w:style w:styleId="SourceLine" w:type="paragraph">
    <w:name w:val="Source Line"/>
    <w:basedOn w:val="Normal"/>
    <w:qFormat/>
    <w:pPr>
      <w:spacing w:after="160" w:before="0" w:line="276" w:lineRule="auto"/>
      <w:jc w:val="center"/>
    </w:pPr>
    <w:rPr>
      <w:i/>
      <w:iCs/>
      <w:sz w:val="22"/>
      <w:szCs w:val="22"/>
    </w:rPr>
  </w:style>
  <w:style w:styleId="NoteText" w:type="paragraph">
    <w:name w:val="Note Text"/>
    <w:basedOn w:val="Normal"/>
    <w:qFormat/>
    <w:pPr>
      <w:spacing w:after="160" w:before="0" w:line="276" w:lineRule="auto"/>
      <w:jc w:val="both"/>
    </w:pPr>
    <w:rPr>
      <w:sz w:val="22"/>
      <w:szCs w:val="22"/>
    </w:rPr>
  </w:style>
  <w:style w:styleId="FigurePara" w:type="paragraph">
    <w:name w:val="Figure Para"/>
    <w:basedOn w:val="Normal"/>
    <w:qFormat/>
    <w:pPr>
      <w:keepNext/>
      <w:spacing w:after="60" w:before="0" w:line="240" w:lineRule="auto"/>
      <w:jc w:val="center"/>
    </w:pPr>
    <w:rPr/>
  </w:style>
  <w:style w:styleId="Reference" w:type="paragraph">
    <w:name w:val="Reference"/>
    <w:basedOn w:val="Normal"/>
    <w:qFormat/>
    <w:pPr>
      <w:spacing w:after="120" w:before="0" w:line="360" w:lineRule="auto"/>
      <w:ind w:hanging="720" w:left="720"/>
      <w:jc w:val="left"/>
    </w:pPr>
    <w:rPr/>
  </w:style>
  <w:style w:styleId="TOC1" w:type="paragraph">
    <w:name w:val="toc 1"/>
    <w:basedOn w:val="Normal"/>
    <w:qFormat/>
    <w:pPr>
      <w:tabs>
        <w:tab w:leader="dot" w:pos="9360" w:val="right"/>
      </w:tabs>
      <w:spacing w:after="60" w:before="0" w:line="320" w:lineRule="auto"/>
      <w:jc w:val="left"/>
    </w:pPr>
    <w:rPr>
      <w:b/>
      <w:bCs/>
    </w:rPr>
  </w:style>
  <w:style w:styleId="TOC2" w:type="paragraph">
    <w:name w:val="toc 2"/>
    <w:basedOn w:val="Normal"/>
    <w:qFormat/>
    <w:pPr>
      <w:tabs>
        <w:tab w:leader="dot" w:pos="9360" w:val="right"/>
      </w:tabs>
      <w:spacing w:after="60" w:before="0" w:line="320" w:lineRule="auto"/>
      <w:ind w:left="567"/>
      <w:jc w:val="left"/>
    </w:pPr>
    <w:rPr/>
  </w:style>
  <w:style w:styleId="TOC3" w:type="paragraph">
    <w:name w:val="toc 3"/>
    <w:basedOn w:val="Normal"/>
    <w:qFormat/>
    <w:pPr>
      <w:tabs>
        <w:tab w:leader="dot" w:pos="9360" w:val="right"/>
      </w:tabs>
      <w:spacing w:after="60" w:before="0" w:line="320" w:lineRule="auto"/>
      <w:ind w:left="1134"/>
      <w:jc w:val="left"/>
    </w:pPr>
    <w:rPr/>
  </w:style>
  <w:style w:styleId="TableText" w:type="paragraph">
    <w:name w:val="Table Text"/>
    <w:basedOn w:val="Normal"/>
    <w:qFormat/>
    <w:pPr>
      <w:spacing w:after="0" w:before="0" w:line="240" w:lineRule="auto"/>
      <w:jc w:val="left"/>
    </w:pPr>
    <w:rPr>
      <w:sz w:val="21"/>
      <w:szCs w:val="21"/>
    </w:rPr>
  </w:style>
  <w:style w:styleId="SourceCode" w:type="paragraph">
    <w:name w:val="Source Code"/>
    <w:basedOn w:val="Normal"/>
    <w:qFormat/>
    <w:pPr>
      <w:spacing w:after="200" w:before="60" w:line="240" w:lineRule="auto"/>
      <w:jc w:val="left"/>
    </w:pPr>
    <w:rPr>
      <w:rFonts w:ascii="Courier New" w:cs="Courier New" w:eastAsia="Courier New" w:hAnsi="Courier New"/>
      <w:sz w:val="18"/>
      <w:szCs w:val="18"/>
    </w:rPr>
  </w:style>
  <w:style w:styleId="EquationPara" w:type="paragraph">
    <w:name w:val="Equation Para"/>
    <w:basedOn w:val="Normal"/>
    <w:qFormat/>
    <w:pPr>
      <w:spacing w:after="120" w:before="120" w:line="240" w:lineRule="auto"/>
      <w:jc w:val="center"/>
    </w:pPr>
    <w:rPr/>
  </w:style>
  <w:style w:styleId="EquationNumber" w:type="paragraph">
    <w:name w:val="Equation Number"/>
    <w:basedOn w:val="Normal"/>
    <w:qFormat/>
    <w:pPr>
      <w:spacing w:after="0" w:before="0" w:line="240" w:lineRule="auto"/>
      <w:jc w:val="right"/>
    </w:pPr>
    <w:rPr/>
  </w:style>
  <w:style w:styleId="VerbatimChar" w:type="character">
    <w:name w:val="Verbatim Char"/>
    <w:rPr>
      <w:rFonts w:ascii="Courier New" w:cs="Courier New" w:eastAsia="Courier New" w:hAnsi="Courier New"/>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0" Target="media/rId20.png"/><Relationship Type="http://schemas.openxmlformats.org/officeDocument/2006/relationships/image" Id="rId133" Target="media/rId133.png"/><Relationship Type="http://schemas.openxmlformats.org/officeDocument/2006/relationships/image" Id="rId124" Target="media/rId124.png"/><Relationship Type="http://schemas.openxmlformats.org/officeDocument/2006/relationships/image" Id="rId127" Target="media/rId127.png"/><Relationship Type="http://schemas.openxmlformats.org/officeDocument/2006/relationships/image" Id="rId118" Target="media/rId118.png"/><Relationship Type="http://schemas.openxmlformats.org/officeDocument/2006/relationships/image" Id="rId82" Target="media/rId82.png"/><Relationship Type="http://schemas.openxmlformats.org/officeDocument/2006/relationships/image" Id="rId97" Target="media/rId97.png"/><Relationship Type="http://schemas.openxmlformats.org/officeDocument/2006/relationships/image" Id="rId57" Target="media/rId57.png"/><Relationship Type="http://schemas.openxmlformats.org/officeDocument/2006/relationships/image" Id="rId47" Target="media/rId47.png"/><Relationship Type="http://schemas.openxmlformats.org/officeDocument/2006/relationships/image" Id="rId75" Target="media/rId75.png"/><Relationship Type="http://schemas.openxmlformats.org/officeDocument/2006/relationships/image" Id="rId103" Target="media/rId103.png"/><Relationship Type="http://schemas.openxmlformats.org/officeDocument/2006/relationships/image" Id="rId100" Target="media/rId100.png"/><Relationship Type="http://schemas.openxmlformats.org/officeDocument/2006/relationships/image" Id="rId50" Target="media/rId50.png"/><Relationship Type="http://schemas.openxmlformats.org/officeDocument/2006/relationships/image" Id="rId54" Target="media/rId54.png"/><Relationship Type="http://schemas.openxmlformats.org/officeDocument/2006/relationships/image" Id="rId115" Target="media/rId115.png"/><Relationship Type="http://schemas.openxmlformats.org/officeDocument/2006/relationships/image" Id="rId78" Target="media/rId78.png"/><Relationship Type="http://schemas.openxmlformats.org/officeDocument/2006/relationships/image" Id="rId61" Target="media/rId61.png"/><Relationship Type="http://schemas.openxmlformats.org/officeDocument/2006/relationships/image" Id="rId112" Target="media/rId112.png"/><Relationship Type="http://schemas.openxmlformats.org/officeDocument/2006/relationships/image" Id="rId86" Target="media/rId86.png"/><Relationship Type="http://schemas.openxmlformats.org/officeDocument/2006/relationships/image" Id="rId109" Target="media/rId109.png"/><Relationship Type="http://schemas.openxmlformats.org/officeDocument/2006/relationships/image" Id="rId72" Target="media/rId72.png"/><Relationship Type="http://schemas.openxmlformats.org/officeDocument/2006/relationships/image" Id="rId106" Target="media/rId106.png"/><Relationship Type="http://schemas.openxmlformats.org/officeDocument/2006/relationships/image" Id="rId64" Target="media/rId64.png"/><Relationship Type="http://schemas.openxmlformats.org/officeDocument/2006/relationships/image" Id="rId68" Target="media/rId68.png"/><Relationship Type="http://schemas.openxmlformats.org/officeDocument/2006/relationships/image" Id="rId43" Target="media/rId43.png"/><Relationship Id="rIdFooterPg" Type="http://schemas.openxmlformats.org/officeDocument/2006/relationships/footer" Target="footer_p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2026-10-17T10:37:07Z</dcterms:created>
  <dcterms:modified xsi:type="dcterms:W3CDTF">2026-10-17T10:37:07Z</dcterms:modified>
</cp:coreProperties>
</file>

<file path=docProps/custom.xml><?xml version="1.0" encoding="utf-8"?>
<Properties xmlns="http://schemas.openxmlformats.org/officeDocument/2006/custom-properties" xmlns:vt="http://schemas.openxmlformats.org/officeDocument/2006/docPropsVTypes"/>
</file>