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enter"/>
      </w:pPr>
      <w:r>
        <w:drawing>
          <wp:inline>
            <wp:extent cx="1920240" cy="1815973"/>
            <wp:effectExtent b="0" l="0" r="0" t="0"/>
            <wp:docPr descr="" title="" id="21" name="Picture"/>
            <a:graphic>
              <a:graphicData uri="http://schemas.openxmlformats.org/drawingml/2006/picture">
                <pic:pic>
                  <pic:nvPicPr>
                    <pic:cNvPr descr="fig/deped_header.png" id="22" name="Picture"/>
                    <pic:cNvPicPr>
                      <a:picLocks noChangeArrowheads="1" noChangeAspect="1"/>
                    </pic:cNvPicPr>
                  </pic:nvPicPr>
                  <pic:blipFill>
                    <a:blip r:embed="rId20"/>
                    <a:stretch>
                      <a:fillRect/>
                    </a:stretch>
                  </pic:blipFill>
                  <pic:spPr bwMode="auto">
                    <a:xfrm>
                      <a:off x="0" y="0"/>
                      <a:ext cx="1920240" cy="1815973"/>
                    </a:xfrm>
                    <a:prstGeom prst="rect">
                      <a:avLst/>
                    </a:prstGeom>
                    <a:noFill/>
                    <a:ln w="9525">
                      <a:noFill/>
                      <a:headEnd/>
                      <a:tailEnd/>
                    </a:ln>
                  </pic:spPr>
                </pic:pic>
              </a:graphicData>
            </a:graphic>
          </wp:inline>
        </w:drawing>
      </w:r>
    </w:p>
    <w:p>
      <w:pPr>
        <w:pStyle w:val="PaperTitle"/>
      </w:pPr>
      <w:r>
        <w:t xml:space="preserve">Right Hospital, Right Bed, Right Time: A Verified Network Model for Mapping Hospitals and Routing Patients in Albay by Clinical Need, Live Bed Availability, and Ability to Pay</w:t>
      </w:r>
    </w:p>
    <w:p>
      <w:pPr>
        <w:pStyle w:val="TitleCenter"/>
      </w:pPr>
      <w:r>
        <w:rPr>
          <w:bCs/>
          <w:b/>
        </w:rPr>
        <w:t xml:space="preserve">Research Category</w:t>
      </w:r>
      <w:r>
        <w:br/>
      </w:r>
      <w:r>
        <w:t xml:space="preserve">Mathematics and Computational Sciences, Team (MCS-T)</w:t>
      </w:r>
    </w:p>
    <w:p>
      <w:pPr>
        <w:pStyle w:val="TitleCenter"/>
      </w:pPr>
      <w:r>
        <w:rPr>
          <w:bCs/>
          <w:b/>
        </w:rPr>
        <w:t xml:space="preserve">Researchers</w:t>
      </w:r>
      <w:r>
        <w:br/>
      </w:r>
      <w:r>
        <w:t xml:space="preserve">Brimbuela, Peter John A.</w:t>
      </w:r>
      <w:r>
        <w:br/>
      </w:r>
      <w:r>
        <w:t xml:space="preserve">De Asis, Dave Justin Ll.</w:t>
      </w:r>
      <w:r>
        <w:br/>
      </w:r>
      <w:r>
        <w:t xml:space="preserve">Shin, Yeaseong</w:t>
      </w:r>
    </w:p>
    <w:p>
      <w:pPr>
        <w:pStyle w:val="TitleCenter"/>
      </w:pPr>
      <w:r>
        <w:rPr>
          <w:bCs/>
          <w:b/>
        </w:rPr>
        <w:t xml:space="preserve">Research Adviser</w:t>
      </w:r>
      <w:r>
        <w:br/>
      </w:r>
      <w:r>
        <w:t xml:space="preserve">Calleja, Dick Anthony M.</w:t>
      </w:r>
    </w:p>
    <w:p>
      <w:pPr>
        <w:pStyle w:val="TitleCenter"/>
      </w:pPr>
      <w:r>
        <w:t xml:space="preserve">Legazpi City Science High School</w:t>
      </w:r>
      <w:r>
        <w:br/>
      </w:r>
      <w:r>
        <w:t xml:space="preserve">Legazpi City, Albay</w:t>
      </w:r>
      <w:r>
        <w:br/>
      </w:r>
      <w:r>
        <w:t xml:space="preserve">Bicol Region (Region V), Philippines</w:t>
      </w:r>
    </w:p>
    <w:p>
      <w:r>
        <w:br w:type="page"/>
      </w:r>
    </w:p>
    <w:p>
      <w:pPr>
        <w:pStyle w:val="TOCHeading"/>
      </w:pPr>
      <w:r>
        <w:t xml:space="preserve">TABLE OF CONTENTS</w:t>
      </w:r>
    </w:p>
    <w:p>
      <w:pPr>
        <w:pStyle w:val="TOC1"/>
      </w:pPr>
      <w:r>
        <w:fldChar w:fldCharType="begin"/>
      </w:r>
      <w:r>
        <w:instrText xml:space="preserve"> TOC \o "1-3" \h \z \u </w:instrText>
      </w:r>
      <w:r>
        <w:fldChar w:fldCharType="separate"/>
      </w:r>
      <w:r>
        <w:t>ABSTRACT</w:t>
      </w:r>
      <w:r>
        <w:tab/>
        <w:t>5</w:t>
      </w:r>
    </w:p>
    <w:p>
      <w:pPr>
        <w:pStyle w:val="TOC1"/>
      </w:pPr>
      <w:r>
        <w:t>1. INTRODUCTION</w:t>
      </w:r>
      <w:r>
        <w:tab/>
        <w:t>6</w:t>
      </w:r>
    </w:p>
    <w:p>
      <w:pPr>
        <w:pStyle w:val="TOC2"/>
      </w:pPr>
      <w:r>
        <w:t>1.1 Statement of the Problem</w:t>
      </w:r>
      <w:r>
        <w:tab/>
        <w:t>6</w:t>
      </w:r>
    </w:p>
    <w:p>
      <w:pPr>
        <w:pStyle w:val="TOC2"/>
      </w:pPr>
      <w:r>
        <w:t>1.2 Objectives of the Study</w:t>
      </w:r>
      <w:r>
        <w:tab/>
        <w:t>7</w:t>
      </w:r>
    </w:p>
    <w:p>
      <w:pPr>
        <w:pStyle w:val="TOC2"/>
      </w:pPr>
      <w:r>
        <w:t>1.3 Research Questions</w:t>
      </w:r>
      <w:r>
        <w:tab/>
        <w:t>8</w:t>
      </w:r>
    </w:p>
    <w:p>
      <w:pPr>
        <w:pStyle w:val="TOC2"/>
      </w:pPr>
      <w:r>
        <w:t>1.4 Review of Related Literature</w:t>
      </w:r>
      <w:r>
        <w:tab/>
        <w:t>10</w:t>
      </w:r>
    </w:p>
    <w:p>
      <w:pPr>
        <w:pStyle w:val="TOC3"/>
      </w:pPr>
      <w:r>
        <w:t>1.4.1 Measuring Accessibility</w:t>
      </w:r>
      <w:r>
        <w:tab/>
        <w:t>10</w:t>
      </w:r>
    </w:p>
    <w:p>
      <w:pPr>
        <w:pStyle w:val="TOC3"/>
      </w:pPr>
      <w:r>
        <w:t>1.4.2 Measuring Spatial Access to Health Care</w:t>
      </w:r>
      <w:r>
        <w:tab/>
        <w:t>10</w:t>
      </w:r>
    </w:p>
    <w:p>
      <w:pPr>
        <w:pStyle w:val="TOC3"/>
      </w:pPr>
      <w:r>
        <w:t>1.4.3 Equity in the Distribution of Access</w:t>
      </w:r>
      <w:r>
        <w:tab/>
        <w:t>10</w:t>
      </w:r>
    </w:p>
    <w:p>
      <w:pPr>
        <w:pStyle w:val="TOC3"/>
      </w:pPr>
      <w:r>
        <w:t>1.4.4 Hospital Levels, Triage, and What a Patient Needs</w:t>
      </w:r>
      <w:r>
        <w:tab/>
        <w:t>11</w:t>
      </w:r>
    </w:p>
    <w:p>
      <w:pPr>
        <w:pStyle w:val="TOC3"/>
      </w:pPr>
      <w:r>
        <w:t>1.4.5 Bed Reporting in the Philippines</w:t>
      </w:r>
      <w:r>
        <w:tab/>
        <w:t>11</w:t>
      </w:r>
    </w:p>
    <w:p>
      <w:pPr>
        <w:pStyle w:val="TOC3"/>
      </w:pPr>
      <w:r>
        <w:t>1.4.6 Payment for Hospital Care in the Philippines</w:t>
      </w:r>
      <w:r>
        <w:tab/>
        <w:t>11</w:t>
      </w:r>
    </w:p>
    <w:p>
      <w:pPr>
        <w:pStyle w:val="TOC3"/>
      </w:pPr>
      <w:r>
        <w:t>1.4.7 Emergency Medical Services and Facility Location</w:t>
      </w:r>
      <w:r>
        <w:tab/>
        <w:t>11</w:t>
      </w:r>
    </w:p>
    <w:p>
      <w:pPr>
        <w:pStyle w:val="TOC3"/>
      </w:pPr>
      <w:r>
        <w:t>1.4.8 Network Flows and Assigning Patients to Beds</w:t>
      </w:r>
      <w:r>
        <w:tab/>
        <w:t>11</w:t>
      </w:r>
    </w:p>
    <w:p>
      <w:pPr>
        <w:pStyle w:val="TOC3"/>
      </w:pPr>
      <w:r>
        <w:t>1.4.9 Road Vulnerability and Catchments on Networks</w:t>
      </w:r>
      <w:r>
        <w:tab/>
        <w:t>12</w:t>
      </w:r>
    </w:p>
    <w:p>
      <w:pPr>
        <w:pStyle w:val="TOC3"/>
      </w:pPr>
      <w:r>
        <w:t>1.4.10 Journey Planning on Timetable Networks</w:t>
      </w:r>
      <w:r>
        <w:tab/>
        <w:t>12</w:t>
      </w:r>
    </w:p>
    <w:p>
      <w:pPr>
        <w:pStyle w:val="TOC3"/>
      </w:pPr>
      <w:r>
        <w:t>1.4.11 Open Data on Informal Transport</w:t>
      </w:r>
      <w:r>
        <w:tab/>
        <w:t>12</w:t>
      </w:r>
    </w:p>
    <w:p>
      <w:pPr>
        <w:pStyle w:val="TOC3"/>
      </w:pPr>
      <w:r>
        <w:t>1.4.12 Landmarks as Units of Analysis</w:t>
      </w:r>
      <w:r>
        <w:tab/>
        <w:t>12</w:t>
      </w:r>
    </w:p>
    <w:p>
      <w:pPr>
        <w:pStyle w:val="TOC3"/>
      </w:pPr>
      <w:r>
        <w:t>1.4.13 The Philippine and Albay Setting</w:t>
      </w:r>
      <w:r>
        <w:tab/>
        <w:t>12</w:t>
      </w:r>
    </w:p>
    <w:p>
      <w:pPr>
        <w:pStyle w:val="TOC3"/>
      </w:pPr>
      <w:r>
        <w:t>1.4.14 Software Agents over E-mail</w:t>
      </w:r>
      <w:r>
        <w:tab/>
        <w:t>13</w:t>
      </w:r>
    </w:p>
    <w:p>
      <w:pPr>
        <w:pStyle w:val="TOC2"/>
      </w:pPr>
      <w:r>
        <w:t>1.5 Research Gap</w:t>
      </w:r>
      <w:r>
        <w:tab/>
        <w:t>13</w:t>
      </w:r>
    </w:p>
    <w:p>
      <w:pPr>
        <w:pStyle w:val="TOC2"/>
      </w:pPr>
      <w:r>
        <w:t>1.6 Contributions of the Study</w:t>
      </w:r>
      <w:r>
        <w:tab/>
        <w:t>14</w:t>
      </w:r>
    </w:p>
    <w:p>
      <w:pPr>
        <w:pStyle w:val="TOC2"/>
      </w:pPr>
      <w:r>
        <w:t>1.7 Scope and Delimitation</w:t>
      </w:r>
      <w:r>
        <w:tab/>
        <w:t>15</w:t>
      </w:r>
    </w:p>
    <w:p>
      <w:pPr>
        <w:pStyle w:val="TOC2"/>
      </w:pPr>
      <w:r>
        <w:t>1.8 Relation to the Sustainable Development Goals</w:t>
      </w:r>
      <w:r>
        <w:tab/>
        <w:t>16</w:t>
      </w:r>
    </w:p>
    <w:p>
      <w:pPr>
        <w:pStyle w:val="TOC1"/>
      </w:pPr>
      <w:r>
        <w:t>2. FRAMEWORK</w:t>
      </w:r>
      <w:r>
        <w:tab/>
        <w:t>16</w:t>
      </w:r>
    </w:p>
    <w:p>
      <w:pPr>
        <w:pStyle w:val="TOC2"/>
      </w:pPr>
      <w:r>
        <w:t>2.1 Study Area, Landmarks, and Spatial Units</w:t>
      </w:r>
      <w:r>
        <w:tab/>
        <w:t>17</w:t>
      </w:r>
    </w:p>
    <w:p>
      <w:pPr>
        <w:pStyle w:val="TOC2"/>
      </w:pPr>
      <w:r>
        <w:t>2.2 Network Definitions</w:t>
      </w:r>
      <w:r>
        <w:tab/>
        <w:t>19</w:t>
      </w:r>
    </w:p>
    <w:p>
      <w:pPr>
        <w:pStyle w:val="TOC2"/>
      </w:pPr>
      <w:r>
        <w:t>2.3 Travel Time and Accessibility</w:t>
      </w:r>
      <w:r>
        <w:tab/>
        <w:t>20</w:t>
      </w:r>
    </w:p>
    <w:p>
      <w:pPr>
        <w:pStyle w:val="TOC2"/>
      </w:pPr>
      <w:r>
        <w:t>2.4 Measures of Access Inequality</w:t>
      </w:r>
      <w:r>
        <w:tab/>
        <w:t>21</w:t>
      </w:r>
    </w:p>
    <w:p>
      <w:pPr>
        <w:pStyle w:val="TOC2"/>
      </w:pPr>
      <w:r>
        <w:t>2.5 Vehicle Classes and the Ambulance</w:t>
      </w:r>
      <w:r>
        <w:tab/>
        <w:t>21</w:t>
      </w:r>
    </w:p>
    <w:p>
      <w:pPr>
        <w:pStyle w:val="TOC2"/>
      </w:pPr>
      <w:r>
        <w:t>2.6 Fare Model: What the Commuting Patient Pays</w:t>
      </w:r>
      <w:r>
        <w:tab/>
        <w:t>22</w:t>
      </w:r>
    </w:p>
    <w:p>
      <w:pPr>
        <w:pStyle w:val="TOC2"/>
      </w:pPr>
      <w:r>
        <w:t>2.7 The Hospital Map: Capability, Services, and Cost Class</w:t>
      </w:r>
      <w:r>
        <w:tab/>
        <w:t>23</w:t>
      </w:r>
    </w:p>
    <w:p>
      <w:pPr>
        <w:pStyle w:val="TOC2"/>
      </w:pPr>
      <w:r>
        <w:t>2.8 Agent Network for Live Bed Availability</w:t>
      </w:r>
      <w:r>
        <w:tab/>
        <w:t>25</w:t>
      </w:r>
    </w:p>
    <w:p>
      <w:pPr>
        <w:pStyle w:val="TOC2"/>
      </w:pPr>
      <w:r>
        <w:t>2.9 The Patient Profile: Acuity, Needs, Ability to Pay, and Mobility</w:t>
      </w:r>
      <w:r>
        <w:tab/>
        <w:t>27</w:t>
      </w:r>
    </w:p>
    <w:p>
      <w:pPr>
        <w:pStyle w:val="TOC2"/>
      </w:pPr>
      <w:r>
        <w:t>2.10 Finding the Nearest Suitable Hospital and Its Backups</w:t>
      </w:r>
      <w:r>
        <w:tab/>
        <w:t>28</w:t>
      </w:r>
    </w:p>
    <w:p>
      <w:pPr>
        <w:pStyle w:val="TOC2"/>
      </w:pPr>
      <w:r>
        <w:t>2.11 Gaps, Catchments, and Bed Access per Person</w:t>
      </w:r>
      <w:r>
        <w:tab/>
        <w:t>31</w:t>
      </w:r>
    </w:p>
    <w:p>
      <w:pPr>
        <w:pStyle w:val="TOC2"/>
      </w:pPr>
      <w:r>
        <w:t>2.12 Surge Assignment: Many Patients, Few Beds</w:t>
      </w:r>
      <w:r>
        <w:tab/>
        <w:t>32</w:t>
      </w:r>
    </w:p>
    <w:p>
      <w:pPr>
        <w:pStyle w:val="TOC2"/>
      </w:pPr>
      <w:r>
        <w:t>2.13 Planning Measures: Critical Roads and Where to Add Care</w:t>
      </w:r>
      <w:r>
        <w:tab/>
        <w:t>33</w:t>
      </w:r>
    </w:p>
    <w:p>
      <w:pPr>
        <w:pStyle w:val="TOC2"/>
      </w:pPr>
      <w:r>
        <w:t>2.14 Assumptions</w:t>
      </w:r>
      <w:r>
        <w:tab/>
        <w:t>34</w:t>
      </w:r>
    </w:p>
    <w:p>
      <w:pPr>
        <w:pStyle w:val="TOC2"/>
      </w:pPr>
      <w:r>
        <w:t>2.15 Notation</w:t>
      </w:r>
      <w:r>
        <w:tab/>
        <w:t>35</w:t>
      </w:r>
    </w:p>
    <w:p>
      <w:pPr>
        <w:pStyle w:val="TOC1"/>
      </w:pPr>
      <w:r>
        <w:t>3. FINDINGS</w:t>
      </w:r>
      <w:r>
        <w:tab/>
        <w:t>36</w:t>
      </w:r>
    </w:p>
    <w:p>
      <w:pPr>
        <w:pStyle w:val="TOC2"/>
      </w:pPr>
      <w:r>
        <w:t>3.0 Note on Data Sources and Integrity</w:t>
      </w:r>
      <w:r>
        <w:tab/>
        <w:t>36</w:t>
      </w:r>
    </w:p>
    <w:p>
      <w:pPr>
        <w:pStyle w:val="TOC2"/>
      </w:pPr>
      <w:r>
        <w:t>3.1 General Methods</w:t>
      </w:r>
      <w:r>
        <w:tab/>
        <w:t>37</w:t>
      </w:r>
    </w:p>
    <w:p>
      <w:pPr>
        <w:pStyle w:val="TOC2"/>
      </w:pPr>
      <w:r>
        <w:t>3.2 Theoretical Results</w:t>
      </w:r>
      <w:r>
        <w:tab/>
        <w:t>37</w:t>
      </w:r>
    </w:p>
    <w:p>
      <w:pPr>
        <w:pStyle w:val="TOC2"/>
      </w:pPr>
      <w:r>
        <w:t>3.3 Software Verification</w:t>
      </w:r>
      <w:r>
        <w:tab/>
        <w:t>47</w:t>
      </w:r>
    </w:p>
    <w:p>
      <w:pPr>
        <w:pStyle w:val="TOC2"/>
      </w:pPr>
      <w:r>
        <w:t>3.4 Computational Cost</w:t>
      </w:r>
      <w:r>
        <w:tab/>
        <w:t>50</w:t>
      </w:r>
    </w:p>
    <w:p>
      <w:pPr>
        <w:pStyle w:val="TOC2"/>
      </w:pPr>
      <w:r>
        <w:t>3.5 Worked Instance S1</w:t>
      </w:r>
      <w:r>
        <w:tab/>
        <w:t>52</w:t>
      </w:r>
    </w:p>
    <w:p>
      <w:pPr>
        <w:pStyle w:val="TOC3"/>
      </w:pPr>
      <w:r>
        <w:t>3.5.1 Hospital Mode on Instance S1</w:t>
      </w:r>
      <w:r>
        <w:tab/>
        <w:t>54</w:t>
      </w:r>
    </w:p>
    <w:p>
      <w:pPr>
        <w:pStyle w:val="TOC3"/>
      </w:pPr>
      <w:r>
        <w:t>3.5.2 Patient Needs and Backups on S1</w:t>
      </w:r>
      <w:r>
        <w:tab/>
        <w:t>55</w:t>
      </w:r>
    </w:p>
    <w:p>
      <w:pPr>
        <w:pStyle w:val="TOC3"/>
      </w:pPr>
      <w:r>
        <w:t>3.5.3 Beds per Person on S1</w:t>
      </w:r>
      <w:r>
        <w:tab/>
        <w:t>56</w:t>
      </w:r>
    </w:p>
    <w:p>
      <w:pPr>
        <w:pStyle w:val="TOC3"/>
      </w:pPr>
      <w:r>
        <w:t>3.5.4 Surge Assignment on S1</w:t>
      </w:r>
      <w:r>
        <w:tab/>
        <w:t>57</w:t>
      </w:r>
    </w:p>
    <w:p>
      <w:pPr>
        <w:pStyle w:val="TOC2"/>
      </w:pPr>
      <w:r>
        <w:t>3.6 Computational Experiments on the Open-Data Instance</w:t>
      </w:r>
      <w:r>
        <w:tab/>
        <w:t>58</w:t>
      </w:r>
    </w:p>
    <w:p>
      <w:pPr>
        <w:pStyle w:val="TOC3"/>
      </w:pPr>
      <w:r>
        <w:t>3.6.1 Sensitivity Analysis</w:t>
      </w:r>
      <w:r>
        <w:tab/>
        <w:t>58</w:t>
      </w:r>
    </w:p>
    <w:p>
      <w:pPr>
        <w:pStyle w:val="TOC3"/>
      </w:pPr>
      <w:r>
        <w:t>3.6.2 Statistical Treatment</w:t>
      </w:r>
      <w:r>
        <w:tab/>
        <w:t>58</w:t>
      </w:r>
    </w:p>
    <w:p>
      <w:pPr>
        <w:pStyle w:val="TOC3"/>
      </w:pPr>
      <w:r>
        <w:t>3.6.3 Pre-Registered Model Hypotheses</w:t>
      </w:r>
      <w:r>
        <w:tab/>
        <w:t>59</w:t>
      </w:r>
    </w:p>
    <w:p>
      <w:pPr>
        <w:pStyle w:val="TOC3"/>
      </w:pPr>
      <w:r>
        <w:t>3.6.4 Sensitivity Sweeps</w:t>
      </w:r>
      <w:r>
        <w:tab/>
        <w:t>61</w:t>
      </w:r>
    </w:p>
    <w:p>
      <w:pPr>
        <w:pStyle w:val="TOC1"/>
      </w:pPr>
      <w:r>
        <w:t>4. CONCLUSIONS</w:t>
      </w:r>
      <w:r>
        <w:tab/>
        <w:t>61</w:t>
      </w:r>
    </w:p>
    <w:p>
      <w:pPr>
        <w:pStyle w:val="TOC2"/>
      </w:pPr>
      <w:r>
        <w:t>4.1 Evaluation of the Findings</w:t>
      </w:r>
      <w:r>
        <w:tab/>
        <w:t>61</w:t>
      </w:r>
    </w:p>
    <w:p>
      <w:pPr>
        <w:pStyle w:val="TOC2"/>
      </w:pPr>
      <w:r>
        <w:t>4.2 Limitations</w:t>
      </w:r>
      <w:r>
        <w:tab/>
        <w:t>62</w:t>
      </w:r>
    </w:p>
    <w:p>
      <w:pPr>
        <w:pStyle w:val="TOC2"/>
      </w:pPr>
      <w:r>
        <w:t>4.3 Recommendations and Challenges in Extending the Results</w:t>
      </w:r>
      <w:r>
        <w:tab/>
        <w:t>65</w:t>
      </w:r>
    </w:p>
    <w:p>
      <w:pPr>
        <w:pStyle w:val="TOC2"/>
      </w:pPr>
      <w:r>
        <w:t>4.4 Applications</w:t>
      </w:r>
      <w:r>
        <w:tab/>
        <w:t>65</w:t>
      </w:r>
    </w:p>
    <w:p>
      <w:pPr>
        <w:pStyle w:val="TOC1"/>
      </w:pPr>
      <w:r>
        <w:t>5. REFERENCES</w:t>
      </w:r>
      <w:r>
        <w:tab/>
        <w:t>66</w:t>
      </w:r>
    </w:p>
    <w:p>
      <w:pPr>
        <w:pStyle w:val="TOC1"/>
      </w:pPr>
      <w:r>
        <w:t>APPENDIX A. OPEN DATA SOURCE REGISTER</w:t>
      </w:r>
      <w:r>
        <w:tab/>
        <w:t>74</w:t>
      </w:r>
    </w:p>
    <w:p>
      <w:pPr>
        <w:pStyle w:val="TOC1"/>
      </w:pPr>
      <w:r>
        <w:t>APPENDIX B. GTFS FILES PRODUCED</w:t>
      </w:r>
      <w:r>
        <w:tab/>
        <w:t>75</w:t>
      </w:r>
    </w:p>
    <w:p>
      <w:pPr>
        <w:pStyle w:val="TOC1"/>
      </w:pPr>
      <w:r>
        <w:t>APPENDIX C. RULES FOR INCLUDING LANDMARKS AND THE INVENTORY SCHEMA</w:t>
      </w:r>
      <w:r>
        <w:tab/>
        <w:t>75</w:t>
      </w:r>
    </w:p>
    <w:p>
      <w:pPr>
        <w:pStyle w:val="TOC1"/>
      </w:pPr>
      <w:r>
        <w:t>APPENDIX D. APPLICATION FEATURE CHECKLIST</w:t>
      </w:r>
      <w:r>
        <w:tab/>
        <w:t>77</w:t>
      </w:r>
    </w:p>
    <w:p>
      <w:pPr>
        <w:pStyle w:val="TOC1"/>
      </w:pPr>
      <w:r>
        <w:t>APPENDIX E. RISK REGISTER</w:t>
      </w:r>
      <w:r>
        <w:tab/>
        <w:t>79</w:t>
      </w:r>
    </w:p>
    <w:p>
      <w:pPr>
        <w:pStyle w:val="TOC1"/>
      </w:pPr>
      <w:r>
        <w:t>APPENDIX F. THE INQUIRY MESSAGE AND ITS REPLY FORM</w:t>
      </w:r>
      <w:r>
        <w:tab/>
        <w:t>80</w:t>
      </w:r>
    </w:p>
    <w:p>
      <w:pPr>
        <w:pStyle w:val="TOC1"/>
      </w:pPr>
      <w:r>
        <w:t>APPENDIX G. REPRODUCING THE NEW RESULTS</w:t>
      </w:r>
      <w:r>
        <w:tab/>
        <w:t>81</w:t>
      </w:r>
    </w:p>
    <w:p>
      <w:pPr>
        <w:pStyle w:val="TOC1"/>
      </w:pPr>
      <w:r>
        <w:t>ETHICS STATEMENT</w:t>
      </w:r>
      <w:r>
        <w:tab/>
        <w:t>81</w:t>
      </w:r>
      <w:r>
        <w:fldChar w:fldCharType="end"/>
      </w:r>
    </w:p>
    <w:p>
      <w:r>
        <w:br w:type="page"/>
      </w:r>
    </w:p>
    <w:bookmarkStart w:id="23" w:name="abstract"/>
    <w:p>
      <w:pPr>
        <w:pStyle w:val="Heading1"/>
        <w:jc w:val="center"/>
      </w:pPr>
      <w:r>
        <w:t xml:space="preserve">ABSTRACT</w:t>
      </w:r>
    </w:p>
    <w:p>
      <w:pPr>
        <w:pStyle w:val="AbstractTitle"/>
      </w:pPr>
      <w:r>
        <w:t xml:space="preserve">Right Hospital, Right Bed, Right Time: A Verified Network Model for Mapping Hospitals and Routing Patients in Albay by Clinical Need, Live Bed Availability, and Ability to Pay</w:t>
      </w:r>
    </w:p>
    <w:p>
      <w:pPr>
        <w:pStyle w:val="AbstractByline"/>
      </w:pPr>
      <w:r>
        <w:rPr>
          <w:iCs/>
          <w:i/>
        </w:rPr>
        <w:t xml:space="preserve">Brimbuela, Peter John A., De Asis, Dave Justin Ll., Shin, Yeaseong</w:t>
      </w:r>
    </w:p>
    <w:p>
      <w:pPr>
        <w:pStyle w:val="AbstractByline"/>
      </w:pPr>
      <w:r>
        <w:rPr>
          <w:iCs/>
          <w:i/>
        </w:rPr>
        <w:t xml:space="preserve">Legazpi City Science High School, Legazpi City, Albay, Bicol Region (Region V)</w:t>
      </w:r>
    </w:p>
    <w:p>
      <w:pPr>
        <w:pStyle w:val="BodyText"/>
      </w:pPr>
      <w:r>
        <w:t xml:space="preserve">A patient in Albay usually goes to the nearest hospital, which may have no free bed, may lack the needed service, or may cost more than the family can pay. Patients without an ambulance ride jeepneys, tricycles, and vans whose routes are recorded nowhere. This study built a laptop-computable network model from open data that maps hospitals by capability, services, emergency room, cost class, and reported free beds, and routes each patient, by ambulance or public transport, to the nearest hospital fitting the patient’s acuity, required services, payment class, and walking ability. OpenStreetMap roads and estimated headways formed a landmark-anchored timetable graph, e-mail agents gathered bed counts, and an early-stopping search returned the nearest suitable hospital with ranked backups. The model also maps hospital catchments, measures bed access per person and its inequality, assigns many patients to few beds, ranks roads critical to hospital access, and selects sites for new Malasakit Centers. Eighteen results were proven and tested on synthetic instances against independent code. Hospital routing matched the references in all 10,400 queries, and the one-search catchment map agreed at all 11,474 test vertices. Every road closure that delayed patients lay on the predicted shortest-path forest, halving the roads to test. Optimal surge assignment never overfilled a hospital and placed 202 more patients than first-come allocation, while greedy site selection reached at least 82.5 percent of the optimum. The agents rejected all 200 forged replies. Open data therefore suffice to route patients by need, beds, and cost, supporting SDGs 3, 10, and 11. The Provincial Health Office and LGUs are recommended to pilot the model with consenting hospitals and validate it in the field.</w:t>
      </w:r>
    </w:p>
    <w:p>
      <w:pPr>
        <w:pStyle w:val="BodyText"/>
      </w:pPr>
      <w:r>
        <w:rPr>
          <w:bCs/>
          <w:b/>
        </w:rPr>
        <w:t xml:space="preserve">Keywords:</w:t>
      </w:r>
      <w:r>
        <w:t xml:space="preserve"> </w:t>
      </w:r>
      <w:r>
        <w:t xml:space="preserve">nearest suitable hospital, time-expanded graph, two-step floating catchment area, minimum-cost assignment, payment gap</w:t>
      </w:r>
    </w:p>
    <w:p>
      <w:r>
        <w:br w:type="page"/>
      </w:r>
    </w:p>
    <w:bookmarkEnd w:id="23"/>
    <w:bookmarkStart w:id="46" w:name="introduction"/>
    <w:p>
      <w:pPr>
        <w:pStyle w:val="Heading1"/>
      </w:pPr>
      <w:r>
        <w:t xml:space="preserve">1. INTRODUCTION</w:t>
      </w:r>
    </w:p>
    <w:p>
      <w:pPr>
        <w:pStyle w:val="FirstParagraph"/>
      </w:pPr>
      <w:r>
        <w:t xml:space="preserve">In 2015 the member states of the United Nations adopted the 2030 Agenda for Sustainable Development, with 17 Sustainable Development Goals (SDGs) and a pledge that no one will be left behind (United Nations General Assembly [UNGA], 2015). Target 3.8 asks for health care that people can use without financial hardship, and target 11.2 asks for transport that is safe, affordable, and accessible for all.</w:t>
      </w:r>
    </w:p>
    <w:p>
      <w:pPr>
        <w:pStyle w:val="BodyText"/>
      </w:pPr>
      <w:r>
        <w:t xml:space="preserve">The two targets meet at a single moment: the trip from where a patient is to a hospital that can actually help. In Albay that trip is harder than a map suggests.</w:t>
      </w:r>
    </w:p>
    <w:p>
      <w:pPr>
        <w:pStyle w:val="BodyText"/>
      </w:pPr>
      <w:r>
        <w:t xml:space="preserve">The usual answer,</w:t>
      </w:r>
      <w:r>
        <w:t xml:space="preserve"> </w:t>
      </w:r>
      <w:r>
        <w:t xml:space="preserve">“</w:t>
      </w:r>
      <w:r>
        <w:t xml:space="preserve">go to the nearest hospital,</w:t>
      </w:r>
      <w:r>
        <w:t xml:space="preserve">”</w:t>
      </w:r>
      <w:r>
        <w:t xml:space="preserve"> </w:t>
      </w:r>
      <w:r>
        <w:t xml:space="preserve">ignores all of this. A patient sent to a full hospital loses time at the door.</w:t>
      </w:r>
    </w:p>
    <w:p>
      <w:pPr>
        <w:pStyle w:val="BodyText"/>
      </w:pPr>
      <w:r>
        <w:t xml:space="preserve">This study treats the question as a problem in mathematics and computation. Hospitals, roads, transit services, and landmarks become graphs and sets; a patient’s situation becomes a profile; and</w:t>
      </w:r>
      <w:r>
        <w:t xml:space="preserve"> </w:t>
      </w:r>
      <w:r>
        <w:t xml:space="preserve">“</w:t>
      </w:r>
      <w:r>
        <w:t xml:space="preserve">the right hospital</w:t>
      </w:r>
      <w:r>
        <w:t xml:space="preserve">”</w:t>
      </w:r>
      <w:r>
        <w:t xml:space="preserve"> </w:t>
      </w:r>
      <w:r>
        <w:t xml:space="preserve">becomes the solution of a shortest-path problem over a filtered set of hospitals.</w:t>
      </w:r>
    </w:p>
    <w:bookmarkStart w:id="24" w:name="statement-of-the-problem"/>
    <w:p>
      <w:pPr>
        <w:pStyle w:val="Heading2"/>
      </w:pPr>
      <w:r>
        <w:t xml:space="preserve">1.1 Statement of the Problem</w:t>
      </w:r>
    </w:p>
    <w:p>
      <w:pPr>
        <w:pStyle w:val="FirstParagraph"/>
      </w:pPr>
      <w:r>
        <w:t xml:space="preserve">The study starts from the patient. Table 1 lists the problems that a patient, a family, an ambulance crew, or a health planner in Albay meets on the way to hospital care, together with the part of the model built to deal with each.</w:t>
      </w:r>
    </w:p>
    <w:p>
      <w:pPr>
        <w:pStyle w:val="TableCaption"/>
      </w:pPr>
      <w:r>
        <w:rPr>
          <w:bCs/>
          <w:b/>
        </w:rPr>
        <w:t xml:space="preserve">Table 1.</w:t>
      </w:r>
      <w:r>
        <w:t xml:space="preserve"> </w:t>
      </w:r>
      <w:r>
        <w:t xml:space="preserve">Problems in reaching hospital care that the study addresses, and the part of the model that answers each.</w:t>
      </w:r>
    </w:p>
    <w:tbl>
      <w:tblPr>
        <w:tblStyle w:val="Table"/>
        <w:tblW w:type="pct" w:w="5000"/>
        <w:jc w:val="center"/>
        <w:tblCaption w:val="Table 1. Problems in reaching hospital care that the study addresses, and the part of the model that answers each."/>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507"/>
        <w:gridCol w:w="2030"/>
        <w:gridCol w:w="2640"/>
        <w:gridCol w:w="2741"/>
      </w:tblGrid>
      <w:tr>
        <w:trPr>
          <w:tblHeader w:val="true"/>
          <w:tblHeader/>
          <w:cantSplit/>
        </w:trPr>
        <w:tc>
          <w:tcPr/>
          <w:p>
            <w:pPr>
              <w:pStyle w:val="Compact"/>
              <w:jc w:val="left"/>
            </w:pPr>
            <w:r>
              <w:rPr>
                <w:b/>
              </w:rPr>
              <w:t xml:space="preserve">No.</w:t>
            </w:r>
          </w:p>
        </w:tc>
        <w:tc>
          <w:tcPr/>
          <w:p>
            <w:pPr>
              <w:pStyle w:val="Compact"/>
              <w:jc w:val="left"/>
            </w:pPr>
            <w:r>
              <w:rPr>
                <w:b/>
              </w:rPr>
              <w:t xml:space="preserve">Problem</w:t>
            </w:r>
          </w:p>
        </w:tc>
        <w:tc>
          <w:tcPr/>
          <w:p>
            <w:pPr>
              <w:pStyle w:val="Compact"/>
              <w:jc w:val="left"/>
            </w:pPr>
            <w:r>
              <w:rPr>
                <w:b/>
              </w:rPr>
              <w:t xml:space="preserve">What happens to the patient</w:t>
            </w:r>
          </w:p>
        </w:tc>
        <w:tc>
          <w:tcPr/>
          <w:p>
            <w:pPr>
              <w:pStyle w:val="Compact"/>
              <w:jc w:val="left"/>
            </w:pPr>
            <w:r>
              <w:rPr>
                <w:b/>
              </w:rPr>
              <w:t xml:space="preserve">Part of the model that answers it</w:t>
            </w:r>
          </w:p>
        </w:tc>
      </w:tr>
      <w:tr>
        <w:trPr>
          <w:cantSplit/>
        </w:trPr>
        <w:tc>
          <w:tcPr/>
          <w:p>
            <w:pPr>
              <w:pStyle w:val="Compact"/>
              <w:jc w:val="left"/>
            </w:pPr>
            <w:r>
              <w:t xml:space="preserve">P1</w:t>
            </w:r>
          </w:p>
        </w:tc>
        <w:tc>
          <w:tcPr/>
          <w:p>
            <w:pPr>
              <w:pStyle w:val="Compact"/>
              <w:jc w:val="left"/>
            </w:pPr>
            <w:r>
              <w:t xml:space="preserve">The nearest hospital has no free bed</w:t>
            </w:r>
          </w:p>
        </w:tc>
        <w:tc>
          <w:tcPr/>
          <w:p>
            <w:pPr>
              <w:pStyle w:val="Compact"/>
              <w:jc w:val="left"/>
            </w:pPr>
            <w:r>
              <w:t xml:space="preserve">Travels, is turned away, loses time</w:t>
            </w:r>
          </w:p>
        </w:tc>
        <w:tc>
          <w:tcPr/>
          <w:p>
            <w:pPr>
              <w:pStyle w:val="Compact"/>
              <w:jc w:val="left"/>
            </w:pPr>
            <w:r>
              <w:t xml:space="preserve">Live bed status from the agent network; the FULL filter (Defs. 14, 15, 17)</w:t>
            </w:r>
          </w:p>
        </w:tc>
      </w:tr>
      <w:tr>
        <w:trPr>
          <w:cantSplit/>
        </w:trPr>
        <w:tc>
          <w:tcPr/>
          <w:p>
            <w:pPr>
              <w:pStyle w:val="Compact"/>
              <w:jc w:val="left"/>
            </w:pPr>
            <w:r>
              <w:t xml:space="preserve">P2</w:t>
            </w:r>
          </w:p>
        </w:tc>
        <w:tc>
          <w:tcPr/>
          <w:p>
            <w:pPr>
              <w:pStyle w:val="Compact"/>
              <w:jc w:val="left"/>
            </w:pPr>
            <w:r>
              <w:t xml:space="preserve">The nearest hospital cannot treat the condition</w:t>
            </w:r>
          </w:p>
        </w:tc>
        <w:tc>
          <w:tcPr/>
          <w:p>
            <w:pPr>
              <w:pStyle w:val="Compact"/>
              <w:jc w:val="left"/>
            </w:pPr>
            <w:r>
              <w:t xml:space="preserve">Referred again after arrival</w:t>
            </w:r>
          </w:p>
        </w:tc>
        <w:tc>
          <w:tcPr/>
          <w:p>
            <w:pPr>
              <w:pStyle w:val="Compact"/>
              <w:jc w:val="left"/>
            </w:pPr>
            <w:r>
              <w:t xml:space="preserve">Service sets of hospitals and the patient’s need set (Defs. 13, 16, 17)</w:t>
            </w:r>
          </w:p>
        </w:tc>
      </w:tr>
      <w:tr>
        <w:trPr>
          <w:cantSplit/>
        </w:trPr>
        <w:tc>
          <w:tcPr/>
          <w:p>
            <w:pPr>
              <w:pStyle w:val="Compact"/>
              <w:jc w:val="left"/>
            </w:pPr>
            <w:r>
              <w:t xml:space="preserve">P3</w:t>
            </w:r>
          </w:p>
        </w:tc>
        <w:tc>
          <w:tcPr/>
          <w:p>
            <w:pPr>
              <w:pStyle w:val="Compact"/>
              <w:jc w:val="left"/>
            </w:pPr>
            <w:r>
              <w:t xml:space="preserve">The family cannot pay at the nearest hospital</w:t>
            </w:r>
          </w:p>
        </w:tc>
        <w:tc>
          <w:tcPr/>
          <w:p>
            <w:pPr>
              <w:pStyle w:val="Compact"/>
              <w:jc w:val="left"/>
            </w:pPr>
            <w:r>
              <w:t xml:space="preserve">Delays care or carries debt</w:t>
            </w:r>
          </w:p>
        </w:tc>
        <w:tc>
          <w:tcPr/>
          <w:p>
            <w:pPr>
              <w:pStyle w:val="Compact"/>
              <w:jc w:val="left"/>
            </w:pPr>
            <w:r>
              <w:t xml:space="preserve">Cost classes, payment class, and payment gap (Defs. 13, 17, 20)</w:t>
            </w:r>
          </w:p>
        </w:tc>
      </w:tr>
      <w:tr>
        <w:trPr>
          <w:cantSplit/>
        </w:trPr>
        <w:tc>
          <w:tcPr/>
          <w:p>
            <w:pPr>
              <w:pStyle w:val="Compact"/>
              <w:jc w:val="left"/>
            </w:pPr>
            <w:r>
              <w:t xml:space="preserve">P4</w:t>
            </w:r>
          </w:p>
        </w:tc>
        <w:tc>
          <w:tcPr/>
          <w:p>
            <w:pPr>
              <w:pStyle w:val="Compact"/>
              <w:jc w:val="left"/>
            </w:pPr>
            <w:r>
              <w:t xml:space="preserve">An emergency patient is screened by ability to pay</w:t>
            </w:r>
          </w:p>
        </w:tc>
        <w:tc>
          <w:tcPr/>
          <w:p>
            <w:pPr>
              <w:pStyle w:val="Compact"/>
              <w:jc w:val="left"/>
            </w:pPr>
            <w:r>
              <w:t xml:space="preserve">Treatment delayed by a deposit demand</w:t>
            </w:r>
          </w:p>
        </w:tc>
        <w:tc>
          <w:tcPr/>
          <w:p>
            <w:pPr>
              <w:pStyle w:val="Compact"/>
              <w:jc w:val="left"/>
            </w:pPr>
            <w:r>
              <w:t xml:space="preserve">Payment filter switched off for emergencies, as Republic Act No. 10932 requires (Def. 17; Prop. 10)</w:t>
            </w:r>
          </w:p>
        </w:tc>
      </w:tr>
      <w:tr>
        <w:trPr>
          <w:cantSplit/>
        </w:trPr>
        <w:tc>
          <w:tcPr/>
          <w:p>
            <w:pPr>
              <w:pStyle w:val="Compact"/>
              <w:jc w:val="left"/>
            </w:pPr>
            <w:r>
              <w:t xml:space="preserve">P5</w:t>
            </w:r>
          </w:p>
        </w:tc>
        <w:tc>
          <w:tcPr/>
          <w:p>
            <w:pPr>
              <w:pStyle w:val="Compact"/>
              <w:jc w:val="left"/>
            </w:pPr>
            <w:r>
              <w:t xml:space="preserve">No ambulance is available</w:t>
            </w:r>
          </w:p>
        </w:tc>
        <w:tc>
          <w:tcPr/>
          <w:p>
            <w:pPr>
              <w:pStyle w:val="Compact"/>
              <w:jc w:val="left"/>
            </w:pPr>
            <w:r>
              <w:t xml:space="preserve">Must find a jeepney, tricycle, or van route to the hospital and pay the fare</w:t>
            </w:r>
          </w:p>
        </w:tc>
        <w:tc>
          <w:tcPr/>
          <w:p>
            <w:pPr>
              <w:pStyle w:val="Compact"/>
              <w:jc w:val="left"/>
            </w:pPr>
            <w:r>
              <w:t xml:space="preserve">Patient mode on the timetable graph, with the regulated fare (Defs. 4 to 6, 12, 18)</w:t>
            </w:r>
          </w:p>
        </w:tc>
      </w:tr>
      <w:tr>
        <w:trPr>
          <w:cantSplit/>
        </w:trPr>
        <w:tc>
          <w:tcPr/>
          <w:p>
            <w:pPr>
              <w:pStyle w:val="Compact"/>
              <w:jc w:val="left"/>
            </w:pPr>
            <w:r>
              <w:t xml:space="preserve">P6</w:t>
            </w:r>
          </w:p>
        </w:tc>
        <w:tc>
          <w:tcPr/>
          <w:p>
            <w:pPr>
              <w:pStyle w:val="Compact"/>
              <w:jc w:val="left"/>
            </w:pPr>
            <w:r>
              <w:t xml:space="preserve">The patient walks slowly because of age, illness, pregnancy, or disability</w:t>
            </w:r>
          </w:p>
        </w:tc>
        <w:tc>
          <w:tcPr/>
          <w:p>
            <w:pPr>
              <w:pStyle w:val="Compact"/>
              <w:jc w:val="left"/>
            </w:pPr>
            <w:r>
              <w:t xml:space="preserve">The usual walking assumptions overstate access</w:t>
            </w:r>
          </w:p>
        </w:tc>
        <w:tc>
          <w:tcPr/>
          <w:p>
            <w:pPr>
              <w:pStyle w:val="Compact"/>
              <w:jc w:val="left"/>
            </w:pPr>
            <w:r>
              <w:t xml:space="preserve">Mobility classes in the patient profile (Def. 16; Prop. 13)</w:t>
            </w:r>
          </w:p>
        </w:tc>
      </w:tr>
      <w:tr>
        <w:trPr>
          <w:cantSplit/>
        </w:trPr>
        <w:tc>
          <w:tcPr/>
          <w:p>
            <w:pPr>
              <w:pStyle w:val="Compact"/>
              <w:jc w:val="left"/>
            </w:pPr>
            <w:r>
              <w:t xml:space="preserve">P7</w:t>
            </w:r>
          </w:p>
        </w:tc>
        <w:tc>
          <w:tcPr/>
          <w:p>
            <w:pPr>
              <w:pStyle w:val="Compact"/>
              <w:jc w:val="left"/>
            </w:pPr>
            <w:r>
              <w:t xml:space="preserve">A road is too narrow or a bridge too weak for the ambulance</w:t>
            </w:r>
          </w:p>
        </w:tc>
        <w:tc>
          <w:tcPr/>
          <w:p>
            <w:pPr>
              <w:pStyle w:val="Compact"/>
              <w:jc w:val="left"/>
            </w:pPr>
            <w:r>
              <w:t xml:space="preserve">Crew discovers the obstacle on the way</w:t>
            </w:r>
          </w:p>
        </w:tc>
        <w:tc>
          <w:tcPr/>
          <w:p>
            <w:pPr>
              <w:pStyle w:val="Compact"/>
              <w:jc w:val="left"/>
            </w:pPr>
            <w:r>
              <w:t xml:space="preserve">Ambulance vehicle class on the road graph (Def. 11; Prop. 3)</w:t>
            </w:r>
          </w:p>
        </w:tc>
      </w:tr>
      <w:tr>
        <w:trPr>
          <w:cantSplit/>
        </w:trPr>
        <w:tc>
          <w:tcPr/>
          <w:p>
            <w:pPr>
              <w:pStyle w:val="Compact"/>
              <w:jc w:val="left"/>
            </w:pPr>
            <w:r>
              <w:t xml:space="preserve">P8</w:t>
            </w:r>
          </w:p>
        </w:tc>
        <w:tc>
          <w:tcPr/>
          <w:p>
            <w:pPr>
              <w:pStyle w:val="Compact"/>
              <w:jc w:val="left"/>
            </w:pPr>
            <w:r>
              <w:t xml:space="preserve">The first-choice hospital turns the patient away on arrival</w:t>
            </w:r>
          </w:p>
        </w:tc>
        <w:tc>
          <w:tcPr/>
          <w:p>
            <w:pPr>
              <w:pStyle w:val="Compact"/>
              <w:jc w:val="left"/>
            </w:pPr>
            <w:r>
              <w:t xml:space="preserve">No plan for where to go next</w:t>
            </w:r>
          </w:p>
        </w:tc>
        <w:tc>
          <w:tcPr/>
          <w:p>
            <w:pPr>
              <w:pStyle w:val="Compact"/>
              <w:jc w:val="left"/>
            </w:pPr>
            <w:r>
              <w:t xml:space="preserve">Ranked backup hospitals (Def. 18; Prop. 9)</w:t>
            </w:r>
          </w:p>
        </w:tc>
      </w:tr>
      <w:tr>
        <w:trPr>
          <w:cantSplit/>
        </w:trPr>
        <w:tc>
          <w:tcPr/>
          <w:p>
            <w:pPr>
              <w:pStyle w:val="Compact"/>
              <w:jc w:val="left"/>
            </w:pPr>
            <w:r>
              <w:t xml:space="preserve">P9</w:t>
            </w:r>
          </w:p>
        </w:tc>
        <w:tc>
          <w:tcPr/>
          <w:p>
            <w:pPr>
              <w:pStyle w:val="Compact"/>
              <w:jc w:val="left"/>
            </w:pPr>
            <w:r>
              <w:t xml:space="preserve">A critical patient is far from the right hospital but near an emergency room</w:t>
            </w:r>
          </w:p>
        </w:tc>
        <w:tc>
          <w:tcPr/>
          <w:p>
            <w:pPr>
              <w:pStyle w:val="Compact"/>
              <w:jc w:val="left"/>
            </w:pPr>
            <w:r>
              <w:t xml:space="preserve">Life-saving care comes late</w:t>
            </w:r>
          </w:p>
        </w:tc>
        <w:tc>
          <w:tcPr/>
          <w:p>
            <w:pPr>
              <w:pStyle w:val="Compact"/>
              <w:jc w:val="left"/>
            </w:pPr>
            <w:r>
              <w:t xml:space="preserve">Stabilization rule (Def. 19)</w:t>
            </w:r>
          </w:p>
        </w:tc>
      </w:tr>
      <w:tr>
        <w:trPr>
          <w:cantSplit/>
        </w:trPr>
        <w:tc>
          <w:tcPr/>
          <w:p>
            <w:pPr>
              <w:pStyle w:val="Compact"/>
              <w:jc w:val="left"/>
            </w:pPr>
            <w:r>
              <w:t xml:space="preserve">P10</w:t>
            </w:r>
          </w:p>
        </w:tc>
        <w:tc>
          <w:tcPr/>
          <w:p>
            <w:pPr>
              <w:pStyle w:val="Compact"/>
              <w:jc w:val="left"/>
            </w:pPr>
            <w:r>
              <w:t xml:space="preserve">Many patients need beds at once (typhoon, Mayon Volcano eruption, road crash)</w:t>
            </w:r>
          </w:p>
        </w:tc>
        <w:tc>
          <w:tcPr/>
          <w:p>
            <w:pPr>
              <w:pStyle w:val="Compact"/>
              <w:jc w:val="left"/>
            </w:pPr>
            <w:r>
              <w:t xml:space="preserve">Ambulances converge on the same few beds</w:t>
            </w:r>
          </w:p>
        </w:tc>
        <w:tc>
          <w:tcPr/>
          <w:p>
            <w:pPr>
              <w:pStyle w:val="Compact"/>
              <w:jc w:val="left"/>
            </w:pPr>
            <w:r>
              <w:t xml:space="preserve">Surge assignment as a minimum-cost assignment (Def. 24; Prop. 16)</w:t>
            </w:r>
          </w:p>
        </w:tc>
      </w:tr>
      <w:tr>
        <w:trPr>
          <w:cantSplit/>
        </w:trPr>
        <w:tc>
          <w:tcPr/>
          <w:p>
            <w:pPr>
              <w:pStyle w:val="Compact"/>
              <w:jc w:val="left"/>
            </w:pPr>
            <w:r>
              <w:t xml:space="preserve">P11</w:t>
            </w:r>
          </w:p>
        </w:tc>
        <w:tc>
          <w:tcPr/>
          <w:p>
            <w:pPr>
              <w:pStyle w:val="Compact"/>
              <w:jc w:val="left"/>
            </w:pPr>
            <w:r>
              <w:t xml:space="preserve">Flooding or lahar closes roads</w:t>
            </w:r>
          </w:p>
        </w:tc>
        <w:tc>
          <w:tcPr/>
          <w:p>
            <w:pPr>
              <w:pStyle w:val="Compact"/>
              <w:jc w:val="left"/>
            </w:pPr>
            <w:r>
              <w:t xml:space="preserve">Hospitals are cut off without warning</w:t>
            </w:r>
          </w:p>
        </w:tc>
        <w:tc>
          <w:tcPr/>
          <w:p>
            <w:pPr>
              <w:pStyle w:val="Compact"/>
              <w:jc w:val="left"/>
            </w:pPr>
            <w:r>
              <w:t xml:space="preserve">Road segments ranked by how much their loss delays patients (Def. 25; Prop. 17)</w:t>
            </w:r>
          </w:p>
        </w:tc>
      </w:tr>
      <w:tr>
        <w:trPr>
          <w:cantSplit/>
        </w:trPr>
        <w:tc>
          <w:tcPr/>
          <w:p>
            <w:pPr>
              <w:pStyle w:val="Compact"/>
              <w:jc w:val="left"/>
            </w:pPr>
            <w:r>
              <w:t xml:space="preserve">P12</w:t>
            </w:r>
          </w:p>
        </w:tc>
        <w:tc>
          <w:tcPr/>
          <w:p>
            <w:pPr>
              <w:pStyle w:val="Compact"/>
              <w:jc w:val="left"/>
            </w:pPr>
            <w:r>
              <w:t xml:space="preserve">Planners do not know which communities are far from affordable beds</w:t>
            </w:r>
          </w:p>
        </w:tc>
        <w:tc>
          <w:tcPr/>
          <w:p>
            <w:pPr>
              <w:pStyle w:val="Compact"/>
              <w:jc w:val="left"/>
            </w:pPr>
            <w:r>
              <w:t xml:space="preserve">Investment goes where need is not greatest</w:t>
            </w:r>
          </w:p>
        </w:tc>
        <w:tc>
          <w:tcPr/>
          <w:p>
            <w:pPr>
              <w:pStyle w:val="Compact"/>
              <w:jc w:val="left"/>
            </w:pPr>
            <w:r>
              <w:t xml:space="preserve">Catchment map, bed-to-population ratio, bed deserts, and site selection (Defs. 21 to 23, 26; Props. 14, 15, 18)</w:t>
            </w:r>
          </w:p>
        </w:tc>
      </w:tr>
      <w:tr>
        <w:trPr>
          <w:cantSplit/>
        </w:trPr>
        <w:tc>
          <w:tcPr/>
          <w:p>
            <w:pPr>
              <w:pStyle w:val="Compact"/>
              <w:jc w:val="left"/>
            </w:pPr>
            <w:r>
              <w:t xml:space="preserve">P13</w:t>
            </w:r>
          </w:p>
        </w:tc>
        <w:tc>
          <w:tcPr/>
          <w:p>
            <w:pPr>
              <w:pStyle w:val="Compact"/>
              <w:jc w:val="left"/>
            </w:pPr>
            <w:r>
              <w:t xml:space="preserve">The health office has no live picture of beds</w:t>
            </w:r>
          </w:p>
        </w:tc>
        <w:tc>
          <w:tcPr/>
          <w:p>
            <w:pPr>
              <w:pStyle w:val="Compact"/>
              <w:jc w:val="left"/>
            </w:pPr>
            <w:r>
              <w:t xml:space="preserve">Cannot direct patients during surges</w:t>
            </w:r>
          </w:p>
        </w:tc>
        <w:tc>
          <w:tcPr/>
          <w:p>
            <w:pPr>
              <w:pStyle w:val="Compact"/>
              <w:jc w:val="left"/>
            </w:pPr>
            <w:r>
              <w:t xml:space="preserve">Agent network and bed table with report age (Defs. 14, 15; Prop. 12)</w:t>
            </w:r>
          </w:p>
        </w:tc>
      </w:tr>
    </w:tbl>
    <w:bookmarkEnd w:id="24"/>
    <w:bookmarkStart w:id="25" w:name="objectives-of-the-study"/>
    <w:p>
      <w:pPr>
        <w:pStyle w:val="Heading2"/>
      </w:pPr>
      <w:r>
        <w:t xml:space="preserve">1.2 Objectives of the Study</w:t>
      </w:r>
    </w:p>
    <w:p>
      <w:pPr>
        <w:pStyle w:val="FirstParagraph"/>
      </w:pPr>
      <w:r>
        <w:rPr>
          <w:bCs/>
          <w:b/>
        </w:rPr>
        <w:t xml:space="preserve">General objective.</w:t>
      </w:r>
      <w:r>
        <w:t xml:space="preserve"> </w:t>
      </w:r>
      <w:r>
        <w:t xml:space="preserve">The study aimed to build, prove correct, and computationally verify a network model that maps the hospitals of Albay by what they can treat, whether they have a free bed, and what they cost the patient, and that sends each patient, by ambulance or by public transport, to the nearest hospital that meets that patient’s actual needs.</w:t>
      </w:r>
    </w:p>
    <w:p>
      <w:pPr>
        <w:pStyle w:val="BodyText"/>
      </w:pPr>
      <w:r>
        <w:rPr>
          <w:bCs/>
          <w:b/>
        </w:rPr>
        <w:t xml:space="preserve">Specific objectives.</w:t>
      </w:r>
      <w:r>
        <w:t xml:space="preserve"> </w:t>
      </w:r>
      <w:r>
        <w:t xml:space="preserve">In particular, the study aimed to:</w:t>
      </w:r>
    </w:p>
    <w:p>
      <w:pPr>
        <w:numPr>
          <w:ilvl w:val="0"/>
          <w:numId w:val="1001"/>
        </w:numPr>
        <w:pStyle w:val="BodyText"/>
        <w:spacing w:after="80"/>
      </w:pPr>
      <w:r>
        <w:t xml:space="preserve">build from open data a hospital map of Albay linked to a road graph with vehicle classes, an ambulance class among them, and to a landmark-anchored timetable graph of informal public transport that carries the regulated fares;</w:t>
      </w:r>
    </w:p>
    <w:p>
      <w:pPr>
        <w:numPr>
          <w:ilvl w:val="0"/>
          <w:numId w:val="1001"/>
        </w:numPr>
        <w:pStyle w:val="BodyText"/>
        <w:spacing w:after="80"/>
      </w:pPr>
      <w:r>
        <w:t xml:space="preserve">formulate patient needs as a profile of acuity, required services, payment class, and mobility, and define a suitability rule that decides which hospitals can serve that patient at a given time;</w:t>
      </w:r>
    </w:p>
    <w:p>
      <w:pPr>
        <w:numPr>
          <w:ilvl w:val="0"/>
          <w:numId w:val="1001"/>
        </w:numPr>
        <w:pStyle w:val="BodyText"/>
        <w:spacing w:after="80"/>
      </w:pPr>
      <w:r>
        <w:t xml:space="preserve">design an early-stopping search that returns the nearest suitable hospital and a ranked list of backups in both travel modes, with a stabilization rule for the most critical patients, and prove it exact;</w:t>
      </w:r>
    </w:p>
    <w:p>
      <w:pPr>
        <w:numPr>
          <w:ilvl w:val="0"/>
          <w:numId w:val="1001"/>
        </w:numPr>
        <w:pStyle w:val="BodyText"/>
        <w:spacing w:after="80"/>
      </w:pPr>
      <w:r>
        <w:t xml:space="preserve">build an e-mail agent network that collects bed counts from hospitals, with proven limits on the number of messages and on the age of reports;</w:t>
      </w:r>
    </w:p>
    <w:p>
      <w:pPr>
        <w:numPr>
          <w:ilvl w:val="0"/>
          <w:numId w:val="1001"/>
        </w:numPr>
        <w:pStyle w:val="BodyText"/>
        <w:spacing w:after="80"/>
      </w:pPr>
      <w:r>
        <w:t xml:space="preserve">map hospital catchments and measure bed access and its inequality across anchors and municipalities, including the payment, need, and mobility gaps and a bed-to-population ratio;</w:t>
      </w:r>
    </w:p>
    <w:p>
      <w:pPr>
        <w:numPr>
          <w:ilvl w:val="0"/>
          <w:numId w:val="1001"/>
        </w:numPr>
        <w:pStyle w:val="BodyText"/>
        <w:spacing w:after="80"/>
      </w:pPr>
      <w:r>
        <w:t xml:space="preserve">place many patients in few beds during a surge without overfilling any hospital, as a minimum-cost assignment problem;</w:t>
      </w:r>
    </w:p>
    <w:p>
      <w:pPr>
        <w:numPr>
          <w:ilvl w:val="0"/>
          <w:numId w:val="1001"/>
        </w:numPr>
        <w:pStyle w:val="BodyText"/>
        <w:spacing w:after="80"/>
      </w:pPr>
      <w:r>
        <w:t xml:space="preserve">identify the road segments most critical to hospital access and select sites for new Malasakit Centers or added beds, with proven guarantees for both methods; and</w:t>
      </w:r>
    </w:p>
    <w:p>
      <w:pPr>
        <w:numPr>
          <w:ilvl w:val="0"/>
          <w:numId w:val="1001"/>
        </w:numPr>
        <w:pStyle w:val="BodyText"/>
        <w:spacing w:after="80"/>
      </w:pPr>
      <w:r>
        <w:t xml:space="preserve">verify every proven property numerically against independently written reference code on synthetic instances, and work the full pipeline through a small test network.</w:t>
      </w:r>
    </w:p>
    <w:bookmarkEnd w:id="25"/>
    <w:bookmarkStart w:id="26" w:name="research-questions"/>
    <w:p>
      <w:pPr>
        <w:pStyle w:val="Heading2"/>
      </w:pPr>
      <w:r>
        <w:t xml:space="preserve">1.3 Research Questions</w:t>
      </w:r>
    </w:p>
    <w:p>
      <w:pPr>
        <w:pStyle w:val="FirstParagraph"/>
      </w:pPr>
      <w:r>
        <w:rPr>
          <w:bCs/>
          <w:b/>
        </w:rPr>
        <w:t xml:space="preserve">Primary question.</w:t>
      </w:r>
      <w:r>
        <w:t xml:space="preserve"> </w:t>
      </w:r>
      <w:r>
        <w:t xml:space="preserve">Suppose the hospitals and the informal public transport of Albay are described by a machine-readable model built only from public sources. How quickly can a patient starting from any anchor landmark reach a hospital that can treat the patient, has a free bed, and accepts what the patient can pay, and how evenly is that access shared among anchors and among municipalities?</w:t>
      </w:r>
    </w:p>
    <w:p>
      <w:pPr>
        <w:pStyle w:val="BodyText"/>
      </w:pPr>
      <w:r>
        <w:t xml:space="preserve">The subsidiary questions follow the specific objectives (Table 2).</w:t>
      </w:r>
    </w:p>
    <w:p>
      <w:pPr>
        <w:pStyle w:val="BodyText"/>
      </w:pPr>
      <w:r>
        <w:rPr>
          <w:bCs/>
          <w:b/>
        </w:rPr>
        <w:t xml:space="preserve">Q1.</w:t>
      </w:r>
      <w:r>
        <w:t xml:space="preserve"> </w:t>
      </w:r>
      <w:r>
        <w:t xml:space="preserve">With no official schedules, can departure times be estimated from service headways, and can a time-expanded timetable graph answer earliest-arrival queries exactly and fast enough for every landmark?</w:t>
      </w:r>
    </w:p>
    <w:p>
      <w:pPr>
        <w:pStyle w:val="BodyText"/>
      </w:pPr>
      <w:r>
        <w:rPr>
          <w:bCs/>
          <w:b/>
        </w:rPr>
        <w:t xml:space="preserve">Q2.</w:t>
      </w:r>
      <w:r>
        <w:t xml:space="preserve"> </w:t>
      </w:r>
      <w:r>
        <w:t xml:space="preserve">How do limits on width, clearance, gross mass, and axle load change the roads an ambulance or another vehicle may use, and can a larger vehicle ever reach more?</w:t>
      </w:r>
    </w:p>
    <w:p>
      <w:pPr>
        <w:pStyle w:val="BodyText"/>
      </w:pPr>
      <w:r>
        <w:rPr>
          <w:bCs/>
          <w:b/>
        </w:rPr>
        <w:t xml:space="preserve">Q3.</w:t>
      </w:r>
      <w:r>
        <w:t xml:space="preserve"> </w:t>
      </w:r>
      <w:r>
        <w:t xml:space="preserve">Under the regulated fares, can routes for a commuting patient be found that balance arrival time, fare, and number of transfers?</w:t>
      </w:r>
    </w:p>
    <w:p>
      <w:pPr>
        <w:pStyle w:val="BodyText"/>
      </w:pPr>
      <w:r>
        <w:rPr>
          <w:bCs/>
          <w:b/>
        </w:rPr>
        <w:t xml:space="preserve">Q4.</w:t>
      </w:r>
      <w:r>
        <w:t xml:space="preserve"> </w:t>
      </w:r>
      <w:r>
        <w:t xml:space="preserve">Can a patient’s acuity, required services, payment class, and mobility be written as a suitability rule whose behavior is provably monotone, and does the rule obey the Anti-Hospital Deposit Law in emergencies?</w:t>
      </w:r>
    </w:p>
    <w:p>
      <w:pPr>
        <w:pStyle w:val="BodyText"/>
      </w:pPr>
      <w:r>
        <w:rPr>
          <w:bCs/>
          <w:b/>
        </w:rPr>
        <w:t xml:space="preserve">Q5.</w:t>
      </w:r>
      <w:r>
        <w:t xml:space="preserve"> </w:t>
      </w:r>
      <w:r>
        <w:t xml:space="preserve">Does an early-stopping search return the exact nearest suitable hospital and its backups in both travel modes, and how much work does it save over a full search?</w:t>
      </w:r>
    </w:p>
    <w:p>
      <w:pPr>
        <w:pStyle w:val="BodyText"/>
      </w:pPr>
      <w:r>
        <w:rPr>
          <w:bCs/>
          <w:b/>
        </w:rPr>
        <w:t xml:space="preserve">Q6.</w:t>
      </w:r>
      <w:r>
        <w:t xml:space="preserve"> </w:t>
      </w:r>
      <w:r>
        <w:t xml:space="preserve">Can lightweight software agents keep bed reports fresh through standard e-mail with few messages, honor opt-outs, and discard forged or implausible replies?</w:t>
      </w:r>
    </w:p>
    <w:p>
      <w:pPr>
        <w:pStyle w:val="BodyText"/>
      </w:pPr>
      <w:r>
        <w:rPr>
          <w:bCs/>
          <w:b/>
        </w:rPr>
        <w:t xml:space="preserve">Q7.</w:t>
      </w:r>
      <w:r>
        <w:t xml:space="preserve"> </w:t>
      </w:r>
      <w:r>
        <w:t xml:space="preserve">How do bed access and its inequality change when authorized beds are replaced by free beds, by free beds that a poor patient may use, and by free beds per person? Can the Theil index still split inequality into within-municipality and between-municipality parts when the index set is a list of landmarks rather than a full partition of the province?</w:t>
      </w:r>
    </w:p>
    <w:p>
      <w:pPr>
        <w:pStyle w:val="BodyText"/>
      </w:pPr>
      <w:r>
        <w:rPr>
          <w:bCs/>
          <w:b/>
        </w:rPr>
        <w:t xml:space="preserve">Q8.</w:t>
      </w:r>
      <w:r>
        <w:t xml:space="preserve"> </w:t>
      </w:r>
      <w:r>
        <w:t xml:space="preserve">When many patients need beds at the same time, can they be placed without overfilling any hospital, and how does that placement compare with letting each patient go to his or her own nearest hospital?</w:t>
      </w:r>
    </w:p>
    <w:p>
      <w:pPr>
        <w:pStyle w:val="BodyText"/>
      </w:pPr>
      <w:r>
        <w:rPr>
          <w:bCs/>
          <w:b/>
        </w:rPr>
        <w:t xml:space="preserve">Q9.</w:t>
      </w:r>
      <w:r>
        <w:t xml:space="preserve"> </w:t>
      </w:r>
      <w:r>
        <w:t xml:space="preserve">Which road segments matter most for reaching a suitable hospital, and where would a new Malasakit Center or added beds reach the most people who now lack affordable care?</w:t>
      </w:r>
    </w:p>
    <w:p>
      <w:pPr>
        <w:pStyle w:val="TableCaption"/>
      </w:pPr>
      <w:r>
        <w:rPr>
          <w:bCs/>
          <w:b/>
        </w:rPr>
        <w:t xml:space="preserve">Table 2.</w:t>
      </w:r>
      <w:r>
        <w:t xml:space="preserve"> </w:t>
      </w:r>
      <w:r>
        <w:t xml:space="preserve">Specific objectives, research questions, and where each is answered.</w:t>
      </w:r>
    </w:p>
    <w:tbl>
      <w:tblPr>
        <w:tblStyle w:val="Table"/>
        <w:tblW w:type="pct" w:w="5000"/>
        <w:jc w:val="center"/>
        <w:tblCaption w:val="Table 2. Specific objectives, research questions, and where each is answer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558"/>
        <w:gridCol w:w="1038"/>
        <w:gridCol w:w="2726"/>
        <w:gridCol w:w="2596"/>
      </w:tblGrid>
      <w:tr>
        <w:trPr>
          <w:tblHeader w:val="true"/>
          <w:tblHeader/>
          <w:cantSplit/>
        </w:trPr>
        <w:tc>
          <w:tcPr/>
          <w:p>
            <w:pPr>
              <w:pStyle w:val="Compact"/>
              <w:jc w:val="left"/>
            </w:pPr>
            <w:r>
              <w:rPr>
                <w:b/>
              </w:rPr>
              <w:t xml:space="preserve">Specific objective</w:t>
            </w:r>
          </w:p>
        </w:tc>
        <w:tc>
          <w:tcPr/>
          <w:p>
            <w:pPr>
              <w:pStyle w:val="Compact"/>
              <w:jc w:val="left"/>
            </w:pPr>
            <w:r>
              <w:rPr>
                <w:b/>
              </w:rPr>
              <w:t xml:space="preserve">Research questions</w:t>
            </w:r>
          </w:p>
        </w:tc>
        <w:tc>
          <w:tcPr/>
          <w:p>
            <w:pPr>
              <w:pStyle w:val="Compact"/>
              <w:jc w:val="left"/>
            </w:pPr>
            <w:r>
              <w:rPr>
                <w:b/>
              </w:rPr>
              <w:t xml:space="preserve">Definitions and results</w:t>
            </w:r>
          </w:p>
        </w:tc>
        <w:tc>
          <w:tcPr/>
          <w:p>
            <w:pPr>
              <w:pStyle w:val="Compact"/>
              <w:jc w:val="left"/>
            </w:pPr>
            <w:r>
              <w:rPr>
                <w:b/>
              </w:rPr>
              <w:t xml:space="preserve">Verification</w:t>
            </w:r>
          </w:p>
        </w:tc>
      </w:tr>
      <w:tr>
        <w:trPr>
          <w:cantSplit/>
        </w:trPr>
        <w:tc>
          <w:tcPr/>
          <w:p>
            <w:pPr>
              <w:pStyle w:val="Compact"/>
              <w:jc w:val="left"/>
            </w:pPr>
            <w:r>
              <w:t xml:space="preserve">1. Hospital map and transport graphs</w:t>
            </w:r>
          </w:p>
        </w:tc>
        <w:tc>
          <w:tcPr/>
          <w:p>
            <w:pPr>
              <w:pStyle w:val="Compact"/>
              <w:jc w:val="left"/>
            </w:pPr>
            <w:r>
              <w:t xml:space="preserve">Q1, Q2, Q3</w:t>
            </w:r>
          </w:p>
        </w:tc>
        <w:tc>
          <w:tcPr/>
          <w:p>
            <w:pPr>
              <w:pStyle w:val="Compact"/>
              <w:jc w:val="left"/>
            </w:pPr>
            <w:r>
              <w:t xml:space="preserve">Defs. 1 to 13; Props. 1 to 3, 7; Cor. 4, 8</w:t>
            </w:r>
          </w:p>
        </w:tc>
        <w:tc>
          <w:tcPr/>
          <w:p>
            <w:pPr>
              <w:pStyle w:val="Compact"/>
              <w:jc w:val="left"/>
            </w:pPr>
            <w:r>
              <w:t xml:space="preserve">Tables 14, 17, 24</w:t>
            </w:r>
          </w:p>
        </w:tc>
      </w:tr>
      <w:tr>
        <w:trPr>
          <w:cantSplit/>
        </w:trPr>
        <w:tc>
          <w:tcPr/>
          <w:p>
            <w:pPr>
              <w:pStyle w:val="Compact"/>
              <w:jc w:val="left"/>
            </w:pPr>
            <w:r>
              <w:t xml:space="preserve">2. Patient profile and suitability</w:t>
            </w:r>
          </w:p>
        </w:tc>
        <w:tc>
          <w:tcPr/>
          <w:p>
            <w:pPr>
              <w:pStyle w:val="Compact"/>
              <w:jc w:val="left"/>
            </w:pPr>
            <w:r>
              <w:t xml:space="preserve">Q4</w:t>
            </w:r>
          </w:p>
        </w:tc>
        <w:tc>
          <w:tcPr/>
          <w:p>
            <w:pPr>
              <w:pStyle w:val="Compact"/>
              <w:jc w:val="left"/>
            </w:pPr>
            <w:r>
              <w:t xml:space="preserve">Defs. 16, 17; Prop. 10; Cor. 11</w:t>
            </w:r>
          </w:p>
        </w:tc>
        <w:tc>
          <w:tcPr/>
          <w:p>
            <w:pPr>
              <w:pStyle w:val="Compact"/>
              <w:jc w:val="left"/>
            </w:pPr>
            <w:r>
              <w:t xml:space="preserve">Tables 15, 16, 26, 28</w:t>
            </w:r>
          </w:p>
        </w:tc>
      </w:tr>
      <w:tr>
        <w:trPr>
          <w:cantSplit/>
        </w:trPr>
        <w:tc>
          <w:tcPr/>
          <w:p>
            <w:pPr>
              <w:pStyle w:val="Compact"/>
              <w:jc w:val="left"/>
            </w:pPr>
            <w:r>
              <w:t xml:space="preserve">3. Nearest suitable hospital and backups</w:t>
            </w:r>
          </w:p>
        </w:tc>
        <w:tc>
          <w:tcPr/>
          <w:p>
            <w:pPr>
              <w:pStyle w:val="Compact"/>
              <w:jc w:val="left"/>
            </w:pPr>
            <w:r>
              <w:t xml:space="preserve">Q5</w:t>
            </w:r>
          </w:p>
        </w:tc>
        <w:tc>
          <w:tcPr/>
          <w:p>
            <w:pPr>
              <w:pStyle w:val="Compact"/>
              <w:jc w:val="left"/>
            </w:pPr>
            <w:r>
              <w:t xml:space="preserve">Defs. 18, 19; Props. 9, 13</w:t>
            </w:r>
          </w:p>
        </w:tc>
        <w:tc>
          <w:tcPr/>
          <w:p>
            <w:pPr>
              <w:pStyle w:val="Compact"/>
              <w:jc w:val="left"/>
            </w:pPr>
            <w:r>
              <w:t xml:space="preserve">Tables 15, 16, 18, 26</w:t>
            </w:r>
          </w:p>
        </w:tc>
      </w:tr>
      <w:tr>
        <w:trPr>
          <w:cantSplit/>
        </w:trPr>
        <w:tc>
          <w:tcPr/>
          <w:p>
            <w:pPr>
              <w:pStyle w:val="Compact"/>
              <w:jc w:val="left"/>
            </w:pPr>
            <w:r>
              <w:t xml:space="preserve">4. Agent network for bed counts</w:t>
            </w:r>
          </w:p>
        </w:tc>
        <w:tc>
          <w:tcPr/>
          <w:p>
            <w:pPr>
              <w:pStyle w:val="Compact"/>
              <w:jc w:val="left"/>
            </w:pPr>
            <w:r>
              <w:t xml:space="preserve">Q6</w:t>
            </w:r>
          </w:p>
        </w:tc>
        <w:tc>
          <w:tcPr/>
          <w:p>
            <w:pPr>
              <w:pStyle w:val="Compact"/>
              <w:jc w:val="left"/>
            </w:pPr>
            <w:r>
              <w:t xml:space="preserve">Defs. 14, 15; Prop. 12</w:t>
            </w:r>
          </w:p>
        </w:tc>
        <w:tc>
          <w:tcPr/>
          <w:p>
            <w:pPr>
              <w:pStyle w:val="Compact"/>
              <w:jc w:val="left"/>
            </w:pPr>
            <w:r>
              <w:t xml:space="preserve">Table 15</w:t>
            </w:r>
          </w:p>
        </w:tc>
      </w:tr>
      <w:tr>
        <w:trPr>
          <w:cantSplit/>
        </w:trPr>
        <w:tc>
          <w:tcPr/>
          <w:p>
            <w:pPr>
              <w:pStyle w:val="Compact"/>
              <w:jc w:val="left"/>
            </w:pPr>
            <w:r>
              <w:t xml:space="preserve">5. Catchments, bed access, and inequality</w:t>
            </w:r>
          </w:p>
        </w:tc>
        <w:tc>
          <w:tcPr/>
          <w:p>
            <w:pPr>
              <w:pStyle w:val="Compact"/>
              <w:jc w:val="left"/>
            </w:pPr>
            <w:r>
              <w:t xml:space="preserve">Q7</w:t>
            </w:r>
          </w:p>
        </w:tc>
        <w:tc>
          <w:tcPr/>
          <w:p>
            <w:pPr>
              <w:pStyle w:val="Compact"/>
              <w:jc w:val="left"/>
            </w:pPr>
            <w:r>
              <w:t xml:space="preserve">Defs. 7 to 10, 20 to 23; Props. 5, 6, 14, 15</w:t>
            </w:r>
          </w:p>
        </w:tc>
        <w:tc>
          <w:tcPr/>
          <w:p>
            <w:pPr>
              <w:pStyle w:val="Compact"/>
              <w:jc w:val="left"/>
            </w:pPr>
            <w:r>
              <w:t xml:space="preserve">Tables 16, 19, 22, 27, 29</w:t>
            </w:r>
          </w:p>
        </w:tc>
      </w:tr>
      <w:tr>
        <w:trPr>
          <w:cantSplit/>
        </w:trPr>
        <w:tc>
          <w:tcPr/>
          <w:p>
            <w:pPr>
              <w:pStyle w:val="Compact"/>
              <w:jc w:val="left"/>
            </w:pPr>
            <w:r>
              <w:t xml:space="preserve">6. Surge assignment</w:t>
            </w:r>
          </w:p>
        </w:tc>
        <w:tc>
          <w:tcPr/>
          <w:p>
            <w:pPr>
              <w:pStyle w:val="Compact"/>
              <w:jc w:val="left"/>
            </w:pPr>
            <w:r>
              <w:t xml:space="preserve">Q8</w:t>
            </w:r>
          </w:p>
        </w:tc>
        <w:tc>
          <w:tcPr/>
          <w:p>
            <w:pPr>
              <w:pStyle w:val="Compact"/>
              <w:jc w:val="left"/>
            </w:pPr>
            <w:r>
              <w:t xml:space="preserve">Def. 24; Prop. 16</w:t>
            </w:r>
          </w:p>
        </w:tc>
        <w:tc>
          <w:tcPr/>
          <w:p>
            <w:pPr>
              <w:pStyle w:val="Compact"/>
              <w:jc w:val="left"/>
            </w:pPr>
            <w:r>
              <w:t xml:space="preserve">Tables 16, 30</w:t>
            </w:r>
          </w:p>
        </w:tc>
      </w:tr>
      <w:tr>
        <w:trPr>
          <w:cantSplit/>
        </w:trPr>
        <w:tc>
          <w:tcPr/>
          <w:p>
            <w:pPr>
              <w:pStyle w:val="Compact"/>
              <w:jc w:val="left"/>
            </w:pPr>
            <w:r>
              <w:t xml:space="preserve">7. Critical roads and site selection</w:t>
            </w:r>
          </w:p>
        </w:tc>
        <w:tc>
          <w:tcPr/>
          <w:p>
            <w:pPr>
              <w:pStyle w:val="Compact"/>
              <w:jc w:val="left"/>
            </w:pPr>
            <w:r>
              <w:t xml:space="preserve">Q9</w:t>
            </w:r>
          </w:p>
        </w:tc>
        <w:tc>
          <w:tcPr/>
          <w:p>
            <w:pPr>
              <w:pStyle w:val="Compact"/>
              <w:jc w:val="left"/>
            </w:pPr>
            <w:r>
              <w:t xml:space="preserve">Defs. 25, 26; Props. 17, 18</w:t>
            </w:r>
          </w:p>
        </w:tc>
        <w:tc>
          <w:tcPr/>
          <w:p>
            <w:pPr>
              <w:pStyle w:val="Compact"/>
              <w:jc w:val="left"/>
            </w:pPr>
            <w:r>
              <w:t xml:space="preserve">Table 16</w:t>
            </w:r>
          </w:p>
        </w:tc>
      </w:tr>
      <w:tr>
        <w:trPr>
          <w:cantSplit/>
        </w:trPr>
        <w:tc>
          <w:tcPr/>
          <w:p>
            <w:pPr>
              <w:pStyle w:val="Compact"/>
              <w:jc w:val="left"/>
            </w:pPr>
            <w:r>
              <w:t xml:space="preserve">8. Verification and worked instance</w:t>
            </w:r>
          </w:p>
        </w:tc>
        <w:tc>
          <w:tcPr/>
          <w:p>
            <w:pPr>
              <w:pStyle w:val="Compact"/>
              <w:jc w:val="left"/>
            </w:pPr>
            <w:r>
              <w:t xml:space="preserve">All</w:t>
            </w:r>
          </w:p>
        </w:tc>
        <w:tc>
          <w:tcPr/>
          <w:p>
            <w:pPr>
              <w:pStyle w:val="Compact"/>
              <w:jc w:val="left"/>
            </w:pPr>
            <w:r>
              <w:t xml:space="preserve">Sections 3.3 to 3.5</w:t>
            </w:r>
          </w:p>
        </w:tc>
        <w:tc>
          <w:tcPr/>
          <w:p>
            <w:pPr>
              <w:pStyle w:val="Compact"/>
              <w:jc w:val="left"/>
            </w:pPr>
            <w:r>
              <w:t xml:space="preserve">Tables 14 to 30</w:t>
            </w:r>
          </w:p>
        </w:tc>
      </w:tr>
    </w:tbl>
    <w:bookmarkEnd w:id="26"/>
    <w:bookmarkStart w:id="41" w:name="review-of-related-literature"/>
    <w:p>
      <w:pPr>
        <w:pStyle w:val="Heading2"/>
      </w:pPr>
      <w:r>
        <w:t xml:space="preserve">1.4 Review of Related Literature</w:t>
      </w:r>
    </w:p>
    <w:bookmarkStart w:id="27" w:name="measuring-accessibility"/>
    <w:p>
      <w:pPr>
        <w:pStyle w:val="Heading3"/>
      </w:pPr>
      <w:r>
        <w:t xml:space="preserve">1.4.1 Measuring Accessibility</w:t>
      </w:r>
    </w:p>
    <w:p>
      <w:pPr>
        <w:pStyle w:val="FirstParagraph"/>
      </w:pPr>
      <w:r>
        <w:t xml:space="preserve">In transport research, accessibility means how easily people can reach opportunities such as jobs, schools, markets, and health services. Hansen (1959) offered an early formal measure in which each opportunity counts for less the longer or costlier it is to reach.</w:t>
      </w:r>
    </w:p>
    <w:p>
      <w:pPr>
        <w:pStyle w:val="BodyText"/>
      </w:pPr>
      <w:r>
        <w:t xml:space="preserve">The cumulative opportunity measure of Wachs and Kumagai (1973) belongs to the location family. It simply counts the opportunities inside a fixed travel-time budget.</w:t>
      </w:r>
    </w:p>
    <w:bookmarkEnd w:id="27"/>
    <w:bookmarkStart w:id="28" w:name="measuring-spatial-access-to-health-care"/>
    <w:p>
      <w:pPr>
        <w:pStyle w:val="Heading3"/>
      </w:pPr>
      <w:r>
        <w:t xml:space="preserve">1.4.2 Measuring Spatial Access to Health Care</w:t>
      </w:r>
    </w:p>
    <w:p>
      <w:pPr>
        <w:pStyle w:val="FirstParagraph"/>
      </w:pPr>
      <w:r>
        <w:t xml:space="preserve">Counting reachable beds has one blind spot. A hospital with 40 beds counts as 40 for every community that can reach it, whether five hundred people or fifty thousand people depend on those beds.</w:t>
      </w:r>
    </w:p>
    <w:bookmarkEnd w:id="28"/>
    <w:bookmarkStart w:id="29" w:name="equity-in-the-distribution-of-access"/>
    <w:p>
      <w:pPr>
        <w:pStyle w:val="Heading3"/>
      </w:pPr>
      <w:r>
        <w:t xml:space="preserve">1.4.3 Equity in the Distribution of Access</w:t>
      </w:r>
    </w:p>
    <w:p>
      <w:pPr>
        <w:pStyle w:val="FirstParagraph"/>
      </w:pPr>
      <w:r>
        <w:t xml:space="preserve">Provincial averages can hide sharp inequalities, so that some communities remain underserved even when the overall figure looks acceptable. Lucas et al. (2016) proposed a formal method for judging whether access is fairly shared, and Pereira et al. (2017) linked the distribution of transport benefits to theories of distributive justice.</w:t>
      </w:r>
    </w:p>
    <w:bookmarkEnd w:id="29"/>
    <w:bookmarkStart w:id="30" w:name="Xc28bfdc83e628cb01d3f7e776e41341ac0e0d02"/>
    <w:p>
      <w:pPr>
        <w:pStyle w:val="Heading3"/>
      </w:pPr>
      <w:r>
        <w:t xml:space="preserve">1.4.4 Hospital Levels, Triage, and What a Patient Needs</w:t>
      </w:r>
    </w:p>
    <w:p>
      <w:pPr>
        <w:pStyle w:val="FirstParagraph"/>
      </w:pPr>
      <w:r>
        <w:t xml:space="preserve">Three established practices decide which hospital can treat a given patient. Triage comes first.</w:t>
      </w:r>
    </w:p>
    <w:p>
      <w:pPr>
        <w:pStyle w:val="BodyText"/>
      </w:pPr>
      <w:r>
        <w:t xml:space="preserve">The third practice is less formal but matters just as much to the patient: what the patient specifically needs. A woman in uncomplicated labor needs a maternity ward; a newborn in distress needs a neonatal ICU; a patient with kidney failure needs dialysis.</w:t>
      </w:r>
    </w:p>
    <w:bookmarkEnd w:id="30"/>
    <w:bookmarkStart w:id="31" w:name="bed-reporting-in-the-philippines"/>
    <w:p>
      <w:pPr>
        <w:pStyle w:val="Heading3"/>
      </w:pPr>
      <w:r>
        <w:t xml:space="preserve">1.4.5 Bed Reporting in the Philippines</w:t>
      </w:r>
    </w:p>
    <w:p>
      <w:pPr>
        <w:pStyle w:val="FirstParagraph"/>
      </w:pPr>
      <w:r>
        <w:t xml:space="preserve">During the COVID-19 pandemic the DOH ran DataCollect, through which 1,906 public and private hospitals and infirmaries reported how many COVID-19 beds and mechanical ventilators they had in use. Reporting was 80 to 95 percent complete by April 2020 and 98 percent complete by December 2022 (Cabaro et al., 2023).</w:t>
      </w:r>
    </w:p>
    <w:bookmarkEnd w:id="31"/>
    <w:bookmarkStart w:id="32" w:name="Xd4618d3838442f0c3eae50c92da37a869181995"/>
    <w:p>
      <w:pPr>
        <w:pStyle w:val="Heading3"/>
      </w:pPr>
      <w:r>
        <w:t xml:space="preserve">1.4.6 Payment for Hospital Care in the Philippines</w:t>
      </w:r>
    </w:p>
    <w:p>
      <w:pPr>
        <w:pStyle w:val="FirstParagraph"/>
      </w:pPr>
      <w:r>
        <w:t xml:space="preserve">Three sets of laws shape what a patient pays and where. Under the Universal Health Care Act, every Filipino is automatically enrolled in the National Health Insurance Program, and services in basic or ward accommodation carry no co-payment (Republic Act No. 11223, 2019).</w:t>
      </w:r>
    </w:p>
    <w:p>
      <w:pPr>
        <w:pStyle w:val="BodyText"/>
      </w:pPr>
      <w:r>
        <w:t xml:space="preserve">The first two laws tie the choice of hospital to cost. The third removes cost from the decision in an emergency.</w:t>
      </w:r>
    </w:p>
    <w:bookmarkEnd w:id="32"/>
    <w:bookmarkStart w:id="33" w:name="X3c16823eeb3ddcf42feb6c729f3800d666ec66e"/>
    <w:p>
      <w:pPr>
        <w:pStyle w:val="Heading3"/>
      </w:pPr>
      <w:r>
        <w:t xml:space="preserve">1.4.7 Emergency Medical Services and Facility Location</w:t>
      </w:r>
    </w:p>
    <w:p>
      <w:pPr>
        <w:pStyle w:val="FirstParagraph"/>
      </w:pPr>
      <w:r>
        <w:t xml:space="preserve">Operations research on emergency medical services has centered on the ambulance, chiefly on where units should be based and how to reposition them as calls arrive (Brotcorne et al., 2003). The classic tool is the maximal covering location problem of Church and ReVelle (1974): choose a fixed number of sites so that as much demand as possible lies within a service-time standard of at least one site.</w:t>
      </w:r>
    </w:p>
    <w:p>
      <w:pPr>
        <w:pStyle w:val="BodyText"/>
      </w:pPr>
      <w:r>
        <w:t xml:space="preserve">The receiving end of the trip, the hospital, gets less attention in this literature. It is the focus here.</w:t>
      </w:r>
    </w:p>
    <w:bookmarkEnd w:id="33"/>
    <w:bookmarkStart w:id="34" w:name="X5f2057daeb1cc45be7be875865f0fdb07da2cab"/>
    <w:p>
      <w:pPr>
        <w:pStyle w:val="Heading3"/>
      </w:pPr>
      <w:r>
        <w:t xml:space="preserve">1.4.8 Network Flows and Assigning Patients to Beds</w:t>
      </w:r>
    </w:p>
    <w:p>
      <w:pPr>
        <w:pStyle w:val="FirstParagraph"/>
      </w:pPr>
      <w:r>
        <w:t xml:space="preserve">When several patients need beds at once, the beds become a shared, limited resource. Sending every patient to his or her own nearest hospital can overload one facility while beds stay empty at the next.</w:t>
      </w:r>
    </w:p>
    <w:bookmarkEnd w:id="34"/>
    <w:bookmarkStart w:id="35" w:name="X0e2ebd5c69222e1c67b086298f57d4025adad54"/>
    <w:p>
      <w:pPr>
        <w:pStyle w:val="Heading3"/>
      </w:pPr>
      <w:r>
        <w:t xml:space="preserve">1.4.9 Road Vulnerability and Catchments on Networks</w:t>
      </w:r>
    </w:p>
    <w:p>
      <w:pPr>
        <w:pStyle w:val="FirstParagraph"/>
      </w:pPr>
      <w:r>
        <w:t xml:space="preserve">Jenelius et al. (2006) measured how important a road link is by how much travel cost rises when the link is closed, and how exposed a place is by how much its own travel cost rises. For hospital access in Albay the question is concrete.</w:t>
      </w:r>
    </w:p>
    <w:bookmarkEnd w:id="35"/>
    <w:bookmarkStart w:id="36" w:name="journey-planning-on-timetable-networks"/>
    <w:p>
      <w:pPr>
        <w:pStyle w:val="Heading3"/>
      </w:pPr>
      <w:r>
        <w:t xml:space="preserve">1.4.10 Journey Planning on Timetable Networks</w:t>
      </w:r>
    </w:p>
    <w:p>
      <w:pPr>
        <w:pStyle w:val="FirstParagraph"/>
      </w:pPr>
      <w:r>
        <w:t xml:space="preserve">The time-expanded model assigns a node to each departure and each arrival and turns the search for the best journey into a shortest-path problem on a fixed directed graph. The time-dependent model, in contrast, uses one node per stop, and the arc travel times depend on the clock (Pyrga et al., 2008).</w:t>
      </w:r>
    </w:p>
    <w:bookmarkEnd w:id="36"/>
    <w:bookmarkStart w:id="37" w:name="open-data-on-informal-transport"/>
    <w:p>
      <w:pPr>
        <w:pStyle w:val="Heading3"/>
      </w:pPr>
      <w:r>
        <w:t xml:space="preserve">1.4.11 Open Data on Informal Transport</w:t>
      </w:r>
    </w:p>
    <w:p>
      <w:pPr>
        <w:pStyle w:val="FirstParagraph"/>
      </w:pPr>
      <w:r>
        <w:t xml:space="preserve">Most transit data in circulation follow the General Transit Feed Specification (GTFS). TriMet, the transit agency of Portland, Oregon, developed the format with Google in 2006, and its upkeep has since passed to MobilityData, a nonprofit (MobilityData, n.d.-a).</w:t>
      </w:r>
    </w:p>
    <w:p>
      <w:pPr>
        <w:pStyle w:val="BodyText"/>
      </w:pPr>
      <w:r>
        <w:t xml:space="preserve">A school research team can take two lessons from this record. The first is widely noted: the feed tends to be the longest-lived output.</w:t>
      </w:r>
    </w:p>
    <w:bookmarkEnd w:id="37"/>
    <w:bookmarkStart w:id="38" w:name="landmarks-as-units-of-analysis"/>
    <w:p>
      <w:pPr>
        <w:pStyle w:val="Heading3"/>
      </w:pPr>
      <w:r>
        <w:t xml:space="preserve">1.4.12 Landmarks as Units of Analysis</w:t>
      </w:r>
    </w:p>
    <w:p>
      <w:pPr>
        <w:pStyle w:val="FirstParagraph"/>
      </w:pPr>
      <w:r>
        <w:t xml:space="preserve">Grouping results by administrative zone brings in Openshaw’s (1984) modifiable areal unit problem: the answer changes with the way the zones are drawn. Albay’s 720 barangays (Philippine Statistics Authority [PSA], n.d.) differ enormously in size.</w:t>
      </w:r>
    </w:p>
    <w:p>
      <w:pPr>
        <w:pStyle w:val="BodyText"/>
      </w:pPr>
      <w:r>
        <w:t xml:space="preserve">The measure used in this paper avoids zones. Its index set is a finite list of real places, each named in at least one open register: a terminal, a public market, a municipal hall, a district hospital, a public high school.</w:t>
      </w:r>
    </w:p>
    <w:bookmarkEnd w:id="38"/>
    <w:bookmarkStart w:id="39" w:name="the-philippine-and-albay-setting"/>
    <w:p>
      <w:pPr>
        <w:pStyle w:val="Heading3"/>
      </w:pPr>
      <w:r>
        <w:t xml:space="preserve">1.4.13 The Philippine and Albay Setting</w:t>
      </w:r>
    </w:p>
    <w:p>
      <w:pPr>
        <w:pStyle w:val="FirstParagraph"/>
      </w:pPr>
      <w:r>
        <w:t xml:space="preserve">Route planning in the Philippines is now partly a local responsibility. The Omnibus Franchising Guidelines of the Department of Transportation (DOTr, 2017), the basis of the Public Utility Vehicle Modernization Program, require each local government unit (LGU) to draw up a Local Public Transport Route Plan with evidence behind each proposed route, and the Department of the Interior and Local Government spelled out how LGUs should prepare such a plan (DILG, 2018).</w:t>
      </w:r>
    </w:p>
    <w:p>
      <w:pPr>
        <w:pStyle w:val="BodyText"/>
      </w:pPr>
      <w:r>
        <w:t xml:space="preserve">The province has 18 LGUs with 720 barangays in all (PSA, n.d.), close to 2,575 km² of land (PhilAtlas, n.d.), and 1,374,768 residents at the 2020 census (PSA, 2021). Mayon Volcano and the yearly typhoon season make road closures and sudden surges in patients a regular part of life there.</w:t>
      </w:r>
    </w:p>
    <w:bookmarkEnd w:id="39"/>
    <w:bookmarkStart w:id="40" w:name="software-agents-over-e-mail"/>
    <w:p>
      <w:pPr>
        <w:pStyle w:val="Heading3"/>
      </w:pPr>
      <w:r>
        <w:t xml:space="preserve">1.4.14 Software Agents over E-mail</w:t>
      </w:r>
    </w:p>
    <w:p>
      <w:pPr>
        <w:pStyle w:val="FirstParagraph"/>
      </w:pPr>
      <w:r>
        <w:t xml:space="preserve">Wooldridge and Jennings (1995) define an agent as software that acts on its own in an environment, notices and responds to changes there, takes initiative toward its goals, and communicates with other agents. When a task is split among several agents, one part may fail without bringing down the others.</w:t>
      </w:r>
    </w:p>
    <w:bookmarkEnd w:id="40"/>
    <w:bookmarkEnd w:id="41"/>
    <w:bookmarkStart w:id="42" w:name="research-gap"/>
    <w:p>
      <w:pPr>
        <w:pStyle w:val="Heading2"/>
      </w:pPr>
      <w:r>
        <w:t xml:space="preserve">1.5 Research Gap</w:t>
      </w:r>
    </w:p>
    <w:p>
      <w:pPr>
        <w:pStyle w:val="FirstParagraph"/>
      </w:pPr>
      <w:r>
        <w:t xml:space="preserve">The review leaves six gaps. Four concern the patient and the hospital; two concern the transport that links them.</w:t>
      </w:r>
    </w:p>
    <w:p>
      <w:pPr>
        <w:numPr>
          <w:ilvl w:val="0"/>
          <w:numId w:val="1002"/>
        </w:numPr>
        <w:pStyle w:val="BodyText"/>
        <w:spacing w:after="80"/>
      </w:pPr>
      <w:r>
        <w:rPr>
          <w:bCs/>
          <w:b/>
        </w:rPr>
        <w:t xml:space="preserve">(G1) No live, needs-aware hospital map.</w:t>
      </w:r>
      <w:r>
        <w:t xml:space="preserve"> </w:t>
      </w:r>
      <w:r>
        <w:t xml:space="preserve">Official registers record a hospital’s level and its authorized beds, not its free beds today or its specific services. An ordinary map can locate hospitals but cannot say which of them can treat this patient, has a bed now, and accepts what the family can pay. The hospital ready to admit a patient is often not the one nearest to the patient’s family or to the ambulance crew. Closing this gap matters most for SDG target 3.8 and for low-income families.</w:t>
      </w:r>
    </w:p>
    <w:p>
      <w:pPr>
        <w:numPr>
          <w:ilvl w:val="0"/>
          <w:numId w:val="1002"/>
        </w:numPr>
        <w:pStyle w:val="BodyText"/>
        <w:spacing w:after="80"/>
      </w:pPr>
      <w:r>
        <w:rPr>
          <w:bCs/>
          <w:b/>
        </w:rPr>
        <w:t xml:space="preserve">(G2) No treatment of many patients at once.</w:t>
      </w:r>
      <w:r>
        <w:t xml:space="preserve"> </w:t>
      </w:r>
      <w:r>
        <w:t xml:space="preserve">Nearest-hospital advice is given one patient at a time. During typhoons, eruptions, and road crashes, many patients compete for the same few free beds, and no open model places them without overfilling a hospital.</w:t>
      </w:r>
    </w:p>
    <w:p>
      <w:pPr>
        <w:numPr>
          <w:ilvl w:val="0"/>
          <w:numId w:val="1002"/>
        </w:numPr>
        <w:pStyle w:val="BodyText"/>
        <w:spacing w:after="80"/>
      </w:pPr>
      <w:r>
        <w:rPr>
          <w:bCs/>
          <w:b/>
        </w:rPr>
        <w:t xml:space="preserve">(G3) No measure of bed access that counts crowding, cost, and need.</w:t>
      </w:r>
      <w:r>
        <w:t xml:space="preserve"> </w:t>
      </w:r>
      <w:r>
        <w:t xml:space="preserve">Provincial and municipal plans describe health access by counts of facilities and beds. No figure tells a planner how many free, affordable, and suitable beds each community can reach in a given time, per person, or how unevenly that is shared.</w:t>
      </w:r>
    </w:p>
    <w:p>
      <w:pPr>
        <w:numPr>
          <w:ilvl w:val="0"/>
          <w:numId w:val="1002"/>
        </w:numPr>
        <w:pStyle w:val="BodyText"/>
        <w:spacing w:after="80"/>
      </w:pPr>
      <w:r>
        <w:rPr>
          <w:bCs/>
          <w:b/>
        </w:rPr>
        <w:t xml:space="preserve">(G4) No guidance on where to add care or which roads to protect.</w:t>
      </w:r>
      <w:r>
        <w:t xml:space="preserve"> </w:t>
      </w:r>
      <w:r>
        <w:t xml:space="preserve">Without the measures of G3, there is no principled way to choose where a Malasakit Center or extra beds would help most, or which road closures would cut patients off from care.</w:t>
      </w:r>
    </w:p>
    <w:p>
      <w:pPr>
        <w:numPr>
          <w:ilvl w:val="0"/>
          <w:numId w:val="1002"/>
        </w:numPr>
        <w:pStyle w:val="BodyText"/>
        <w:spacing w:after="80"/>
      </w:pPr>
      <w:r>
        <w:rPr>
          <w:bCs/>
          <w:b/>
        </w:rPr>
        <w:t xml:space="preserve">(G5) No dataset of informal transport.</w:t>
      </w:r>
      <w:r>
        <w:t xml:space="preserve"> </w:t>
      </w:r>
      <w:r>
        <w:t xml:space="preserve">No machine-readable routes, stops, or headways exist for any part of Albay. Claims about access are therefore missing or rest on straight-line distance, which overstates access where terrain, water, or the road hierarchy forces a detour.</w:t>
      </w:r>
    </w:p>
    <w:p>
      <w:pPr>
        <w:numPr>
          <w:ilvl w:val="0"/>
          <w:numId w:val="1002"/>
        </w:numPr>
        <w:pStyle w:val="BodyText"/>
        <w:spacing w:after="80"/>
      </w:pPr>
      <w:r>
        <w:rPr>
          <w:bCs/>
          <w:b/>
        </w:rPr>
        <w:t xml:space="preserve">(G6) No model that knows the vehicle.</w:t>
      </w:r>
      <w:r>
        <w:t xml:space="preserve"> </w:t>
      </w:r>
      <w:r>
        <w:t xml:space="preserve">The loads that Albay’s rural roads can carry vary widely. Some roads are too narrow, too steep, or too rough, or carry a bridge with a low limit. A provincial bus or a six-wheel truck cannot use them, even though tricycles and cars use them every day, and an ambulance crew needs to know which group its van belongs to.</w:t>
      </w:r>
    </w:p>
    <w:p>
      <w:pPr>
        <w:pStyle w:val="FirstParagraph"/>
      </w:pPr>
      <w:r>
        <w:t xml:space="preserve">Earlier studies of informal transport relied on manual field mapping (Section 1.4.11). None asked what could be proven and computed when direct field collection is not yet possible, and none carried the result through to the hospital bed.</w:t>
      </w:r>
    </w:p>
    <w:bookmarkEnd w:id="42"/>
    <w:bookmarkStart w:id="43" w:name="contributions-of-the-study"/>
    <w:p>
      <w:pPr>
        <w:pStyle w:val="Heading2"/>
      </w:pPr>
      <w:r>
        <w:t xml:space="preserve">1.6 Contributions of the Study</w:t>
      </w:r>
    </w:p>
    <w:p>
      <w:pPr>
        <w:numPr>
          <w:ilvl w:val="0"/>
          <w:numId w:val="1003"/>
        </w:numPr>
        <w:pStyle w:val="BodyText"/>
        <w:spacing w:after="80"/>
      </w:pPr>
      <w:r>
        <w:rPr>
          <w:bCs/>
          <w:b/>
        </w:rPr>
        <w:t xml:space="preserve">C1. A hospital map with needs, beds, and cost.</w:t>
      </w:r>
      <w:r>
        <w:t xml:space="preserve"> </w:t>
      </w:r>
      <w:r>
        <w:t xml:space="preserve">Section 2.7 defines a hospital record that carries capability level, service set, emergency room, cost class, and contact address, all drawn from public registers, and Section 2.8 adds a live bed status gathered by software agents.</w:t>
      </w:r>
    </w:p>
    <w:p>
      <w:pPr>
        <w:numPr>
          <w:ilvl w:val="0"/>
          <w:numId w:val="1003"/>
        </w:numPr>
        <w:pStyle w:val="BodyText"/>
        <w:spacing w:after="80"/>
      </w:pPr>
      <w:r>
        <w:rPr>
          <w:bCs/>
          <w:b/>
        </w:rPr>
        <w:t xml:space="preserve">C2. A patient profile and a suitability rule.</w:t>
      </w:r>
      <w:r>
        <w:t xml:space="preserve"> </w:t>
      </w:r>
      <w:r>
        <w:t xml:space="preserve">Section 2.9 writes a patient’s situation as acuity, required services, payment class, and mobility. Proposition 10 shows that the rule never offers more hospitals to a patient who needs more, and that it never filters an emergency patient by ability to pay.</w:t>
      </w:r>
    </w:p>
    <w:p>
      <w:pPr>
        <w:numPr>
          <w:ilvl w:val="0"/>
          <w:numId w:val="1003"/>
        </w:numPr>
        <w:pStyle w:val="BodyText"/>
        <w:spacing w:after="80"/>
      </w:pPr>
      <w:r>
        <w:rPr>
          <w:bCs/>
          <w:b/>
        </w:rPr>
        <w:t xml:space="preserve">C3. An exact hospital search with backups.</w:t>
      </w:r>
      <w:r>
        <w:t xml:space="preserve"> </w:t>
      </w:r>
      <w:r>
        <w:t xml:space="preserve">Proposition 9 proves that an early-stopping search returns the exact nearest suitable hospital and a ranked list of backups, and Proposition 13 proves that slower walking never shortens a patient’s trip, so the mobility gap is never negative.</w:t>
      </w:r>
    </w:p>
    <w:p>
      <w:pPr>
        <w:numPr>
          <w:ilvl w:val="0"/>
          <w:numId w:val="1003"/>
        </w:numPr>
        <w:pStyle w:val="BodyText"/>
        <w:spacing w:after="80"/>
      </w:pPr>
      <w:r>
        <w:rPr>
          <w:bCs/>
          <w:b/>
        </w:rPr>
        <w:t xml:space="preserve">C4. Catchments and bed access per person.</w:t>
      </w:r>
      <w:r>
        <w:t xml:space="preserve"> </w:t>
      </w:r>
      <w:r>
        <w:t xml:space="preserve">Proposition 14 builds the whole hospital catchment map in a single search, and Proposition 15 shows that the bed-to-population ratio never counts a bed twice.</w:t>
      </w:r>
    </w:p>
    <w:p>
      <w:pPr>
        <w:numPr>
          <w:ilvl w:val="0"/>
          <w:numId w:val="1003"/>
        </w:numPr>
        <w:pStyle w:val="BodyText"/>
        <w:spacing w:after="80"/>
      </w:pPr>
      <w:r>
        <w:rPr>
          <w:bCs/>
          <w:b/>
        </w:rPr>
        <w:t xml:space="preserve">C5. Surge assignment.</w:t>
      </w:r>
      <w:r>
        <w:t xml:space="preserve"> </w:t>
      </w:r>
      <w:r>
        <w:t xml:space="preserve">Proposition 16 shows that many patients can be placed in few beds optimally, in whole numbers, and without overfilling any hospital.</w:t>
      </w:r>
    </w:p>
    <w:p>
      <w:pPr>
        <w:numPr>
          <w:ilvl w:val="0"/>
          <w:numId w:val="1003"/>
        </w:numPr>
        <w:pStyle w:val="BodyText"/>
        <w:spacing w:after="80"/>
      </w:pPr>
      <w:r>
        <w:rPr>
          <w:bCs/>
          <w:b/>
        </w:rPr>
        <w:t xml:space="preserve">C6. Planning tools with guarantees.</w:t>
      </w:r>
      <w:r>
        <w:t xml:space="preserve"> </w:t>
      </w:r>
      <w:r>
        <w:t xml:space="preserve">Proposition 17 proves that only road segments on the shortest-path forest can delay patients when closed, and Proposition 18 guarantees that greedy site selection reaches at least 63.2 percent of the best possible coverage.</w:t>
      </w:r>
    </w:p>
    <w:p>
      <w:pPr>
        <w:numPr>
          <w:ilvl w:val="0"/>
          <w:numId w:val="1003"/>
        </w:numPr>
        <w:pStyle w:val="BodyText"/>
        <w:spacing w:after="80"/>
      </w:pPr>
      <w:r>
        <w:rPr>
          <w:bCs/>
          <w:b/>
        </w:rPr>
        <w:t xml:space="preserve">C7. A verified transport layer.</w:t>
      </w:r>
      <w:r>
        <w:t xml:space="preserve"> </w:t>
      </w:r>
      <w:r>
        <w:t xml:space="preserve">Sections 2.1 to 2.6 build the landmark-anchored timetable graph, the vehicle classes, and the fare model, and Propositions 1 to 8 prove the query engine correct and the inequality and fare properties sound.</w:t>
      </w:r>
    </w:p>
    <w:p>
      <w:pPr>
        <w:numPr>
          <w:ilvl w:val="0"/>
          <w:numId w:val="1003"/>
        </w:numPr>
        <w:pStyle w:val="BodyText"/>
        <w:spacing w:after="80"/>
      </w:pPr>
      <w:r>
        <w:rPr>
          <w:bCs/>
          <w:b/>
        </w:rPr>
        <w:t xml:space="preserve">C8. A repeatable, open pipeline.</w:t>
      </w:r>
      <w:r>
        <w:t xml:space="preserve"> </w:t>
      </w:r>
      <w:r>
        <w:t xml:space="preserve">Every input links back to a named public register (Appendix A), every result is reproduced by a script with a fixed random seed, and the synthetic feed can later be replaced by a field-verified feed without changing the mathematics. Creating the feed and the hospital map supports the open-data aims of SDG target 17.18.</w:t>
      </w:r>
    </w:p>
    <w:p>
      <w:pPr>
        <w:pStyle w:val="FirstParagraph"/>
      </w:pPr>
      <w:r>
        <w:t xml:space="preserve">Of the eighteen numbered results in Section 3.2, Propositions 1, 2, 5, and 6 restate established results for a landmark setting, with their sources named in their headings, and Proposition 18 applies the theorem of Nemhauser et al. (1978) to a coverage function defined here. The rest, namely Propositions 3, 7, 9, 10, and 12 to 17 and Corollaries 4, 8, and 11, are the researchers’ own.</w:t>
      </w:r>
    </w:p>
    <w:bookmarkEnd w:id="43"/>
    <w:bookmarkStart w:id="44" w:name="scope-and-delimitation"/>
    <w:p>
      <w:pPr>
        <w:pStyle w:val="Heading2"/>
      </w:pPr>
      <w:r>
        <w:t xml:space="preserve">1.7 Scope and Delimitation</w:t>
      </w:r>
    </w:p>
    <w:p>
      <w:pPr>
        <w:pStyle w:val="FirstParagraph"/>
      </w:pPr>
      <w:r>
        <w:t xml:space="preserve">The study covers the province of Albay: its 18 LGUs, three legislative districts, and the hospitals and infirmaries listed in public registers. It is entirely computational.</w:t>
      </w:r>
    </w:p>
    <w:p>
      <w:pPr>
        <w:pStyle w:val="BodyText"/>
      </w:pPr>
      <w:r>
        <w:t xml:space="preserve">The model routes patients; it does not diagnose them. The acuity level and the required services are entered by an ambulance crew or by the user, and the attending physician’s judgment always overrides the application.</w:t>
      </w:r>
    </w:p>
    <w:bookmarkEnd w:id="44"/>
    <w:bookmarkStart w:id="45" w:name="X2b3e2e097265b20d9fca8b955088efdfa0d15bb"/>
    <w:p>
      <w:pPr>
        <w:pStyle w:val="Heading2"/>
      </w:pPr>
      <w:r>
        <w:t xml:space="preserve">1.8 Relation to the Sustainable Development Goals</w:t>
      </w:r>
    </w:p>
    <w:p>
      <w:pPr>
        <w:pStyle w:val="FirstParagraph"/>
      </w:pPr>
      <w:r>
        <w:t xml:space="preserve">The goals are interconnected, and one piece of work can bear on several of them (UNGA, 2015). This is a computational study and a planning tool; it has not been applied in practice, and no indicator value for Albay is reported here.</w:t>
      </w:r>
    </w:p>
    <w:p>
      <w:pPr>
        <w:pStyle w:val="BodyText"/>
      </w:pPr>
      <w:r>
        <w:t xml:space="preserve">The closest goal is SDG 3, Good Health and Well-being. Hospital mode aims to bring each patient to the nearest hospital that offers the required level and service and has a free bed, without letting cost decide an emergency.</w:t>
      </w:r>
    </w:p>
    <w:p>
      <w:pPr>
        <w:pStyle w:val="BodyText"/>
      </w:pPr>
      <w:r>
        <w:t xml:space="preserve">SDG 11, Sustainable Cities and Communities, enters through target 11.2, which asks for safe, affordable, and accessible transport for all, with special attention to the needs of those in vulnerable situations. The landmark measure relates to indicator 11.2.1 (UNGA, 2017) but differs from it: the indicator counts who has convenient access to public transport, while the landmark measure counts what that transport reaches within 30 minutes.</w:t>
      </w:r>
    </w:p>
    <w:p>
      <w:pPr>
        <w:pStyle w:val="BodyText"/>
      </w:pPr>
      <w:r>
        <w:t xml:space="preserve">SDG 10, Reduced Inequalities, appears in the measures of Section 2.4. Targets 10.2 and 10.3 concern inclusion and less unequal outcomes (UNGA, 2015).</w:t>
      </w:r>
    </w:p>
    <w:p>
      <w:pPr>
        <w:pStyle w:val="BodyText"/>
      </w:pPr>
      <w:r>
        <w:t xml:space="preserve">Some features may also serve other goals if the tool is validated and adopted: vehicle-class routing and critical-road analysis for infrastructure and disaster response (target 9.1 and target 11.5), the bed table during typhoons and Mayon Volcano alerts (target 13.1), the payment-gap map and site selection for services to the poor (target 1.4), the school layer (target 4.a), and the open dataset (target 17.18). These are plausible applications, not proven outcomes.</w:t>
      </w:r>
    </w:p>
    <w:bookmarkEnd w:id="45"/>
    <w:bookmarkEnd w:id="46"/>
    <w:bookmarkStart w:id="149" w:name="framework"/>
    <w:p>
      <w:pPr>
        <w:pStyle w:val="Heading1"/>
      </w:pPr>
      <w:r>
        <w:t xml:space="preserve">2. FRAMEWORK</w:t>
      </w:r>
    </w:p>
    <w:p>
      <w:pPr>
        <w:pStyle w:val="FirstParagraph"/>
      </w:pPr>
      <w:r>
        <w:t xml:space="preserve">The framework has two layers. The transport layer (Sections 2.1 to 2.6) describes how a person moves through Albay by road, on foot, and on informal public transport, and what that costs.</w:t>
      </w:r>
    </w:p>
    <w:p>
      <w:pPr>
        <w:pStyle w:val="CaptionedFigure"/>
      </w:pPr>
      <w:r>
        <w:drawing>
          <wp:inline>
            <wp:extent cx="5943600" cy="3945046"/>
            <wp:effectExtent b="0" l="0" r="0" t="0"/>
            <wp:docPr descr="Figure 1. The model from open data to patient recommendations. Blue boxes form the transport layer; orange boxes form the hospital layer, which depends on the agent network for bed status." title="" id="48" name="Picture"/>
            <a:graphic>
              <a:graphicData uri="http://schemas.openxmlformats.org/drawingml/2006/picture">
                <pic:pic>
                  <pic:nvPicPr>
                    <pic:cNvPr descr="fig/fig1_model.png" id="49" name="Picture"/>
                    <pic:cNvPicPr>
                      <a:picLocks noChangeArrowheads="1" noChangeAspect="1"/>
                    </pic:cNvPicPr>
                  </pic:nvPicPr>
                  <pic:blipFill>
                    <a:blip r:embed="rId47"/>
                    <a:stretch>
                      <a:fillRect/>
                    </a:stretch>
                  </pic:blipFill>
                  <pic:spPr bwMode="auto">
                    <a:xfrm>
                      <a:off x="0" y="0"/>
                      <a:ext cx="5943600" cy="3945046"/>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The model from open data to patient recommendations. Blue boxes form the transport layer; orange boxes form the hospital layer, which depends on the agent network for bed status.</w:t>
      </w:r>
    </w:p>
    <w:bookmarkStart w:id="53" w:name="study-area-landmarks-and-spatial-units"/>
    <w:p>
      <w:pPr>
        <w:pStyle w:val="Heading2"/>
      </w:pPr>
      <w:r>
        <w:t xml:space="preserve">2.1 Study Area, Landmarks, and Spatial Units</w:t>
      </w:r>
    </w:p>
    <w:p>
      <w:pPr>
        <w:pStyle w:val="FirstParagraph"/>
      </w:pPr>
      <w:r>
        <w:t xml:space="preserve">The study area is the province of Albay, all 18 of its LGUs in its three legislative districts (Table 3). The First District covers the eastern seaboard municipalities, the Second District the capital, Legazpi City, and the municipalities around it, and the Third District the more inland municipalities.</w:t>
      </w:r>
    </w:p>
    <w:p>
      <w:pPr>
        <w:pStyle w:val="TableCaption"/>
      </w:pPr>
      <w:r>
        <w:rPr>
          <w:bCs/>
          <w:b/>
        </w:rPr>
        <w:t xml:space="preserve">Table 3.</w:t>
      </w:r>
      <w:r>
        <w:t xml:space="preserve"> </w:t>
      </w:r>
      <w:r>
        <w:t xml:space="preserve">The 18 LGUs of Albay, with 2020 population and land area. Population: PSA (2021).</w:t>
      </w:r>
    </w:p>
    <w:tbl>
      <w:tblPr>
        <w:tblStyle w:val="Table"/>
        <w:tblW w:type="pct" w:w="5000"/>
        <w:jc w:val="center"/>
        <w:tblCaption w:val="Table 3. The 18 LGUs of Albay, with 2020 population and land area. Population: PSA (202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860"/>
        <w:gridCol w:w="4648"/>
        <w:gridCol w:w="1205"/>
        <w:gridCol w:w="1205"/>
      </w:tblGrid>
      <w:tr>
        <w:trPr>
          <w:tblHeader w:val="true"/>
          <w:tblHeader/>
          <w:cantSplit/>
        </w:trPr>
        <w:tc>
          <w:tcPr/>
          <w:p>
            <w:pPr>
              <w:pStyle w:val="Compact"/>
              <w:jc w:val="left"/>
            </w:pPr>
            <w:r>
              <w:rPr>
                <w:b/>
              </w:rPr>
              <w:t xml:space="preserve">District</w:t>
            </w:r>
          </w:p>
        </w:tc>
        <w:tc>
          <w:tcPr/>
          <w:p>
            <w:pPr>
              <w:pStyle w:val="Compact"/>
              <w:jc w:val="left"/>
            </w:pPr>
            <w:r>
              <w:rPr>
                <w:b/>
              </w:rPr>
              <w:t xml:space="preserve">Local Government Units</w:t>
            </w:r>
          </w:p>
        </w:tc>
        <w:tc>
          <w:tcPr/>
          <w:p>
            <w:pPr>
              <w:pStyle w:val="Compact"/>
              <w:jc w:val="right"/>
            </w:pPr>
            <w:r>
              <w:rPr>
                <w:b/>
              </w:rPr>
              <w:t xml:space="preserve">Population (2020)</w:t>
            </w:r>
          </w:p>
        </w:tc>
        <w:tc>
          <w:tcPr/>
          <w:p>
            <w:pPr>
              <w:pStyle w:val="Compact"/>
              <w:jc w:val="right"/>
            </w:pPr>
            <w:r>
              <w:rPr>
                <w:b/>
              </w:rPr>
              <w:t xml:space="preserve">Land Area (km²)</w:t>
            </w:r>
          </w:p>
        </w:tc>
      </w:tr>
      <w:tr>
        <w:trPr>
          <w:cantSplit/>
        </w:trPr>
        <w:tc>
          <w:tcPr/>
          <w:p>
            <w:pPr>
              <w:pStyle w:val="Compact"/>
              <w:jc w:val="left"/>
            </w:pPr>
            <w:r>
              <w:t xml:space="preserve">First</w:t>
            </w:r>
          </w:p>
        </w:tc>
        <w:tc>
          <w:tcPr/>
          <w:p>
            <w:pPr>
              <w:pStyle w:val="Compact"/>
              <w:jc w:val="left"/>
            </w:pPr>
            <w:r>
              <w:t xml:space="preserve">Tabaco City, Bacacay, Malilipot, Malinao, Santo Domingo, Tiwi</w:t>
            </w:r>
          </w:p>
        </w:tc>
        <w:tc>
          <w:tcPr/>
          <w:p>
            <w:pPr>
              <w:pStyle w:val="Compact"/>
              <w:jc w:val="right"/>
            </w:pPr>
            <w:r>
              <w:t xml:space="preserve">395,907</w:t>
            </w:r>
          </w:p>
        </w:tc>
        <w:tc>
          <w:tcPr/>
          <w:p>
            <w:pPr>
              <w:pStyle w:val="Compact"/>
              <w:jc w:val="right"/>
            </w:pPr>
            <w:r>
              <w:t xml:space="preserve">547.88</w:t>
            </w:r>
          </w:p>
        </w:tc>
      </w:tr>
      <w:tr>
        <w:trPr>
          <w:cantSplit/>
        </w:trPr>
        <w:tc>
          <w:tcPr/>
          <w:p>
            <w:pPr>
              <w:pStyle w:val="Compact"/>
              <w:jc w:val="left"/>
            </w:pPr>
            <w:r>
              <w:t xml:space="preserve">Second</w:t>
            </w:r>
          </w:p>
        </w:tc>
        <w:tc>
          <w:tcPr/>
          <w:p>
            <w:pPr>
              <w:pStyle w:val="Compact"/>
              <w:jc w:val="left"/>
            </w:pPr>
            <w:r>
              <w:t xml:space="preserve">Camalig, Daraga, Legazpi City, Manito, Rapu-Rapu</w:t>
            </w:r>
          </w:p>
        </w:tc>
        <w:tc>
          <w:tcPr/>
          <w:p>
            <w:pPr>
              <w:pStyle w:val="Compact"/>
              <w:jc w:val="right"/>
            </w:pPr>
            <w:r>
              <w:t xml:space="preserve">477,781</w:t>
            </w:r>
          </w:p>
        </w:tc>
        <w:tc>
          <w:tcPr/>
          <w:p>
            <w:pPr>
              <w:pStyle w:val="Compact"/>
              <w:jc w:val="right"/>
            </w:pPr>
            <w:r>
              <w:t xml:space="preserve">673.85</w:t>
            </w:r>
          </w:p>
        </w:tc>
      </w:tr>
      <w:tr>
        <w:trPr>
          <w:cantSplit/>
        </w:trPr>
        <w:tc>
          <w:tcPr/>
          <w:p>
            <w:pPr>
              <w:pStyle w:val="Compact"/>
              <w:jc w:val="left"/>
            </w:pPr>
            <w:r>
              <w:t xml:space="preserve">Third</w:t>
            </w:r>
          </w:p>
        </w:tc>
        <w:tc>
          <w:tcPr/>
          <w:p>
            <w:pPr>
              <w:pStyle w:val="Compact"/>
              <w:jc w:val="left"/>
            </w:pPr>
            <w:r>
              <w:t xml:space="preserve">Guinobatan, Jovellar, Libon, Ligao City, Oas, Pio Duran, Polangui</w:t>
            </w:r>
          </w:p>
        </w:tc>
        <w:tc>
          <w:tcPr/>
          <w:p>
            <w:pPr>
              <w:pStyle w:val="Compact"/>
              <w:jc w:val="right"/>
            </w:pPr>
            <w:r>
              <w:t xml:space="preserve">501,080</w:t>
            </w:r>
          </w:p>
        </w:tc>
        <w:tc>
          <w:tcPr/>
          <w:p>
            <w:pPr>
              <w:pStyle w:val="Compact"/>
              <w:jc w:val="right"/>
            </w:pPr>
            <w:r>
              <w:t xml:space="preserve">1,353.18</w:t>
            </w:r>
          </w:p>
        </w:tc>
      </w:tr>
      <w:tr>
        <w:trPr>
          <w:cantSplit/>
        </w:trPr>
        <w:tc>
          <w:tcPr/>
          <w:p>
            <w:pPr>
              <w:pStyle w:val="Compact"/>
              <w:jc w:val="left"/>
            </w:pPr>
            <w:r>
              <w:t xml:space="preserve">Total</w:t>
            </w:r>
          </w:p>
        </w:tc>
        <w:tc>
          <w:tcPr/>
          <w:p>
            <w:pPr>
              <w:pStyle w:val="Compact"/>
              <w:jc w:val="left"/>
            </w:pPr>
            <w:r>
              <w:t xml:space="preserve">18 units</w:t>
            </w:r>
          </w:p>
        </w:tc>
        <w:tc>
          <w:tcPr/>
          <w:p>
            <w:pPr>
              <w:pStyle w:val="Compact"/>
              <w:jc w:val="right"/>
            </w:pPr>
            <w:r>
              <w:t xml:space="preserve">1,374,768</w:t>
            </w:r>
          </w:p>
        </w:tc>
        <w:tc>
          <w:tcPr/>
          <w:p>
            <w:pPr>
              <w:pStyle w:val="Compact"/>
              <w:jc w:val="right"/>
            </w:pPr>
            <w:r>
              <w:t xml:space="preserve">2,574.91</w:t>
            </w:r>
          </w:p>
        </w:tc>
      </w:tr>
    </w:tbl>
    <w:p>
      <w:pPr>
        <w:pStyle w:val="BodyText"/>
        <w:spacing w:before="200"/>
      </w:pPr>
      <w:r>
        <w:rPr>
          <w:bCs/>
          <w:b/>
        </w:rPr>
        <w:t xml:space="preserve">Definition 1 (Landmark set).</w:t>
      </w:r>
      <w:r>
        <w:t xml:space="preserve"> </w:t>
      </w:r>
      <w:r>
        <w:t xml:space="preserve">A landmark is a fixed place with a known name and general public importance, whose location can be pinned down and which appears in at least one public register. The landmark set is</w:t>
      </w:r>
    </w:p>
    <w:p>
      <w:pPr>
        <w:pStyle w:val="Equation"/>
      </w:pPr>
      <w:r>
        <w:tab/>
      </w:r>
      <w:r>
        <w:drawing>
          <wp:inline>
            <wp:extent cx="860450" cy="134416"/>
            <wp:effectExtent b="0" l="0" r="0" t="0"/>
            <wp:docPr descr="" title="" id="51" name="Picture"/>
            <a:graphic>
              <a:graphicData uri="http://schemas.openxmlformats.org/drawingml/2006/picture">
                <pic:pic>
                  <pic:nvPicPr>
                    <pic:cNvPr descr="eq/eq01.png" id="52" name="Picture"/>
                    <pic:cNvPicPr>
                      <a:picLocks noChangeArrowheads="1" noChangeAspect="1"/>
                    </pic:cNvPicPr>
                  </pic:nvPicPr>
                  <pic:blipFill>
                    <a:blip r:embed="rId50"/>
                    <a:stretch>
                      <a:fillRect/>
                    </a:stretch>
                  </pic:blipFill>
                  <pic:spPr bwMode="auto">
                    <a:xfrm>
                      <a:off x="0" y="0"/>
                      <a:ext cx="860450" cy="134416"/>
                    </a:xfrm>
                    <a:prstGeom prst="rect">
                      <a:avLst/>
                    </a:prstGeom>
                    <a:noFill/>
                    <a:ln w="9525">
                      <a:noFill/>
                      <a:headEnd/>
                      <a:tailEnd/>
                    </a:ln>
                  </pic:spPr>
                </pic:pic>
              </a:graphicData>
            </a:graphic>
          </wp:inline>
        </w:drawing>
      </w:r>
      <w:r/>
      <w:r/>
      <w:r>
        <w:rPr>
          <w:rFonts w:ascii="Times New Roman" w:hAnsi="Times New Roman"/>
          <w:sz w:val="24"/>
        </w:rPr>
        <w:tab/>
        <w:t>(1)</w:t>
      </w:r>
    </w:p>
    <w:p>
      <w:pPr>
        <w:pStyle w:val="Source"/>
      </w:pPr>
      <w:r>
        <w:t xml:space="preserve">Source: formulated in this study (Definition 1)</w:t>
      </w:r>
    </w:p>
    <w:p>
      <w:pPr>
        <w:pStyle w:val="BodyText"/>
      </w:pPr>
      <w:r>
        <w:t xml:space="preserve">where</w:t>
      </w:r>
      <w:r>
        <w:t xml:space="preserve"> </w:t>
      </w:r>
      <w:r>
        <w:rPr>
          <w:iCs/>
          <w:i/>
        </w:rPr>
        <w:t xml:space="preserve">L</w:t>
      </w:r>
      <w:r>
        <w:rPr>
          <w:iCs/>
          <w:i/>
          <w:vertAlign w:val="subscript"/>
        </w:rPr>
        <w:t xml:space="preserve">a</w:t>
      </w:r>
      <w:r>
        <w:t xml:space="preserve"> </w:t>
      </w:r>
      <w:r>
        <w:t xml:space="preserve">is the set of anchors and</w:t>
      </w:r>
      <w:r>
        <w:t xml:space="preserve"> </w:t>
      </w:r>
      <w:r>
        <w:rPr>
          <w:iCs/>
          <w:i/>
        </w:rPr>
        <w:t xml:space="preserve">L</w:t>
      </w:r>
      <w:r>
        <w:rPr>
          <w:iCs/>
          <w:i/>
          <w:vertAlign w:val="subscript"/>
        </w:rPr>
        <w:t xml:space="preserve">d</w:t>
      </w:r>
      <w:r>
        <w:t xml:space="preserve"> </w:t>
      </w:r>
      <w:r>
        <w:t xml:space="preserve">the set of essential destinations. Anchors are the places where people without private vehicles plausibly begin a trip: a public transport terminal, the municipal or city hall, the public market, the town plaza, a port or pier, or a major junction where drivers usually pick up passengers.</w:t>
      </w:r>
    </w:p>
    <w:p>
      <w:pPr>
        <w:pStyle w:val="BodyText"/>
      </w:pPr>
      <w:r>
        <w:t xml:space="preserve">Each anchor</w:t>
      </w:r>
      <w:r>
        <w:t xml:space="preserve"> </w:t>
      </w:r>
      <w:r>
        <w:rPr>
          <w:iCs/>
          <w:i/>
        </w:rPr>
        <w:t xml:space="preserve">a</w:t>
      </w:r>
      <w:r>
        <w:t xml:space="preserve"> </w:t>
      </w:r>
      <w:r>
        <w:t xml:space="preserve">∈</w:t>
      </w:r>
      <w:r>
        <w:t xml:space="preserve"> </w:t>
      </w:r>
      <w:r>
        <w:rPr>
          <w:iCs/>
          <w:i/>
        </w:rPr>
        <w:t xml:space="preserve">L</w:t>
      </w:r>
      <w:r>
        <w:rPr>
          <w:iCs/>
          <w:i/>
          <w:vertAlign w:val="subscript"/>
        </w:rPr>
        <w:t xml:space="preserve">a</w:t>
      </w:r>
      <w:r>
        <w:t xml:space="preserve"> </w:t>
      </w:r>
      <w:r>
        <w:t xml:space="preserve">is represented by</w:t>
      </w:r>
      <w:r>
        <w:t xml:space="preserve"> </w:t>
      </w:r>
      <w:r>
        <w:rPr>
          <w:iCs/>
          <w:i/>
        </w:rPr>
        <w:t xml:space="preserve">o</w:t>
      </w:r>
      <w:r>
        <w:rPr>
          <w:iCs/>
          <w:i/>
          <w:vertAlign w:val="subscript"/>
        </w:rPr>
        <w:t xml:space="preserve">a</w:t>
      </w:r>
      <w:r>
        <w:t xml:space="preserve">, the road-network node nearest to its register coordinate. Its demand weight</w:t>
      </w:r>
      <w:r>
        <w:t xml:space="preserve"> </w:t>
      </w:r>
      <w:r>
        <w:rPr>
          <w:iCs/>
          <w:i/>
        </w:rPr>
        <w:t xml:space="preserve">P</w:t>
      </w:r>
      <w:r>
        <w:rPr>
          <w:iCs/>
          <w:i/>
          <w:vertAlign w:val="subscript"/>
        </w:rPr>
        <w:t xml:space="preserve">a</w:t>
      </w:r>
      <w:r>
        <w:t xml:space="preserve"> </w:t>
      </w:r>
      <w:r>
        <w:t xml:space="preserve">comes from the barangays assigned to it.</w:t>
      </w:r>
    </w:p>
    <w:p>
      <w:pPr>
        <w:pStyle w:val="BodyText"/>
      </w:pPr>
      <w:r>
        <w:t xml:space="preserve">Each destination</w:t>
      </w:r>
      <w:r>
        <w:t xml:space="preserve"> </w:t>
      </w:r>
      <w:r>
        <w:rPr>
          <w:iCs/>
          <w:i/>
        </w:rPr>
        <w:t xml:space="preserve">p</w:t>
      </w:r>
      <w:r>
        <w:t xml:space="preserve"> </w:t>
      </w:r>
      <w:r>
        <w:t xml:space="preserve">∈</w:t>
      </w:r>
      <w:r>
        <w:t xml:space="preserve"> </w:t>
      </w:r>
      <w:r>
        <w:rPr>
          <w:iCs/>
          <w:i/>
        </w:rPr>
        <w:t xml:space="preserve">L</w:t>
      </w:r>
      <w:r>
        <w:rPr>
          <w:iCs/>
          <w:i/>
          <w:vertAlign w:val="subscript"/>
        </w:rPr>
        <w:t xml:space="preserve">d</w:t>
      </w:r>
      <w:r>
        <w:t xml:space="preserve"> </w:t>
      </w:r>
      <w:r>
        <w:t xml:space="preserve">belongs to one service category</w:t>
      </w:r>
      <w:r>
        <w:t xml:space="preserve"> </w:t>
      </w:r>
      <w:r>
        <w:rPr>
          <w:iCs/>
          <w:i/>
        </w:rPr>
        <w:t xml:space="preserve">k</w:t>
      </w:r>
      <w:r>
        <w:t xml:space="preserve"> </w:t>
      </w:r>
      <w:r>
        <w:t xml:space="preserve">∈</w:t>
      </w:r>
      <w:r>
        <w:t xml:space="preserve"> </w:t>
      </w:r>
      <w:r>
        <w:rPr>
          <w:iCs/>
          <w:i/>
        </w:rPr>
        <w:t xml:space="preserve">K</w:t>
      </w:r>
      <w:r>
        <w:t xml:space="preserve"> </w:t>
      </w:r>
      <w:r>
        <w:t xml:space="preserve">and has a size</w:t>
      </w:r>
      <w:r>
        <w:t xml:space="preserve"> </w:t>
      </w:r>
      <w:r>
        <w:rPr>
          <w:iCs/>
          <w:i/>
        </w:rPr>
        <w:t xml:space="preserve">w</w:t>
      </w:r>
      <w:r>
        <w:rPr>
          <w:iCs/>
          <w:i/>
          <w:vertAlign w:val="subscript"/>
        </w:rPr>
        <w:t xml:space="preserve">p</w:t>
      </w:r>
      <w:r>
        <w:t xml:space="preserve"> </w:t>
      </w:r>
      <w:r>
        <w:t xml:space="preserve">taken from its register: service windows for an office, classrooms for a school, beds for a hospital.</w:t>
      </w:r>
      <w:r>
        <w:t xml:space="preserve"> </w:t>
      </w:r>
      <w:r>
        <w:rPr>
          <w:iCs/>
          <w:i/>
        </w:rPr>
        <w:t xml:space="preserve">L</w:t>
      </w:r>
      <w:r>
        <w:rPr>
          <w:iCs/>
          <w:i/>
          <w:vertAlign w:val="subscript"/>
        </w:rPr>
        <w:t xml:space="preserve">d</w:t>
      </w:r>
      <w:r>
        <w:t xml:space="preserve">(</w:t>
      </w:r>
      <w:r>
        <w:rPr>
          <w:iCs/>
          <w:i/>
        </w:rPr>
        <w:t xml:space="preserve">k</w:t>
      </w:r>
      <w:r>
        <w:t xml:space="preserve">) denotes the destinations of category</w:t>
      </w:r>
      <w:r>
        <w:t xml:space="preserve"> </w:t>
      </w:r>
      <w:r>
        <w:rPr>
          <w:iCs/>
          <w:i/>
        </w:rPr>
        <w:t xml:space="preserve">k</w:t>
      </w:r>
      <w:r>
        <w:t xml:space="preserve">. Hospitals need more attributes than a size, because a bed count alone does not say whether the hospital can serve a given patient now.</w:t>
      </w:r>
    </w:p>
    <w:p>
      <w:pPr>
        <w:pStyle w:val="BodyText"/>
      </w:pPr>
      <w:r>
        <w:t xml:space="preserve">Table 4 lists the register used for each landmark category. Appendix A explains how each source is obtained, and Appendix C gives the inclusion rules and the fields recorded for each landmark.</w:t>
      </w:r>
    </w:p>
    <w:p>
      <w:pPr>
        <w:pStyle w:val="TableCaption"/>
      </w:pPr>
      <w:r>
        <w:rPr>
          <w:bCs/>
          <w:b/>
        </w:rPr>
        <w:t xml:space="preserve">Table 4.</w:t>
      </w:r>
      <w:r>
        <w:t xml:space="preserve"> </w:t>
      </w:r>
      <w:r>
        <w:t xml:space="preserve">Landmark categories, their role in the model, and the open registers used to identify them. Every category can be compiled from existing records without field visits.</w:t>
      </w:r>
    </w:p>
    <w:tbl>
      <w:tblPr>
        <w:tblStyle w:val="Table"/>
        <w:tblW w:type="pct" w:w="5000"/>
        <w:jc w:val="center"/>
        <w:tblCaption w:val="Table 4. Landmark categories, their role in the model, and the open registers used to identify them. Every category can be compiled from existing records without field visit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527"/>
        <w:gridCol w:w="1348"/>
        <w:gridCol w:w="4044"/>
      </w:tblGrid>
      <w:tr>
        <w:trPr>
          <w:tblHeader w:val="true"/>
          <w:tblHeader/>
          <w:cantSplit/>
        </w:trPr>
        <w:tc>
          <w:tcPr/>
          <w:p>
            <w:pPr>
              <w:pStyle w:val="Compact"/>
              <w:jc w:val="left"/>
            </w:pPr>
            <w:r>
              <w:rPr>
                <w:b/>
              </w:rPr>
              <w:t xml:space="preserve">Landmark Class</w:t>
            </w:r>
          </w:p>
        </w:tc>
        <w:tc>
          <w:tcPr/>
          <w:p>
            <w:pPr>
              <w:pStyle w:val="Compact"/>
              <w:jc w:val="left"/>
            </w:pPr>
            <w:r>
              <w:rPr>
                <w:b/>
              </w:rPr>
              <w:t xml:space="preserve">Role</w:t>
            </w:r>
          </w:p>
        </w:tc>
        <w:tc>
          <w:tcPr/>
          <w:p>
            <w:pPr>
              <w:pStyle w:val="Compact"/>
              <w:jc w:val="left"/>
            </w:pPr>
            <w:r>
              <w:rPr>
                <w:b/>
              </w:rPr>
              <w:t xml:space="preserve">Open Register</w:t>
            </w:r>
          </w:p>
        </w:tc>
      </w:tr>
      <w:tr>
        <w:trPr>
          <w:cantSplit/>
        </w:trPr>
        <w:tc>
          <w:tcPr/>
          <w:p>
            <w:pPr>
              <w:pStyle w:val="Compact"/>
              <w:jc w:val="left"/>
            </w:pPr>
            <w:r>
              <w:t xml:space="preserve">Public transport terminal</w:t>
            </w:r>
          </w:p>
        </w:tc>
        <w:tc>
          <w:tcPr/>
          <w:p>
            <w:pPr>
              <w:pStyle w:val="Compact"/>
              <w:jc w:val="left"/>
            </w:pPr>
            <w:r>
              <w:t xml:space="preserve">anchor</w:t>
            </w:r>
          </w:p>
        </w:tc>
        <w:tc>
          <w:tcPr/>
          <w:p>
            <w:pPr>
              <w:pStyle w:val="Compact"/>
              <w:jc w:val="left"/>
            </w:pPr>
            <w:r>
              <w:t xml:space="preserve">OpenStreetMap; route-plan annexes of LGUs</w:t>
            </w:r>
          </w:p>
        </w:tc>
      </w:tr>
      <w:tr>
        <w:trPr>
          <w:cantSplit/>
        </w:trPr>
        <w:tc>
          <w:tcPr/>
          <w:p>
            <w:pPr>
              <w:pStyle w:val="Compact"/>
              <w:jc w:val="left"/>
            </w:pPr>
            <w:r>
              <w:t xml:space="preserve">Municipal or city hall</w:t>
            </w:r>
          </w:p>
        </w:tc>
        <w:tc>
          <w:tcPr/>
          <w:p>
            <w:pPr>
              <w:pStyle w:val="Compact"/>
              <w:jc w:val="left"/>
            </w:pPr>
            <w:r>
              <w:t xml:space="preserve">anchor</w:t>
            </w:r>
          </w:p>
        </w:tc>
        <w:tc>
          <w:tcPr/>
          <w:p>
            <w:pPr>
              <w:pStyle w:val="Compact"/>
              <w:jc w:val="left"/>
            </w:pPr>
            <w:r>
              <w:t xml:space="preserve">OpenStreetMap; Philippine Standard Geographic Code</w:t>
            </w:r>
          </w:p>
        </w:tc>
      </w:tr>
      <w:tr>
        <w:trPr>
          <w:cantSplit/>
        </w:trPr>
        <w:tc>
          <w:tcPr/>
          <w:p>
            <w:pPr>
              <w:pStyle w:val="Compact"/>
              <w:jc w:val="left"/>
            </w:pPr>
            <w:r>
              <w:t xml:space="preserve">Town plaza, port, or pier</w:t>
            </w:r>
          </w:p>
        </w:tc>
        <w:tc>
          <w:tcPr/>
          <w:p>
            <w:pPr>
              <w:pStyle w:val="Compact"/>
              <w:jc w:val="left"/>
            </w:pPr>
            <w:r>
              <w:t xml:space="preserve">anchor</w:t>
            </w:r>
          </w:p>
        </w:tc>
        <w:tc>
          <w:tcPr/>
          <w:p>
            <w:pPr>
              <w:pStyle w:val="Compact"/>
              <w:jc w:val="left"/>
            </w:pPr>
            <w:r>
              <w:t xml:space="preserve">OpenStreetMap; port list of the Philippine Ports Authority</w:t>
            </w:r>
          </w:p>
        </w:tc>
      </w:tr>
      <w:tr>
        <w:trPr>
          <w:cantSplit/>
        </w:trPr>
        <w:tc>
          <w:tcPr/>
          <w:p>
            <w:pPr>
              <w:pStyle w:val="Compact"/>
              <w:jc w:val="left"/>
            </w:pPr>
            <w:r>
              <w:t xml:space="preserve">Major boarding junction</w:t>
            </w:r>
          </w:p>
        </w:tc>
        <w:tc>
          <w:tcPr/>
          <w:p>
            <w:pPr>
              <w:pStyle w:val="Compact"/>
              <w:jc w:val="left"/>
            </w:pPr>
            <w:r>
              <w:t xml:space="preserve">anchor</w:t>
            </w:r>
          </w:p>
        </w:tc>
        <w:tc>
          <w:tcPr/>
          <w:p>
            <w:pPr>
              <w:pStyle w:val="Compact"/>
              <w:jc w:val="left"/>
            </w:pPr>
            <w:r>
              <w:t xml:space="preserve">Highway junction nodes in OpenStreetMap</w:t>
            </w:r>
          </w:p>
        </w:tc>
      </w:tr>
      <w:tr>
        <w:trPr>
          <w:cantSplit/>
        </w:trPr>
        <w:tc>
          <w:tcPr/>
          <w:p>
            <w:pPr>
              <w:pStyle w:val="Compact"/>
              <w:jc w:val="left"/>
            </w:pPr>
            <w:r>
              <w:t xml:space="preserve">Hospital, infirmary, rural health unit</w:t>
            </w:r>
          </w:p>
        </w:tc>
        <w:tc>
          <w:tcPr/>
          <w:p>
            <w:pPr>
              <w:pStyle w:val="Compact"/>
              <w:jc w:val="left"/>
            </w:pPr>
            <w:r>
              <w:t xml:space="preserve">destination</w:t>
            </w:r>
          </w:p>
        </w:tc>
        <w:tc>
          <w:tcPr/>
          <w:p>
            <w:pPr>
              <w:pStyle w:val="Compact"/>
              <w:jc w:val="left"/>
            </w:pPr>
            <w:r>
              <w:t xml:space="preserve">National Health Facility Registry (DOH); hospital licensing records; PhilHealth accreditation list; Malasakit Center directory (DOH)</w:t>
            </w:r>
          </w:p>
        </w:tc>
      </w:tr>
      <w:tr>
        <w:trPr>
          <w:cantSplit/>
        </w:trPr>
        <w:tc>
          <w:tcPr/>
          <w:p>
            <w:pPr>
              <w:pStyle w:val="Compact"/>
              <w:jc w:val="left"/>
            </w:pPr>
            <w:r>
              <w:t xml:space="preserve">Public elementary and secondary school</w:t>
            </w:r>
          </w:p>
        </w:tc>
        <w:tc>
          <w:tcPr/>
          <w:p>
            <w:pPr>
              <w:pStyle w:val="Compact"/>
              <w:jc w:val="left"/>
            </w:pPr>
            <w:r>
              <w:t xml:space="preserve">destination</w:t>
            </w:r>
          </w:p>
        </w:tc>
        <w:tc>
          <w:tcPr/>
          <w:p>
            <w:pPr>
              <w:pStyle w:val="Compact"/>
              <w:jc w:val="left"/>
            </w:pPr>
            <w:r>
              <w:t xml:space="preserve">Masterlist of Schools, Department of Education</w:t>
            </w:r>
          </w:p>
        </w:tc>
      </w:tr>
      <w:tr>
        <w:trPr>
          <w:cantSplit/>
        </w:trPr>
        <w:tc>
          <w:tcPr/>
          <w:p>
            <w:pPr>
              <w:pStyle w:val="Compact"/>
              <w:jc w:val="left"/>
            </w:pPr>
            <w:r>
              <w:t xml:space="preserve">Government service office</w:t>
            </w:r>
          </w:p>
        </w:tc>
        <w:tc>
          <w:tcPr/>
          <w:p>
            <w:pPr>
              <w:pStyle w:val="Compact"/>
              <w:jc w:val="left"/>
            </w:pPr>
            <w:r>
              <w:t xml:space="preserve">destination</w:t>
            </w:r>
          </w:p>
        </w:tc>
        <w:tc>
          <w:tcPr/>
          <w:p>
            <w:pPr>
              <w:pStyle w:val="Compact"/>
              <w:jc w:val="left"/>
            </w:pPr>
            <w:r>
              <w:t xml:space="preserve">OpenStreetMap; agency directories</w:t>
            </w:r>
          </w:p>
        </w:tc>
      </w:tr>
      <w:tr>
        <w:trPr>
          <w:cantSplit/>
        </w:trPr>
        <w:tc>
          <w:tcPr/>
          <w:p>
            <w:pPr>
              <w:pStyle w:val="Compact"/>
              <w:jc w:val="left"/>
            </w:pPr>
            <w:r>
              <w:t xml:space="preserve">Public market</w:t>
            </w:r>
          </w:p>
        </w:tc>
        <w:tc>
          <w:tcPr/>
          <w:p>
            <w:pPr>
              <w:pStyle w:val="Compact"/>
              <w:jc w:val="left"/>
            </w:pPr>
            <w:r>
              <w:t xml:space="preserve">anchor and destination</w:t>
            </w:r>
          </w:p>
        </w:tc>
        <w:tc>
          <w:tcPr/>
          <w:p>
            <w:pPr>
              <w:pStyle w:val="Compact"/>
              <w:jc w:val="left"/>
            </w:pPr>
            <w:r>
              <w:t xml:space="preserve">OpenStreetMap; LGU lists</w:t>
            </w:r>
          </w:p>
        </w:tc>
      </w:tr>
      <w:tr>
        <w:trPr>
          <w:cantSplit/>
        </w:trPr>
        <w:tc>
          <w:tcPr/>
          <w:p>
            <w:pPr>
              <w:pStyle w:val="Compact"/>
              <w:jc w:val="left"/>
            </w:pPr>
            <w:r>
              <w:t xml:space="preserve">Designated evacuation center</w:t>
            </w:r>
          </w:p>
        </w:tc>
        <w:tc>
          <w:tcPr/>
          <w:p>
            <w:pPr>
              <w:pStyle w:val="Compact"/>
              <w:jc w:val="left"/>
            </w:pPr>
            <w:r>
              <w:t xml:space="preserve">destination</w:t>
            </w:r>
          </w:p>
        </w:tc>
        <w:tc>
          <w:tcPr/>
          <w:p>
            <w:pPr>
              <w:pStyle w:val="Compact"/>
              <w:jc w:val="left"/>
            </w:pPr>
            <w:r>
              <w:t xml:space="preserve">LGU disaster risk reduction plans</w:t>
            </w:r>
          </w:p>
        </w:tc>
      </w:tr>
    </w:tbl>
    <w:p>
      <w:pPr>
        <w:pStyle w:val="TableNote"/>
        <w:spacing w:before="200"/>
      </w:pPr>
      <w:r>
        <w:rPr>
          <w:iCs/>
          <w:i/>
        </w:rPr>
        <w:t xml:space="preserve">Sources:</w:t>
      </w:r>
      <w:r>
        <w:t xml:space="preserve"> </w:t>
      </w:r>
      <w:r>
        <w:t xml:space="preserve">OpenStreetMap contributors (2026) and PSA (n.d.) for the anchors; for destinations, the Department of Education (2021), the DOH (n.d.-a, n.d.-b, 2012), and the Philippine Health Insurance Corporation (2026); ports from the Philippine Ports Authority (n.d.). Appendix A gives access details.</w:t>
      </w:r>
    </w:p>
    <w:p>
      <w:pPr>
        <w:pStyle w:val="BodyText"/>
      </w:pPr>
      <w:r>
        <w:t xml:space="preserve">Barangays matter to the model only because their populations make up the anchor weights. No barangay receives an accessibility value of its own, no barangay centroid serves as an origin, and nothing is claimed about any individual barangay.</w:t>
      </w:r>
    </w:p>
    <w:bookmarkEnd w:id="53"/>
    <w:bookmarkStart w:id="54" w:name="network-definitions"/>
    <w:p>
      <w:pPr>
        <w:pStyle w:val="Heading2"/>
      </w:pPr>
      <w:r>
        <w:t xml:space="preserve">2.2 Network Definitions</w:t>
      </w:r>
    </w:p>
    <w:p>
      <w:pPr>
        <w:pStyle w:val="FirstParagraph"/>
      </w:pPr>
      <w:r>
        <w:rPr>
          <w:bCs/>
          <w:b/>
        </w:rPr>
        <w:t xml:space="preserve">Definition 2 (Road network).</w:t>
      </w:r>
      <w:r>
        <w:t xml:space="preserve"> </w:t>
      </w:r>
      <w:r>
        <w:rPr>
          <w:iCs/>
          <w:i/>
        </w:rPr>
        <w:t xml:space="preserve">G</w:t>
      </w:r>
      <w:r>
        <w:rPr>
          <w:iCs/>
          <w:i/>
          <w:vertAlign w:val="subscript"/>
        </w:rPr>
        <w:t xml:space="preserve">R</w:t>
      </w:r>
      <w:r>
        <w:t xml:space="preserve"> </w:t>
      </w:r>
      <w:r>
        <w:t xml:space="preserve">= (</w:t>
      </w:r>
      <w:r>
        <w:rPr>
          <w:iCs/>
          <w:i/>
        </w:rPr>
        <w:t xml:space="preserve">V</w:t>
      </w:r>
      <w:r>
        <w:rPr>
          <w:iCs/>
          <w:i/>
          <w:vertAlign w:val="subscript"/>
        </w:rPr>
        <w:t xml:space="preserve">R</w:t>
      </w:r>
      <w:r>
        <w:t xml:space="preserve">,</w:t>
      </w:r>
      <w:r>
        <w:t xml:space="preserve"> </w:t>
      </w:r>
      <w:r>
        <w:rPr>
          <w:iCs/>
          <w:i/>
        </w:rPr>
        <w:t xml:space="preserve">E</w:t>
      </w:r>
      <w:r>
        <w:rPr>
          <w:iCs/>
          <w:i/>
          <w:vertAlign w:val="subscript"/>
        </w:rPr>
        <w:t xml:space="preserve">R</w:t>
      </w:r>
      <w:r>
        <w:t xml:space="preserve">) is a weighted directed graph taken from OpenStreetMap (OpenStreetMap contributors, 2026). An arc</w:t>
      </w:r>
      <w:r>
        <w:t xml:space="preserve"> </w:t>
      </w:r>
      <w:r>
        <w:rPr>
          <w:iCs/>
          <w:i/>
        </w:rPr>
        <w:t xml:space="preserve">e</w:t>
      </w:r>
      <w:r>
        <w:t xml:space="preserve"> </w:t>
      </w:r>
      <w:r>
        <w:t xml:space="preserve">has a length ℓ</w:t>
      </w:r>
      <w:r>
        <w:rPr>
          <w:iCs/>
          <w:i/>
          <w:vertAlign w:val="subscript"/>
        </w:rPr>
        <w:t xml:space="preserve">e</w:t>
      </w:r>
      <w:r>
        <w:t xml:space="preserve"> </w:t>
      </w:r>
      <w:r>
        <w:t xml:space="preserve">&gt; 0 and a free-flow speed</w:t>
      </w:r>
      <w:r>
        <w:t xml:space="preserve"> </w:t>
      </w:r>
      <w:r>
        <w:rPr>
          <w:iCs/>
          <w:i/>
        </w:rPr>
        <w:t xml:space="preserve">v</w:t>
      </w:r>
      <w:r>
        <w:rPr>
          <w:iCs/>
          <w:i/>
          <w:vertAlign w:val="subscript"/>
        </w:rPr>
        <w:t xml:space="preserve">e</w:t>
      </w:r>
      <w:r>
        <w:t xml:space="preserve">, and its attribute vector</w:t>
      </w:r>
      <w:r>
        <w:t xml:space="preserve"> </w:t>
      </w:r>
      <w:r>
        <w:rPr>
          <w:iCs/>
          <w:i/>
        </w:rPr>
        <w:t xml:space="preserve">a</w:t>
      </w:r>
      <w:r>
        <w:rPr>
          <w:iCs/>
          <w:i/>
          <w:vertAlign w:val="subscript"/>
        </w:rPr>
        <w:t xml:space="preserve">e</w:t>
      </w:r>
      <w:r>
        <w:t xml:space="preserve"> </w:t>
      </w:r>
      <w:r>
        <w:t xml:space="preserve">= (</w:t>
      </w:r>
      <w:r>
        <w:rPr>
          <w:iCs/>
          <w:i/>
        </w:rPr>
        <w:t xml:space="preserve">a</w:t>
      </w:r>
      <w:r>
        <w:rPr>
          <w:iCs/>
          <w:i/>
          <w:vertAlign w:val="superscript"/>
        </w:rPr>
        <w:t xml:space="preserve">w</w:t>
      </w:r>
      <w:r>
        <w:rPr>
          <w:iCs/>
          <w:i/>
          <w:vertAlign w:val="subscript"/>
        </w:rPr>
        <w:t xml:space="preserve">e</w:t>
      </w:r>
      <w:r>
        <w:t xml:space="preserve">,</w:t>
      </w:r>
      <w:r>
        <w:t xml:space="preserve"> </w:t>
      </w:r>
      <w:r>
        <w:rPr>
          <w:iCs/>
          <w:i/>
        </w:rPr>
        <w:t xml:space="preserve">a</w:t>
      </w:r>
      <w:r>
        <w:rPr>
          <w:iCs/>
          <w:i/>
          <w:vertAlign w:val="superscript"/>
        </w:rPr>
        <w:t xml:space="preserve">h</w:t>
      </w:r>
      <w:r>
        <w:rPr>
          <w:iCs/>
          <w:i/>
          <w:vertAlign w:val="subscript"/>
        </w:rPr>
        <w:t xml:space="preserve">e</w:t>
      </w:r>
      <w:r>
        <w:t xml:space="preserve">,</w:t>
      </w:r>
      <w:r>
        <w:t xml:space="preserve"> </w:t>
      </w:r>
      <w:r>
        <w:rPr>
          <w:iCs/>
          <w:i/>
        </w:rPr>
        <w:t xml:space="preserve">a</w:t>
      </w:r>
      <w:r>
        <w:rPr>
          <w:iCs/>
          <w:i/>
          <w:vertAlign w:val="superscript"/>
        </w:rPr>
        <w:t xml:space="preserve">m</w:t>
      </w:r>
      <w:r>
        <w:rPr>
          <w:iCs/>
          <w:i/>
          <w:vertAlign w:val="subscript"/>
        </w:rPr>
        <w:t xml:space="preserve">e</w:t>
      </w:r>
      <w:r>
        <w:t xml:space="preserve">,</w:t>
      </w:r>
      <w:r>
        <w:t xml:space="preserve"> </w:t>
      </w:r>
      <w:r>
        <w:rPr>
          <w:iCs/>
          <w:i/>
        </w:rPr>
        <w:t xml:space="preserve">a</w:t>
      </w:r>
      <w:r>
        <w:rPr>
          <w:iCs/>
          <w:i/>
          <w:vertAlign w:val="superscript"/>
        </w:rPr>
        <w:t xml:space="preserve">x</w:t>
      </w:r>
      <w:r>
        <w:rPr>
          <w:iCs/>
          <w:i/>
          <w:vertAlign w:val="subscript"/>
        </w:rPr>
        <w:t xml:space="preserve">e</w:t>
      </w:r>
      <w:r>
        <w:t xml:space="preserve">) gives four limits for the arc: usable width, vertical clearance, maximum gross mass, and maximum axle load. An attribute that was never surveyed receives the value +∞ and a flag.</w:t>
      </w:r>
    </w:p>
    <w:p>
      <w:pPr>
        <w:pStyle w:val="BodyText"/>
      </w:pPr>
      <w:r>
        <w:rPr>
          <w:bCs/>
          <w:b/>
        </w:rPr>
        <w:t xml:space="preserve">Definition 3 (Walking network).</w:t>
      </w:r>
      <w:r>
        <w:t xml:space="preserve"> </w:t>
      </w:r>
      <w:r>
        <w:rPr>
          <w:iCs/>
          <w:i/>
        </w:rPr>
        <w:t xml:space="preserve">G</w:t>
      </w:r>
      <w:r>
        <w:rPr>
          <w:iCs/>
          <w:i/>
          <w:vertAlign w:val="subscript"/>
        </w:rPr>
        <w:t xml:space="preserve">W</w:t>
      </w:r>
      <w:r>
        <w:t xml:space="preserve"> </w:t>
      </w:r>
      <w:r>
        <w:t xml:space="preserve">= (</w:t>
      </w:r>
      <w:r>
        <w:rPr>
          <w:iCs/>
          <w:i/>
        </w:rPr>
        <w:t xml:space="preserve">V</w:t>
      </w:r>
      <w:r>
        <w:rPr>
          <w:iCs/>
          <w:i/>
          <w:vertAlign w:val="subscript"/>
        </w:rPr>
        <w:t xml:space="preserve">R</w:t>
      </w:r>
      <w:r>
        <w:t xml:space="preserve">,</w:t>
      </w:r>
      <w:r>
        <w:t xml:space="preserve"> </w:t>
      </w:r>
      <w:r>
        <w:rPr>
          <w:iCs/>
          <w:i/>
        </w:rPr>
        <w:t xml:space="preserve">E</w:t>
      </w:r>
      <w:r>
        <w:rPr>
          <w:iCs/>
          <w:i/>
          <w:vertAlign w:val="subscript"/>
        </w:rPr>
        <w:t xml:space="preserve">W</w:t>
      </w:r>
      <w:r>
        <w:t xml:space="preserve">) reuses the vertices of the road network. Walking an arc takes ℓ</w:t>
      </w:r>
      <w:r>
        <w:rPr>
          <w:iCs/>
          <w:i/>
          <w:vertAlign w:val="subscript"/>
        </w:rPr>
        <w:t xml:space="preserve">e</w:t>
      </w:r>
      <w:r>
        <w:t xml:space="preserve"> </w:t>
      </w:r>
      <w:r>
        <w:t xml:space="preserve">/</w:t>
      </w:r>
      <w:r>
        <w:t xml:space="preserve"> </w:t>
      </w:r>
      <w:r>
        <w:rPr>
          <w:iCs/>
          <w:i/>
        </w:rPr>
        <w:t xml:space="preserve">v</w:t>
      </w:r>
      <w:r>
        <w:rPr>
          <w:iCs/>
          <w:i/>
          <w:vertAlign w:val="subscript"/>
        </w:rPr>
        <w:t xml:space="preserve">walk</w:t>
      </w:r>
      <w:r>
        <w:t xml:space="preserve">, where</w:t>
      </w:r>
      <w:r>
        <w:t xml:space="preserve"> </w:t>
      </w:r>
      <w:r>
        <w:rPr>
          <w:iCs/>
          <w:i/>
        </w:rPr>
        <w:t xml:space="preserve">v</w:t>
      </w:r>
      <w:r>
        <w:rPr>
          <w:iCs/>
          <w:i/>
          <w:vertAlign w:val="subscript"/>
        </w:rPr>
        <w:t xml:space="preserve">walk</w:t>
      </w:r>
      <w:r>
        <w:t xml:space="preserve"> </w:t>
      </w:r>
      <w:r>
        <w:t xml:space="preserve">= 4.5 km/h is a design value inside the range of normal adult walking speeds in the meta-analysis of Bohannon and Williams Andrews (2011). A single walking leg is capped at</w:t>
      </w:r>
      <w:r>
        <w:t xml:space="preserve"> </w:t>
      </w:r>
      <w:r>
        <w:rPr>
          <w:iCs/>
          <w:i/>
        </w:rPr>
        <w:t xml:space="preserve">t̄</w:t>
      </w:r>
      <w:r>
        <w:rPr>
          <w:iCs/>
          <w:i/>
          <w:vertAlign w:val="subscript"/>
        </w:rPr>
        <w:t xml:space="preserve">W</w:t>
      </w:r>
      <w:r>
        <w:t xml:space="preserve"> </w:t>
      </w:r>
      <w:r>
        <w:t xml:space="preserve">= 15 min. Section 2.9 lets both values depend on the patient.</w:t>
      </w:r>
    </w:p>
    <w:p>
      <w:pPr>
        <w:pStyle w:val="BodyText"/>
      </w:pPr>
      <w:r>
        <w:rPr>
          <w:bCs/>
          <w:b/>
        </w:rPr>
        <w:t xml:space="preserve">Definition 4 (Transit network).</w:t>
      </w:r>
      <w:r>
        <w:t xml:space="preserve"> </w:t>
      </w:r>
      <w:r>
        <w:t xml:space="preserve">Boarding points form the set</w:t>
      </w:r>
      <w:r>
        <w:t xml:space="preserve"> </w:t>
      </w:r>
      <w:r>
        <w:rPr>
          <w:iCs/>
          <w:i/>
        </w:rPr>
        <w:t xml:space="preserve">S</w:t>
      </w:r>
      <w:r>
        <w:t xml:space="preserve">. One run of a vehicle visits a sequence of stops, and that sequence is a trip. A connection</w:t>
      </w:r>
      <w:r>
        <w:t xml:space="preserve"> </w:t>
      </w:r>
      <w:r>
        <w:rPr>
          <w:iCs/>
          <w:i/>
        </w:rPr>
        <w:t xml:space="preserve">c</w:t>
      </w:r>
      <w:r>
        <w:t xml:space="preserve"> </w:t>
      </w:r>
      <w:r>
        <w:t xml:space="preserve">= (</w:t>
      </w:r>
      <w:r>
        <w:rPr>
          <w:iCs/>
          <w:i/>
        </w:rPr>
        <w:t xml:space="preserve">c</w:t>
      </w:r>
      <w:r>
        <w:rPr>
          <w:iCs/>
          <w:i/>
          <w:vertAlign w:val="subscript"/>
        </w:rPr>
        <w:t xml:space="preserve">dep</w:t>
      </w:r>
      <w:r>
        <w:t xml:space="preserve">,</w:t>
      </w:r>
      <w:r>
        <w:t xml:space="preserve"> </w:t>
      </w:r>
      <w:r>
        <w:rPr>
          <w:iCs/>
          <w:i/>
        </w:rPr>
        <w:t xml:space="preserve">c</w:t>
      </w:r>
      <w:r>
        <w:rPr>
          <w:iCs/>
          <w:i/>
          <w:vertAlign w:val="subscript"/>
        </w:rPr>
        <w:t xml:space="preserve">arr</w:t>
      </w:r>
      <w:r>
        <w:t xml:space="preserve">, τ</w:t>
      </w:r>
      <w:r>
        <w:rPr>
          <w:iCs/>
          <w:i/>
          <w:vertAlign w:val="subscript"/>
        </w:rPr>
        <w:t xml:space="preserve">dep</w:t>
      </w:r>
      <w:r>
        <w:t xml:space="preserve">(</w:t>
      </w:r>
      <w:r>
        <w:rPr>
          <w:iCs/>
          <w:i/>
        </w:rPr>
        <w:t xml:space="preserve">c</w:t>
      </w:r>
      <w:r>
        <w:t xml:space="preserve">), τ</w:t>
      </w:r>
      <w:r>
        <w:rPr>
          <w:iCs/>
          <w:i/>
          <w:vertAlign w:val="subscript"/>
        </w:rPr>
        <w:t xml:space="preserve">arr</w:t>
      </w:r>
      <w:r>
        <w:t xml:space="preserve">(</w:t>
      </w:r>
      <w:r>
        <w:rPr>
          <w:iCs/>
          <w:i/>
        </w:rPr>
        <w:t xml:space="preserve">c</w:t>
      </w:r>
      <w:r>
        <w:t xml:space="preserve">),</w:t>
      </w:r>
      <w:r>
        <w:t xml:space="preserve"> </w:t>
      </w:r>
      <w:r>
        <w:rPr>
          <w:iCs/>
          <w:i/>
        </w:rPr>
        <w:t xml:space="preserve">trip</w:t>
      </w:r>
      <w:r>
        <w:t xml:space="preserve">(</w:t>
      </w:r>
      <w:r>
        <w:rPr>
          <w:iCs/>
          <w:i/>
        </w:rPr>
        <w:t xml:space="preserve">c</w:t>
      </w:r>
      <w:r>
        <w:t xml:space="preserve">)) records that some vehicle leaves stop</w:t>
      </w:r>
      <w:r>
        <w:t xml:space="preserve"> </w:t>
      </w:r>
      <w:r>
        <w:rPr>
          <w:iCs/>
          <w:i/>
        </w:rPr>
        <w:t xml:space="preserve">c</w:t>
      </w:r>
      <w:r>
        <w:rPr>
          <w:iCs/>
          <w:i/>
          <w:vertAlign w:val="subscript"/>
        </w:rPr>
        <w:t xml:space="preserve">dep</w:t>
      </w:r>
      <w:r>
        <w:t xml:space="preserve"> </w:t>
      </w:r>
      <w:r>
        <w:t xml:space="preserve">at time τ</w:t>
      </w:r>
      <w:r>
        <w:rPr>
          <w:iCs/>
          <w:i/>
          <w:vertAlign w:val="subscript"/>
        </w:rPr>
        <w:t xml:space="preserve">dep</w:t>
      </w:r>
      <w:r>
        <w:t xml:space="preserve">(</w:t>
      </w:r>
      <w:r>
        <w:rPr>
          <w:iCs/>
          <w:i/>
        </w:rPr>
        <w:t xml:space="preserve">c</w:t>
      </w:r>
      <w:r>
        <w:t xml:space="preserve">) and reaches the next stop</w:t>
      </w:r>
      <w:r>
        <w:t xml:space="preserve"> </w:t>
      </w:r>
      <w:r>
        <w:rPr>
          <w:iCs/>
          <w:i/>
        </w:rPr>
        <w:t xml:space="preserve">c</w:t>
      </w:r>
      <w:r>
        <w:rPr>
          <w:iCs/>
          <w:i/>
          <w:vertAlign w:val="subscript"/>
        </w:rPr>
        <w:t xml:space="preserve">arr</w:t>
      </w:r>
      <w:r>
        <w:t xml:space="preserve"> </w:t>
      </w:r>
      <w:r>
        <w:t xml:space="preserve">at time τ</w:t>
      </w:r>
      <w:r>
        <w:rPr>
          <w:iCs/>
          <w:i/>
          <w:vertAlign w:val="subscript"/>
        </w:rPr>
        <w:t xml:space="preserve">arr</w:t>
      </w:r>
      <w:r>
        <w:t xml:space="preserve">(</w:t>
      </w:r>
      <w:r>
        <w:rPr>
          <w:iCs/>
          <w:i/>
        </w:rPr>
        <w:t xml:space="preserve">c</w:t>
      </w:r>
      <w:r>
        <w:t xml:space="preserve">). All connections of the service day make up</w:t>
      </w:r>
      <w:r>
        <w:t xml:space="preserve"> </w:t>
      </w:r>
      <w:r>
        <w:rPr>
          <w:iCs/>
          <w:i/>
        </w:rPr>
        <w:t xml:space="preserve">C</w:t>
      </w:r>
      <w:r>
        <w:t xml:space="preserve">. Changing to a vehicle on a different trip costs at least the change time θ</w:t>
      </w:r>
      <w:r>
        <w:rPr>
          <w:iCs/>
          <w:i/>
          <w:vertAlign w:val="subscript"/>
        </w:rPr>
        <w:t xml:space="preserve">ch</w:t>
      </w:r>
      <w:r>
        <w:t xml:space="preserve">.</w:t>
      </w:r>
    </w:p>
    <w:p>
      <w:pPr>
        <w:pStyle w:val="BodyText"/>
      </w:pPr>
      <w:r>
        <w:rPr>
          <w:bCs/>
          <w:b/>
        </w:rPr>
        <w:t xml:space="preserve">Definition 5 (Time-expanded graph, following Pyrga et al., 2008).</w:t>
      </w:r>
      <w:r>
        <w:t xml:space="preserve"> </w:t>
      </w:r>
      <w:r>
        <w:t xml:space="preserve">The time-expanded graph is</w:t>
      </w:r>
      <w:r>
        <w:t xml:space="preserve"> </w:t>
      </w:r>
      <w:r>
        <w:rPr>
          <w:iCs/>
          <w:i/>
        </w:rPr>
        <w:t xml:space="preserve">G</w:t>
      </w:r>
      <w:r>
        <w:t xml:space="preserve"> </w:t>
      </w:r>
      <w:r>
        <w:t xml:space="preserve">= (</w:t>
      </w:r>
      <w:r>
        <w:rPr>
          <w:iCs/>
          <w:i/>
        </w:rPr>
        <w:t xml:space="preserve">V</w:t>
      </w:r>
      <w:r>
        <w:t xml:space="preserve">,</w:t>
      </w:r>
      <w:r>
        <w:t xml:space="preserve"> </w:t>
      </w:r>
      <w:r>
        <w:rPr>
          <w:iCs/>
          <w:i/>
        </w:rPr>
        <w:t xml:space="preserve">E</w:t>
      </w:r>
      <w:r>
        <w:t xml:space="preserve">), in which each vertex is a stop-time pair (</w:t>
      </w:r>
      <w:r>
        <w:rPr>
          <w:iCs/>
          <w:i/>
        </w:rPr>
        <w:t xml:space="preserve">s</w:t>
      </w:r>
      <w:r>
        <w:t xml:space="preserve">,</w:t>
      </w:r>
      <w:r>
        <w:t xml:space="preserve"> </w:t>
      </w:r>
      <w:r>
        <w:rPr>
          <w:iCs/>
          <w:i/>
        </w:rPr>
        <w:t xml:space="preserve">t</w:t>
      </w:r>
      <w:r>
        <w:t xml:space="preserve">) that stands for a departure event or an arrival event. Arcs are of four kinds: ride arcs from the departure event of a connection to its own arrival event; wait arcs between consecutive departure events at the same stop; transfer arcs of duration θ</w:t>
      </w:r>
      <w:r>
        <w:rPr>
          <w:iCs/>
          <w:i/>
          <w:vertAlign w:val="subscript"/>
        </w:rPr>
        <w:t xml:space="preserve">ch</w:t>
      </w:r>
      <w:r>
        <w:t xml:space="preserve"> </w:t>
      </w:r>
      <w:r>
        <w:t xml:space="preserve">from an arrival event to the earliest departure event at the same stop that it can still catch; and walk arcs from an arrival event at</w:t>
      </w:r>
      <w:r>
        <w:t xml:space="preserve"> </w:t>
      </w:r>
      <w:r>
        <w:rPr>
          <w:iCs/>
          <w:i/>
        </w:rPr>
        <w:t xml:space="preserve">s</w:t>
      </w:r>
      <w:r>
        <w:t xml:space="preserve"> </w:t>
      </w:r>
      <w:r>
        <w:t xml:space="preserve">to the earliest departure event at</w:t>
      </w:r>
      <w:r>
        <w:t xml:space="preserve"> </w:t>
      </w:r>
      <w:r>
        <w:rPr>
          <w:iCs/>
          <w:i/>
        </w:rPr>
        <w:t xml:space="preserve">s</w:t>
      </w:r>
      <w:r>
        <w:t xml:space="preserve">′ reachable on foot, with duration equal to the walking time. Every arc satisfies</w:t>
      </w:r>
      <w:r>
        <w:t xml:space="preserve"> </w:t>
      </w:r>
      <w:r>
        <w:rPr>
          <w:iCs/>
          <w:i/>
        </w:rPr>
        <w:t xml:space="preserve">t</w:t>
      </w:r>
      <w:r>
        <w:t xml:space="preserve">(head) ≥</w:t>
      </w:r>
      <w:r>
        <w:t xml:space="preserve"> </w:t>
      </w:r>
      <w:r>
        <w:rPr>
          <w:iCs/>
          <w:i/>
        </w:rPr>
        <w:t xml:space="preserve">t</w:t>
      </w:r>
      <w:r>
        <w:t xml:space="preserve">(tail).</w:t>
      </w:r>
    </w:p>
    <w:bookmarkEnd w:id="54"/>
    <w:bookmarkStart w:id="67" w:name="travel-time-and-accessibility"/>
    <w:p>
      <w:pPr>
        <w:pStyle w:val="Heading2"/>
      </w:pPr>
      <w:r>
        <w:t xml:space="preserve">2.3 Travel Time and Accessibility</w:t>
      </w:r>
    </w:p>
    <w:p>
      <w:pPr>
        <w:pStyle w:val="FirstParagraph"/>
      </w:pPr>
      <w:r>
        <w:rPr>
          <w:bCs/>
          <w:b/>
        </w:rPr>
        <w:t xml:space="preserve">Definition 6 (Earliest arrival, following Pyrga et al., 2008).</w:t>
      </w:r>
      <w:r>
        <w:t xml:space="preserve"> </w:t>
      </w:r>
      <w:r>
        <w:t xml:space="preserve">Fix an origin</w:t>
      </w:r>
      <w:r>
        <w:t xml:space="preserve"> </w:t>
      </w:r>
      <w:r>
        <w:rPr>
          <w:iCs/>
          <w:i/>
        </w:rPr>
        <w:t xml:space="preserve">o</w:t>
      </w:r>
      <w:r>
        <w:t xml:space="preserve">, a destination</w:t>
      </w:r>
      <w:r>
        <w:t xml:space="preserve"> </w:t>
      </w:r>
      <w:r>
        <w:rPr>
          <w:iCs/>
          <w:i/>
        </w:rPr>
        <w:t xml:space="preserve">d</w:t>
      </w:r>
      <w:r>
        <w:t xml:space="preserve">, and a departure time</w:t>
      </w:r>
      <w:r>
        <w:t xml:space="preserve"> </w:t>
      </w:r>
      <w:r>
        <w:rPr>
          <w:iCs/>
          <w:i/>
        </w:rPr>
        <w:t xml:space="preserve">t</w:t>
      </w:r>
      <w:r>
        <w:rPr>
          <w:vertAlign w:val="subscript"/>
        </w:rPr>
        <w:t xml:space="preserve">0</w:t>
      </w:r>
      <w:r>
        <w:t xml:space="preserve">, and let</w:t>
      </w:r>
      <w:r>
        <w:t xml:space="preserve"> </w:t>
      </w:r>
      <w:r>
        <w:rPr>
          <w:iCs/>
          <w:i/>
        </w:rPr>
        <w:t xml:space="preserve">J</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 be the set of feasible journeys from</w:t>
      </w:r>
      <w:r>
        <w:t xml:space="preserve"> </w:t>
      </w:r>
      <w:r>
        <w:rPr>
          <w:iCs/>
          <w:i/>
        </w:rPr>
        <w:t xml:space="preserve">o</w:t>
      </w:r>
      <w:r>
        <w:t xml:space="preserve"> </w:t>
      </w:r>
      <w:r>
        <w:t xml:space="preserve">to</w:t>
      </w:r>
      <w:r>
        <w:t xml:space="preserve"> </w:t>
      </w:r>
      <w:r>
        <w:rPr>
          <w:iCs/>
          <w:i/>
        </w:rPr>
        <w:t xml:space="preserve">d</w:t>
      </w:r>
      <w:r>
        <w:t xml:space="preserve"> </w:t>
      </w:r>
      <w:r>
        <w:t xml:space="preserve">that leave no earlier than</w:t>
      </w:r>
      <w:r>
        <w:t xml:space="preserve"> </w:t>
      </w:r>
      <w:r>
        <w:rPr>
          <w:iCs/>
          <w:i/>
        </w:rPr>
        <w:t xml:space="preserve">t</w:t>
      </w:r>
      <w:r>
        <w:rPr>
          <w:vertAlign w:val="subscript"/>
        </w:rPr>
        <w:t xml:space="preserve">0</w:t>
      </w:r>
      <w:r>
        <w:t xml:space="preserve">. Then</w:t>
      </w:r>
    </w:p>
    <w:p>
      <w:pPr>
        <w:pStyle w:val="Equation"/>
      </w:pPr>
      <w:r>
        <w:tab/>
      </w:r>
      <w:r>
        <w:drawing>
          <wp:inline>
            <wp:extent cx="3534156" cy="159105"/>
            <wp:effectExtent b="0" l="0" r="0" t="0"/>
            <wp:docPr descr="" title="" id="56" name="Picture"/>
            <a:graphic>
              <a:graphicData uri="http://schemas.openxmlformats.org/drawingml/2006/picture">
                <pic:pic>
                  <pic:nvPicPr>
                    <pic:cNvPr descr="eq/eq02.png" id="57" name="Picture"/>
                    <pic:cNvPicPr>
                      <a:picLocks noChangeArrowheads="1" noChangeAspect="1"/>
                    </pic:cNvPicPr>
                  </pic:nvPicPr>
                  <pic:blipFill>
                    <a:blip r:embed="rId55"/>
                    <a:stretch>
                      <a:fillRect/>
                    </a:stretch>
                  </pic:blipFill>
                  <pic:spPr bwMode="auto">
                    <a:xfrm>
                      <a:off x="0" y="0"/>
                      <a:ext cx="3534156" cy="159105"/>
                    </a:xfrm>
                    <a:prstGeom prst="rect">
                      <a:avLst/>
                    </a:prstGeom>
                    <a:noFill/>
                    <a:ln w="9525">
                      <a:noFill/>
                      <a:headEnd/>
                      <a:tailEnd/>
                    </a:ln>
                  </pic:spPr>
                </pic:pic>
              </a:graphicData>
            </a:graphic>
          </wp:inline>
        </w:drawing>
      </w:r>
      <w:r/>
      <w:r/>
      <w:r>
        <w:rPr>
          <w:rFonts w:ascii="Times New Roman" w:hAnsi="Times New Roman"/>
          <w:sz w:val="24"/>
        </w:rPr>
        <w:tab/>
        <w:t>(2)</w:t>
      </w:r>
    </w:p>
    <w:p>
      <w:pPr>
        <w:pStyle w:val="Source"/>
      </w:pPr>
      <w:r>
        <w:t xml:space="preserve">Source: Pyrga et al. (2008)</w:t>
      </w:r>
    </w:p>
    <w:p>
      <w:pPr>
        <w:pStyle w:val="BodyText"/>
      </w:pPr>
      <w:r>
        <w:t xml:space="preserve">with τ</w:t>
      </w:r>
      <w:r>
        <w:rPr>
          <w:vertAlign w:val="superscript"/>
        </w:rPr>
        <w:t xml:space="preserve">∗</w:t>
      </w:r>
      <w:r>
        <w:t xml:space="preserve"> </w:t>
      </w:r>
      <w:r>
        <w:t xml:space="preserve">= +∞ when</w:t>
      </w:r>
      <w:r>
        <w:t xml:space="preserve"> </w:t>
      </w:r>
      <w:r>
        <w:rPr>
          <w:iCs/>
          <w:i/>
        </w:rPr>
        <w:t xml:space="preserve">J</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 is empty. The door-to-door travel time is</w:t>
      </w:r>
      <w:r>
        <w:t xml:space="preserve"> </w:t>
      </w:r>
      <w:r>
        <w:rPr>
          <w:iCs/>
          <w:i/>
        </w:rPr>
        <w:t xml:space="preserve">T</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 = τ</w:t>
      </w:r>
      <w:r>
        <w:rPr>
          <w:vertAlign w:val="superscript"/>
        </w:rPr>
        <w:t xml:space="preserve">∗</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 −</w:t>
      </w:r>
      <w:r>
        <w:t xml:space="preserve"> </w:t>
      </w:r>
      <w:r>
        <w:rPr>
          <w:iCs/>
          <w:i/>
        </w:rPr>
        <w:t xml:space="preserve">t</w:t>
      </w:r>
      <w:r>
        <w:rPr>
          <w:vertAlign w:val="subscript"/>
        </w:rPr>
        <w:t xml:space="preserve">0</w:t>
      </w:r>
      <w:r>
        <w:t xml:space="preserve">.</w:t>
      </w:r>
    </w:p>
    <w:p>
      <w:pPr>
        <w:pStyle w:val="BodyText"/>
      </w:pPr>
      <w:r>
        <w:t xml:space="preserve">Informal operators publish no departure times, so</w:t>
      </w:r>
      <w:r>
        <w:t xml:space="preserve"> </w:t>
      </w:r>
      <w:r>
        <w:rPr>
          <w:iCs/>
          <w:i/>
        </w:rPr>
        <w:t xml:space="preserve">T</w:t>
      </w:r>
      <w:r>
        <w:t xml:space="preserve"> </w:t>
      </w:r>
      <w:r>
        <w:t xml:space="preserve">shifts with whichever departure instant happens to be sampled. For that reason, atlas-level results are averages over a grid of departure times.</w:t>
      </w:r>
    </w:p>
    <w:p>
      <w:pPr>
        <w:pStyle w:val="Equation"/>
      </w:pPr>
      <w:r>
        <w:tab/>
      </w:r>
      <w:r>
        <w:drawing>
          <wp:inline>
            <wp:extent cx="4571085" cy="427939"/>
            <wp:effectExtent b="0" l="0" r="0" t="0"/>
            <wp:docPr descr="" title="" id="59" name="Picture"/>
            <a:graphic>
              <a:graphicData uri="http://schemas.openxmlformats.org/drawingml/2006/picture">
                <pic:pic>
                  <pic:nvPicPr>
                    <pic:cNvPr descr="eq/eq03.png" id="60" name="Picture"/>
                    <pic:cNvPicPr>
                      <a:picLocks noChangeArrowheads="1" noChangeAspect="1"/>
                    </pic:cNvPicPr>
                  </pic:nvPicPr>
                  <pic:blipFill>
                    <a:blip r:embed="rId58"/>
                    <a:stretch>
                      <a:fillRect/>
                    </a:stretch>
                  </pic:blipFill>
                  <pic:spPr bwMode="auto">
                    <a:xfrm>
                      <a:off x="0" y="0"/>
                      <a:ext cx="4571085" cy="427939"/>
                    </a:xfrm>
                    <a:prstGeom prst="rect">
                      <a:avLst/>
                    </a:prstGeom>
                    <a:noFill/>
                    <a:ln w="9525">
                      <a:noFill/>
                      <a:headEnd/>
                      <a:tailEnd/>
                    </a:ln>
                  </pic:spPr>
                </pic:pic>
              </a:graphicData>
            </a:graphic>
          </wp:inline>
        </w:drawing>
      </w:r>
      <w:r/>
      <w:r/>
      <w:r>
        <w:rPr>
          <w:rFonts w:ascii="Times New Roman" w:hAnsi="Times New Roman"/>
          <w:sz w:val="24"/>
        </w:rPr>
        <w:tab/>
        <w:t>(3)</w:t>
      </w:r>
    </w:p>
    <w:p>
      <w:pPr>
        <w:pStyle w:val="Source"/>
      </w:pPr>
      <w:r>
        <w:t xml:space="preserve">Source: averaging as in Owen and Levinson (2015); see also Stępniak et al. (2019)</w:t>
      </w:r>
    </w:p>
    <w:p>
      <w:pPr>
        <w:pStyle w:val="BodyText"/>
      </w:pPr>
      <w:r>
        <w:rPr>
          <w:bCs/>
          <w:b/>
        </w:rPr>
        <w:t xml:space="preserve">Definition 7 (Cumulative landmark accessibility, adapted from Wachs &amp; Kumagai, 1973).</w:t>
      </w:r>
      <w:r>
        <w:t xml:space="preserve"> </w:t>
      </w:r>
      <w:r>
        <w:t xml:space="preserve">For an anchor</w:t>
      </w:r>
      <w:r>
        <w:t xml:space="preserve"> </w:t>
      </w:r>
      <w:r>
        <w:rPr>
          <w:iCs/>
          <w:i/>
        </w:rPr>
        <w:t xml:space="preserve">a</w:t>
      </w:r>
      <w:r>
        <w:t xml:space="preserve">, a destination category</w:t>
      </w:r>
      <w:r>
        <w:t xml:space="preserve"> </w:t>
      </w:r>
      <w:r>
        <w:rPr>
          <w:iCs/>
          <w:i/>
        </w:rPr>
        <w:t xml:space="preserve">k</w:t>
      </w:r>
      <w:r>
        <w:t xml:space="preserve"> </w:t>
      </w:r>
      <w:r>
        <w:t xml:space="preserve">from Table 4, and a travel-time budget θ,</w:t>
      </w:r>
    </w:p>
    <w:p>
      <w:pPr>
        <w:pStyle w:val="Equation"/>
      </w:pPr>
      <w:r>
        <w:tab/>
      </w:r>
      <w:r>
        <w:drawing>
          <wp:inline>
            <wp:extent cx="2483510" cy="410565"/>
            <wp:effectExtent b="0" l="0" r="0" t="0"/>
            <wp:docPr descr="" title="" id="62" name="Picture"/>
            <a:graphic>
              <a:graphicData uri="http://schemas.openxmlformats.org/drawingml/2006/picture">
                <pic:pic>
                  <pic:nvPicPr>
                    <pic:cNvPr descr="eq/eq04.png" id="63" name="Picture"/>
                    <pic:cNvPicPr>
                      <a:picLocks noChangeArrowheads="1" noChangeAspect="1"/>
                    </pic:cNvPicPr>
                  </pic:nvPicPr>
                  <pic:blipFill>
                    <a:blip r:embed="rId61"/>
                    <a:stretch>
                      <a:fillRect/>
                    </a:stretch>
                  </pic:blipFill>
                  <pic:spPr bwMode="auto">
                    <a:xfrm>
                      <a:off x="0" y="0"/>
                      <a:ext cx="2483510" cy="410565"/>
                    </a:xfrm>
                    <a:prstGeom prst="rect">
                      <a:avLst/>
                    </a:prstGeom>
                    <a:noFill/>
                    <a:ln w="9525">
                      <a:noFill/>
                      <a:headEnd/>
                      <a:tailEnd/>
                    </a:ln>
                  </pic:spPr>
                </pic:pic>
              </a:graphicData>
            </a:graphic>
          </wp:inline>
        </w:drawing>
      </w:r>
      <w:r/>
      <w:r/>
      <w:r>
        <w:rPr>
          <w:rFonts w:ascii="Times New Roman" w:hAnsi="Times New Roman"/>
          <w:sz w:val="24"/>
        </w:rPr>
        <w:tab/>
        <w:t>(4)</w:t>
      </w:r>
    </w:p>
    <w:p>
      <w:pPr>
        <w:pStyle w:val="Source"/>
      </w:pPr>
      <w:r>
        <w:t xml:space="preserve">Source: adapted from Wachs and Kumagai (1973); the anchor replaces the residential zone</w:t>
      </w:r>
    </w:p>
    <w:p>
      <w:pPr>
        <w:pStyle w:val="BodyText"/>
      </w:pPr>
      <w:r>
        <w:t xml:space="preserve">Equation (4) keeps the form of Wachs and Kumagai’s (1973) cumulative opportunity measure. Only the origin differs, since an anchor of Definition 1 takes the place of the residential zone.</w:t>
      </w:r>
    </w:p>
    <w:p>
      <w:pPr>
        <w:pStyle w:val="BodyText"/>
      </w:pPr>
      <w:r>
        <w:rPr>
          <w:bCs/>
          <w:b/>
        </w:rPr>
        <w:t xml:space="preserve">Definition 8 (Impedance-weighted accessibility, based on W. G. Hansen, 1959).</w:t>
      </w:r>
      <w:r>
        <w:t xml:space="preserve"> </w:t>
      </w:r>
      <w:r>
        <w:t xml:space="preserve">As a check, a second form discounts each destination by a negative exponential of its travel time:</w:t>
      </w:r>
    </w:p>
    <w:p>
      <w:pPr>
        <w:pStyle w:val="Equation"/>
      </w:pPr>
      <w:r>
        <w:tab/>
      </w:r>
      <w:r>
        <w:drawing>
          <wp:inline>
            <wp:extent cx="3128162" cy="410565"/>
            <wp:effectExtent b="0" l="0" r="0" t="0"/>
            <wp:docPr descr="" title="" id="65" name="Picture"/>
            <a:graphic>
              <a:graphicData uri="http://schemas.openxmlformats.org/drawingml/2006/picture">
                <pic:pic>
                  <pic:nvPicPr>
                    <pic:cNvPr descr="eq/eq05.png" id="66" name="Picture"/>
                    <pic:cNvPicPr>
                      <a:picLocks noChangeArrowheads="1" noChangeAspect="1"/>
                    </pic:cNvPicPr>
                  </pic:nvPicPr>
                  <pic:blipFill>
                    <a:blip r:embed="rId64"/>
                    <a:stretch>
                      <a:fillRect/>
                    </a:stretch>
                  </pic:blipFill>
                  <pic:spPr bwMode="auto">
                    <a:xfrm>
                      <a:off x="0" y="0"/>
                      <a:ext cx="3128162" cy="410565"/>
                    </a:xfrm>
                    <a:prstGeom prst="rect">
                      <a:avLst/>
                    </a:prstGeom>
                    <a:noFill/>
                    <a:ln w="9525">
                      <a:noFill/>
                      <a:headEnd/>
                      <a:tailEnd/>
                    </a:ln>
                  </pic:spPr>
                </pic:pic>
              </a:graphicData>
            </a:graphic>
          </wp:inline>
        </w:drawing>
      </w:r>
      <w:r/>
      <w:r/>
      <w:r>
        <w:rPr>
          <w:rFonts w:ascii="Times New Roman" w:hAnsi="Times New Roman"/>
          <w:sz w:val="24"/>
        </w:rPr>
        <w:tab/>
        <w:t>(5)</w:t>
      </w:r>
    </w:p>
    <w:p>
      <w:pPr>
        <w:pStyle w:val="Source"/>
      </w:pPr>
      <w:r>
        <w:t xml:space="preserve">Source: W. G. Hansen (1959); exponential form as reviewed by Handy and Niemeier (1997)</w:t>
      </w:r>
    </w:p>
    <w:p>
      <w:pPr>
        <w:pStyle w:val="BodyText"/>
      </w:pPr>
      <w:r>
        <w:t xml:space="preserve">Equation (5) has no threshold, so it accompanies the cumulative measure wherever the sharp step at θ affects a result (Section 3.5).</w:t>
      </w:r>
    </w:p>
    <w:bookmarkEnd w:id="67"/>
    <w:bookmarkStart w:id="74" w:name="measures-of-access-inequality"/>
    <w:p>
      <w:pPr>
        <w:pStyle w:val="Heading2"/>
      </w:pPr>
      <w:r>
        <w:t xml:space="preserve">2.4 Measures of Access Inequality</w:t>
      </w:r>
    </w:p>
    <w:p>
      <w:pPr>
        <w:pStyle w:val="FirstParagraph"/>
      </w:pPr>
      <w:r>
        <w:t xml:space="preserve">Consider one destination category. Let</w:t>
      </w:r>
      <w:r>
        <w:t xml:space="preserve"> </w:t>
      </w:r>
      <w:r>
        <w:rPr>
          <w:iCs/>
          <w:i/>
        </w:rPr>
        <w:t xml:space="preserve">A</w:t>
      </w:r>
      <w:r>
        <w:t xml:space="preserve"> </w:t>
      </w:r>
      <w:r>
        <w:t xml:space="preserve">= (</w:t>
      </w:r>
      <w:r>
        <w:rPr>
          <w:iCs/>
          <w:i/>
        </w:rPr>
        <w:t xml:space="preserve">A</w:t>
      </w:r>
      <w:r>
        <w:rPr>
          <w:vertAlign w:val="subscript"/>
        </w:rPr>
        <w:t xml:space="preserve">1</w:t>
      </w:r>
      <w:r>
        <w:t xml:space="preserve">, …,</w:t>
      </w:r>
      <w:r>
        <w:t xml:space="preserve"> </w:t>
      </w:r>
      <w:r>
        <w:rPr>
          <w:iCs/>
          <w:i/>
        </w:rPr>
        <w:t xml:space="preserve">A</w:t>
      </w:r>
      <w:r>
        <w:rPr>
          <w:iCs/>
          <w:i/>
          <w:vertAlign w:val="subscript"/>
        </w:rPr>
        <w:t xml:space="preserve">Na</w:t>
      </w:r>
      <w:r>
        <w:t xml:space="preserve">) be the vector of anchor scores, with anchor weights</w:t>
      </w:r>
      <w:r>
        <w:t xml:space="preserve"> </w:t>
      </w:r>
      <w:r>
        <w:rPr>
          <w:iCs/>
          <w:i/>
        </w:rPr>
        <w:t xml:space="preserve">P</w:t>
      </w:r>
      <w:r>
        <w:t xml:space="preserve">.</w:t>
      </w:r>
    </w:p>
    <w:p>
      <w:pPr>
        <w:pStyle w:val="BodyText"/>
      </w:pPr>
      <w:r>
        <w:rPr>
          <w:bCs/>
          <w:b/>
        </w:rPr>
        <w:t xml:space="preserve">Definition 9 (Population-weighted Gini coefficient, from Gini, 1912).</w:t>
      </w:r>
      <w:r>
        <w:t xml:space="preserve"> </w:t>
      </w:r>
      <w:r>
        <w:t xml:space="preserve">Cowell (2011) gives the weighted form below, the same form that Pereira et al. (2017) and Lucas et al. (2016) use:</w:t>
      </w:r>
    </w:p>
    <w:p>
      <w:pPr>
        <w:pStyle w:val="Equation"/>
      </w:pPr>
      <w:r>
        <w:tab/>
      </w:r>
      <w:r>
        <w:drawing>
          <wp:inline>
            <wp:extent cx="2295143" cy="410565"/>
            <wp:effectExtent b="0" l="0" r="0" t="0"/>
            <wp:docPr descr="" title="" id="69" name="Picture"/>
            <a:graphic>
              <a:graphicData uri="http://schemas.openxmlformats.org/drawingml/2006/picture">
                <pic:pic>
                  <pic:nvPicPr>
                    <pic:cNvPr descr="eq/eq06.png" id="70" name="Picture"/>
                    <pic:cNvPicPr>
                      <a:picLocks noChangeArrowheads="1" noChangeAspect="1"/>
                    </pic:cNvPicPr>
                  </pic:nvPicPr>
                  <pic:blipFill>
                    <a:blip r:embed="rId68"/>
                    <a:stretch>
                      <a:fillRect/>
                    </a:stretch>
                  </pic:blipFill>
                  <pic:spPr bwMode="auto">
                    <a:xfrm>
                      <a:off x="0" y="0"/>
                      <a:ext cx="2295143" cy="410565"/>
                    </a:xfrm>
                    <a:prstGeom prst="rect">
                      <a:avLst/>
                    </a:prstGeom>
                    <a:noFill/>
                    <a:ln w="9525">
                      <a:noFill/>
                      <a:headEnd/>
                      <a:tailEnd/>
                    </a:ln>
                  </pic:spPr>
                </pic:pic>
              </a:graphicData>
            </a:graphic>
          </wp:inline>
        </w:drawing>
      </w:r>
      <w:r/>
      <w:r/>
      <w:r>
        <w:rPr>
          <w:rFonts w:ascii="Times New Roman" w:hAnsi="Times New Roman"/>
          <w:sz w:val="24"/>
        </w:rPr>
        <w:tab/>
        <w:t>(6)</w:t>
      </w:r>
    </w:p>
    <w:p>
      <w:pPr>
        <w:pStyle w:val="Source"/>
      </w:pPr>
      <w:r>
        <w:t xml:space="preserve">Source: Gini (1912), in the weighted form of Cowell (2011)</w:t>
      </w:r>
    </w:p>
    <w:p>
      <w:pPr>
        <w:pStyle w:val="BodyText"/>
      </w:pPr>
      <w:r>
        <w:rPr>
          <w:bCs/>
          <w:b/>
        </w:rPr>
        <w:t xml:space="preserve">Definition 10 (Theil index, from Theil, 1967).</w:t>
      </w:r>
      <w:r>
        <w:t xml:space="preserve"> </w:t>
      </w:r>
      <w:r>
        <w:t xml:space="preserve">With</w:t>
      </w:r>
      <w:r>
        <w:t xml:space="preserve"> </w:t>
      </w:r>
      <w:r>
        <w:rPr>
          <w:iCs/>
          <w:i/>
        </w:rPr>
        <w:t xml:space="preserve">p</w:t>
      </w:r>
      <w:r>
        <w:rPr>
          <w:iCs/>
          <w:i/>
          <w:vertAlign w:val="subscript"/>
        </w:rPr>
        <w:t xml:space="preserve">a</w:t>
      </w:r>
      <w:r>
        <w:t xml:space="preserve"> </w:t>
      </w:r>
      <w:r>
        <w:t xml:space="preserve">=</w:t>
      </w:r>
      <w:r>
        <w:t xml:space="preserve"> </w:t>
      </w:r>
      <w:r>
        <w:rPr>
          <w:iCs/>
          <w:i/>
        </w:rPr>
        <w:t xml:space="preserve">P</w:t>
      </w:r>
      <w:r>
        <w:rPr>
          <w:iCs/>
          <w:i/>
          <w:vertAlign w:val="subscript"/>
        </w:rPr>
        <w:t xml:space="preserve">a</w:t>
      </w:r>
      <w:r>
        <w:t xml:space="preserve"> </w:t>
      </w:r>
      <w:r>
        <w:t xml:space="preserve">/</w:t>
      </w:r>
      <w:r>
        <w:t xml:space="preserve"> </w:t>
      </w:r>
      <w:r>
        <w:rPr>
          <w:iCs/>
          <w:i/>
        </w:rPr>
        <w:t xml:space="preserve">W</w:t>
      </w:r>
      <w:r>
        <w:t xml:space="preserve">,</w:t>
      </w:r>
    </w:p>
    <w:p>
      <w:pPr>
        <w:pStyle w:val="Equation"/>
      </w:pPr>
      <w:r>
        <w:tab/>
      </w:r>
      <w:r>
        <w:drawing>
          <wp:inline>
            <wp:extent cx="3597249" cy="406908"/>
            <wp:effectExtent b="0" l="0" r="0" t="0"/>
            <wp:docPr descr="" title="" id="72" name="Picture"/>
            <a:graphic>
              <a:graphicData uri="http://schemas.openxmlformats.org/drawingml/2006/picture">
                <pic:pic>
                  <pic:nvPicPr>
                    <pic:cNvPr descr="eq/eq07.png" id="73" name="Picture"/>
                    <pic:cNvPicPr>
                      <a:picLocks noChangeArrowheads="1" noChangeAspect="1"/>
                    </pic:cNvPicPr>
                  </pic:nvPicPr>
                  <pic:blipFill>
                    <a:blip r:embed="rId71"/>
                    <a:stretch>
                      <a:fillRect/>
                    </a:stretch>
                  </pic:blipFill>
                  <pic:spPr bwMode="auto">
                    <a:xfrm>
                      <a:off x="0" y="0"/>
                      <a:ext cx="3597249" cy="406908"/>
                    </a:xfrm>
                    <a:prstGeom prst="rect">
                      <a:avLst/>
                    </a:prstGeom>
                    <a:noFill/>
                    <a:ln w="9525">
                      <a:noFill/>
                      <a:headEnd/>
                      <a:tailEnd/>
                    </a:ln>
                  </pic:spPr>
                </pic:pic>
              </a:graphicData>
            </a:graphic>
          </wp:inline>
        </w:drawing>
      </w:r>
      <w:r/>
      <w:r/>
      <w:r>
        <w:rPr>
          <w:rFonts w:ascii="Times New Roman" w:hAnsi="Times New Roman"/>
          <w:sz w:val="24"/>
        </w:rPr>
        <w:tab/>
        <w:t>(7)</w:t>
      </w:r>
    </w:p>
    <w:p>
      <w:pPr>
        <w:pStyle w:val="Source"/>
      </w:pPr>
      <w:r>
        <w:t xml:space="preserve">Source: Theil (1967)</w:t>
      </w:r>
    </w:p>
    <w:p>
      <w:pPr>
        <w:pStyle w:val="BodyText"/>
      </w:pPr>
      <w:r>
        <w:t xml:space="preserve">For the Lorenz (1905) curve of access, anchors are sorted by</w:t>
      </w:r>
      <w:r>
        <w:t xml:space="preserve"> </w:t>
      </w:r>
      <w:r>
        <w:rPr>
          <w:iCs/>
          <w:i/>
        </w:rPr>
        <w:t xml:space="preserve">A</w:t>
      </w:r>
      <w:r>
        <w:rPr>
          <w:iCs/>
          <w:i/>
          <w:vertAlign w:val="subscript"/>
        </w:rPr>
        <w:t xml:space="preserve">a</w:t>
      </w:r>
      <w:r>
        <w:t xml:space="preserve">, and the running share of weight is plotted against the running share of reachable destinations. The Palma ratio (Cobham &amp; Sumner, 2013; Palma, 2011) divides the access of the best-served tenth of the weighted population by that of the worst-served four-tenths; people without statistical training generally find it easier to read than a Gini value (Cobham &amp; Sumner, 2013).</w:t>
      </w:r>
    </w:p>
    <w:bookmarkEnd w:id="74"/>
    <w:bookmarkStart w:id="78" w:name="vehicle-classes-and-the-ambulance"/>
    <w:p>
      <w:pPr>
        <w:pStyle w:val="Heading2"/>
      </w:pPr>
      <w:r>
        <w:t xml:space="preserve">2.5 Vehicle Classes and the Ambulance</w:t>
      </w:r>
    </w:p>
    <w:p>
      <w:pPr>
        <w:pStyle w:val="FirstParagraph"/>
      </w:pPr>
      <w:r>
        <w:rPr>
          <w:bCs/>
          <w:b/>
        </w:rPr>
        <w:t xml:space="preserve">Definition 11 (Vehicle class and feasible subgraph).</w:t>
      </w:r>
      <w:r>
        <w:t xml:space="preserve"> </w:t>
      </w:r>
      <w:r>
        <w:t xml:space="preserve">A vehicle class is a vector γ = (γ</w:t>
      </w:r>
      <w:r>
        <w:rPr>
          <w:iCs/>
          <w:i/>
          <w:vertAlign w:val="superscript"/>
        </w:rPr>
        <w:t xml:space="preserve">w</w:t>
      </w:r>
      <w:r>
        <w:t xml:space="preserve">, γ</w:t>
      </w:r>
      <w:r>
        <w:rPr>
          <w:iCs/>
          <w:i/>
          <w:vertAlign w:val="superscript"/>
        </w:rPr>
        <w:t xml:space="preserve">h</w:t>
      </w:r>
      <w:r>
        <w:t xml:space="preserve">, γ</w:t>
      </w:r>
      <w:r>
        <w:rPr>
          <w:iCs/>
          <w:i/>
          <w:vertAlign w:val="superscript"/>
        </w:rPr>
        <w:t xml:space="preserve">m</w:t>
      </w:r>
      <w:r>
        <w:t xml:space="preserve">, γ</w:t>
      </w:r>
      <w:r>
        <w:rPr>
          <w:iCs/>
          <w:i/>
          <w:vertAlign w:val="superscript"/>
        </w:rPr>
        <w:t xml:space="preserve">x</w:t>
      </w:r>
      <w:r>
        <w:t xml:space="preserve">) whose components give, in order, the width the vehicle needs, the clearance it needs, its gross mass, and the load on each axle. The vehicle may use the arcs in</w:t>
      </w:r>
    </w:p>
    <w:p>
      <w:pPr>
        <w:pStyle w:val="Equation"/>
      </w:pPr>
      <w:r>
        <w:tab/>
      </w:r>
      <w:r>
        <w:drawing>
          <wp:inline>
            <wp:extent cx="3859682" cy="192024"/>
            <wp:effectExtent b="0" l="0" r="0" t="0"/>
            <wp:docPr descr="" title="" id="76" name="Picture"/>
            <a:graphic>
              <a:graphicData uri="http://schemas.openxmlformats.org/drawingml/2006/picture">
                <pic:pic>
                  <pic:nvPicPr>
                    <pic:cNvPr descr="eq/eq08.png" id="77" name="Picture"/>
                    <pic:cNvPicPr>
                      <a:picLocks noChangeArrowheads="1" noChangeAspect="1"/>
                    </pic:cNvPicPr>
                  </pic:nvPicPr>
                  <pic:blipFill>
                    <a:blip r:embed="rId75"/>
                    <a:stretch>
                      <a:fillRect/>
                    </a:stretch>
                  </pic:blipFill>
                  <pic:spPr bwMode="auto">
                    <a:xfrm>
                      <a:off x="0" y="0"/>
                      <a:ext cx="3859682" cy="192024"/>
                    </a:xfrm>
                    <a:prstGeom prst="rect">
                      <a:avLst/>
                    </a:prstGeom>
                    <a:noFill/>
                    <a:ln w="9525">
                      <a:noFill/>
                      <a:headEnd/>
                      <a:tailEnd/>
                    </a:ln>
                  </pic:spPr>
                </pic:pic>
              </a:graphicData>
            </a:graphic>
          </wp:inline>
        </w:drawing>
      </w:r>
      <w:r/>
      <w:r/>
      <w:r>
        <w:rPr>
          <w:rFonts w:ascii="Times New Roman" w:hAnsi="Times New Roman"/>
          <w:sz w:val="24"/>
        </w:rPr>
        <w:tab/>
        <w:t>(8)</w:t>
      </w:r>
    </w:p>
    <w:p>
      <w:pPr>
        <w:pStyle w:val="Source"/>
      </w:pPr>
      <w:r>
        <w:t xml:space="preserve">Source: formulated in this study (Definition 11)</w:t>
      </w:r>
    </w:p>
    <w:p>
      <w:pPr>
        <w:pStyle w:val="BodyText"/>
      </w:pPr>
      <w:r>
        <w:t xml:space="preserve">so that</w:t>
      </w:r>
      <w:r>
        <w:t xml:space="preserve"> </w:t>
      </w:r>
      <w:r>
        <w:rPr>
          <w:iCs/>
          <w:i/>
        </w:rPr>
        <w:t xml:space="preserve">G</w:t>
      </w:r>
      <w:r>
        <w:rPr>
          <w:vertAlign w:val="subscript"/>
        </w:rPr>
        <w:t xml:space="preserve">γ</w:t>
      </w:r>
      <w:r>
        <w:t xml:space="preserve"> </w:t>
      </w:r>
      <w:r>
        <w:t xml:space="preserve">= (</w:t>
      </w:r>
      <w:r>
        <w:rPr>
          <w:iCs/>
          <w:i/>
        </w:rPr>
        <w:t xml:space="preserve">V</w:t>
      </w:r>
      <w:r>
        <w:rPr>
          <w:iCs/>
          <w:i/>
          <w:vertAlign w:val="subscript"/>
        </w:rPr>
        <w:t xml:space="preserve">R</w:t>
      </w:r>
      <w:r>
        <w:t xml:space="preserve">,</w:t>
      </w:r>
      <w:r>
        <w:t xml:space="preserve"> </w:t>
      </w:r>
      <w:r>
        <w:rPr>
          <w:iCs/>
          <w:i/>
        </w:rPr>
        <w:t xml:space="preserve">E</w:t>
      </w:r>
      <w:r>
        <w:rPr>
          <w:vertAlign w:val="subscript"/>
        </w:rPr>
        <w:t xml:space="preserve">γ</w:t>
      </w:r>
      <w:r>
        <w:t xml:space="preserve">) is its feasible subgraph, with shortest-path distance</w:t>
      </w:r>
      <w:r>
        <w:t xml:space="preserve"> </w:t>
      </w:r>
      <w:r>
        <w:rPr>
          <w:iCs/>
          <w:i/>
        </w:rPr>
        <w:t xml:space="preserve">d</w:t>
      </w:r>
      <w:r>
        <w:rPr>
          <w:vertAlign w:val="subscript"/>
        </w:rPr>
        <w:t xml:space="preserve">γ</w:t>
      </w:r>
      <w:r>
        <w:t xml:space="preserve">. Writing γ ≤ γ′ means that every component satisfies the inequality.</w:t>
      </w:r>
    </w:p>
    <w:p>
      <w:pPr>
        <w:pStyle w:val="BodyText"/>
      </w:pPr>
      <w:r>
        <w:t xml:space="preserve">The order is only partial. Every limit of the sedan is at most the matching limit of the sport utility vehicle, so the two are comparable.</w:t>
      </w:r>
    </w:p>
    <w:p>
      <w:pPr>
        <w:pStyle w:val="TableCaption"/>
      </w:pPr>
      <w:r>
        <w:rPr>
          <w:bCs/>
          <w:b/>
        </w:rPr>
        <w:t xml:space="preserve">Table 5.</w:t>
      </w:r>
      <w:r>
        <w:t xml:space="preserve"> </w:t>
      </w:r>
      <w:r>
        <w:t xml:space="preserve">Vehicle classes used for routing. The entries are representative design values chosen by the researchers, not legal limits.</w:t>
      </w:r>
    </w:p>
    <w:tbl>
      <w:tblPr>
        <w:tblStyle w:val="Table"/>
        <w:tblW w:type="pct" w:w="5000"/>
        <w:jc w:val="center"/>
        <w:tblCaption w:val="Table 5. Vehicle classes used for routing. The entries are representative design values chosen by the researchers, not legal limit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568"/>
        <w:gridCol w:w="1070"/>
        <w:gridCol w:w="1070"/>
        <w:gridCol w:w="1070"/>
        <w:gridCol w:w="1070"/>
        <w:gridCol w:w="1070"/>
      </w:tblGrid>
      <w:tr>
        <w:trPr>
          <w:tblHeader w:val="true"/>
          <w:tblHeader/>
          <w:cantSplit/>
        </w:trPr>
        <w:tc>
          <w:tcPr/>
          <w:p>
            <w:pPr>
              <w:pStyle w:val="Compact"/>
              <w:jc w:val="left"/>
            </w:pPr>
            <w:r>
              <w:rPr>
                <w:b/>
              </w:rPr>
              <w:t xml:space="preserve">Class</w:t>
            </w:r>
          </w:p>
        </w:tc>
        <w:tc>
          <w:tcPr/>
          <w:p>
            <w:pPr>
              <w:pStyle w:val="Compact"/>
              <w:jc w:val="right"/>
            </w:pPr>
            <w:r>
              <w:rPr>
                <w:b/>
              </w:rPr>
              <w:t xml:space="preserve">Width (m)</w:t>
            </w:r>
          </w:p>
        </w:tc>
        <w:tc>
          <w:tcPr/>
          <w:p>
            <w:pPr>
              <w:pStyle w:val="Compact"/>
              <w:jc w:val="right"/>
            </w:pPr>
            <w:r>
              <w:rPr>
                <w:b/>
              </w:rPr>
              <w:t xml:space="preserve">Clearance (m)</w:t>
            </w:r>
          </w:p>
        </w:tc>
        <w:tc>
          <w:tcPr/>
          <w:p>
            <w:pPr>
              <w:pStyle w:val="Compact"/>
              <w:jc w:val="right"/>
            </w:pPr>
            <w:r>
              <w:rPr>
                <w:b/>
              </w:rPr>
              <w:t xml:space="preserve">Gross Mass (t)</w:t>
            </w:r>
          </w:p>
        </w:tc>
        <w:tc>
          <w:tcPr/>
          <w:p>
            <w:pPr>
              <w:pStyle w:val="Compact"/>
              <w:jc w:val="right"/>
            </w:pPr>
            <w:r>
              <w:rPr>
                <w:b/>
              </w:rPr>
              <w:t xml:space="preserve">Axles</w:t>
            </w:r>
          </w:p>
        </w:tc>
        <w:tc>
          <w:tcPr/>
          <w:p>
            <w:pPr>
              <w:pStyle w:val="Compact"/>
              <w:jc w:val="right"/>
            </w:pPr>
            <w:r>
              <w:rPr>
                <w:b/>
              </w:rPr>
              <w:t xml:space="preserve">Axle Load (t)</w:t>
            </w:r>
          </w:p>
        </w:tc>
      </w:tr>
      <w:tr>
        <w:trPr>
          <w:cantSplit/>
        </w:trPr>
        <w:tc>
          <w:tcPr/>
          <w:p>
            <w:pPr>
              <w:pStyle w:val="Compact"/>
              <w:jc w:val="left"/>
            </w:pPr>
            <w:r>
              <w:t xml:space="preserve">Pedestrian</w:t>
            </w:r>
          </w:p>
        </w:tc>
        <w:tc>
          <w:tcPr/>
          <w:p>
            <w:pPr>
              <w:pStyle w:val="Compact"/>
              <w:jc w:val="right"/>
            </w:pPr>
            <w:r>
              <w:t xml:space="preserve">0.8</w:t>
            </w:r>
          </w:p>
        </w:tc>
        <w:tc>
          <w:tcPr/>
          <w:p>
            <w:pPr>
              <w:pStyle w:val="Compact"/>
              <w:jc w:val="right"/>
            </w:pPr>
            <w:r>
              <w:t xml:space="preserve">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rPr>
          <w:cantSplit/>
        </w:trPr>
        <w:tc>
          <w:tcPr/>
          <w:p>
            <w:pPr>
              <w:pStyle w:val="Compact"/>
              <w:jc w:val="left"/>
            </w:pPr>
            <w:r>
              <w:t xml:space="preserve">Motorcycle, tricycle</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0.6</w:t>
            </w:r>
          </w:p>
        </w:tc>
        <w:tc>
          <w:tcPr/>
          <w:p>
            <w:pPr>
              <w:pStyle w:val="Compact"/>
              <w:jc w:val="right"/>
            </w:pPr>
            <w:r>
              <w:t xml:space="preserve">2</w:t>
            </w:r>
          </w:p>
        </w:tc>
        <w:tc>
          <w:tcPr/>
          <w:p>
            <w:pPr>
              <w:pStyle w:val="Compact"/>
              <w:jc w:val="right"/>
            </w:pPr>
            <w:r>
              <w:t xml:space="preserve">0.30</w:t>
            </w:r>
          </w:p>
        </w:tc>
      </w:tr>
      <w:tr>
        <w:trPr>
          <w:cantSplit/>
        </w:trPr>
        <w:tc>
          <w:tcPr/>
          <w:p>
            <w:pPr>
              <w:pStyle w:val="Compact"/>
              <w:jc w:val="left"/>
            </w:pPr>
            <w:r>
              <w:t xml:space="preserve">Sedan</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2</w:t>
            </w:r>
          </w:p>
        </w:tc>
        <w:tc>
          <w:tcPr/>
          <w:p>
            <w:pPr>
              <w:pStyle w:val="Compact"/>
              <w:jc w:val="right"/>
            </w:pPr>
            <w:r>
              <w:t xml:space="preserve">1.00</w:t>
            </w:r>
          </w:p>
        </w:tc>
      </w:tr>
      <w:tr>
        <w:trPr>
          <w:cantSplit/>
        </w:trPr>
        <w:tc>
          <w:tcPr/>
          <w:p>
            <w:pPr>
              <w:pStyle w:val="Compact"/>
              <w:jc w:val="left"/>
            </w:pPr>
            <w:r>
              <w:t xml:space="preserve">Sport utility, pickup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2</w:t>
            </w:r>
          </w:p>
        </w:tc>
        <w:tc>
          <w:tcPr/>
          <w:p>
            <w:pPr>
              <w:pStyle w:val="Compact"/>
              <w:jc w:val="right"/>
            </w:pPr>
            <w:r>
              <w:t xml:space="preserve">1.50</w:t>
            </w:r>
          </w:p>
        </w:tc>
      </w:tr>
      <w:tr>
        <w:trPr>
          <w:cantSplit/>
        </w:trPr>
        <w:tc>
          <w:tcPr/>
          <w:p>
            <w:pPr>
              <w:pStyle w:val="Compact"/>
              <w:jc w:val="left"/>
            </w:pPr>
            <w:r>
              <w:t xml:space="preserve">Ambulance (van type)</w:t>
            </w:r>
          </w:p>
        </w:tc>
        <w:tc>
          <w:tcPr/>
          <w:p>
            <w:pPr>
              <w:pStyle w:val="Compact"/>
              <w:jc w:val="right"/>
            </w:pPr>
            <w:r>
              <w:t xml:space="preserve">2.0</w:t>
            </w:r>
          </w:p>
        </w:tc>
        <w:tc>
          <w:tcPr/>
          <w:p>
            <w:pPr>
              <w:pStyle w:val="Compact"/>
              <w:jc w:val="right"/>
            </w:pPr>
            <w:r>
              <w:t xml:space="preserve">2.6</w:t>
            </w:r>
          </w:p>
        </w:tc>
        <w:tc>
          <w:tcPr/>
          <w:p>
            <w:pPr>
              <w:pStyle w:val="Compact"/>
              <w:jc w:val="right"/>
            </w:pPr>
            <w:r>
              <w:t xml:space="preserve">3.5</w:t>
            </w:r>
          </w:p>
        </w:tc>
        <w:tc>
          <w:tcPr/>
          <w:p>
            <w:pPr>
              <w:pStyle w:val="Compact"/>
              <w:jc w:val="right"/>
            </w:pPr>
            <w:r>
              <w:t xml:space="preserve">2</w:t>
            </w:r>
          </w:p>
        </w:tc>
        <w:tc>
          <w:tcPr/>
          <w:p>
            <w:pPr>
              <w:pStyle w:val="Compact"/>
              <w:jc w:val="right"/>
            </w:pPr>
            <w:r>
              <w:t xml:space="preserve">1.75</w:t>
            </w:r>
          </w:p>
        </w:tc>
      </w:tr>
      <w:tr>
        <w:trPr>
          <w:cantSplit/>
        </w:trPr>
        <w:tc>
          <w:tcPr/>
          <w:p>
            <w:pPr>
              <w:pStyle w:val="Compact"/>
              <w:jc w:val="left"/>
            </w:pPr>
            <w:r>
              <w:t xml:space="preserve">Jeepney, UV van</w:t>
            </w:r>
          </w:p>
        </w:tc>
        <w:tc>
          <w:tcPr/>
          <w:p>
            <w:pPr>
              <w:pStyle w:val="Compact"/>
              <w:jc w:val="right"/>
            </w:pPr>
            <w:r>
              <w:t xml:space="preserve">2.1</w:t>
            </w:r>
          </w:p>
        </w:tc>
        <w:tc>
          <w:tcPr/>
          <w:p>
            <w:pPr>
              <w:pStyle w:val="Compact"/>
              <w:jc w:val="right"/>
            </w:pPr>
            <w:r>
              <w:t xml:space="preserve">2.6</w:t>
            </w:r>
          </w:p>
        </w:tc>
        <w:tc>
          <w:tcPr/>
          <w:p>
            <w:pPr>
              <w:pStyle w:val="Compact"/>
              <w:jc w:val="right"/>
            </w:pPr>
            <w:r>
              <w:t xml:space="preserve">4.5</w:t>
            </w:r>
          </w:p>
        </w:tc>
        <w:tc>
          <w:tcPr/>
          <w:p>
            <w:pPr>
              <w:pStyle w:val="Compact"/>
              <w:jc w:val="right"/>
            </w:pPr>
            <w:r>
              <w:t xml:space="preserve">2</w:t>
            </w:r>
          </w:p>
        </w:tc>
        <w:tc>
          <w:tcPr/>
          <w:p>
            <w:pPr>
              <w:pStyle w:val="Compact"/>
              <w:jc w:val="right"/>
            </w:pPr>
            <w:r>
              <w:t xml:space="preserve">2.25</w:t>
            </w:r>
          </w:p>
        </w:tc>
      </w:tr>
      <w:tr>
        <w:trPr>
          <w:cantSplit/>
        </w:trPr>
        <w:tc>
          <w:tcPr/>
          <w:p>
            <w:pPr>
              <w:pStyle w:val="Compact"/>
              <w:jc w:val="left"/>
            </w:pPr>
            <w:r>
              <w:t xml:space="preserve">Four-wheel truck</w:t>
            </w:r>
          </w:p>
        </w:tc>
        <w:tc>
          <w:tcPr/>
          <w:p>
            <w:pPr>
              <w:pStyle w:val="Compact"/>
              <w:jc w:val="right"/>
            </w:pPr>
            <w:r>
              <w:t xml:space="preserve">2.2</w:t>
            </w:r>
          </w:p>
        </w:tc>
        <w:tc>
          <w:tcPr/>
          <w:p>
            <w:pPr>
              <w:pStyle w:val="Compact"/>
              <w:jc w:val="right"/>
            </w:pPr>
            <w:r>
              <w:t xml:space="preserve">3.2</w:t>
            </w:r>
          </w:p>
        </w:tc>
        <w:tc>
          <w:tcPr/>
          <w:p>
            <w:pPr>
              <w:pStyle w:val="Compact"/>
              <w:jc w:val="right"/>
            </w:pPr>
            <w:r>
              <w:t xml:space="preserve">7.5</w:t>
            </w:r>
          </w:p>
        </w:tc>
        <w:tc>
          <w:tcPr/>
          <w:p>
            <w:pPr>
              <w:pStyle w:val="Compact"/>
              <w:jc w:val="right"/>
            </w:pPr>
            <w:r>
              <w:t xml:space="preserve">2</w:t>
            </w:r>
          </w:p>
        </w:tc>
        <w:tc>
          <w:tcPr/>
          <w:p>
            <w:pPr>
              <w:pStyle w:val="Compact"/>
              <w:jc w:val="right"/>
            </w:pPr>
            <w:r>
              <w:t xml:space="preserve">3.75</w:t>
            </w:r>
          </w:p>
        </w:tc>
      </w:tr>
      <w:tr>
        <w:trPr>
          <w:cantSplit/>
        </w:trPr>
        <w:tc>
          <w:tcPr/>
          <w:p>
            <w:pPr>
              <w:pStyle w:val="Compact"/>
              <w:jc w:val="left"/>
            </w:pPr>
            <w:r>
              <w:t xml:space="preserve">Six-wheel truck</w:t>
            </w:r>
          </w:p>
        </w:tc>
        <w:tc>
          <w:tcPr/>
          <w:p>
            <w:pPr>
              <w:pStyle w:val="Compact"/>
              <w:jc w:val="right"/>
            </w:pPr>
            <w:r>
              <w:t xml:space="preserve">2.5</w:t>
            </w:r>
          </w:p>
        </w:tc>
        <w:tc>
          <w:tcPr/>
          <w:p>
            <w:pPr>
              <w:pStyle w:val="Compact"/>
              <w:jc w:val="right"/>
            </w:pPr>
            <w:r>
              <w:t xml:space="preserve">3.8</w:t>
            </w:r>
          </w:p>
        </w:tc>
        <w:tc>
          <w:tcPr/>
          <w:p>
            <w:pPr>
              <w:pStyle w:val="Compact"/>
              <w:jc w:val="right"/>
            </w:pPr>
            <w:r>
              <w:t xml:space="preserve">15.0</w:t>
            </w:r>
          </w:p>
        </w:tc>
        <w:tc>
          <w:tcPr/>
          <w:p>
            <w:pPr>
              <w:pStyle w:val="Compact"/>
              <w:jc w:val="right"/>
            </w:pPr>
            <w:r>
              <w:t xml:space="preserve">3</w:t>
            </w:r>
          </w:p>
        </w:tc>
        <w:tc>
          <w:tcPr/>
          <w:p>
            <w:pPr>
              <w:pStyle w:val="Compact"/>
              <w:jc w:val="right"/>
            </w:pPr>
            <w:r>
              <w:t xml:space="preserve">5.00</w:t>
            </w:r>
          </w:p>
        </w:tc>
      </w:tr>
      <w:tr>
        <w:trPr>
          <w:cantSplit/>
        </w:trPr>
        <w:tc>
          <w:tcPr/>
          <w:p>
            <w:pPr>
              <w:pStyle w:val="Compact"/>
              <w:jc w:val="left"/>
            </w:pPr>
            <w:r>
              <w:t xml:space="preserve">Ten-wheel truck</w:t>
            </w:r>
          </w:p>
        </w:tc>
        <w:tc>
          <w:tcPr/>
          <w:p>
            <w:pPr>
              <w:pStyle w:val="Compact"/>
              <w:jc w:val="right"/>
            </w:pPr>
            <w:r>
              <w:t xml:space="preserve">2.5</w:t>
            </w:r>
          </w:p>
        </w:tc>
        <w:tc>
          <w:tcPr/>
          <w:p>
            <w:pPr>
              <w:pStyle w:val="Compact"/>
              <w:jc w:val="right"/>
            </w:pPr>
            <w:r>
              <w:t xml:space="preserve">4.2</w:t>
            </w:r>
          </w:p>
        </w:tc>
        <w:tc>
          <w:tcPr/>
          <w:p>
            <w:pPr>
              <w:pStyle w:val="Compact"/>
              <w:jc w:val="right"/>
            </w:pPr>
            <w:r>
              <w:t xml:space="preserve">26.0</w:t>
            </w:r>
          </w:p>
        </w:tc>
        <w:tc>
          <w:tcPr/>
          <w:p>
            <w:pPr>
              <w:pStyle w:val="Compact"/>
              <w:jc w:val="right"/>
            </w:pPr>
            <w:r>
              <w:t xml:space="preserve">5</w:t>
            </w:r>
          </w:p>
        </w:tc>
        <w:tc>
          <w:tcPr/>
          <w:p>
            <w:pPr>
              <w:pStyle w:val="Compact"/>
              <w:jc w:val="right"/>
            </w:pPr>
            <w:r>
              <w:t xml:space="preserve">5.20</w:t>
            </w:r>
          </w:p>
        </w:tc>
      </w:tr>
      <w:tr>
        <w:trPr>
          <w:cantSplit/>
        </w:trPr>
        <w:tc>
          <w:tcPr/>
          <w:p>
            <w:pPr>
              <w:pStyle w:val="Compact"/>
              <w:jc w:val="left"/>
            </w:pPr>
            <w:r>
              <w:t xml:space="preserve">Provincial bus</w:t>
            </w:r>
          </w:p>
        </w:tc>
        <w:tc>
          <w:tcPr/>
          <w:p>
            <w:pPr>
              <w:pStyle w:val="Compact"/>
              <w:jc w:val="right"/>
            </w:pPr>
            <w:r>
              <w:t xml:space="preserve">2.6</w:t>
            </w:r>
          </w:p>
        </w:tc>
        <w:tc>
          <w:tcPr/>
          <w:p>
            <w:pPr>
              <w:pStyle w:val="Compact"/>
              <w:jc w:val="right"/>
            </w:pPr>
            <w:r>
              <w:t xml:space="preserve">4.0</w:t>
            </w:r>
          </w:p>
        </w:tc>
        <w:tc>
          <w:tcPr/>
          <w:p>
            <w:pPr>
              <w:pStyle w:val="Compact"/>
              <w:jc w:val="right"/>
            </w:pPr>
            <w:r>
              <w:t xml:space="preserve">18.0</w:t>
            </w:r>
          </w:p>
        </w:tc>
        <w:tc>
          <w:tcPr/>
          <w:p>
            <w:pPr>
              <w:pStyle w:val="Compact"/>
              <w:jc w:val="right"/>
            </w:pPr>
            <w:r>
              <w:t xml:space="preserve">3</w:t>
            </w:r>
          </w:p>
        </w:tc>
        <w:tc>
          <w:tcPr/>
          <w:p>
            <w:pPr>
              <w:pStyle w:val="Compact"/>
              <w:jc w:val="right"/>
            </w:pPr>
            <w:r>
              <w:t xml:space="preserve">6.00</w:t>
            </w:r>
          </w:p>
        </w:tc>
      </w:tr>
    </w:tbl>
    <w:bookmarkEnd w:id="78"/>
    <w:bookmarkStart w:id="85" w:name="Xf222616bfc8f3f7a9cf54102a16de756c9a41a0"/>
    <w:p>
      <w:pPr>
        <w:pStyle w:val="Heading2"/>
      </w:pPr>
      <w:r>
        <w:t xml:space="preserve">2.6 Fare Model: What the Commuting Patient Pays</w:t>
      </w:r>
    </w:p>
    <w:p>
      <w:pPr>
        <w:pStyle w:val="FirstParagraph"/>
      </w:pPr>
      <w:r>
        <w:t xml:space="preserve">A patient without an ambulance pays a fare on every leg, and for a poor family the fare is part of the cost of care.</w:t>
      </w:r>
    </w:p>
    <w:p>
      <w:pPr>
        <w:pStyle w:val="BodyText"/>
      </w:pPr>
      <w:r>
        <w:rPr>
          <w:bCs/>
          <w:b/>
        </w:rPr>
        <w:t xml:space="preserve">Definition 12 (Regulated distance fare; Daguno-Bersamina, 2026; Nieto, 2026).</w:t>
      </w:r>
      <w:r>
        <w:t xml:space="preserve"> </w:t>
      </w:r>
      <w:r>
        <w:t xml:space="preserve">On a mode whose base fare</w:t>
      </w:r>
      <w:r>
        <w:t xml:space="preserve"> </w:t>
      </w:r>
      <w:r>
        <w:rPr>
          <w:iCs/>
          <w:i/>
        </w:rPr>
        <w:t xml:space="preserve">f</w:t>
      </w:r>
      <w:r>
        <w:rPr>
          <w:vertAlign w:val="subscript"/>
        </w:rPr>
        <w:t xml:space="preserve">0</w:t>
      </w:r>
      <w:r>
        <w:t xml:space="preserve"> </w:t>
      </w:r>
      <w:r>
        <w:t xml:space="preserve">covers the first</w:t>
      </w:r>
      <w:r>
        <w:t xml:space="preserve"> </w:t>
      </w:r>
      <w:r>
        <w:rPr>
          <w:iCs/>
          <w:i/>
        </w:rPr>
        <w:t xml:space="preserve">d</w:t>
      </w:r>
      <w:r>
        <w:rPr>
          <w:vertAlign w:val="subscript"/>
        </w:rPr>
        <w:t xml:space="preserve">0</w:t>
      </w:r>
      <w:r>
        <w:t xml:space="preserve"> </w:t>
      </w:r>
      <w:r>
        <w:t xml:space="preserve">kilometers and whose rate for each succeeding kilometer is</w:t>
      </w:r>
      <w:r>
        <w:t xml:space="preserve"> </w:t>
      </w:r>
      <w:r>
        <w:rPr>
          <w:iCs/>
          <w:i/>
        </w:rPr>
        <w:t xml:space="preserve">r</w:t>
      </w:r>
      <w:r>
        <w:t xml:space="preserve">, a leg</w:t>
      </w:r>
      <w:r>
        <w:t xml:space="preserve"> </w:t>
      </w:r>
      <w:r>
        <w:rPr>
          <w:iCs/>
          <w:i/>
        </w:rPr>
        <w:t xml:space="preserve">d</w:t>
      </w:r>
      <w:r>
        <w:t xml:space="preserve"> </w:t>
      </w:r>
      <w:r>
        <w:t xml:space="preserve">kilometers long costs</w:t>
      </w:r>
    </w:p>
    <w:p>
      <w:pPr>
        <w:pStyle w:val="Equation"/>
      </w:pPr>
      <w:r>
        <w:tab/>
      </w:r>
      <w:r>
        <w:drawing>
          <wp:inline>
            <wp:extent cx="2220163" cy="159105"/>
            <wp:effectExtent b="0" l="0" r="0" t="0"/>
            <wp:docPr descr="" title="" id="80" name="Picture"/>
            <a:graphic>
              <a:graphicData uri="http://schemas.openxmlformats.org/drawingml/2006/picture">
                <pic:pic>
                  <pic:nvPicPr>
                    <pic:cNvPr descr="eq/eq09.png" id="81" name="Picture"/>
                    <pic:cNvPicPr>
                      <a:picLocks noChangeArrowheads="1" noChangeAspect="1"/>
                    </pic:cNvPicPr>
                  </pic:nvPicPr>
                  <pic:blipFill>
                    <a:blip r:embed="rId79"/>
                    <a:stretch>
                      <a:fillRect/>
                    </a:stretch>
                  </pic:blipFill>
                  <pic:spPr bwMode="auto">
                    <a:xfrm>
                      <a:off x="0" y="0"/>
                      <a:ext cx="2220163" cy="159105"/>
                    </a:xfrm>
                    <a:prstGeom prst="rect">
                      <a:avLst/>
                    </a:prstGeom>
                    <a:noFill/>
                    <a:ln w="9525">
                      <a:noFill/>
                      <a:headEnd/>
                      <a:tailEnd/>
                    </a:ln>
                  </pic:spPr>
                </pic:pic>
              </a:graphicData>
            </a:graphic>
          </wp:inline>
        </w:drawing>
      </w:r>
      <w:r/>
      <w:r/>
      <w:r>
        <w:rPr>
          <w:rFonts w:ascii="Times New Roman" w:hAnsi="Times New Roman"/>
          <w:sz w:val="24"/>
        </w:rPr>
        <w:tab/>
        <w:t>(9)</w:t>
      </w:r>
    </w:p>
    <w:p>
      <w:pPr>
        <w:pStyle w:val="Source"/>
      </w:pPr>
      <w:r>
        <w:t xml:space="preserve">Source: fare structure and parameters reported by Daguno-Bersamina (2026) and Nieto (2026); see Table 6</w:t>
      </w:r>
    </w:p>
    <w:p>
      <w:pPr>
        <w:pStyle w:val="BodyText"/>
      </w:pPr>
      <w:r>
        <w:t xml:space="preserve">where any fraction of a succeeding kilometer is charged as a whole one, a rounding convention chosen for this study. For senior citizens, students, and persons with disabilities, who receive the statutory 20 percent discount (Section 1.4.13),</w:t>
      </w:r>
      <w:r>
        <w:t xml:space="preserve"> </w:t>
      </w:r>
      <w:r>
        <w:rPr>
          <w:iCs/>
          <w:i/>
        </w:rPr>
        <w:t xml:space="preserve">f</w:t>
      </w:r>
      <w:r>
        <w:rPr>
          <w:vertAlign w:val="subscript"/>
        </w:rPr>
        <w:t xml:space="preserve">δ</w:t>
      </w:r>
      <w:r>
        <w:t xml:space="preserve">(</w:t>
      </w:r>
      <w:r>
        <w:rPr>
          <w:iCs/>
          <w:i/>
        </w:rPr>
        <w:t xml:space="preserve">d</w:t>
      </w:r>
      <w:r>
        <w:t xml:space="preserve">) = (1 − δ)</w:t>
      </w:r>
      <w:r>
        <w:t xml:space="preserve"> </w:t>
      </w:r>
      <w:r>
        <w:rPr>
          <w:iCs/>
          <w:i/>
        </w:rPr>
        <w:t xml:space="preserve">f</w:t>
      </w:r>
      <w:r>
        <w:t xml:space="preserve">(</w:t>
      </w:r>
      <w:r>
        <w:rPr>
          <w:iCs/>
          <w:i/>
        </w:rPr>
        <w:t xml:space="preserve">d</w:t>
      </w:r>
      <w:r>
        <w:t xml:space="preserve">) with δ = 0.20.</w:t>
      </w:r>
    </w:p>
    <w:p>
      <w:pPr>
        <w:pStyle w:val="Equation"/>
      </w:pPr>
      <w:r>
        <w:tab/>
      </w:r>
      <w:r>
        <w:drawing>
          <wp:inline>
            <wp:extent cx="1570024" cy="457200"/>
            <wp:effectExtent b="0" l="0" r="0" t="0"/>
            <wp:docPr descr="" title="" id="83" name="Picture"/>
            <a:graphic>
              <a:graphicData uri="http://schemas.openxmlformats.org/drawingml/2006/picture">
                <pic:pic>
                  <pic:nvPicPr>
                    <pic:cNvPr descr="eq/eq10.png" id="84" name="Picture"/>
                    <pic:cNvPicPr>
                      <a:picLocks noChangeArrowheads="1" noChangeAspect="1"/>
                    </pic:cNvPicPr>
                  </pic:nvPicPr>
                  <pic:blipFill>
                    <a:blip r:embed="rId82"/>
                    <a:stretch>
                      <a:fillRect/>
                    </a:stretch>
                  </pic:blipFill>
                  <pic:spPr bwMode="auto">
                    <a:xfrm>
                      <a:off x="0" y="0"/>
                      <a:ext cx="1570024" cy="457200"/>
                    </a:xfrm>
                    <a:prstGeom prst="rect">
                      <a:avLst/>
                    </a:prstGeom>
                    <a:noFill/>
                    <a:ln w="9525">
                      <a:noFill/>
                      <a:headEnd/>
                      <a:tailEnd/>
                    </a:ln>
                  </pic:spPr>
                </pic:pic>
              </a:graphicData>
            </a:graphic>
          </wp:inline>
        </w:drawing>
      </w:r>
      <w:r/>
      <w:r/>
      <w:r>
        <w:rPr>
          <w:rFonts w:ascii="Times New Roman" w:hAnsi="Times New Roman"/>
          <w:sz w:val="24"/>
        </w:rPr>
        <w:tab/>
        <w:t>(10)</w:t>
      </w:r>
    </w:p>
    <w:p>
      <w:pPr>
        <w:pStyle w:val="Source"/>
      </w:pPr>
      <w:r>
        <w:t xml:space="preserve">Source: formulated in this study</w:t>
      </w:r>
    </w:p>
    <w:p>
      <w:pPr>
        <w:pStyle w:val="TableCaption"/>
      </w:pPr>
      <w:r>
        <w:rPr>
          <w:bCs/>
          <w:b/>
        </w:rPr>
        <w:t xml:space="preserve">Table 6.</w:t>
      </w:r>
      <w:r>
        <w:t xml:space="preserve"> </w:t>
      </w:r>
      <w:r>
        <w:t xml:space="preserve">Fare parameters in effect from September 28, 2026, approved by the LTFRB and reported by Daguno-Bersamina (2026) and Nieto (2026). Tricycle fares follow local ordinances and are gathered by municipality.</w:t>
      </w:r>
    </w:p>
    <w:tbl>
      <w:tblPr>
        <w:tblStyle w:val="Table"/>
        <w:tblW w:type="pct" w:w="5000"/>
        <w:jc w:val="center"/>
        <w:tblCaption w:val="Table 6. Fare parameters in effect from September 28, 2026, approved by the LTFRB and reported by Daguno-Bersamina (2026) and Nieto (2026). Tricycle fares follow local ordinances and are gathered by municipality."/>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3600"/>
        <w:gridCol w:w="1440"/>
        <w:gridCol w:w="1440"/>
        <w:gridCol w:w="1440"/>
      </w:tblGrid>
      <w:tr>
        <w:trPr>
          <w:tblHeader w:val="true"/>
          <w:tblHeader/>
          <w:cantSplit/>
        </w:trPr>
        <w:tc>
          <w:tcPr/>
          <w:p>
            <w:pPr>
              <w:pStyle w:val="Compact"/>
              <w:jc w:val="left"/>
            </w:pPr>
            <w:r>
              <w:rPr>
                <w:b/>
              </w:rPr>
              <w:t xml:space="preserve">Mode</w:t>
            </w:r>
          </w:p>
        </w:tc>
        <w:tc>
          <w:tcPr/>
          <w:p>
            <w:pPr>
              <w:pStyle w:val="Compact"/>
              <w:jc w:val="right"/>
            </w:pPr>
            <w:r>
              <w:rPr>
                <w:b/>
              </w:rPr>
              <w:t xml:space="preserve">Base Fare</w:t>
            </w:r>
            <w:r>
              <w:rPr>
                <w:b/>
              </w:rPr>
              <w:t xml:space="preserve"> </w:t>
            </w:r>
            <w:r>
              <w:rPr>
                <w:iCs/>
                <w:b/>
                <w:i/>
              </w:rPr>
              <w:t xml:space="preserve">f</w:t>
            </w:r>
            <w:r>
              <w:rPr>
                <w:b/>
                <w:vertAlign w:val="subscript"/>
              </w:rPr>
              <w:t xml:space="preserve">0</w:t>
            </w:r>
            <w:r>
              <w:rPr>
                <w:b/>
              </w:rPr>
              <w:t xml:space="preserve"> </w:t>
            </w:r>
            <w:r>
              <w:rPr>
                <w:b/>
              </w:rPr>
              <w:t xml:space="preserve">(₱)</w:t>
            </w:r>
          </w:p>
        </w:tc>
        <w:tc>
          <w:tcPr/>
          <w:p>
            <w:pPr>
              <w:pStyle w:val="Compact"/>
              <w:jc w:val="right"/>
            </w:pPr>
            <w:r>
              <w:rPr>
                <w:b/>
              </w:rPr>
              <w:t xml:space="preserve">Base Distance</w:t>
            </w:r>
            <w:r>
              <w:rPr>
                <w:b/>
              </w:rPr>
              <w:t xml:space="preserve"> </w:t>
            </w:r>
            <w:r>
              <w:rPr>
                <w:iCs/>
                <w:b/>
                <w:i/>
              </w:rPr>
              <w:t xml:space="preserve">d</w:t>
            </w:r>
            <w:r>
              <w:rPr>
                <w:b/>
                <w:vertAlign w:val="subscript"/>
              </w:rPr>
              <w:t xml:space="preserve">0</w:t>
            </w:r>
            <w:r>
              <w:rPr>
                <w:b/>
              </w:rPr>
              <w:t xml:space="preserve"> </w:t>
            </w:r>
            <w:r>
              <w:rPr>
                <w:b/>
              </w:rPr>
              <w:t xml:space="preserve">(km)</w:t>
            </w:r>
          </w:p>
        </w:tc>
        <w:tc>
          <w:tcPr/>
          <w:p>
            <w:pPr>
              <w:pStyle w:val="Compact"/>
              <w:jc w:val="right"/>
            </w:pPr>
            <w:r>
              <w:rPr>
                <w:b/>
              </w:rPr>
              <w:t xml:space="preserve">Rate</w:t>
            </w:r>
            <w:r>
              <w:rPr>
                <w:b/>
              </w:rPr>
              <w:t xml:space="preserve"> </w:t>
            </w:r>
            <w:r>
              <w:rPr>
                <w:iCs/>
                <w:b/>
                <w:i/>
              </w:rPr>
              <w:t xml:space="preserve">r</w:t>
            </w:r>
            <w:r>
              <w:rPr>
                <w:b/>
              </w:rPr>
              <w:t xml:space="preserve"> </w:t>
            </w:r>
            <w:r>
              <w:rPr>
                <w:b/>
              </w:rPr>
              <w:t xml:space="preserve">(₱/km)</w:t>
            </w:r>
          </w:p>
        </w:tc>
      </w:tr>
      <w:tr>
        <w:trPr>
          <w:cantSplit/>
        </w:trPr>
        <w:tc>
          <w:tcPr/>
          <w:p>
            <w:pPr>
              <w:pStyle w:val="Compact"/>
              <w:jc w:val="left"/>
            </w:pPr>
            <w:r>
              <w:t xml:space="preserve">Traditional jeepney</w:t>
            </w:r>
          </w:p>
        </w:tc>
        <w:tc>
          <w:tcPr/>
          <w:p>
            <w:pPr>
              <w:pStyle w:val="Compact"/>
              <w:jc w:val="right"/>
            </w:pPr>
            <w:r>
              <w:t xml:space="preserve">14.00</w:t>
            </w:r>
          </w:p>
        </w:tc>
        <w:tc>
          <w:tcPr/>
          <w:p>
            <w:pPr>
              <w:pStyle w:val="Compact"/>
              <w:jc w:val="right"/>
            </w:pPr>
            <w:r>
              <w:t xml:space="preserve">4</w:t>
            </w:r>
          </w:p>
        </w:tc>
        <w:tc>
          <w:tcPr/>
          <w:p>
            <w:pPr>
              <w:pStyle w:val="Compact"/>
              <w:jc w:val="right"/>
            </w:pPr>
            <w:r>
              <w:t xml:space="preserve">2.00</w:t>
            </w:r>
          </w:p>
        </w:tc>
      </w:tr>
      <w:tr>
        <w:trPr>
          <w:cantSplit/>
        </w:trPr>
        <w:tc>
          <w:tcPr/>
          <w:p>
            <w:pPr>
              <w:pStyle w:val="Compact"/>
              <w:jc w:val="left"/>
            </w:pPr>
            <w:r>
              <w:t xml:space="preserve">Modern jeepney</w:t>
            </w:r>
          </w:p>
        </w:tc>
        <w:tc>
          <w:tcPr/>
          <w:p>
            <w:pPr>
              <w:pStyle w:val="Compact"/>
              <w:jc w:val="right"/>
            </w:pPr>
            <w:r>
              <w:t xml:space="preserve">17.00</w:t>
            </w:r>
          </w:p>
        </w:tc>
        <w:tc>
          <w:tcPr/>
          <w:p>
            <w:pPr>
              <w:pStyle w:val="Compact"/>
              <w:jc w:val="right"/>
            </w:pPr>
            <w:r>
              <w:t xml:space="preserve">4</w:t>
            </w:r>
          </w:p>
        </w:tc>
        <w:tc>
          <w:tcPr/>
          <w:p>
            <w:pPr>
              <w:pStyle w:val="Compact"/>
              <w:jc w:val="right"/>
            </w:pPr>
            <w:r>
              <w:t xml:space="preserve">2.40</w:t>
            </w:r>
          </w:p>
        </w:tc>
      </w:tr>
      <w:tr>
        <w:trPr>
          <w:cantSplit/>
        </w:trPr>
        <w:tc>
          <w:tcPr/>
          <w:p>
            <w:pPr>
              <w:pStyle w:val="Compact"/>
              <w:jc w:val="left"/>
            </w:pPr>
            <w:r>
              <w:t xml:space="preserve">Provincial ordinary bus</w:t>
            </w:r>
          </w:p>
        </w:tc>
        <w:tc>
          <w:tcPr/>
          <w:p>
            <w:pPr>
              <w:pStyle w:val="Compact"/>
              <w:jc w:val="right"/>
            </w:pPr>
            <w:r>
              <w:t xml:space="preserve">12.00</w:t>
            </w:r>
          </w:p>
        </w:tc>
        <w:tc>
          <w:tcPr/>
          <w:p>
            <w:pPr>
              <w:pStyle w:val="Compact"/>
              <w:jc w:val="right"/>
            </w:pPr>
            <w:r>
              <w:t xml:space="preserve">5</w:t>
            </w:r>
          </w:p>
        </w:tc>
        <w:tc>
          <w:tcPr/>
          <w:p>
            <w:pPr>
              <w:pStyle w:val="Compact"/>
              <w:jc w:val="right"/>
            </w:pPr>
            <w:r>
              <w:t xml:space="preserve">2.20</w:t>
            </w:r>
          </w:p>
        </w:tc>
      </w:tr>
      <w:tr>
        <w:trPr>
          <w:cantSplit/>
        </w:trPr>
        <w:tc>
          <w:tcPr/>
          <w:p>
            <w:pPr>
              <w:pStyle w:val="Compact"/>
              <w:jc w:val="left"/>
            </w:pPr>
            <w:r>
              <w:t xml:space="preserve">Tricycle</w:t>
            </w:r>
          </w:p>
        </w:tc>
        <w:tc>
          <w:tcPr/>
          <w:p>
            <w:pPr>
              <w:pStyle w:val="Compact"/>
              <w:jc w:val="right"/>
            </w:pPr>
            <w:r>
              <w:t xml:space="preserve">set by ordinance</w:t>
            </w:r>
          </w:p>
        </w:tc>
        <w:tc>
          <w:tcPr/>
          <w:p>
            <w:pPr>
              <w:pStyle w:val="Compact"/>
              <w:jc w:val="right"/>
            </w:pPr>
            <w:r>
              <w:t xml:space="preserve">set by ordinance</w:t>
            </w:r>
          </w:p>
        </w:tc>
        <w:tc>
          <w:tcPr/>
          <w:p>
            <w:pPr>
              <w:pStyle w:val="Compact"/>
              <w:jc w:val="right"/>
            </w:pPr>
            <w:r>
              <w:t xml:space="preserve">set by ordinance</w:t>
            </w:r>
          </w:p>
        </w:tc>
      </w:tr>
    </w:tbl>
    <w:bookmarkEnd w:id="85"/>
    <w:bookmarkStart w:id="92" w:name="X1f1c1d53ce16982399c2e48b7e9d8716f3bdb54"/>
    <w:p>
      <w:pPr>
        <w:pStyle w:val="Heading2"/>
      </w:pPr>
      <w:r>
        <w:t xml:space="preserve">2.7 The Hospital Map: Capability, Services, and Cost Class</w:t>
      </w:r>
    </w:p>
    <w:p>
      <w:pPr>
        <w:pStyle w:val="FirstParagraph"/>
      </w:pPr>
      <w:r>
        <w:t xml:space="preserve">Sections 2.7 to 2.13 build the hospital layer. Nothing in Sections 2.1 to 2.6 changes: the hospital layer reads the same graphs, the same vehicle classes, and the same landmark set.</w:t>
      </w:r>
    </w:p>
    <w:p>
      <w:pPr>
        <w:pStyle w:val="BodyText"/>
      </w:pPr>
      <w:r>
        <w:rPr>
          <w:bCs/>
          <w:b/>
        </w:rPr>
        <w:t xml:space="preserve">Definition 13 (Hospital record).</w:t>
      </w:r>
      <w:r>
        <w:t xml:space="preserve"> </w:t>
      </w:r>
      <w:r>
        <w:t xml:space="preserve">Let</w:t>
      </w:r>
      <w:r>
        <w:t xml:space="preserve"> </w:t>
      </w:r>
      <w:r>
        <w:rPr>
          <w:iCs/>
          <w:i/>
        </w:rPr>
        <w:t xml:space="preserve">H</w:t>
      </w:r>
      <w:r>
        <w:t xml:space="preserve"> </w:t>
      </w:r>
      <w:r>
        <w:t xml:space="preserve">⊆</w:t>
      </w:r>
      <w:r>
        <w:t xml:space="preserve"> </w:t>
      </w:r>
      <w:r>
        <w:rPr>
          <w:iCs/>
          <w:i/>
        </w:rPr>
        <w:t xml:space="preserve">L</w:t>
      </w:r>
      <w:r>
        <w:rPr>
          <w:iCs/>
          <w:i/>
          <w:vertAlign w:val="subscript"/>
        </w:rPr>
        <w:t xml:space="preserve">d</w:t>
      </w:r>
      <w:r>
        <w:t xml:space="preserve"> </w:t>
      </w:r>
      <w:r>
        <w:t xml:space="preserve">be the hospitals and infirmaries in the destination set. Each</w:t>
      </w:r>
      <w:r>
        <w:t xml:space="preserve"> </w:t>
      </w:r>
      <w:r>
        <w:rPr>
          <w:iCs/>
          <w:i/>
        </w:rPr>
        <w:t xml:space="preserve">h</w:t>
      </w:r>
      <w:r>
        <w:t xml:space="preserve"> </w:t>
      </w:r>
      <w:r>
        <w:t xml:space="preserve">∈</w:t>
      </w:r>
      <w:r>
        <w:t xml:space="preserve"> </w:t>
      </w:r>
      <w:r>
        <w:rPr>
          <w:iCs/>
          <w:i/>
        </w:rPr>
        <w:t xml:space="preserve">H</w:t>
      </w:r>
      <w:r>
        <w:t xml:space="preserve"> </w:t>
      </w:r>
      <w:r>
        <w:t xml:space="preserve">carries its entrance node</w:t>
      </w:r>
      <w:r>
        <w:t xml:space="preserve"> </w:t>
      </w:r>
      <w:r>
        <w:rPr>
          <w:iCs/>
          <w:i/>
        </w:rPr>
        <w:t xml:space="preserve">v</w:t>
      </w:r>
      <w:r>
        <w:rPr>
          <w:iCs/>
          <w:i/>
          <w:vertAlign w:val="subscript"/>
        </w:rPr>
        <w:t xml:space="preserve">h</w:t>
      </w:r>
      <w:r>
        <w:t xml:space="preserve"> </w:t>
      </w:r>
      <w:r>
        <w:t xml:space="preserve">(Definition 1); its authorized bed capacity</w:t>
      </w:r>
      <w:r>
        <w:t xml:space="preserve"> </w:t>
      </w:r>
      <w:r>
        <w:rPr>
          <w:iCs/>
          <w:i/>
        </w:rPr>
        <w:t xml:space="preserve">c</w:t>
      </w:r>
      <w:r>
        <w:rPr>
          <w:iCs/>
          <w:i/>
          <w:vertAlign w:val="subscript"/>
        </w:rPr>
        <w:t xml:space="preserve">h</w:t>
      </w:r>
      <w:r>
        <w:t xml:space="preserve">; a service capability level η</w:t>
      </w:r>
      <w:r>
        <w:rPr>
          <w:iCs/>
          <w:i/>
          <w:vertAlign w:val="subscript"/>
        </w:rPr>
        <w:t xml:space="preserve">h</w:t>
      </w:r>
      <w:r>
        <w:t xml:space="preserve"> </w:t>
      </w:r>
      <w:r>
        <w:t xml:space="preserve">∈ {0, 1, 2, 3}, where 0 denotes an infirmary and 1 to 3 the hospital levels of Table 7; a service set Σ</w:t>
      </w:r>
      <w:r>
        <w:rPr>
          <w:iCs/>
          <w:i/>
          <w:vertAlign w:val="subscript"/>
        </w:rPr>
        <w:t xml:space="preserve">h</w:t>
      </w:r>
      <w:r>
        <w:t xml:space="preserve"> </w:t>
      </w:r>
      <w:r>
        <w:t xml:space="preserve">⊆ 𝒮, where 𝒮 is the list of services in Table 8; an emergency-room flag</w:t>
      </w:r>
      <w:r>
        <w:t xml:space="preserve"> </w:t>
      </w:r>
      <w:r>
        <w:rPr>
          <w:iCs/>
          <w:i/>
        </w:rPr>
        <w:t xml:space="preserve">e</w:t>
      </w:r>
      <w:r>
        <w:rPr>
          <w:iCs/>
          <w:i/>
          <w:vertAlign w:val="subscript"/>
        </w:rPr>
        <w:t xml:space="preserve">h</w:t>
      </w:r>
      <w:r>
        <w:t xml:space="preserve"> </w:t>
      </w:r>
      <w:r>
        <w:t xml:space="preserve">∈ {0, 1}; a cost class</w:t>
      </w:r>
      <w:r>
        <w:t xml:space="preserve"> </w:t>
      </w:r>
      <w:r>
        <w:rPr>
          <w:iCs/>
          <w:i/>
        </w:rPr>
        <w:t xml:space="preserve">q</w:t>
      </w:r>
      <w:r>
        <w:rPr>
          <w:iCs/>
          <w:i/>
          <w:vertAlign w:val="subscript"/>
        </w:rPr>
        <w:t xml:space="preserve">h</w:t>
      </w:r>
      <w:r>
        <w:t xml:space="preserve"> </w:t>
      </w:r>
      <w:r>
        <w:t xml:space="preserve">∈ {0, 1, 2, 3}; and a contact address</w:t>
      </w:r>
      <w:r>
        <w:t xml:space="preserve"> </w:t>
      </w:r>
      <w:r>
        <w:rPr>
          <w:iCs/>
          <w:i/>
        </w:rPr>
        <w:t xml:space="preserve">m</w:t>
      </w:r>
      <w:r>
        <w:rPr>
          <w:iCs/>
          <w:i/>
          <w:vertAlign w:val="subscript"/>
        </w:rPr>
        <w:t xml:space="preserve">h</w:t>
      </w:r>
      <w:r>
        <w:t xml:space="preserve">, the e-mail address that the facility publishes for official correspondence. The cost class follows the rule</w:t>
      </w:r>
    </w:p>
    <w:p>
      <w:pPr>
        <w:pStyle w:val="Equation"/>
      </w:pPr>
      <w:r>
        <w:tab/>
      </w:r>
      <w:r>
        <w:drawing>
          <wp:inline>
            <wp:extent cx="4560112" cy="733348"/>
            <wp:effectExtent b="0" l="0" r="0" t="0"/>
            <wp:docPr descr="" title="" id="87" name="Picture"/>
            <a:graphic>
              <a:graphicData uri="http://schemas.openxmlformats.org/drawingml/2006/picture">
                <pic:pic>
                  <pic:nvPicPr>
                    <pic:cNvPr descr="eq/eq11.png" id="88" name="Picture"/>
                    <pic:cNvPicPr>
                      <a:picLocks noChangeArrowheads="1" noChangeAspect="1"/>
                    </pic:cNvPicPr>
                  </pic:nvPicPr>
                  <pic:blipFill>
                    <a:blip r:embed="rId86"/>
                    <a:stretch>
                      <a:fillRect/>
                    </a:stretch>
                  </pic:blipFill>
                  <pic:spPr bwMode="auto">
                    <a:xfrm>
                      <a:off x="0" y="0"/>
                      <a:ext cx="4560112" cy="733348"/>
                    </a:xfrm>
                    <a:prstGeom prst="rect">
                      <a:avLst/>
                    </a:prstGeom>
                    <a:noFill/>
                    <a:ln w="9525">
                      <a:noFill/>
                      <a:headEnd/>
                      <a:tailEnd/>
                    </a:ln>
                  </pic:spPr>
                </pic:pic>
              </a:graphicData>
            </a:graphic>
          </wp:inline>
        </w:drawing>
      </w:r>
      <w:r/>
      <w:r/>
      <w:r>
        <w:rPr>
          <w:rFonts w:ascii="Times New Roman" w:hAnsi="Times New Roman"/>
          <w:sz w:val="24"/>
        </w:rPr>
        <w:tab/>
        <w:t>(11)</w:t>
      </w:r>
    </w:p>
    <w:p>
      <w:pPr>
        <w:pStyle w:val="Source"/>
      </w:pPr>
      <w:r>
        <w:t xml:space="preserve">Source: this study; program flags from Republic Acts No. 11223 and 11463 (2019)</w:t>
      </w:r>
    </w:p>
    <w:p>
      <w:pPr>
        <w:pStyle w:val="BodyText"/>
      </w:pPr>
      <w:r>
        <w:t xml:space="preserve">The ordering is a declared ranking of the expected out-of-pocket burden, not a price. Its inputs, namely ownership, PhilHealth accreditation, and the presence of a Malasakit Center, are all published (Appendix A), so any reader can check the class of any hospital.</w:t>
      </w:r>
    </w:p>
    <w:p>
      <w:pPr>
        <w:pStyle w:val="BodyText"/>
      </w:pPr>
      <w:r>
        <w:t xml:space="preserve">The service set starts from the default list of the hospital’s level, Σ(η</w:t>
      </w:r>
      <w:r>
        <w:rPr>
          <w:iCs/>
          <w:i/>
          <w:vertAlign w:val="subscript"/>
        </w:rPr>
        <w:t xml:space="preserve">h</w:t>
      </w:r>
      <w:r>
        <w:t xml:space="preserve">) in Table 8, and changes only where a published register entry for that facility says otherwise:</w:t>
      </w:r>
    </w:p>
    <w:p>
      <w:pPr>
        <w:pStyle w:val="Equation"/>
      </w:pPr>
      <w:r>
        <w:tab/>
      </w:r>
      <w:r>
        <w:drawing>
          <wp:inline>
            <wp:extent cx="1766620" cy="191109"/>
            <wp:effectExtent b="0" l="0" r="0" t="0"/>
            <wp:docPr descr="" title="" id="90" name="Picture"/>
            <a:graphic>
              <a:graphicData uri="http://schemas.openxmlformats.org/drawingml/2006/picture">
                <pic:pic>
                  <pic:nvPicPr>
                    <pic:cNvPr descr="eq/eq12.png" id="91" name="Picture"/>
                    <pic:cNvPicPr>
                      <a:picLocks noChangeArrowheads="1" noChangeAspect="1"/>
                    </pic:cNvPicPr>
                  </pic:nvPicPr>
                  <pic:blipFill>
                    <a:blip r:embed="rId89"/>
                    <a:stretch>
                      <a:fillRect/>
                    </a:stretch>
                  </pic:blipFill>
                  <pic:spPr bwMode="auto">
                    <a:xfrm>
                      <a:off x="0" y="0"/>
                      <a:ext cx="1766620" cy="191109"/>
                    </a:xfrm>
                    <a:prstGeom prst="rect">
                      <a:avLst/>
                    </a:prstGeom>
                    <a:noFill/>
                    <a:ln w="9525">
                      <a:noFill/>
                      <a:headEnd/>
                      <a:tailEnd/>
                    </a:ln>
                  </pic:spPr>
                </pic:pic>
              </a:graphicData>
            </a:graphic>
          </wp:inline>
        </w:drawing>
      </w:r>
      <w:r/>
      <w:r/>
      <w:r>
        <w:rPr>
          <w:rFonts w:ascii="Times New Roman" w:hAnsi="Times New Roman"/>
          <w:sz w:val="24"/>
        </w:rPr>
        <w:tab/>
        <w:t>(12)</w:t>
      </w:r>
    </w:p>
    <w:p>
      <w:pPr>
        <w:pStyle w:val="Source"/>
      </w:pPr>
      <w:r>
        <w:t xml:space="preserve">Source: formulated in this study; default lists from DOH (2012)</w:t>
      </w:r>
    </w:p>
    <w:p>
      <w:pPr>
        <w:pStyle w:val="BodyText"/>
      </w:pPr>
      <w:r>
        <w:t xml:space="preserve">where</w:t>
      </w:r>
      <w:r>
        <w:t xml:space="preserve"> </w:t>
      </w:r>
      <w:r>
        <w:rPr>
          <w:iCs/>
          <w:i/>
        </w:rPr>
        <w:t xml:space="preserve">X</w:t>
      </w:r>
      <w:r>
        <w:rPr>
          <w:vertAlign w:val="superscript"/>
        </w:rPr>
        <w:t xml:space="preserve">+</w:t>
      </w:r>
      <w:r>
        <w:rPr>
          <w:iCs/>
          <w:i/>
          <w:vertAlign w:val="subscript"/>
        </w:rPr>
        <w:t xml:space="preserve">h</w:t>
      </w:r>
      <w:r>
        <w:t xml:space="preserve"> </w:t>
      </w:r>
      <w:r>
        <w:t xml:space="preserve">holds services the register lists beyond the level default (for example, a separately licensed dialysis unit in a Level 2 hospital) and</w:t>
      </w:r>
      <w:r>
        <w:t xml:space="preserve"> </w:t>
      </w:r>
      <w:r>
        <w:rPr>
          <w:iCs/>
          <w:i/>
        </w:rPr>
        <w:t xml:space="preserve">X</w:t>
      </w:r>
      <w:r>
        <w:rPr>
          <w:vertAlign w:val="superscript"/>
        </w:rPr>
        <w:t xml:space="preserve">−</w:t>
      </w:r>
      <w:r>
        <w:rPr>
          <w:iCs/>
          <w:i/>
          <w:vertAlign w:val="subscript"/>
        </w:rPr>
        <w:t xml:space="preserve">h</w:t>
      </w:r>
      <w:r>
        <w:t xml:space="preserve"> </w:t>
      </w:r>
      <w:r>
        <w:t xml:space="preserve">holds default services that the register marks as unavailable. With no such entry, Σ</w:t>
      </w:r>
      <w:r>
        <w:rPr>
          <w:iCs/>
          <w:i/>
          <w:vertAlign w:val="subscript"/>
        </w:rPr>
        <w:t xml:space="preserve">h</w:t>
      </w:r>
      <w:r>
        <w:t xml:space="preserve"> </w:t>
      </w:r>
      <w:r>
        <w:t xml:space="preserve">= Σ(η</w:t>
      </w:r>
      <w:r>
        <w:rPr>
          <w:iCs/>
          <w:i/>
          <w:vertAlign w:val="subscript"/>
        </w:rPr>
        <w:t xml:space="preserve">h</w:t>
      </w:r>
      <w:r>
        <w:t xml:space="preserve">).</w:t>
      </w:r>
    </w:p>
    <w:p>
      <w:pPr>
        <w:pStyle w:val="TableCaption"/>
      </w:pPr>
      <w:r>
        <w:rPr>
          <w:bCs/>
          <w:b/>
        </w:rPr>
        <w:t xml:space="preserve">Table 7.</w:t>
      </w:r>
      <w:r>
        <w:t xml:space="preserve"> </w:t>
      </w:r>
      <w:r>
        <w:t xml:space="preserve">Service capability levels in the model, following the hospital classification of the DOH (2012).</w:t>
      </w:r>
    </w:p>
    <w:tbl>
      <w:tblPr>
        <w:tblStyle w:val="Table"/>
        <w:tblW w:type="pct" w:w="5000"/>
        <w:jc w:val="center"/>
        <w:tblCaption w:val="Table 7. Service capability levels in the model, following the hospital classification of the DOH (201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597"/>
        <w:gridCol w:w="1643"/>
        <w:gridCol w:w="5678"/>
      </w:tblGrid>
      <w:tr>
        <w:trPr>
          <w:tblHeader w:val="true"/>
          <w:tblHeader/>
          <w:cantSplit/>
        </w:trPr>
        <w:tc>
          <w:tcPr/>
          <w:p>
            <w:pPr>
              <w:pStyle w:val="Compact"/>
              <w:jc w:val="center"/>
            </w:pPr>
            <w:r>
              <w:rPr>
                <w:b/>
              </w:rPr>
              <w:t xml:space="preserve">η</w:t>
            </w:r>
            <w:r>
              <w:rPr>
                <w:iCs/>
                <w:b/>
                <w:i/>
                <w:vertAlign w:val="subscript"/>
              </w:rPr>
              <w:t xml:space="preserve">h</w:t>
            </w:r>
          </w:p>
        </w:tc>
        <w:tc>
          <w:tcPr/>
          <w:p>
            <w:pPr>
              <w:pStyle w:val="Compact"/>
              <w:jc w:val="left"/>
            </w:pPr>
            <w:r>
              <w:rPr>
                <w:b/>
              </w:rPr>
              <w:t xml:space="preserve">Facility</w:t>
            </w:r>
          </w:p>
        </w:tc>
        <w:tc>
          <w:tcPr/>
          <w:p>
            <w:pPr>
              <w:pStyle w:val="Compact"/>
              <w:jc w:val="left"/>
            </w:pPr>
            <w:r>
              <w:rPr>
                <w:b/>
              </w:rPr>
              <w:t xml:space="preserve">Services Relevant to Routing</w:t>
            </w:r>
          </w:p>
        </w:tc>
      </w:tr>
      <w:tr>
        <w:trPr>
          <w:cantSplit/>
        </w:trPr>
        <w:tc>
          <w:tcPr/>
          <w:p>
            <w:pPr>
              <w:pStyle w:val="Compact"/>
              <w:jc w:val="center"/>
            </w:pPr>
            <w:r>
              <w:t xml:space="preserve">0</w:t>
            </w:r>
          </w:p>
        </w:tc>
        <w:tc>
          <w:tcPr/>
          <w:p>
            <w:pPr>
              <w:pStyle w:val="Compact"/>
              <w:jc w:val="left"/>
            </w:pPr>
            <w:r>
              <w:t xml:space="preserve">Infirmary</w:t>
            </w:r>
          </w:p>
        </w:tc>
        <w:tc>
          <w:tcPr/>
          <w:p>
            <w:pPr>
              <w:pStyle w:val="Compact"/>
              <w:jc w:val="left"/>
            </w:pPr>
            <w:r>
              <w:t xml:space="preserve">Treated below Level 1 and offered only to profiles whose minimum level is 0</w:t>
            </w:r>
          </w:p>
        </w:tc>
      </w:tr>
      <w:tr>
        <w:trPr>
          <w:cantSplit/>
        </w:trPr>
        <w:tc>
          <w:tcPr/>
          <w:p>
            <w:pPr>
              <w:pStyle w:val="Compact"/>
              <w:jc w:val="center"/>
            </w:pPr>
            <w:r>
              <w:t xml:space="preserve">1</w:t>
            </w:r>
          </w:p>
        </w:tc>
        <w:tc>
          <w:tcPr/>
          <w:p>
            <w:pPr>
              <w:pStyle w:val="Compact"/>
              <w:jc w:val="left"/>
            </w:pPr>
            <w:r>
              <w:t xml:space="preserve">Level 1 hospital</w:t>
            </w:r>
          </w:p>
        </w:tc>
        <w:tc>
          <w:tcPr/>
          <w:p>
            <w:pPr>
              <w:pStyle w:val="Compact"/>
              <w:jc w:val="left"/>
            </w:pPr>
            <w:r>
              <w:t xml:space="preserve">Level 1 imaging, pharmacy and blood station, secondary clinical laboratory, isolation and maternity facilities, and an operating room with recovery room</w:t>
            </w:r>
          </w:p>
        </w:tc>
      </w:tr>
      <w:tr>
        <w:trPr>
          <w:cantSplit/>
        </w:trPr>
        <w:tc>
          <w:tcPr/>
          <w:p>
            <w:pPr>
              <w:pStyle w:val="Compact"/>
              <w:jc w:val="center"/>
            </w:pPr>
            <w:r>
              <w:t xml:space="preserve">2</w:t>
            </w:r>
          </w:p>
        </w:tc>
        <w:tc>
          <w:tcPr/>
          <w:p>
            <w:pPr>
              <w:pStyle w:val="Compact"/>
              <w:jc w:val="left"/>
            </w:pPr>
            <w:r>
              <w:t xml:space="preserve">Level 2 hospital</w:t>
            </w:r>
          </w:p>
        </w:tc>
        <w:tc>
          <w:tcPr/>
          <w:p>
            <w:pPr>
              <w:pStyle w:val="Compact"/>
              <w:jc w:val="left"/>
            </w:pPr>
            <w:r>
              <w:t xml:space="preserve">What Level 1 offers, plus a general ICU, a neonatal ICU, care for high-risk pregnancy, a tertiary clinical laboratory, and Level 2 imaging</w:t>
            </w:r>
          </w:p>
        </w:tc>
      </w:tr>
      <w:tr>
        <w:trPr>
          <w:cantSplit/>
        </w:trPr>
        <w:tc>
          <w:tcPr/>
          <w:p>
            <w:pPr>
              <w:pStyle w:val="Compact"/>
              <w:jc w:val="center"/>
            </w:pPr>
            <w:r>
              <w:t xml:space="preserve">3</w:t>
            </w:r>
          </w:p>
        </w:tc>
        <w:tc>
          <w:tcPr/>
          <w:p>
            <w:pPr>
              <w:pStyle w:val="Compact"/>
              <w:jc w:val="left"/>
            </w:pPr>
            <w:r>
              <w:t xml:space="preserve">Level 3 hospital</w:t>
            </w:r>
          </w:p>
        </w:tc>
        <w:tc>
          <w:tcPr/>
          <w:p>
            <w:pPr>
              <w:pStyle w:val="Compact"/>
              <w:jc w:val="left"/>
            </w:pPr>
            <w:r>
              <w:t xml:space="preserve">What Level 2 offers, plus dialysis, a blood bank, physical medicine and rehabilitation, accredited residency training, and Level 3 imaging, including interventional radiology</w:t>
            </w:r>
          </w:p>
        </w:tc>
      </w:tr>
    </w:tbl>
    <w:p>
      <w:pPr>
        <w:spacing w:before="200"/>
      </w:pPr>
    </w:p>
    <w:p>
      <w:pPr>
        <w:pStyle w:val="TableCaption"/>
      </w:pPr>
      <w:r>
        <w:rPr>
          <w:bCs/>
          <w:b/>
        </w:rPr>
        <w:t xml:space="preserve">Table 8.</w:t>
      </w:r>
      <w:r>
        <w:t xml:space="preserve"> </w:t>
      </w:r>
      <w:r>
        <w:t xml:space="preserve">The services a patient can require in the model, the lowest level that offers each by default, and examples of patients who need them. A need is entered from a plain description or from a referral slip; the application does not diagnose.</w:t>
      </w:r>
    </w:p>
    <w:tbl>
      <w:tblPr>
        <w:tblStyle w:val="Table"/>
        <w:tblW w:type="pct" w:w="5000"/>
        <w:jc w:val="center"/>
        <w:tblCaption w:val="Table 8. The services a patient can require in the model, the lowest level that offers each by default, and examples of patients who need them. A need is entered from a plain description or from a referral slip; the application does not diagnose."/>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766"/>
        <w:gridCol w:w="2171"/>
        <w:gridCol w:w="1021"/>
        <w:gridCol w:w="3960"/>
      </w:tblGrid>
      <w:tr>
        <w:trPr>
          <w:tblHeader w:val="true"/>
          <w:tblHeader/>
          <w:cantSplit/>
        </w:trPr>
        <w:tc>
          <w:tcPr/>
          <w:p>
            <w:pPr>
              <w:pStyle w:val="Compact"/>
              <w:jc w:val="left"/>
            </w:pPr>
            <w:r>
              <w:rPr>
                <w:b/>
              </w:rPr>
              <w:t xml:space="preserve">Code</w:t>
            </w:r>
          </w:p>
        </w:tc>
        <w:tc>
          <w:tcPr/>
          <w:p>
            <w:pPr>
              <w:pStyle w:val="Compact"/>
              <w:jc w:val="left"/>
            </w:pPr>
            <w:r>
              <w:rPr>
                <w:b/>
              </w:rPr>
              <w:t xml:space="preserve">Service</w:t>
            </w:r>
          </w:p>
        </w:tc>
        <w:tc>
          <w:tcPr/>
          <w:p>
            <w:pPr>
              <w:pStyle w:val="Compact"/>
              <w:jc w:val="center"/>
            </w:pPr>
            <w:r>
              <w:rPr>
                <w:b/>
              </w:rPr>
              <w:t xml:space="preserve">Default From</w:t>
            </w:r>
          </w:p>
        </w:tc>
        <w:tc>
          <w:tcPr/>
          <w:p>
            <w:pPr>
              <w:pStyle w:val="Compact"/>
              <w:jc w:val="left"/>
            </w:pPr>
            <w:r>
              <w:rPr>
                <w:b/>
              </w:rPr>
              <w:t xml:space="preserve">Example of a Patient Who Needs It</w:t>
            </w:r>
          </w:p>
        </w:tc>
      </w:tr>
      <w:tr>
        <w:trPr>
          <w:cantSplit/>
        </w:trPr>
        <w:tc>
          <w:tcPr/>
          <w:p>
            <w:pPr>
              <w:pStyle w:val="Compact"/>
              <w:jc w:val="left"/>
            </w:pPr>
            <w:r>
              <w:t xml:space="preserve">ISO</w:t>
            </w:r>
          </w:p>
        </w:tc>
        <w:tc>
          <w:tcPr/>
          <w:p>
            <w:pPr>
              <w:pStyle w:val="Compact"/>
              <w:jc w:val="left"/>
            </w:pPr>
            <w:r>
              <w:t xml:space="preserve">Isolation facilities</w:t>
            </w:r>
          </w:p>
        </w:tc>
        <w:tc>
          <w:tcPr/>
          <w:p>
            <w:pPr>
              <w:pStyle w:val="Compact"/>
              <w:jc w:val="center"/>
            </w:pPr>
            <w:r>
              <w:t xml:space="preserve">Level 1</w:t>
            </w:r>
          </w:p>
        </w:tc>
        <w:tc>
          <w:tcPr/>
          <w:p>
            <w:pPr>
              <w:pStyle w:val="Compact"/>
              <w:jc w:val="left"/>
            </w:pPr>
            <w:r>
              <w:t xml:space="preserve">A patient with a contagious illness who must be kept apart from others</w:t>
            </w:r>
          </w:p>
        </w:tc>
      </w:tr>
      <w:tr>
        <w:trPr>
          <w:cantSplit/>
        </w:trPr>
        <w:tc>
          <w:tcPr/>
          <w:p>
            <w:pPr>
              <w:pStyle w:val="Compact"/>
              <w:jc w:val="left"/>
            </w:pPr>
            <w:r>
              <w:t xml:space="preserve">MAT</w:t>
            </w:r>
          </w:p>
        </w:tc>
        <w:tc>
          <w:tcPr/>
          <w:p>
            <w:pPr>
              <w:pStyle w:val="Compact"/>
              <w:jc w:val="left"/>
            </w:pPr>
            <w:r>
              <w:t xml:space="preserve">Maternity care (normal delivery)</w:t>
            </w:r>
          </w:p>
        </w:tc>
        <w:tc>
          <w:tcPr/>
          <w:p>
            <w:pPr>
              <w:pStyle w:val="Compact"/>
              <w:jc w:val="center"/>
            </w:pPr>
            <w:r>
              <w:t xml:space="preserve">Level 1</w:t>
            </w:r>
          </w:p>
        </w:tc>
        <w:tc>
          <w:tcPr/>
          <w:p>
            <w:pPr>
              <w:pStyle w:val="Compact"/>
              <w:jc w:val="left"/>
            </w:pPr>
            <w:r>
              <w:t xml:space="preserve">A woman in uncomplicated labor</w:t>
            </w:r>
          </w:p>
        </w:tc>
      </w:tr>
      <w:tr>
        <w:trPr>
          <w:cantSplit/>
        </w:trPr>
        <w:tc>
          <w:tcPr/>
          <w:p>
            <w:pPr>
              <w:pStyle w:val="Compact"/>
              <w:jc w:val="left"/>
            </w:pPr>
            <w:r>
              <w:t xml:space="preserve">OR</w:t>
            </w:r>
          </w:p>
        </w:tc>
        <w:tc>
          <w:tcPr/>
          <w:p>
            <w:pPr>
              <w:pStyle w:val="Compact"/>
              <w:jc w:val="left"/>
            </w:pPr>
            <w:r>
              <w:t xml:space="preserve">Operating room with recovery room</w:t>
            </w:r>
          </w:p>
        </w:tc>
        <w:tc>
          <w:tcPr/>
          <w:p>
            <w:pPr>
              <w:pStyle w:val="Compact"/>
              <w:jc w:val="center"/>
            </w:pPr>
            <w:r>
              <w:t xml:space="preserve">Level 1</w:t>
            </w:r>
          </w:p>
        </w:tc>
        <w:tc>
          <w:tcPr/>
          <w:p>
            <w:pPr>
              <w:pStyle w:val="Compact"/>
              <w:jc w:val="left"/>
            </w:pPr>
            <w:r>
              <w:t xml:space="preserve">A patient whose condition needs an operation</w:t>
            </w:r>
          </w:p>
        </w:tc>
      </w:tr>
      <w:tr>
        <w:trPr>
          <w:cantSplit/>
        </w:trPr>
        <w:tc>
          <w:tcPr/>
          <w:p>
            <w:pPr>
              <w:pStyle w:val="Compact"/>
              <w:jc w:val="left"/>
            </w:pPr>
            <w:r>
              <w:t xml:space="preserve">ICU</w:t>
            </w:r>
          </w:p>
        </w:tc>
        <w:tc>
          <w:tcPr/>
          <w:p>
            <w:pPr>
              <w:pStyle w:val="Compact"/>
              <w:jc w:val="left"/>
            </w:pPr>
            <w:r>
              <w:t xml:space="preserve">General intensive care unit</w:t>
            </w:r>
          </w:p>
        </w:tc>
        <w:tc>
          <w:tcPr/>
          <w:p>
            <w:pPr>
              <w:pStyle w:val="Compact"/>
              <w:jc w:val="center"/>
            </w:pPr>
            <w:r>
              <w:t xml:space="preserve">Level 2</w:t>
            </w:r>
          </w:p>
        </w:tc>
        <w:tc>
          <w:tcPr/>
          <w:p>
            <w:pPr>
              <w:pStyle w:val="Compact"/>
              <w:jc w:val="left"/>
            </w:pPr>
            <w:r>
              <w:t xml:space="preserve">A patient who needs close monitoring or life support</w:t>
            </w:r>
          </w:p>
        </w:tc>
      </w:tr>
      <w:tr>
        <w:trPr>
          <w:cantSplit/>
        </w:trPr>
        <w:tc>
          <w:tcPr/>
          <w:p>
            <w:pPr>
              <w:pStyle w:val="Compact"/>
              <w:jc w:val="left"/>
            </w:pPr>
            <w:r>
              <w:t xml:space="preserve">NICU</w:t>
            </w:r>
          </w:p>
        </w:tc>
        <w:tc>
          <w:tcPr/>
          <w:p>
            <w:pPr>
              <w:pStyle w:val="Compact"/>
              <w:jc w:val="left"/>
            </w:pPr>
            <w:r>
              <w:t xml:space="preserve">Neonatal intensive care unit</w:t>
            </w:r>
          </w:p>
        </w:tc>
        <w:tc>
          <w:tcPr/>
          <w:p>
            <w:pPr>
              <w:pStyle w:val="Compact"/>
              <w:jc w:val="center"/>
            </w:pPr>
            <w:r>
              <w:t xml:space="preserve">Level 2</w:t>
            </w:r>
          </w:p>
        </w:tc>
        <w:tc>
          <w:tcPr/>
          <w:p>
            <w:pPr>
              <w:pStyle w:val="Compact"/>
              <w:jc w:val="left"/>
            </w:pPr>
            <w:r>
              <w:t xml:space="preserve">A premature or sick newborn</w:t>
            </w:r>
          </w:p>
        </w:tc>
      </w:tr>
      <w:tr>
        <w:trPr>
          <w:cantSplit/>
        </w:trPr>
        <w:tc>
          <w:tcPr/>
          <w:p>
            <w:pPr>
              <w:pStyle w:val="Compact"/>
              <w:jc w:val="left"/>
            </w:pPr>
            <w:r>
              <w:t xml:space="preserve">HRP</w:t>
            </w:r>
          </w:p>
        </w:tc>
        <w:tc>
          <w:tcPr/>
          <w:p>
            <w:pPr>
              <w:pStyle w:val="Compact"/>
              <w:jc w:val="left"/>
            </w:pPr>
            <w:r>
              <w:t xml:space="preserve">Care for high-risk pregnancy</w:t>
            </w:r>
          </w:p>
        </w:tc>
        <w:tc>
          <w:tcPr/>
          <w:p>
            <w:pPr>
              <w:pStyle w:val="Compact"/>
              <w:jc w:val="center"/>
            </w:pPr>
            <w:r>
              <w:t xml:space="preserve">Level 2</w:t>
            </w:r>
          </w:p>
        </w:tc>
        <w:tc>
          <w:tcPr/>
          <w:p>
            <w:pPr>
              <w:pStyle w:val="Compact"/>
              <w:jc w:val="left"/>
            </w:pPr>
            <w:r>
              <w:t xml:space="preserve">A pregnancy with complications such as bleeding or very high blood pressure</w:t>
            </w:r>
          </w:p>
        </w:tc>
      </w:tr>
      <w:tr>
        <w:trPr>
          <w:cantSplit/>
        </w:trPr>
        <w:tc>
          <w:tcPr/>
          <w:p>
            <w:pPr>
              <w:pStyle w:val="Compact"/>
              <w:jc w:val="left"/>
            </w:pPr>
            <w:r>
              <w:t xml:space="preserve">DIA</w:t>
            </w:r>
          </w:p>
        </w:tc>
        <w:tc>
          <w:tcPr/>
          <w:p>
            <w:pPr>
              <w:pStyle w:val="Compact"/>
              <w:jc w:val="left"/>
            </w:pPr>
            <w:r>
              <w:t xml:space="preserve">Dialysis</w:t>
            </w:r>
          </w:p>
        </w:tc>
        <w:tc>
          <w:tcPr/>
          <w:p>
            <w:pPr>
              <w:pStyle w:val="Compact"/>
              <w:jc w:val="center"/>
            </w:pPr>
            <w:r>
              <w:t xml:space="preserve">Level 3</w:t>
            </w:r>
          </w:p>
        </w:tc>
        <w:tc>
          <w:tcPr/>
          <w:p>
            <w:pPr>
              <w:pStyle w:val="Compact"/>
              <w:jc w:val="left"/>
            </w:pPr>
            <w:r>
              <w:t xml:space="preserve">A patient with kidney failure</w:t>
            </w:r>
          </w:p>
        </w:tc>
      </w:tr>
      <w:tr>
        <w:trPr>
          <w:cantSplit/>
        </w:trPr>
        <w:tc>
          <w:tcPr/>
          <w:p>
            <w:pPr>
              <w:pStyle w:val="Compact"/>
              <w:jc w:val="left"/>
            </w:pPr>
            <w:r>
              <w:t xml:space="preserve">BB</w:t>
            </w:r>
          </w:p>
        </w:tc>
        <w:tc>
          <w:tcPr/>
          <w:p>
            <w:pPr>
              <w:pStyle w:val="Compact"/>
              <w:jc w:val="left"/>
            </w:pPr>
            <w:r>
              <w:t xml:space="preserve">Blood bank</w:t>
            </w:r>
          </w:p>
        </w:tc>
        <w:tc>
          <w:tcPr/>
          <w:p>
            <w:pPr>
              <w:pStyle w:val="Compact"/>
              <w:jc w:val="center"/>
            </w:pPr>
            <w:r>
              <w:t xml:space="preserve">Level 3</w:t>
            </w:r>
          </w:p>
        </w:tc>
        <w:tc>
          <w:tcPr/>
          <w:p>
            <w:pPr>
              <w:pStyle w:val="Compact"/>
              <w:jc w:val="left"/>
            </w:pPr>
            <w:r>
              <w:t xml:space="preserve">A patient who has lost a large amount of blood</w:t>
            </w:r>
          </w:p>
        </w:tc>
      </w:tr>
    </w:tbl>
    <w:p>
      <w:pPr>
        <w:spacing w:before="200"/>
      </w:pPr>
    </w:p>
    <w:p>
      <w:pPr>
        <w:pStyle w:val="TableCaption"/>
      </w:pPr>
      <w:r>
        <w:rPr>
          <w:bCs/>
          <w:b/>
        </w:rPr>
        <w:t xml:space="preserve">Table 9.</w:t>
      </w:r>
      <w:r>
        <w:t xml:space="preserve"> </w:t>
      </w:r>
      <w:r>
        <w:t xml:space="preserve">Cost classes (Equation 11) and the payment classes from which users choose. Payment class ρ admits every hospital with</w:t>
      </w:r>
      <w:r>
        <w:t xml:space="preserve"> </w:t>
      </w:r>
      <w:r>
        <w:rPr>
          <w:iCs/>
          <w:i/>
        </w:rPr>
        <w:t xml:space="preserve">q</w:t>
      </w:r>
      <w:r>
        <w:rPr>
          <w:iCs/>
          <w:i/>
          <w:vertAlign w:val="subscript"/>
        </w:rPr>
        <w:t xml:space="preserve">h</w:t>
      </w:r>
      <w:r>
        <w:t xml:space="preserve"> </w:t>
      </w:r>
      <w:r>
        <w:t xml:space="preserve">≤ ρ.</w:t>
      </w:r>
    </w:p>
    <w:tbl>
      <w:tblPr>
        <w:tblStyle w:val="Table"/>
        <w:tblW w:type="pct" w:w="5000"/>
        <w:jc w:val="center"/>
        <w:tblCaption w:val="Table 9. Cost classes (Equation 11) and the payment classes from which users choose. Payment class ρ admits every hospital with qh ≤ ρ."/>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586"/>
        <w:gridCol w:w="2933"/>
        <w:gridCol w:w="2933"/>
        <w:gridCol w:w="1466"/>
      </w:tblGrid>
      <w:tr>
        <w:trPr>
          <w:tblHeader w:val="true"/>
          <w:tblHeader/>
          <w:cantSplit/>
        </w:trPr>
        <w:tc>
          <w:tcPr/>
          <w:p>
            <w:pPr>
              <w:pStyle w:val="Compact"/>
              <w:jc w:val="center"/>
            </w:pPr>
            <w:r>
              <w:rPr>
                <w:b/>
              </w:rPr>
              <w:t xml:space="preserve">Class</w:t>
            </w:r>
          </w:p>
        </w:tc>
        <w:tc>
          <w:tcPr/>
          <w:p>
            <w:pPr>
              <w:pStyle w:val="Compact"/>
              <w:jc w:val="left"/>
            </w:pPr>
            <w:r>
              <w:rPr>
                <w:b/>
              </w:rPr>
              <w:t xml:space="preserve">Hospital in Cost Class</w:t>
            </w:r>
            <w:r>
              <w:rPr>
                <w:b/>
              </w:rPr>
              <w:t xml:space="preserve"> </w:t>
            </w:r>
            <w:r>
              <w:rPr>
                <w:iCs/>
                <w:b/>
                <w:i/>
              </w:rPr>
              <w:t xml:space="preserve">q</w:t>
            </w:r>
            <w:r>
              <w:rPr>
                <w:iCs/>
                <w:b/>
                <w:i/>
                <w:vertAlign w:val="subscript"/>
              </w:rPr>
              <w:t xml:space="preserve">h</w:t>
            </w:r>
          </w:p>
        </w:tc>
        <w:tc>
          <w:tcPr/>
          <w:p>
            <w:pPr>
              <w:pStyle w:val="Compact"/>
              <w:jc w:val="left"/>
            </w:pPr>
            <w:r>
              <w:rPr>
                <w:b/>
              </w:rPr>
              <w:t xml:space="preserve">Patient’s Choice in Payment Class ρ</w:t>
            </w:r>
          </w:p>
        </w:tc>
        <w:tc>
          <w:tcPr/>
          <w:p>
            <w:pPr>
              <w:pStyle w:val="Compact"/>
              <w:jc w:val="center"/>
            </w:pPr>
            <w:r>
              <w:rPr>
                <w:b/>
              </w:rPr>
              <w:t xml:space="preserve">Hospitals Accepted</w:t>
            </w:r>
          </w:p>
        </w:tc>
      </w:tr>
      <w:tr>
        <w:trPr>
          <w:cantSplit/>
        </w:trPr>
        <w:tc>
          <w:tcPr/>
          <w:p>
            <w:pPr>
              <w:pStyle w:val="Compact"/>
              <w:jc w:val="center"/>
            </w:pPr>
            <w:r>
              <w:t xml:space="preserve">0</w:t>
            </w:r>
          </w:p>
        </w:tc>
        <w:tc>
          <w:tcPr/>
          <w:p>
            <w:pPr>
              <w:pStyle w:val="Compact"/>
              <w:jc w:val="left"/>
            </w:pPr>
            <w:r>
              <w:t xml:space="preserve">Public hospital that hosts a Malasakit Center</w:t>
            </w:r>
          </w:p>
        </w:tc>
        <w:tc>
          <w:tcPr/>
          <w:p>
            <w:pPr>
              <w:pStyle w:val="Compact"/>
              <w:jc w:val="left"/>
            </w:pPr>
            <w:r>
              <w:t xml:space="preserve">“</w:t>
            </w:r>
            <w:r>
              <w:t xml:space="preserve">Free or assisted care only</w:t>
            </w:r>
            <w:r>
              <w:t xml:space="preserve">”</w:t>
            </w:r>
          </w:p>
        </w:tc>
        <w:tc>
          <w:tcPr/>
          <w:p>
            <w:pPr>
              <w:pStyle w:val="Compact"/>
              <w:jc w:val="center"/>
            </w:pPr>
            <w:r>
              <w:rPr>
                <w:iCs/>
                <w:i/>
              </w:rPr>
              <w:t xml:space="preserve">q</w:t>
            </w:r>
            <w:r>
              <w:rPr>
                <w:iCs/>
                <w:i/>
                <w:vertAlign w:val="subscript"/>
              </w:rPr>
              <w:t xml:space="preserve">h</w:t>
            </w:r>
            <w:r>
              <w:t xml:space="preserve"> </w:t>
            </w:r>
            <w:r>
              <w:t xml:space="preserve">= 0</w:t>
            </w:r>
          </w:p>
        </w:tc>
      </w:tr>
      <w:tr>
        <w:trPr>
          <w:cantSplit/>
        </w:trPr>
        <w:tc>
          <w:tcPr/>
          <w:p>
            <w:pPr>
              <w:pStyle w:val="Compact"/>
              <w:jc w:val="center"/>
            </w:pPr>
            <w:r>
              <w:t xml:space="preserve">1</w:t>
            </w:r>
          </w:p>
        </w:tc>
        <w:tc>
          <w:tcPr/>
          <w:p>
            <w:pPr>
              <w:pStyle w:val="Compact"/>
              <w:jc w:val="left"/>
            </w:pPr>
            <w:r>
              <w:t xml:space="preserve">Public hospital with no Malasakit Center</w:t>
            </w:r>
          </w:p>
        </w:tc>
        <w:tc>
          <w:tcPr/>
          <w:p>
            <w:pPr>
              <w:pStyle w:val="Compact"/>
              <w:jc w:val="left"/>
            </w:pPr>
            <w:r>
              <w:t xml:space="preserve">“</w:t>
            </w:r>
            <w:r>
              <w:t xml:space="preserve">Public hospitals</w:t>
            </w:r>
            <w:r>
              <w:t xml:space="preserve">”</w:t>
            </w:r>
          </w:p>
        </w:tc>
        <w:tc>
          <w:tcPr/>
          <w:p>
            <w:pPr>
              <w:pStyle w:val="Compact"/>
              <w:jc w:val="center"/>
            </w:pPr>
            <w:r>
              <w:rPr>
                <w:iCs/>
                <w:i/>
              </w:rPr>
              <w:t xml:space="preserve">q</w:t>
            </w:r>
            <w:r>
              <w:rPr>
                <w:iCs/>
                <w:i/>
                <w:vertAlign w:val="subscript"/>
              </w:rPr>
              <w:t xml:space="preserve">h</w:t>
            </w:r>
            <w:r>
              <w:t xml:space="preserve"> </w:t>
            </w:r>
            <w:r>
              <w:t xml:space="preserve">≤ 1</w:t>
            </w:r>
          </w:p>
        </w:tc>
      </w:tr>
      <w:tr>
        <w:trPr>
          <w:cantSplit/>
        </w:trPr>
        <w:tc>
          <w:tcPr/>
          <w:p>
            <w:pPr>
              <w:pStyle w:val="Compact"/>
              <w:jc w:val="center"/>
            </w:pPr>
            <w:r>
              <w:t xml:space="preserve">2</w:t>
            </w:r>
          </w:p>
        </w:tc>
        <w:tc>
          <w:tcPr/>
          <w:p>
            <w:pPr>
              <w:pStyle w:val="Compact"/>
              <w:jc w:val="left"/>
            </w:pPr>
            <w:r>
              <w:t xml:space="preserve">Private, PhilHealth-accredited hospital</w:t>
            </w:r>
          </w:p>
        </w:tc>
        <w:tc>
          <w:tcPr/>
          <w:p>
            <w:pPr>
              <w:pStyle w:val="Compact"/>
              <w:jc w:val="left"/>
            </w:pPr>
            <w:r>
              <w:t xml:space="preserve">“</w:t>
            </w:r>
            <w:r>
              <w:t xml:space="preserve">Private hospitals that accept PhilHealth</w:t>
            </w:r>
            <w:r>
              <w:t xml:space="preserve">”</w:t>
            </w:r>
          </w:p>
        </w:tc>
        <w:tc>
          <w:tcPr/>
          <w:p>
            <w:pPr>
              <w:pStyle w:val="Compact"/>
              <w:jc w:val="center"/>
            </w:pPr>
            <w:r>
              <w:rPr>
                <w:iCs/>
                <w:i/>
              </w:rPr>
              <w:t xml:space="preserve">q</w:t>
            </w:r>
            <w:r>
              <w:rPr>
                <w:iCs/>
                <w:i/>
                <w:vertAlign w:val="subscript"/>
              </w:rPr>
              <w:t xml:space="preserve">h</w:t>
            </w:r>
            <w:r>
              <w:t xml:space="preserve"> </w:t>
            </w:r>
            <w:r>
              <w:t xml:space="preserve">≤ 2</w:t>
            </w:r>
          </w:p>
        </w:tc>
      </w:tr>
      <w:tr>
        <w:trPr>
          <w:cantSplit/>
        </w:trPr>
        <w:tc>
          <w:tcPr/>
          <w:p>
            <w:pPr>
              <w:pStyle w:val="Compact"/>
              <w:jc w:val="center"/>
            </w:pPr>
            <w:r>
              <w:t xml:space="preserve">3</w:t>
            </w:r>
          </w:p>
        </w:tc>
        <w:tc>
          <w:tcPr/>
          <w:p>
            <w:pPr>
              <w:pStyle w:val="Compact"/>
              <w:jc w:val="left"/>
            </w:pPr>
            <w:r>
              <w:t xml:space="preserve">Private hospital lacking accreditation</w:t>
            </w:r>
          </w:p>
        </w:tc>
        <w:tc>
          <w:tcPr/>
          <w:p>
            <w:pPr>
              <w:pStyle w:val="Compact"/>
              <w:jc w:val="left"/>
            </w:pPr>
            <w:r>
              <w:t xml:space="preserve">“</w:t>
            </w:r>
            <w:r>
              <w:t xml:space="preserve">Any hospital</w:t>
            </w:r>
            <w:r>
              <w:t xml:space="preserve">”</w:t>
            </w:r>
          </w:p>
        </w:tc>
        <w:tc>
          <w:tcPr/>
          <w:p>
            <w:pPr>
              <w:pStyle w:val="Compact"/>
              <w:jc w:val="center"/>
            </w:pPr>
            <w:r>
              <w:rPr>
                <w:iCs/>
                <w:i/>
              </w:rPr>
              <w:t xml:space="preserve">q</w:t>
            </w:r>
            <w:r>
              <w:rPr>
                <w:iCs/>
                <w:i/>
                <w:vertAlign w:val="subscript"/>
              </w:rPr>
              <w:t xml:space="preserve">h</w:t>
            </w:r>
            <w:r>
              <w:t xml:space="preserve"> </w:t>
            </w:r>
            <w:r>
              <w:t xml:space="preserve">≤ 3</w:t>
            </w:r>
          </w:p>
        </w:tc>
      </w:tr>
    </w:tbl>
    <w:bookmarkEnd w:id="92"/>
    <w:bookmarkStart w:id="105" w:name="agent-network-for-live-bed-availability"/>
    <w:p>
      <w:pPr>
        <w:pStyle w:val="Heading2"/>
      </w:pPr>
      <w:r>
        <w:t xml:space="preserve">2.8 Agent Network for Live Bed Availability</w:t>
      </w:r>
    </w:p>
    <w:p>
      <w:pPr>
        <w:pStyle w:val="FirstParagraph"/>
      </w:pPr>
      <w:r>
        <w:t xml:space="preserve">The registers of Appendix A record authorized beds, not free ones. To learn the free count, the researchers built six kinds of software agents that write to the hospitals and ask (Table 10, Figure 2).</w:t>
      </w:r>
    </w:p>
    <w:p>
      <w:pPr>
        <w:pStyle w:val="TableCaption"/>
      </w:pPr>
      <w:r>
        <w:rPr>
          <w:bCs/>
          <w:b/>
        </w:rPr>
        <w:t xml:space="preserve">Table 10.</w:t>
      </w:r>
      <w:r>
        <w:t xml:space="preserve"> </w:t>
      </w:r>
      <w:r>
        <w:t xml:space="preserve">Who does what in the bed-availability network.</w:t>
      </w:r>
    </w:p>
    <w:tbl>
      <w:tblPr>
        <w:tblStyle w:val="Table"/>
        <w:tblW w:type="pct" w:w="5000"/>
        <w:jc w:val="center"/>
        <w:tblCaption w:val="Table 10. Who does what in the bed-availability network."/>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638"/>
        <w:gridCol w:w="6281"/>
      </w:tblGrid>
      <w:tr>
        <w:trPr>
          <w:tblHeader w:val="true"/>
          <w:tblHeader/>
          <w:cantSplit/>
        </w:trPr>
        <w:tc>
          <w:tcPr/>
          <w:p>
            <w:pPr>
              <w:pStyle w:val="Compact"/>
              <w:jc w:val="left"/>
            </w:pPr>
            <w:r>
              <w:rPr>
                <w:b/>
              </w:rPr>
              <w:t xml:space="preserve">Agent</w:t>
            </w:r>
          </w:p>
        </w:tc>
        <w:tc>
          <w:tcPr/>
          <w:p>
            <w:pPr>
              <w:pStyle w:val="Compact"/>
              <w:jc w:val="left"/>
            </w:pPr>
            <w:r>
              <w:rPr>
                <w:b/>
              </w:rPr>
              <w:t xml:space="preserve">Task</w:t>
            </w:r>
          </w:p>
        </w:tc>
      </w:tr>
      <w:tr>
        <w:trPr>
          <w:cantSplit/>
        </w:trPr>
        <w:tc>
          <w:tcPr/>
          <w:p>
            <w:pPr>
              <w:pStyle w:val="Compact"/>
              <w:jc w:val="left"/>
            </w:pPr>
            <w:r>
              <w:t xml:space="preserve">Registry</w:t>
            </w:r>
          </w:p>
        </w:tc>
        <w:tc>
          <w:tcPr/>
          <w:p>
            <w:pPr>
              <w:pStyle w:val="Compact"/>
              <w:jc w:val="left"/>
            </w:pPr>
            <w:r>
              <w:t xml:space="preserve">Holds the hospital records of Definition 13, the opt-out list, and the bed-status table. No other agent may write to the database.</w:t>
            </w:r>
          </w:p>
        </w:tc>
      </w:tr>
      <w:tr>
        <w:trPr>
          <w:cantSplit/>
        </w:trPr>
        <w:tc>
          <w:tcPr/>
          <w:p>
            <w:pPr>
              <w:pStyle w:val="Compact"/>
              <w:jc w:val="left"/>
            </w:pPr>
            <w:r>
              <w:t xml:space="preserve">Coordinator</w:t>
            </w:r>
          </w:p>
        </w:tc>
        <w:tc>
          <w:tcPr/>
          <w:p>
            <w:pPr>
              <w:pStyle w:val="Compact"/>
              <w:jc w:val="left"/>
            </w:pPr>
            <w:r>
              <w:t xml:space="preserve">Opens every inquiry cycle on the schedule of Definition 14, enforces the opt-out list and the message limits, hands inquiries to the inquiry agents, and decides whether a reminder is due.</w:t>
            </w:r>
          </w:p>
        </w:tc>
      </w:tr>
      <w:tr>
        <w:trPr>
          <w:cantSplit/>
        </w:trPr>
        <w:tc>
          <w:tcPr/>
          <w:p>
            <w:pPr>
              <w:pStyle w:val="Compact"/>
              <w:jc w:val="left"/>
            </w:pPr>
            <w:r>
              <w:t xml:space="preserve">Inquiry (one per legislative district)</w:t>
            </w:r>
          </w:p>
        </w:tc>
        <w:tc>
          <w:tcPr/>
          <w:p>
            <w:pPr>
              <w:pStyle w:val="Compact"/>
              <w:jc w:val="left"/>
            </w:pPr>
            <w:r>
              <w:t xml:space="preserve">Prepares the inquiry of Appendix F, attaches a one-time reference token, and sends it by SMTP to the hospital’s contact address.</w:t>
            </w:r>
          </w:p>
        </w:tc>
      </w:tr>
      <w:tr>
        <w:trPr>
          <w:cantSplit/>
        </w:trPr>
        <w:tc>
          <w:tcPr/>
          <w:p>
            <w:pPr>
              <w:pStyle w:val="Compact"/>
              <w:jc w:val="left"/>
            </w:pPr>
            <w:r>
              <w:t xml:space="preserve">Reader</w:t>
            </w:r>
          </w:p>
        </w:tc>
        <w:tc>
          <w:tcPr/>
          <w:p>
            <w:pPr>
              <w:pStyle w:val="Compact"/>
              <w:jc w:val="left"/>
            </w:pPr>
            <w:r>
              <w:t xml:space="preserve">Polls the project mailbox over IMAP every 10 minutes and once more just before any send. It picks out opt-outs, pairs each reply with its token and sender, and extracts the numbers by fixed rules. It never guesses: anything it cannot read with certainty goes to the human review queue.</w:t>
            </w:r>
          </w:p>
        </w:tc>
      </w:tr>
      <w:tr>
        <w:trPr>
          <w:cantSplit/>
        </w:trPr>
        <w:tc>
          <w:tcPr/>
          <w:p>
            <w:pPr>
              <w:pStyle w:val="Compact"/>
              <w:jc w:val="left"/>
            </w:pPr>
            <w:r>
              <w:t xml:space="preserve">Validator</w:t>
            </w:r>
          </w:p>
        </w:tc>
        <w:tc>
          <w:tcPr/>
          <w:p>
            <w:pPr>
              <w:pStyle w:val="Compact"/>
              <w:jc w:val="left"/>
            </w:pPr>
            <w:r>
              <w:t xml:space="preserve">Tests each reply against rules V1 to V5 of Table 11 and passes accepted reports to the Registry.</w:t>
            </w:r>
          </w:p>
        </w:tc>
      </w:tr>
      <w:tr>
        <w:trPr>
          <w:cantSplit/>
        </w:trPr>
        <w:tc>
          <w:tcPr/>
          <w:p>
            <w:pPr>
              <w:pStyle w:val="Compact"/>
              <w:jc w:val="left"/>
            </w:pPr>
            <w:r>
              <w:t xml:space="preserve">Status</w:t>
            </w:r>
          </w:p>
        </w:tc>
        <w:tc>
          <w:tcPr/>
          <w:p>
            <w:pPr>
              <w:pStyle w:val="Compact"/>
              <w:jc w:val="left"/>
            </w:pPr>
            <w:r>
              <w:t xml:space="preserve">On request from the application, computes bed status and free beds and reports the age of Definition 15.</w:t>
            </w:r>
          </w:p>
        </w:tc>
      </w:tr>
      <w:tr>
        <w:trPr>
          <w:cantSplit/>
        </w:trPr>
        <w:tc>
          <w:tcPr/>
          <w:p>
            <w:pPr>
              <w:pStyle w:val="Compact"/>
              <w:jc w:val="left"/>
            </w:pPr>
            <w:r>
              <w:t xml:space="preserve">Human reviewer (a person, not an agent)</w:t>
            </w:r>
          </w:p>
        </w:tc>
        <w:tc>
          <w:tcPr/>
          <w:p>
            <w:pPr>
              <w:pStyle w:val="Compact"/>
              <w:jc w:val="left"/>
            </w:pPr>
            <w:r>
              <w:t xml:space="preserve">A researcher who clears the review queue. A figure keyed in by hand passes through the Validator exactly like any other figure.</w:t>
            </w:r>
          </w:p>
        </w:tc>
      </w:tr>
    </w:tbl>
    <w:p>
      <w:pPr>
        <w:pStyle w:val="BodyText"/>
        <w:spacing w:before="200"/>
      </w:pPr>
      <w:r>
        <w:rPr>
          <w:bCs/>
          <w:b/>
        </w:rPr>
        <w:t xml:space="preserve">Definition 14 (Inquiry protocol).</w:t>
      </w:r>
      <w:r>
        <w:t xml:space="preserve"> </w:t>
      </w:r>
      <w:r>
        <w:t xml:space="preserve">For hospital</w:t>
      </w:r>
      <w:r>
        <w:t xml:space="preserve"> </w:t>
      </w:r>
      <w:r>
        <w:rPr>
          <w:iCs/>
          <w:i/>
        </w:rPr>
        <w:t xml:space="preserve">h</w:t>
      </w:r>
      <w:r>
        <w:t xml:space="preserve">, cycle</w:t>
      </w:r>
      <w:r>
        <w:t xml:space="preserve"> </w:t>
      </w:r>
      <w:r>
        <w:rPr>
          <w:iCs/>
          <w:i/>
        </w:rPr>
        <w:t xml:space="preserve">k</w:t>
      </w:r>
      <w:r>
        <w:t xml:space="preserve"> </w:t>
      </w:r>
      <w:r>
        <w:t xml:space="preserve">opens at</w:t>
      </w:r>
    </w:p>
    <w:p>
      <w:pPr>
        <w:pStyle w:val="Equation"/>
      </w:pPr>
      <w:r>
        <w:tab/>
      </w:r>
      <w:r>
        <w:drawing>
          <wp:inline>
            <wp:extent cx="4703673" cy="366674"/>
            <wp:effectExtent b="0" l="0" r="0" t="0"/>
            <wp:docPr descr="" title="" id="94" name="Picture"/>
            <a:graphic>
              <a:graphicData uri="http://schemas.openxmlformats.org/drawingml/2006/picture">
                <pic:pic>
                  <pic:nvPicPr>
                    <pic:cNvPr descr="eq/eq13.png" id="95" name="Picture"/>
                    <pic:cNvPicPr>
                      <a:picLocks noChangeArrowheads="1" noChangeAspect="1"/>
                    </pic:cNvPicPr>
                  </pic:nvPicPr>
                  <pic:blipFill>
                    <a:blip r:embed="rId93"/>
                    <a:stretch>
                      <a:fillRect/>
                    </a:stretch>
                  </pic:blipFill>
                  <pic:spPr bwMode="auto">
                    <a:xfrm>
                      <a:off x="0" y="0"/>
                      <a:ext cx="4703673" cy="366674"/>
                    </a:xfrm>
                    <a:prstGeom prst="rect">
                      <a:avLst/>
                    </a:prstGeom>
                    <a:noFill/>
                    <a:ln w="9525">
                      <a:noFill/>
                      <a:headEnd/>
                      <a:tailEnd/>
                    </a:ln>
                  </pic:spPr>
                </pic:pic>
              </a:graphicData>
            </a:graphic>
          </wp:inline>
        </w:drawing>
      </w:r>
      <w:r/>
      <w:r/>
      <w:r>
        <w:rPr>
          <w:rFonts w:ascii="Times New Roman" w:hAnsi="Times New Roman"/>
          <w:sz w:val="24"/>
        </w:rPr>
        <w:tab/>
        <w:t>(13)</w:t>
      </w:r>
    </w:p>
    <w:p>
      <w:pPr>
        <w:pStyle w:val="Source"/>
      </w:pPr>
      <w:r>
        <w:t xml:space="preserve">Source: formulated in this study (Definition 14)</w:t>
      </w:r>
    </w:p>
    <w:p>
      <w:pPr>
        <w:pStyle w:val="BodyText"/>
      </w:pPr>
      <w:r>
        <w:t xml:space="preserve">The default period is</w:t>
      </w:r>
      <w:r>
        <w:t xml:space="preserve"> </w:t>
      </w:r>
      <w:r>
        <w:rPr>
          <w:iCs/>
          <w:i/>
        </w:rPr>
        <w:t xml:space="preserve">P</w:t>
      </w:r>
      <w:r>
        <w:rPr>
          <w:iCs/>
          <w:i/>
          <w:vertAlign w:val="subscript"/>
        </w:rPr>
        <w:t xml:space="preserve">h</w:t>
      </w:r>
      <w:r>
        <w:t xml:space="preserve"> </w:t>
      </w:r>
      <w:r>
        <w:t xml:space="preserve">= 8 h, one cycle per standard nursing shift. A facility that prefers a single daily inquiry is set to</w:t>
      </w:r>
      <w:r>
        <w:t xml:space="preserve"> </w:t>
      </w:r>
      <w:r>
        <w:rPr>
          <w:iCs/>
          <w:i/>
        </w:rPr>
        <w:t xml:space="preserve">P</w:t>
      </w:r>
      <w:r>
        <w:rPr>
          <w:iCs/>
          <w:i/>
          <w:vertAlign w:val="subscript"/>
        </w:rPr>
        <w:t xml:space="preserve">h</w:t>
      </w:r>
      <w:r>
        <w:t xml:space="preserve"> </w:t>
      </w:r>
      <w:r>
        <w:t xml:space="preserve">= 24 h.</w:t>
      </w:r>
    </w:p>
    <w:p>
      <w:pPr>
        <w:pStyle w:val="CaptionedFigure"/>
      </w:pPr>
      <w:r>
        <w:drawing>
          <wp:inline>
            <wp:extent cx="5760720" cy="3391956"/>
            <wp:effectExtent b="0" l="0" r="0" t="0"/>
            <wp:docPr descr="Figure 2. Structure of the bed-availability network. Solid arrows are inquiries, replies, and reports; dashed arrows are opt-outs and figures entered after human review." title="" id="97" name="Picture"/>
            <a:graphic>
              <a:graphicData uri="http://schemas.openxmlformats.org/drawingml/2006/picture">
                <pic:pic>
                  <pic:nvPicPr>
                    <pic:cNvPr descr="fig/fig2_agents.png" id="98" name="Picture"/>
                    <pic:cNvPicPr>
                      <a:picLocks noChangeArrowheads="1" noChangeAspect="1"/>
                    </pic:cNvPicPr>
                  </pic:nvPicPr>
                  <pic:blipFill>
                    <a:blip r:embed="rId96"/>
                    <a:stretch>
                      <a:fillRect/>
                    </a:stretch>
                  </pic:blipFill>
                  <pic:spPr bwMode="auto">
                    <a:xfrm>
                      <a:off x="0" y="0"/>
                      <a:ext cx="5760720" cy="3391956"/>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Structure of the bed-availability network. Solid arrows are inquiries, replies, and reports; dashed arrows are opt-outs and figures entered after human review.</w:t>
      </w:r>
    </w:p>
    <w:p>
      <w:pPr>
        <w:pStyle w:val="TableCaption"/>
      </w:pPr>
      <w:r>
        <w:rPr>
          <w:bCs/>
          <w:b/>
        </w:rPr>
        <w:t xml:space="preserve">Table 11.</w:t>
      </w:r>
      <w:r>
        <w:t xml:space="preserve"> </w:t>
      </w:r>
      <w:r>
        <w:t xml:space="preserve">The five checks run by the Validator agent on every reply.</w:t>
      </w:r>
    </w:p>
    <w:tbl>
      <w:tblPr>
        <w:tblStyle w:val="Table"/>
        <w:tblW w:type="pct" w:w="5000"/>
        <w:jc w:val="center"/>
        <w:tblCaption w:val="Table 11. The five checks run by the Validator agent on every reply."/>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638"/>
        <w:gridCol w:w="1405"/>
        <w:gridCol w:w="3960"/>
        <w:gridCol w:w="1916"/>
      </w:tblGrid>
      <w:tr>
        <w:trPr>
          <w:tblHeader w:val="true"/>
          <w:tblHeader/>
          <w:cantSplit/>
        </w:trPr>
        <w:tc>
          <w:tcPr/>
          <w:p>
            <w:pPr>
              <w:pStyle w:val="Compact"/>
              <w:jc w:val="left"/>
            </w:pPr>
            <w:r>
              <w:rPr>
                <w:b/>
              </w:rPr>
              <w:t xml:space="preserve">Rule</w:t>
            </w:r>
          </w:p>
        </w:tc>
        <w:tc>
          <w:tcPr/>
          <w:p>
            <w:pPr>
              <w:pStyle w:val="Compact"/>
              <w:jc w:val="left"/>
            </w:pPr>
            <w:r>
              <w:rPr>
                <w:b/>
              </w:rPr>
              <w:t xml:space="preserve">Name</w:t>
            </w:r>
          </w:p>
        </w:tc>
        <w:tc>
          <w:tcPr/>
          <w:p>
            <w:pPr>
              <w:pStyle w:val="Compact"/>
              <w:jc w:val="left"/>
            </w:pPr>
            <w:r>
              <w:rPr>
                <w:b/>
              </w:rPr>
              <w:t xml:space="preserve">Check</w:t>
            </w:r>
          </w:p>
        </w:tc>
        <w:tc>
          <w:tcPr/>
          <w:p>
            <w:pPr>
              <w:pStyle w:val="Compact"/>
              <w:jc w:val="left"/>
            </w:pPr>
            <w:r>
              <w:rPr>
                <w:b/>
              </w:rPr>
              <w:t xml:space="preserve">If the Check Fails</w:t>
            </w:r>
          </w:p>
        </w:tc>
      </w:tr>
      <w:tr>
        <w:trPr>
          <w:cantSplit/>
        </w:trPr>
        <w:tc>
          <w:tcPr/>
          <w:p>
            <w:pPr>
              <w:pStyle w:val="Compact"/>
              <w:jc w:val="left"/>
            </w:pPr>
            <w:r>
              <w:t xml:space="preserve">V1</w:t>
            </w:r>
          </w:p>
        </w:tc>
        <w:tc>
          <w:tcPr/>
          <w:p>
            <w:pPr>
              <w:pStyle w:val="Compact"/>
              <w:jc w:val="left"/>
            </w:pPr>
            <w:r>
              <w:t xml:space="preserve">Authenticity</w:t>
            </w:r>
          </w:p>
        </w:tc>
        <w:tc>
          <w:tcPr/>
          <w:p>
            <w:pPr>
              <w:pStyle w:val="Compact"/>
              <w:jc w:val="left"/>
            </w:pPr>
            <w:r>
              <w:t xml:space="preserve">The subject line shows a token issued to</w:t>
            </w:r>
            <w:r>
              <w:t xml:space="preserve"> </w:t>
            </w:r>
            <w:r>
              <w:rPr>
                <w:iCs/>
                <w:i/>
              </w:rPr>
              <w:t xml:space="preserve">h</w:t>
            </w:r>
            <w:r>
              <w:t xml:space="preserve"> </w:t>
            </w:r>
            <w:r>
              <w:t xml:space="preserve">less than 24 h ago, and the sender is the registered address</w:t>
            </w:r>
            <w:r>
              <w:t xml:space="preserve"> </w:t>
            </w:r>
            <w:r>
              <w:rPr>
                <w:iCs/>
                <w:i/>
              </w:rPr>
              <w:t xml:space="preserve">m</w:t>
            </w:r>
            <w:r>
              <w:rPr>
                <w:iCs/>
                <w:i/>
                <w:vertAlign w:val="subscript"/>
              </w:rPr>
              <w:t xml:space="preserve">h</w:t>
            </w:r>
            <w:r>
              <w:t xml:space="preserve">.</w:t>
            </w:r>
          </w:p>
        </w:tc>
        <w:tc>
          <w:tcPr/>
          <w:p>
            <w:pPr>
              <w:pStyle w:val="Compact"/>
              <w:jc w:val="left"/>
            </w:pPr>
            <w:r>
              <w:t xml:space="preserve">Discarded; nothing stored</w:t>
            </w:r>
          </w:p>
        </w:tc>
      </w:tr>
      <w:tr>
        <w:trPr>
          <w:cantSplit/>
        </w:trPr>
        <w:tc>
          <w:tcPr/>
          <w:p>
            <w:pPr>
              <w:pStyle w:val="Compact"/>
              <w:jc w:val="left"/>
            </w:pPr>
            <w:r>
              <w:t xml:space="preserve">V2</w:t>
            </w:r>
          </w:p>
        </w:tc>
        <w:tc>
          <w:tcPr/>
          <w:p>
            <w:pPr>
              <w:pStyle w:val="Compact"/>
              <w:jc w:val="left"/>
            </w:pPr>
            <w:r>
              <w:t xml:space="preserve">Completeness</w:t>
            </w:r>
          </w:p>
        </w:tc>
        <w:tc>
          <w:tcPr/>
          <w:p>
            <w:pPr>
              <w:pStyle w:val="Compact"/>
              <w:jc w:val="left"/>
            </w:pPr>
            <w:r>
              <w:t xml:space="preserve">The reply yields one capacity figure and one figure for either occupied or free beds (occupied beds are derived in the second case). Inconsistent figures count as unreadable.</w:t>
            </w:r>
          </w:p>
        </w:tc>
        <w:tc>
          <w:tcPr/>
          <w:p>
            <w:pPr>
              <w:pStyle w:val="Compact"/>
              <w:jc w:val="left"/>
            </w:pPr>
            <w:r>
              <w:t xml:space="preserve">Referred to human review</w:t>
            </w:r>
          </w:p>
        </w:tc>
      </w:tr>
      <w:tr>
        <w:trPr>
          <w:cantSplit/>
        </w:trPr>
        <w:tc>
          <w:tcPr/>
          <w:p>
            <w:pPr>
              <w:pStyle w:val="Compact"/>
              <w:jc w:val="left"/>
            </w:pPr>
            <w:r>
              <w:t xml:space="preserve">V3</w:t>
            </w:r>
          </w:p>
        </w:tc>
        <w:tc>
          <w:tcPr/>
          <w:p>
            <w:pPr>
              <w:pStyle w:val="Compact"/>
              <w:jc w:val="left"/>
            </w:pPr>
            <w:r>
              <w:t xml:space="preserve">Capacity plausibility</w:t>
            </w:r>
          </w:p>
        </w:tc>
        <w:tc>
          <w:tcPr/>
          <w:p>
            <w:pPr>
              <w:pStyle w:val="Compact"/>
              <w:jc w:val="left"/>
            </w:pPr>
            <w:r>
              <w:t xml:space="preserve">0.5</w:t>
            </w:r>
            <w:r>
              <w:t xml:space="preserve"> </w:t>
            </w:r>
            <w:r>
              <w:rPr>
                <w:iCs/>
                <w:i/>
              </w:rPr>
              <w:t xml:space="preserve">c</w:t>
            </w:r>
            <w:r>
              <w:rPr>
                <w:iCs/>
                <w:i/>
                <w:vertAlign w:val="subscript"/>
              </w:rPr>
              <w:t xml:space="preserve">h</w:t>
            </w:r>
            <w:r>
              <w:t xml:space="preserve"> </w:t>
            </w:r>
            <w:r>
              <w:t xml:space="preserve">≤</w:t>
            </w:r>
            <w:r>
              <w:t xml:space="preserve"> </w:t>
            </w:r>
            <w:r>
              <w:rPr>
                <w:iCs/>
                <w:i/>
              </w:rPr>
              <w:t xml:space="preserve">ĉ</w:t>
            </w:r>
            <w:r>
              <w:rPr>
                <w:iCs/>
                <w:i/>
                <w:vertAlign w:val="subscript"/>
              </w:rPr>
              <w:t xml:space="preserve">h</w:t>
            </w:r>
            <w:r>
              <w:t xml:space="preserve"> </w:t>
            </w:r>
            <w:r>
              <w:t xml:space="preserve">≤ 2</w:t>
            </w:r>
            <w:r>
              <w:t xml:space="preserve"> </w:t>
            </w:r>
            <w:r>
              <w:rPr>
                <w:iCs/>
                <w:i/>
              </w:rPr>
              <w:t xml:space="preserve">c</w:t>
            </w:r>
            <w:r>
              <w:rPr>
                <w:iCs/>
                <w:i/>
                <w:vertAlign w:val="subscript"/>
              </w:rPr>
              <w:t xml:space="preserve">h</w:t>
            </w:r>
            <w:r>
              <w:t xml:space="preserve">, where</w:t>
            </w:r>
            <w:r>
              <w:t xml:space="preserve"> </w:t>
            </w:r>
            <w:r>
              <w:rPr>
                <w:iCs/>
                <w:i/>
              </w:rPr>
              <w:t xml:space="preserve">ĉ</w:t>
            </w:r>
            <w:r>
              <w:rPr>
                <w:iCs/>
                <w:i/>
                <w:vertAlign w:val="subscript"/>
              </w:rPr>
              <w:t xml:space="preserve">h</w:t>
            </w:r>
            <w:r>
              <w:t xml:space="preserve"> </w:t>
            </w:r>
            <w:r>
              <w:t xml:space="preserve">is the capacity stated in the reply.</w:t>
            </w:r>
          </w:p>
        </w:tc>
        <w:tc>
          <w:tcPr/>
          <w:p>
            <w:pPr>
              <w:pStyle w:val="Compact"/>
              <w:jc w:val="left"/>
            </w:pPr>
            <w:r>
              <w:t xml:space="preserve">Held, as a possible typing error or a different idea of a bed</w:t>
            </w:r>
          </w:p>
        </w:tc>
      </w:tr>
      <w:tr>
        <w:trPr>
          <w:cantSplit/>
        </w:trPr>
        <w:tc>
          <w:tcPr/>
          <w:p>
            <w:pPr>
              <w:pStyle w:val="Compact"/>
              <w:jc w:val="left"/>
            </w:pPr>
            <w:r>
              <w:t xml:space="preserve">V4</w:t>
            </w:r>
          </w:p>
        </w:tc>
        <w:tc>
          <w:tcPr/>
          <w:p>
            <w:pPr>
              <w:pStyle w:val="Compact"/>
              <w:jc w:val="left"/>
            </w:pPr>
            <w:r>
              <w:t xml:space="preserve">Occupancy plausibility</w:t>
            </w:r>
          </w:p>
        </w:tc>
        <w:tc>
          <w:tcPr/>
          <w:p>
            <w:pPr>
              <w:pStyle w:val="Compact"/>
              <w:jc w:val="left"/>
            </w:pPr>
            <w:r>
              <w:t xml:space="preserve">0 ≤</w:t>
            </w:r>
            <w:r>
              <w:t xml:space="preserve"> </w:t>
            </w:r>
            <w:r>
              <w:rPr>
                <w:iCs/>
                <w:i/>
              </w:rPr>
              <w:t xml:space="preserve">ô</w:t>
            </w:r>
            <w:r>
              <w:rPr>
                <w:iCs/>
                <w:i/>
                <w:vertAlign w:val="subscript"/>
              </w:rPr>
              <w:t xml:space="preserve">h</w:t>
            </w:r>
            <w:r>
              <w:t xml:space="preserve"> </w:t>
            </w:r>
            <w:r>
              <w:t xml:space="preserve">≤ 2</w:t>
            </w:r>
            <w:r>
              <w:t xml:space="preserve"> </w:t>
            </w:r>
            <w:r>
              <w:rPr>
                <w:iCs/>
                <w:i/>
              </w:rPr>
              <w:t xml:space="preserve">ĉ</w:t>
            </w:r>
            <w:r>
              <w:rPr>
                <w:iCs/>
                <w:i/>
                <w:vertAlign w:val="subscript"/>
              </w:rPr>
              <w:t xml:space="preserve">h</w:t>
            </w:r>
            <w:r>
              <w:t xml:space="preserve">. A count above</w:t>
            </w:r>
            <w:r>
              <w:t xml:space="preserve"> </w:t>
            </w:r>
            <w:r>
              <w:rPr>
                <w:iCs/>
                <w:i/>
              </w:rPr>
              <w:t xml:space="preserve">ĉ</w:t>
            </w:r>
            <w:r>
              <w:rPr>
                <w:iCs/>
                <w:i/>
                <w:vertAlign w:val="subscript"/>
              </w:rPr>
              <w:t xml:space="preserve">h</w:t>
            </w:r>
            <w:r>
              <w:t xml:space="preserve"> </w:t>
            </w:r>
            <w:r>
              <w:t xml:space="preserve">is read as</w:t>
            </w:r>
            <w:r>
              <w:t xml:space="preserve"> </w:t>
            </w:r>
            <w:r>
              <w:t xml:space="preserve">“</w:t>
            </w:r>
            <w:r>
              <w:t xml:space="preserve">over capacity.</w:t>
            </w:r>
            <w:r>
              <w:t xml:space="preserve">”</w:t>
            </w:r>
          </w:p>
        </w:tc>
        <w:tc>
          <w:tcPr/>
          <w:p>
            <w:pPr>
              <w:pStyle w:val="Compact"/>
              <w:jc w:val="left"/>
            </w:pPr>
            <w:r>
              <w:t xml:space="preserve">Held</w:t>
            </w:r>
          </w:p>
        </w:tc>
      </w:tr>
      <w:tr>
        <w:trPr>
          <w:cantSplit/>
        </w:trPr>
        <w:tc>
          <w:tcPr/>
          <w:p>
            <w:pPr>
              <w:pStyle w:val="Compact"/>
              <w:jc w:val="left"/>
            </w:pPr>
            <w:r>
              <w:t xml:space="preserve">V5</w:t>
            </w:r>
          </w:p>
        </w:tc>
        <w:tc>
          <w:tcPr/>
          <w:p>
            <w:pPr>
              <w:pStyle w:val="Compact"/>
              <w:jc w:val="left"/>
            </w:pPr>
            <w:r>
              <w:t xml:space="preserve">Recency</w:t>
            </w:r>
          </w:p>
        </w:tc>
        <w:tc>
          <w:tcPr/>
          <w:p>
            <w:pPr>
              <w:pStyle w:val="Compact"/>
              <w:jc w:val="left"/>
            </w:pPr>
            <w:r>
              <w:t xml:space="preserve">The reply is newer than the report already on file.</w:t>
            </w:r>
          </w:p>
        </w:tc>
        <w:tc>
          <w:tcPr/>
          <w:p>
            <w:pPr>
              <w:pStyle w:val="Compact"/>
              <w:jc w:val="left"/>
            </w:pPr>
            <w:r>
              <w:t xml:space="preserve">Added to the history only</w:t>
            </w:r>
          </w:p>
        </w:tc>
      </w:tr>
    </w:tbl>
    <w:p>
      <w:pPr>
        <w:pStyle w:val="BodyText"/>
        <w:spacing w:before="200"/>
      </w:pPr>
      <w:r>
        <w:t xml:space="preserve">Rule V4 lets occupancy exceed the stated capacity. During surges, patients are often treated on stretchers in hallways or in shared spaces, and a count above capacity reflects that.</w:t>
      </w:r>
    </w:p>
    <w:p>
      <w:pPr>
        <w:pStyle w:val="BodyText"/>
      </w:pPr>
      <w:r>
        <w:rPr>
          <w:bCs/>
          <w:b/>
        </w:rPr>
        <w:t xml:space="preserve">Definition 15 (Bed status and report age).</w:t>
      </w:r>
      <w:r>
        <w:t xml:space="preserve"> </w:t>
      </w:r>
      <w:r>
        <w:t xml:space="preserve">For hospital</w:t>
      </w:r>
      <w:r>
        <w:t xml:space="preserve"> </w:t>
      </w:r>
      <w:r>
        <w:rPr>
          <w:iCs/>
          <w:i/>
        </w:rPr>
        <w:t xml:space="preserve">h</w:t>
      </w:r>
      <w:r>
        <w:t xml:space="preserve">, a validated report is a tuple</w:t>
      </w:r>
      <w:r>
        <w:t xml:space="preserve"> </w:t>
      </w:r>
      <w:r>
        <w:rPr>
          <w:iCs/>
          <w:i/>
        </w:rPr>
        <w:t xml:space="preserve">r</w:t>
      </w:r>
      <w:r>
        <w:rPr>
          <w:iCs/>
          <w:i/>
          <w:vertAlign w:val="subscript"/>
        </w:rPr>
        <w:t xml:space="preserve">h</w:t>
      </w:r>
      <w:r>
        <w:t xml:space="preserve"> </w:t>
      </w:r>
      <w:r>
        <w:t xml:space="preserve">= (</w:t>
      </w:r>
      <w:r>
        <w:rPr>
          <w:iCs/>
          <w:i/>
        </w:rPr>
        <w:t xml:space="preserve">t</w:t>
      </w:r>
      <w:r>
        <w:rPr>
          <w:iCs/>
          <w:i/>
          <w:vertAlign w:val="superscript"/>
        </w:rPr>
        <w:t xml:space="preserve">r</w:t>
      </w:r>
      <w:r>
        <w:rPr>
          <w:iCs/>
          <w:i/>
          <w:vertAlign w:val="subscript"/>
        </w:rPr>
        <w:t xml:space="preserve">h</w:t>
      </w:r>
      <w:r>
        <w:t xml:space="preserve">,</w:t>
      </w:r>
      <w:r>
        <w:t xml:space="preserve"> </w:t>
      </w:r>
      <w:r>
        <w:rPr>
          <w:iCs/>
          <w:i/>
        </w:rPr>
        <w:t xml:space="preserve">ĉ</w:t>
      </w:r>
      <w:r>
        <w:rPr>
          <w:iCs/>
          <w:i/>
          <w:vertAlign w:val="subscript"/>
        </w:rPr>
        <w:t xml:space="preserve">h</w:t>
      </w:r>
      <w:r>
        <w:t xml:space="preserve">,</w:t>
      </w:r>
      <w:r>
        <w:t xml:space="preserve"> </w:t>
      </w:r>
      <w:r>
        <w:rPr>
          <w:iCs/>
          <w:i/>
        </w:rPr>
        <w:t xml:space="preserve">ô</w:t>
      </w:r>
      <w:r>
        <w:rPr>
          <w:iCs/>
          <w:i/>
          <w:vertAlign w:val="subscript"/>
        </w:rPr>
        <w:t xml:space="preserve">h</w:t>
      </w:r>
      <w:r>
        <w:t xml:space="preserve">,</w:t>
      </w:r>
      <w:r>
        <w:t xml:space="preserve"> </w:t>
      </w:r>
      <w:r>
        <w:rPr>
          <w:iCs/>
          <w:i/>
        </w:rPr>
        <w:t xml:space="preserve">ê</w:t>
      </w:r>
      <w:r>
        <w:rPr>
          <w:iCs/>
          <w:i/>
          <w:vertAlign w:val="subscript"/>
        </w:rPr>
        <w:t xml:space="preserve">h</w:t>
      </w:r>
      <w:r>
        <w:t xml:space="preserve">): the time of the reply, the reported capacity, the reported occupancy, and an optional emergency-room status (</w:t>
      </w:r>
      <w:r>
        <w:rPr>
          <w:iCs/>
          <w:i/>
        </w:rPr>
        <w:t xml:space="preserve">ê</w:t>
      </w:r>
      <w:r>
        <w:rPr>
          <w:iCs/>
          <w:i/>
          <w:vertAlign w:val="subscript"/>
        </w:rPr>
        <w:t xml:space="preserve">h</w:t>
      </w:r>
      <w:r>
        <w:t xml:space="preserve"> </w:t>
      </w:r>
      <w:r>
        <w:t xml:space="preserve">∈ {ACCEPTING, FULL}). From the most recent validated report,</w:t>
      </w:r>
    </w:p>
    <w:p>
      <w:pPr>
        <w:pStyle w:val="Equation"/>
      </w:pPr>
      <w:r>
        <w:tab/>
      </w:r>
      <w:r>
        <w:drawing>
          <wp:inline>
            <wp:extent cx="3135477" cy="172821"/>
            <wp:effectExtent b="0" l="0" r="0" t="0"/>
            <wp:docPr descr="" title="" id="100" name="Picture"/>
            <a:graphic>
              <a:graphicData uri="http://schemas.openxmlformats.org/drawingml/2006/picture">
                <pic:pic>
                  <pic:nvPicPr>
                    <pic:cNvPr descr="eq/eq14.png" id="101" name="Picture"/>
                    <pic:cNvPicPr>
                      <a:picLocks noChangeArrowheads="1" noChangeAspect="1"/>
                    </pic:cNvPicPr>
                  </pic:nvPicPr>
                  <pic:blipFill>
                    <a:blip r:embed="rId99"/>
                    <a:stretch>
                      <a:fillRect/>
                    </a:stretch>
                  </pic:blipFill>
                  <pic:spPr bwMode="auto">
                    <a:xfrm>
                      <a:off x="0" y="0"/>
                      <a:ext cx="3135477" cy="172821"/>
                    </a:xfrm>
                    <a:prstGeom prst="rect">
                      <a:avLst/>
                    </a:prstGeom>
                    <a:noFill/>
                    <a:ln w="9525">
                      <a:noFill/>
                      <a:headEnd/>
                      <a:tailEnd/>
                    </a:ln>
                  </pic:spPr>
                </pic:pic>
              </a:graphicData>
            </a:graphic>
          </wp:inline>
        </w:drawing>
      </w:r>
      <w:r/>
      <w:r/>
      <w:r>
        <w:rPr>
          <w:rFonts w:ascii="Times New Roman" w:hAnsi="Times New Roman"/>
          <w:sz w:val="24"/>
        </w:rPr>
        <w:tab/>
        <w:t>(14)</w:t>
      </w:r>
    </w:p>
    <w:p>
      <w:pPr>
        <w:pStyle w:val="Equation"/>
      </w:pPr>
      <w:r>
        <w:tab/>
      </w:r>
      <w:r>
        <w:drawing>
          <wp:inline>
            <wp:extent cx="5170932" cy="574243"/>
            <wp:effectExtent b="0" l="0" r="0" t="0"/>
            <wp:docPr descr="" title="" id="103" name="Picture"/>
            <a:graphic>
              <a:graphicData uri="http://schemas.openxmlformats.org/drawingml/2006/picture">
                <pic:pic>
                  <pic:nvPicPr>
                    <pic:cNvPr descr="eq/eq15.png" id="104" name="Picture"/>
                    <pic:cNvPicPr>
                      <a:picLocks noChangeArrowheads="1" noChangeAspect="1"/>
                    </pic:cNvPicPr>
                  </pic:nvPicPr>
                  <pic:blipFill>
                    <a:blip r:embed="rId102"/>
                    <a:stretch>
                      <a:fillRect/>
                    </a:stretch>
                  </pic:blipFill>
                  <pic:spPr bwMode="auto">
                    <a:xfrm>
                      <a:off x="0" y="0"/>
                      <a:ext cx="5170932" cy="574243"/>
                    </a:xfrm>
                    <a:prstGeom prst="rect">
                      <a:avLst/>
                    </a:prstGeom>
                    <a:noFill/>
                    <a:ln w="9525">
                      <a:noFill/>
                      <a:headEnd/>
                      <a:tailEnd/>
                    </a:ln>
                  </pic:spPr>
                </pic:pic>
              </a:graphicData>
            </a:graphic>
          </wp:inline>
        </w:drawing>
      </w:r>
      <w:r/>
      <w:r/>
      <w:r>
        <w:rPr>
          <w:rFonts w:ascii="Times New Roman" w:hAnsi="Times New Roman"/>
          <w:sz w:val="24"/>
        </w:rPr>
        <w:tab/>
        <w:t>(15)</w:t>
      </w:r>
    </w:p>
    <w:p>
      <w:pPr>
        <w:pStyle w:val="Source"/>
      </w:pPr>
      <w:r>
        <w:t xml:space="preserve">Source: formulated in this study (Definition 15)</w:t>
      </w:r>
    </w:p>
    <w:p>
      <w:pPr>
        <w:pStyle w:val="BodyText"/>
      </w:pPr>
      <w:r>
        <w:t xml:space="preserve">with</w:t>
      </w:r>
      <w:r>
        <w:t xml:space="preserve"> </w:t>
      </w:r>
      <w:r>
        <w:rPr>
          <w:iCs/>
          <w:i/>
        </w:rPr>
        <w:t xml:space="preserve">age</w:t>
      </w:r>
      <w:r>
        <w:rPr>
          <w:vertAlign w:val="subscript"/>
        </w:rPr>
        <w:t xml:space="preserve">max</w:t>
      </w:r>
      <w:r>
        <w:t xml:space="preserve"> </w:t>
      </w:r>
      <w:r>
        <w:t xml:space="preserve">= 12 h. The application never shows a status without its age, for example</w:t>
      </w:r>
      <w:r>
        <w:t xml:space="preserve"> </w:t>
      </w:r>
      <w:r>
        <w:t xml:space="preserve">“</w:t>
      </w:r>
      <w:r>
        <w:t xml:space="preserve">9 free beds, reported 1 h 40 min ago.</w:t>
      </w:r>
      <w:r>
        <w:t xml:space="preserve">”</w:t>
      </w:r>
    </w:p>
    <w:bookmarkEnd w:id="105"/>
    <w:bookmarkStart w:id="106" w:name="Xbd9b285d9b710ea73790a7b03cd6cff99aa541f"/>
    <w:p>
      <w:pPr>
        <w:pStyle w:val="Heading2"/>
      </w:pPr>
      <w:r>
        <w:t xml:space="preserve">2.9 The Patient Profile: Acuity, Needs, Ability to Pay, and Mobility</w:t>
      </w:r>
    </w:p>
    <w:p>
      <w:pPr>
        <w:pStyle w:val="FirstParagraph"/>
      </w:pPr>
      <w:r>
        <w:t xml:space="preserve">The earlier version of hospital mode described a patient by two numbers, acuity and payment class. That leaves out two things that decide where a real patient can go: the specific service the patient needs, and how far the patient can walk to and from a stop.</w:t>
      </w:r>
    </w:p>
    <w:p>
      <w:pPr>
        <w:pStyle w:val="BodyText"/>
      </w:pPr>
      <w:r>
        <w:rPr>
          <w:bCs/>
          <w:b/>
        </w:rPr>
        <w:t xml:space="preserve">Definition 16 (Patient profile).</w:t>
      </w:r>
      <w:r>
        <w:t xml:space="preserve"> </w:t>
      </w:r>
      <w:r>
        <w:t xml:space="preserve">A profile is π = (κ,</w:t>
      </w:r>
      <w:r>
        <w:t xml:space="preserve"> </w:t>
      </w:r>
      <w:r>
        <w:rPr>
          <w:iCs/>
          <w:i/>
        </w:rPr>
        <w:t xml:space="preserve">N</w:t>
      </w:r>
      <w:r>
        <w:t xml:space="preserve">, ρ,</w:t>
      </w:r>
      <w:r>
        <w:t xml:space="preserve"> </w:t>
      </w:r>
      <w:r>
        <w:rPr>
          <w:iCs/>
          <w:i/>
        </w:rPr>
        <w:t xml:space="preserve">m</w:t>
      </w:r>
      <w:r>
        <w:t xml:space="preserve">), where</w:t>
      </w:r>
    </w:p>
    <w:p>
      <w:pPr>
        <w:numPr>
          <w:ilvl w:val="0"/>
          <w:numId w:val="1004"/>
        </w:numPr>
        <w:pStyle w:val="BodyText"/>
        <w:spacing w:after="80"/>
      </w:pPr>
      <w:r>
        <w:t xml:space="preserve">κ ∈ {1, …, 5} is the acuity level from the Emergency Severity Index, on which level 1 is the most urgent (Gilboy et al., 2011);</w:t>
      </w:r>
    </w:p>
    <w:p>
      <w:pPr>
        <w:numPr>
          <w:ilvl w:val="0"/>
          <w:numId w:val="1004"/>
        </w:numPr>
        <w:pStyle w:val="BodyText"/>
        <w:spacing w:after="80"/>
      </w:pPr>
      <w:r>
        <w:rPr>
          <w:iCs/>
          <w:i/>
        </w:rPr>
        <w:t xml:space="preserve">N</w:t>
      </w:r>
      <w:r>
        <w:t xml:space="preserve"> </w:t>
      </w:r>
      <w:r>
        <w:t xml:space="preserve">⊆ 𝒮 is the set of services the patient needs, from Table 8 (</w:t>
      </w:r>
      <w:r>
        <w:rPr>
          <w:iCs/>
          <w:i/>
        </w:rPr>
        <w:t xml:space="preserve">N</w:t>
      </w:r>
      <w:r>
        <w:t xml:space="preserve"> </w:t>
      </w:r>
      <w:r>
        <w:t xml:space="preserve">= ∅ when no particular service is required);</w:t>
      </w:r>
    </w:p>
    <w:p>
      <w:pPr>
        <w:numPr>
          <w:ilvl w:val="0"/>
          <w:numId w:val="1004"/>
        </w:numPr>
        <w:pStyle w:val="BodyText"/>
        <w:spacing w:after="80"/>
      </w:pPr>
      <w:r>
        <w:t xml:space="preserve">ρ ∈ {0, 1, 2, 3} is the payment class of Table 9, with ρ</w:t>
      </w:r>
      <w:r>
        <w:rPr>
          <w:vertAlign w:val="subscript"/>
        </w:rPr>
        <w:t xml:space="preserve">max</w:t>
      </w:r>
      <w:r>
        <w:t xml:space="preserve"> </w:t>
      </w:r>
      <w:r>
        <w:t xml:space="preserve">= 3; and</w:t>
      </w:r>
    </w:p>
    <w:p>
      <w:pPr>
        <w:numPr>
          <w:ilvl w:val="0"/>
          <w:numId w:val="1004"/>
        </w:numPr>
        <w:pStyle w:val="BodyText"/>
        <w:spacing w:after="80"/>
      </w:pPr>
      <w:r>
        <w:rPr>
          <w:iCs/>
          <w:i/>
        </w:rPr>
        <w:t xml:space="preserve">m</w:t>
      </w:r>
      <w:r>
        <w:t xml:space="preserve"> </w:t>
      </w:r>
      <w:r>
        <w:t xml:space="preserve">∈ {standard, slow} is the mobility class, which fixes the walking speed</w:t>
      </w:r>
      <w:r>
        <w:t xml:space="preserve"> </w:t>
      </w:r>
      <w:r>
        <w:rPr>
          <w:iCs/>
          <w:i/>
        </w:rPr>
        <w:t xml:space="preserve">v</w:t>
      </w:r>
      <w:r>
        <w:rPr>
          <w:iCs/>
          <w:i/>
          <w:vertAlign w:val="subscript"/>
        </w:rPr>
        <w:t xml:space="preserve">m</w:t>
      </w:r>
      <w:r>
        <w:t xml:space="preserve"> </w:t>
      </w:r>
      <w:r>
        <w:t xml:space="preserve">and the walking cap</w:t>
      </w:r>
      <w:r>
        <w:t xml:space="preserve"> </w:t>
      </w:r>
      <w:r>
        <w:rPr>
          <w:iCs/>
          <w:i/>
        </w:rPr>
        <w:t xml:space="preserve">t̄</w:t>
      </w:r>
      <w:r>
        <w:rPr>
          <w:iCs/>
          <w:i/>
          <w:vertAlign w:val="subscript"/>
        </w:rPr>
        <w:t xml:space="preserve">m</w:t>
      </w:r>
      <w:r>
        <w:t xml:space="preserve"> </w:t>
      </w:r>
      <w:r>
        <w:t xml:space="preserve">used in patient mode: (</w:t>
      </w:r>
      <w:r>
        <w:rPr>
          <w:iCs/>
          <w:i/>
        </w:rPr>
        <w:t xml:space="preserve">v</w:t>
      </w:r>
      <w:r>
        <w:rPr>
          <w:vertAlign w:val="subscript"/>
        </w:rPr>
        <w:t xml:space="preserve">standard</w:t>
      </w:r>
      <w:r>
        <w:t xml:space="preserve">,</w:t>
      </w:r>
      <w:r>
        <w:t xml:space="preserve"> </w:t>
      </w:r>
      <w:r>
        <w:rPr>
          <w:iCs/>
          <w:i/>
        </w:rPr>
        <w:t xml:space="preserve">t̄</w:t>
      </w:r>
      <w:r>
        <w:rPr>
          <w:vertAlign w:val="subscript"/>
        </w:rPr>
        <w:t xml:space="preserve">standard</w:t>
      </w:r>
      <w:r>
        <w:t xml:space="preserve">) = (4.5 km/h, 15 min), the values of Definition 3, and (</w:t>
      </w:r>
      <w:r>
        <w:rPr>
          <w:iCs/>
          <w:i/>
        </w:rPr>
        <w:t xml:space="preserve">v</w:t>
      </w:r>
      <w:r>
        <w:rPr>
          <w:vertAlign w:val="subscript"/>
        </w:rPr>
        <w:t xml:space="preserve">slow</w:t>
      </w:r>
      <w:r>
        <w:t xml:space="preserve">,</w:t>
      </w:r>
      <w:r>
        <w:t xml:space="preserve"> </w:t>
      </w:r>
      <w:r>
        <w:rPr>
          <w:iCs/>
          <w:i/>
        </w:rPr>
        <w:t xml:space="preserve">t̄</w:t>
      </w:r>
      <w:r>
        <w:rPr>
          <w:vertAlign w:val="subscript"/>
        </w:rPr>
        <w:t xml:space="preserve">slow</w:t>
      </w:r>
      <w:r>
        <w:t xml:space="preserve">) = (3.0 km/h, 10 min).</w:t>
      </w:r>
    </w:p>
    <w:p>
      <w:pPr>
        <w:pStyle w:val="FirstParagraph"/>
      </w:pPr>
      <w:r>
        <w:t xml:space="preserve">The slow class is meant for a patient who walks more slowly than the healthy adults behind Definition 3, such as an older person, a woman in late pregnancy, or a person with a disability or an injury. Its two values are declared design parameters, to be replaced when local data exist.</w:t>
      </w:r>
    </w:p>
    <w:p>
      <w:pPr>
        <w:pStyle w:val="BodyText"/>
      </w:pPr>
      <w:r>
        <w:t xml:space="preserve">The acuity level is entered by the ambulance crew or chosen by the user from the plain descriptions in Table 12. The needs are chosen from the plain descriptions in Table 8 or copied from a referral slip.</w:t>
      </w:r>
    </w:p>
    <w:p>
      <w:pPr>
        <w:pStyle w:val="TableCaption"/>
      </w:pPr>
      <w:r>
        <w:rPr>
          <w:bCs/>
          <w:b/>
        </w:rPr>
        <w:t xml:space="preserve">Table 12.</w:t>
      </w:r>
      <w:r>
        <w:t xml:space="preserve"> </w:t>
      </w:r>
      <w:r>
        <w:t xml:space="preserve">Minimum service level and emergency flag for each acuity level. Descriptions adapted from Gilboy et al. (2011); λ and</w:t>
      </w:r>
      <w:r>
        <w:t xml:space="preserve"> </w:t>
      </w:r>
      <w:r>
        <w:rPr>
          <w:iCs/>
          <w:i/>
        </w:rPr>
        <w:t xml:space="preserve">K</w:t>
      </w:r>
      <w:r>
        <w:rPr>
          <w:iCs/>
          <w:i/>
          <w:vertAlign w:val="subscript"/>
        </w:rPr>
        <w:t xml:space="preserve">E</w:t>
      </w:r>
      <w:r>
        <w:t xml:space="preserve"> </w:t>
      </w:r>
      <w:r>
        <w:t xml:space="preserve">are declared design parameters.</w:t>
      </w:r>
    </w:p>
    <w:tbl>
      <w:tblPr>
        <w:tblStyle w:val="Table"/>
        <w:tblW w:type="pct" w:w="5000"/>
        <w:jc w:val="center"/>
        <w:tblCaption w:val="Table 12. Minimum service level and emergency flag for each acuity level. Descriptions adapted from Gilboy et al. (2011); λ and KE are declared design parameter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633"/>
        <w:gridCol w:w="6019"/>
        <w:gridCol w:w="633"/>
        <w:gridCol w:w="633"/>
      </w:tblGrid>
      <w:tr>
        <w:trPr>
          <w:tblHeader w:val="true"/>
          <w:tblHeader/>
          <w:cantSplit/>
        </w:trPr>
        <w:tc>
          <w:tcPr/>
          <w:p>
            <w:pPr>
              <w:pStyle w:val="Compact"/>
              <w:jc w:val="center"/>
            </w:pPr>
            <w:r>
              <w:rPr>
                <w:b/>
              </w:rPr>
              <w:t xml:space="preserve">κ</w:t>
            </w:r>
          </w:p>
        </w:tc>
        <w:tc>
          <w:tcPr/>
          <w:p>
            <w:pPr>
              <w:pStyle w:val="Compact"/>
              <w:jc w:val="left"/>
            </w:pPr>
            <w:r>
              <w:rPr>
                <w:b/>
              </w:rPr>
              <w:t xml:space="preserve">Description</w:t>
            </w:r>
          </w:p>
        </w:tc>
        <w:tc>
          <w:tcPr/>
          <w:p>
            <w:pPr>
              <w:pStyle w:val="Compact"/>
              <w:jc w:val="center"/>
            </w:pPr>
            <w:r>
              <w:rPr>
                <w:b/>
              </w:rPr>
              <w:t xml:space="preserve">λ(κ)</w:t>
            </w:r>
          </w:p>
        </w:tc>
        <w:tc>
          <w:tcPr/>
          <w:p>
            <w:pPr>
              <w:pStyle w:val="Compact"/>
              <w:jc w:val="center"/>
            </w:pPr>
            <w:r>
              <w:rPr>
                <w:b/>
              </w:rPr>
              <w:t xml:space="preserve">In</w:t>
            </w:r>
            <w:r>
              <w:rPr>
                <w:b/>
              </w:rPr>
              <w:t xml:space="preserve"> </w:t>
            </w:r>
            <w:r>
              <w:rPr>
                <w:iCs/>
                <w:b/>
                <w:i/>
              </w:rPr>
              <w:t xml:space="preserve">K</w:t>
            </w:r>
            <w:r>
              <w:rPr>
                <w:iCs/>
                <w:b/>
                <w:i/>
                <w:vertAlign w:val="subscript"/>
              </w:rPr>
              <w:t xml:space="preserve">E</w:t>
            </w:r>
          </w:p>
        </w:tc>
      </w:tr>
      <w:tr>
        <w:trPr>
          <w:cantSplit/>
        </w:trPr>
        <w:tc>
          <w:tcPr/>
          <w:p>
            <w:pPr>
              <w:pStyle w:val="Compact"/>
              <w:jc w:val="center"/>
            </w:pPr>
            <w:r>
              <w:t xml:space="preserve">1</w:t>
            </w:r>
          </w:p>
        </w:tc>
        <w:tc>
          <w:tcPr/>
          <w:p>
            <w:pPr>
              <w:pStyle w:val="Compact"/>
              <w:jc w:val="left"/>
            </w:pPr>
            <w:r>
              <w:t xml:space="preserve">Life-saving treatment needed at once</w:t>
            </w:r>
          </w:p>
        </w:tc>
        <w:tc>
          <w:tcPr/>
          <w:p>
            <w:pPr>
              <w:pStyle w:val="Compact"/>
              <w:jc w:val="center"/>
            </w:pPr>
            <w:r>
              <w:t xml:space="preserve">3</w:t>
            </w:r>
          </w:p>
        </w:tc>
        <w:tc>
          <w:tcPr/>
          <w:p>
            <w:pPr>
              <w:pStyle w:val="Compact"/>
              <w:jc w:val="center"/>
            </w:pPr>
            <w:r>
              <w:t xml:space="preserve">yes</w:t>
            </w:r>
          </w:p>
        </w:tc>
      </w:tr>
      <w:tr>
        <w:trPr>
          <w:cantSplit/>
        </w:trPr>
        <w:tc>
          <w:tcPr/>
          <w:p>
            <w:pPr>
              <w:pStyle w:val="Compact"/>
              <w:jc w:val="center"/>
            </w:pPr>
            <w:r>
              <w:t xml:space="preserve">2</w:t>
            </w:r>
          </w:p>
        </w:tc>
        <w:tc>
          <w:tcPr/>
          <w:p>
            <w:pPr>
              <w:pStyle w:val="Compact"/>
              <w:jc w:val="left"/>
            </w:pPr>
            <w:r>
              <w:t xml:space="preserve">High-risk situation; new confusion, lethargy, or disorientation; or severe pain or distress</w:t>
            </w:r>
          </w:p>
        </w:tc>
        <w:tc>
          <w:tcPr/>
          <w:p>
            <w:pPr>
              <w:pStyle w:val="Compact"/>
              <w:jc w:val="center"/>
            </w:pPr>
            <w:r>
              <w:t xml:space="preserve">2</w:t>
            </w:r>
          </w:p>
        </w:tc>
        <w:tc>
          <w:tcPr/>
          <w:p>
            <w:pPr>
              <w:pStyle w:val="Compact"/>
              <w:jc w:val="center"/>
            </w:pPr>
            <w:r>
              <w:t xml:space="preserve">yes</w:t>
            </w:r>
          </w:p>
        </w:tc>
      </w:tr>
      <w:tr>
        <w:trPr>
          <w:cantSplit/>
        </w:trPr>
        <w:tc>
          <w:tcPr/>
          <w:p>
            <w:pPr>
              <w:pStyle w:val="Compact"/>
              <w:jc w:val="center"/>
            </w:pPr>
            <w:r>
              <w:t xml:space="preserve">3</w:t>
            </w:r>
          </w:p>
        </w:tc>
        <w:tc>
          <w:tcPr/>
          <w:p>
            <w:pPr>
              <w:pStyle w:val="Compact"/>
              <w:jc w:val="left"/>
            </w:pPr>
            <w:r>
              <w:t xml:space="preserve">Stable; probably needs two or more hospital resources</w:t>
            </w:r>
          </w:p>
        </w:tc>
        <w:tc>
          <w:tcPr/>
          <w:p>
            <w:pPr>
              <w:pStyle w:val="Compact"/>
              <w:jc w:val="center"/>
            </w:pPr>
            <w:r>
              <w:t xml:space="preserve">1</w:t>
            </w:r>
          </w:p>
        </w:tc>
        <w:tc>
          <w:tcPr/>
          <w:p>
            <w:pPr>
              <w:pStyle w:val="Compact"/>
              <w:jc w:val="center"/>
            </w:pPr>
            <w:r>
              <w:t xml:space="preserve">no</w:t>
            </w:r>
          </w:p>
        </w:tc>
      </w:tr>
      <w:tr>
        <w:trPr>
          <w:cantSplit/>
        </w:trPr>
        <w:tc>
          <w:tcPr/>
          <w:p>
            <w:pPr>
              <w:pStyle w:val="Compact"/>
              <w:jc w:val="center"/>
            </w:pPr>
            <w:r>
              <w:t xml:space="preserve">4</w:t>
            </w:r>
          </w:p>
        </w:tc>
        <w:tc>
          <w:tcPr/>
          <w:p>
            <w:pPr>
              <w:pStyle w:val="Compact"/>
              <w:jc w:val="left"/>
            </w:pPr>
            <w:r>
              <w:t xml:space="preserve">Stable; probably needs one resource</w:t>
            </w:r>
          </w:p>
        </w:tc>
        <w:tc>
          <w:tcPr/>
          <w:p>
            <w:pPr>
              <w:pStyle w:val="Compact"/>
              <w:jc w:val="center"/>
            </w:pPr>
            <w:r>
              <w:t xml:space="preserve">1</w:t>
            </w:r>
          </w:p>
        </w:tc>
        <w:tc>
          <w:tcPr/>
          <w:p>
            <w:pPr>
              <w:pStyle w:val="Compact"/>
              <w:jc w:val="center"/>
            </w:pPr>
            <w:r>
              <w:t xml:space="preserve">no</w:t>
            </w:r>
          </w:p>
        </w:tc>
      </w:tr>
      <w:tr>
        <w:trPr>
          <w:cantSplit/>
        </w:trPr>
        <w:tc>
          <w:tcPr/>
          <w:p>
            <w:pPr>
              <w:pStyle w:val="Compact"/>
              <w:jc w:val="center"/>
            </w:pPr>
            <w:r>
              <w:t xml:space="preserve">5</w:t>
            </w:r>
          </w:p>
        </w:tc>
        <w:tc>
          <w:tcPr/>
          <w:p>
            <w:pPr>
              <w:pStyle w:val="Compact"/>
              <w:jc w:val="left"/>
            </w:pPr>
            <w:r>
              <w:t xml:space="preserve">Stable; probably needs no resources</w:t>
            </w:r>
          </w:p>
        </w:tc>
        <w:tc>
          <w:tcPr/>
          <w:p>
            <w:pPr>
              <w:pStyle w:val="Compact"/>
              <w:jc w:val="center"/>
            </w:pPr>
            <w:r>
              <w:t xml:space="preserve">0</w:t>
            </w:r>
          </w:p>
        </w:tc>
        <w:tc>
          <w:tcPr/>
          <w:p>
            <w:pPr>
              <w:pStyle w:val="Compact"/>
              <w:jc w:val="center"/>
            </w:pPr>
            <w:r>
              <w:t xml:space="preserve">no</w:t>
            </w:r>
          </w:p>
        </w:tc>
      </w:tr>
    </w:tbl>
    <w:p>
      <w:pPr>
        <w:pStyle w:val="BodyText"/>
        <w:spacing w:before="200"/>
      </w:pPr>
      <w:r>
        <w:t xml:space="preserve">Table 12 is a placeholder for a referral policy that the Provincial Health Office may issue. The proofs in Section 3.2 use only one property of λ: it never decreases as urgency increases, so a more urgent patient never needs a lower service level.</w:t>
      </w:r>
    </w:p>
    <w:bookmarkEnd w:id="106"/>
    <w:bookmarkStart w:id="119" w:name="Xdad42e5adb158814ecd7d36a6c2edded606cea8"/>
    <w:p>
      <w:pPr>
        <w:pStyle w:val="Heading2"/>
      </w:pPr>
      <w:r>
        <w:t xml:space="preserve">2.10 Finding the Nearest Suitable Hospital and Its Backups</w:t>
      </w:r>
    </w:p>
    <w:p>
      <w:pPr>
        <w:pStyle w:val="FirstParagraph"/>
      </w:pPr>
      <w:r>
        <w:rPr>
          <w:bCs/>
          <w:b/>
        </w:rPr>
        <w:t xml:space="preserve">Definition 17 (Suitable hospital).</w:t>
      </w:r>
      <w:r>
        <w:t xml:space="preserve"> </w:t>
      </w:r>
      <w:r>
        <w:t xml:space="preserve">At time</w:t>
      </w:r>
      <w:r>
        <w:t xml:space="preserve"> </w:t>
      </w:r>
      <w:r>
        <w:rPr>
          <w:iCs/>
          <w:i/>
        </w:rPr>
        <w:t xml:space="preserve">t</w:t>
      </w:r>
      <w:r>
        <w:t xml:space="preserve">, hospital</w:t>
      </w:r>
      <w:r>
        <w:t xml:space="preserve"> </w:t>
      </w:r>
      <w:r>
        <w:rPr>
          <w:iCs/>
          <w:i/>
        </w:rPr>
        <w:t xml:space="preserve">h</w:t>
      </w:r>
      <w:r>
        <w:t xml:space="preserve"> </w:t>
      </w:r>
      <w:r>
        <w:t xml:space="preserve">suits profile π when Φ(</w:t>
      </w:r>
      <w:r>
        <w:rPr>
          <w:iCs/>
          <w:i/>
        </w:rPr>
        <w:t xml:space="preserve">h</w:t>
      </w:r>
      <w:r>
        <w:t xml:space="preserve">; π,</w:t>
      </w:r>
      <w:r>
        <w:t xml:space="preserve"> </w:t>
      </w:r>
      <w:r>
        <w:rPr>
          <w:iCs/>
          <w:i/>
        </w:rPr>
        <w:t xml:space="preserve">t</w:t>
      </w:r>
      <w:r>
        <w:t xml:space="preserve">) = 1, where</w:t>
      </w:r>
    </w:p>
    <w:p>
      <w:pPr>
        <w:pStyle w:val="Equation"/>
      </w:pPr>
      <w:r>
        <w:tab/>
      </w:r>
      <w:r>
        <w:drawing>
          <wp:inline>
            <wp:extent cx="4020616" cy="366674"/>
            <wp:effectExtent b="0" l="0" r="0" t="0"/>
            <wp:docPr descr="" title="" id="108" name="Picture"/>
            <a:graphic>
              <a:graphicData uri="http://schemas.openxmlformats.org/drawingml/2006/picture">
                <pic:pic>
                  <pic:nvPicPr>
                    <pic:cNvPr descr="eq/eq16.png" id="109" name="Picture"/>
                    <pic:cNvPicPr>
                      <a:picLocks noChangeArrowheads="1" noChangeAspect="1"/>
                    </pic:cNvPicPr>
                  </pic:nvPicPr>
                  <pic:blipFill>
                    <a:blip r:embed="rId107"/>
                    <a:stretch>
                      <a:fillRect/>
                    </a:stretch>
                  </pic:blipFill>
                  <pic:spPr bwMode="auto">
                    <a:xfrm>
                      <a:off x="0" y="0"/>
                      <a:ext cx="4020616" cy="366674"/>
                    </a:xfrm>
                    <a:prstGeom prst="rect">
                      <a:avLst/>
                    </a:prstGeom>
                    <a:noFill/>
                    <a:ln w="9525">
                      <a:noFill/>
                      <a:headEnd/>
                      <a:tailEnd/>
                    </a:ln>
                  </pic:spPr>
                </pic:pic>
              </a:graphicData>
            </a:graphic>
          </wp:inline>
        </w:drawing>
      </w:r>
      <w:r/>
      <w:r/>
      <w:r>
        <w:rPr>
          <w:rFonts w:ascii="Times New Roman" w:hAnsi="Times New Roman"/>
          <w:sz w:val="24"/>
        </w:rPr>
        <w:tab/>
        <w:t>(16)</w:t>
      </w:r>
    </w:p>
    <w:p>
      <w:pPr>
        <w:pStyle w:val="Source"/>
      </w:pPr>
      <w:r>
        <w:t xml:space="preserve">Source: formulated in this study; service levels from DOH (2012), acuity levels from Gilboy et al. (2011), emergency exception from Republic Act No. 10932 (2017)</w:t>
      </w:r>
    </w:p>
    <w:p>
      <w:pPr>
        <w:pStyle w:val="BodyText"/>
      </w:pPr>
      <w:r>
        <w:t xml:space="preserve">and</w:t>
      </w:r>
      <w:r>
        <w:t xml:space="preserve"> </w:t>
      </w:r>
      <w:r>
        <w:rPr>
          <w:iCs/>
          <w:i/>
        </w:rPr>
        <w:t xml:space="preserve">H</w:t>
      </w:r>
      <w:r>
        <w:rPr>
          <w:vertAlign w:val="subscript"/>
        </w:rPr>
        <w:t xml:space="preserve">π</w:t>
      </w:r>
      <w:r>
        <w:t xml:space="preserve">(</w:t>
      </w:r>
      <w:r>
        <w:rPr>
          <w:iCs/>
          <w:i/>
        </w:rPr>
        <w:t xml:space="preserve">t</w:t>
      </w:r>
      <w:r>
        <w:t xml:space="preserve">) = {</w:t>
      </w:r>
      <w:r>
        <w:t xml:space="preserve"> </w:t>
      </w:r>
      <w:r>
        <w:rPr>
          <w:iCs/>
          <w:i/>
        </w:rPr>
        <w:t xml:space="preserve">h</w:t>
      </w:r>
      <w:r>
        <w:t xml:space="preserve"> </w:t>
      </w:r>
      <w:r>
        <w:t xml:space="preserve">∈</w:t>
      </w:r>
      <w:r>
        <w:t xml:space="preserve"> </w:t>
      </w:r>
      <w:r>
        <w:rPr>
          <w:iCs/>
          <w:i/>
        </w:rPr>
        <w:t xml:space="preserve">H</w:t>
      </w:r>
      <w:r>
        <w:t xml:space="preserve"> </w:t>
      </w:r>
      <w:r>
        <w:t xml:space="preserve">: Φ(</w:t>
      </w:r>
      <w:r>
        <w:rPr>
          <w:iCs/>
          <w:i/>
        </w:rPr>
        <w:t xml:space="preserve">h</w:t>
      </w:r>
      <w:r>
        <w:t xml:space="preserve">; π,</w:t>
      </w:r>
      <w:r>
        <w:t xml:space="preserve"> </w:t>
      </w:r>
      <w:r>
        <w:rPr>
          <w:iCs/>
          <w:i/>
        </w:rPr>
        <w:t xml:space="preserve">t</w:t>
      </w:r>
      <w:r>
        <w:t xml:space="preserve">) = 1 } is the suitable set. The five factors check, in order, the hospital’s level, its services, its emergency room, its beds, and its cost.</w:t>
      </w:r>
    </w:p>
    <w:p>
      <w:pPr>
        <w:pStyle w:val="BodyText"/>
      </w:pPr>
      <w:r>
        <w:t xml:space="preserve">Three choices in Equation (16) need explaining. First, a hospital whose status is UNKNOWN stays in the suitable set.</w:t>
      </w:r>
    </w:p>
    <w:p>
      <w:pPr>
        <w:pStyle w:val="BodyText"/>
      </w:pPr>
      <w:r>
        <w:rPr>
          <w:bCs/>
          <w:b/>
        </w:rPr>
        <w:t xml:space="preserve">Definition 18 (Nearest suitable hospital and backup list).</w:t>
      </w:r>
      <w:r>
        <w:t xml:space="preserve"> </w:t>
      </w:r>
      <w:r>
        <w:t xml:space="preserve">For an origin</w:t>
      </w:r>
      <w:r>
        <w:t xml:space="preserve"> </w:t>
      </w:r>
      <w:r>
        <w:rPr>
          <w:iCs/>
          <w:i/>
        </w:rPr>
        <w:t xml:space="preserve">o</w:t>
      </w:r>
      <w:r>
        <w:t xml:space="preserve">, a time</w:t>
      </w:r>
      <w:r>
        <w:t xml:space="preserve"> </w:t>
      </w:r>
      <w:r>
        <w:rPr>
          <w:iCs/>
          <w:i/>
        </w:rPr>
        <w:t xml:space="preserve">t</w:t>
      </w:r>
      <w:r>
        <w:t xml:space="preserve">, a profile π, and a mode</w:t>
      </w:r>
      <w:r>
        <w:t xml:space="preserve"> </w:t>
      </w:r>
      <w:r>
        <w:rPr>
          <w:iCs/>
          <w:i/>
        </w:rPr>
        <w:t xml:space="preserve">x</w:t>
      </w:r>
      <w:r>
        <w:t xml:space="preserve">, let</w:t>
      </w:r>
      <w:r>
        <w:t xml:space="preserve"> </w:t>
      </w:r>
      <w:r>
        <w:rPr>
          <w:iCs/>
          <w:i/>
        </w:rPr>
        <w:t xml:space="preserve">T</w:t>
      </w:r>
      <w:r>
        <w:rPr>
          <w:iCs/>
          <w:i/>
          <w:vertAlign w:val="subscript"/>
        </w:rPr>
        <w:t xml:space="preserve">x</w:t>
      </w:r>
      <w:r>
        <w:t xml:space="preserve">(</w:t>
      </w:r>
      <w:r>
        <w:rPr>
          <w:iCs/>
          <w:i/>
        </w:rPr>
        <w:t xml:space="preserve">o</w:t>
      </w:r>
      <w:r>
        <w:t xml:space="preserve">,</w:t>
      </w:r>
      <w:r>
        <w:t xml:space="preserve"> </w:t>
      </w:r>
      <w:r>
        <w:rPr>
          <w:iCs/>
          <w:i/>
        </w:rPr>
        <w:t xml:space="preserve">h</w:t>
      </w:r>
      <w:r>
        <w:t xml:space="preserve">,</w:t>
      </w:r>
      <w:r>
        <w:t xml:space="preserve"> </w:t>
      </w:r>
      <w:r>
        <w:rPr>
          <w:iCs/>
          <w:i/>
        </w:rPr>
        <w:t xml:space="preserve">t</w:t>
      </w:r>
      <w:r>
        <w:t xml:space="preserve">) be the travel time from</w:t>
      </w:r>
      <w:r>
        <w:t xml:space="preserve"> </w:t>
      </w:r>
      <w:r>
        <w:rPr>
          <w:iCs/>
          <w:i/>
        </w:rPr>
        <w:t xml:space="preserve">o</w:t>
      </w:r>
      <w:r>
        <w:t xml:space="preserve"> </w:t>
      </w:r>
      <w:r>
        <w:t xml:space="preserve">to hospital</w:t>
      </w:r>
      <w:r>
        <w:t xml:space="preserve"> </w:t>
      </w:r>
      <w:r>
        <w:rPr>
          <w:iCs/>
          <w:i/>
        </w:rPr>
        <w:t xml:space="preserve">h</w:t>
      </w:r>
      <w:r>
        <w:t xml:space="preserve">. In ambulance mode it is the shortest-path time from</w:t>
      </w:r>
      <w:r>
        <w:t xml:space="preserve"> </w:t>
      </w:r>
      <w:r>
        <w:rPr>
          <w:iCs/>
          <w:i/>
        </w:rPr>
        <w:t xml:space="preserve">o</w:t>
      </w:r>
      <w:r>
        <w:t xml:space="preserve"> </w:t>
      </w:r>
      <w:r>
        <w:t xml:space="preserve">to</w:t>
      </w:r>
      <w:r>
        <w:t xml:space="preserve"> </w:t>
      </w:r>
      <w:r>
        <w:rPr>
          <w:iCs/>
          <w:i/>
        </w:rPr>
        <w:t xml:space="preserve">v</w:t>
      </w:r>
      <w:r>
        <w:rPr>
          <w:iCs/>
          <w:i/>
          <w:vertAlign w:val="subscript"/>
        </w:rPr>
        <w:t xml:space="preserve">h</w:t>
      </w:r>
      <w:r>
        <w:t xml:space="preserve"> </w:t>
      </w:r>
      <w:r>
        <w:t xml:space="preserve">on the ambulance subgraph</w:t>
      </w:r>
      <w:r>
        <w:t xml:space="preserve"> </w:t>
      </w:r>
      <w:r>
        <w:rPr>
          <w:iCs/>
          <w:i/>
        </w:rPr>
        <w:t xml:space="preserve">G</w:t>
      </w:r>
      <w:r>
        <w:rPr>
          <w:vertAlign w:val="subscript"/>
        </w:rPr>
        <w:t xml:space="preserve">γ</w:t>
      </w:r>
      <w:r>
        <w:rPr>
          <w:iCs/>
          <w:i/>
          <w:vertAlign w:val="subscript"/>
        </w:rPr>
        <w:t xml:space="preserve">amb</w:t>
      </w:r>
      <w:r>
        <w:t xml:space="preserve"> </w:t>
      </w:r>
      <w:r>
        <w:t xml:space="preserve">of Definition 11, with arc times ℓ</w:t>
      </w:r>
      <w:r>
        <w:rPr>
          <w:iCs/>
          <w:i/>
          <w:vertAlign w:val="subscript"/>
        </w:rPr>
        <w:t xml:space="preserve">e</w:t>
      </w:r>
      <w:r>
        <w:t xml:space="preserve"> </w:t>
      </w:r>
      <w:r>
        <w:t xml:space="preserve">/</w:t>
      </w:r>
      <w:r>
        <w:t xml:space="preserve"> </w:t>
      </w:r>
      <w:r>
        <w:rPr>
          <w:iCs/>
          <w:i/>
        </w:rPr>
        <w:t xml:space="preserve">v</w:t>
      </w:r>
      <w:r>
        <w:rPr>
          <w:iCs/>
          <w:i/>
          <w:vertAlign w:val="subscript"/>
        </w:rPr>
        <w:t xml:space="preserve">e</w:t>
      </w:r>
      <w:r>
        <w:t xml:space="preserve">. In patient mode a sink vertex</w:t>
      </w:r>
      <w:r>
        <w:t xml:space="preserve"> </w:t>
      </w:r>
      <w:r>
        <w:rPr>
          <w:iCs/>
          <w:i/>
        </w:rPr>
        <w:t xml:space="preserve">z</w:t>
      </w:r>
      <w:r>
        <w:rPr>
          <w:iCs/>
          <w:i/>
          <w:vertAlign w:val="subscript"/>
        </w:rPr>
        <w:t xml:space="preserve">h</w:t>
      </w:r>
      <w:r>
        <w:t xml:space="preserve"> </w:t>
      </w:r>
      <w:r>
        <w:t xml:space="preserve">is added to the graph of Definition 5 for every hospital. The sink is reached from each arrival event at a stop within walking distance of</w:t>
      </w:r>
      <w:r>
        <w:t xml:space="preserve"> </w:t>
      </w:r>
      <w:r>
        <w:rPr>
          <w:iCs/>
          <w:i/>
        </w:rPr>
        <w:t xml:space="preserve">h</w:t>
      </w:r>
      <w:r>
        <w:t xml:space="preserve"> </w:t>
      </w:r>
      <w:r>
        <w:t xml:space="preserve">by an arc whose duration is the walking time to the hospital, computed with the walking speed</w:t>
      </w:r>
      <w:r>
        <w:t xml:space="preserve"> </w:t>
      </w:r>
      <w:r>
        <w:rPr>
          <w:iCs/>
          <w:i/>
        </w:rPr>
        <w:t xml:space="preserve">v</w:t>
      </w:r>
      <w:r>
        <w:rPr>
          <w:iCs/>
          <w:i/>
          <w:vertAlign w:val="subscript"/>
        </w:rPr>
        <w:t xml:space="preserve">m</w:t>
      </w:r>
      <w:r>
        <w:t xml:space="preserve"> </w:t>
      </w:r>
      <w:r>
        <w:t xml:space="preserve">and capped at</w:t>
      </w:r>
      <w:r>
        <w:t xml:space="preserve"> </w:t>
      </w:r>
      <w:r>
        <w:rPr>
          <w:iCs/>
          <w:i/>
        </w:rPr>
        <w:t xml:space="preserve">t̄</w:t>
      </w:r>
      <w:r>
        <w:rPr>
          <w:iCs/>
          <w:i/>
          <w:vertAlign w:val="subscript"/>
        </w:rPr>
        <w:t xml:space="preserve">m</w:t>
      </w:r>
      <w:r>
        <w:t xml:space="preserve"> </w:t>
      </w:r>
      <w:r>
        <w:t xml:space="preserve">of the patient’s mobility class; walk arcs between stops use the same two values. Then</w:t>
      </w:r>
      <w:r>
        <w:t xml:space="preserve"> </w:t>
      </w:r>
      <w:r>
        <w:rPr>
          <w:iCs/>
          <w:i/>
        </w:rPr>
        <w:t xml:space="preserve">T</w:t>
      </w:r>
      <w:r>
        <w:rPr>
          <w:iCs/>
          <w:i/>
          <w:vertAlign w:val="subscript"/>
        </w:rPr>
        <w:t xml:space="preserve">pt</w:t>
      </w:r>
      <w:r>
        <w:t xml:space="preserve">(</w:t>
      </w:r>
      <w:r>
        <w:rPr>
          <w:iCs/>
          <w:i/>
        </w:rPr>
        <w:t xml:space="preserve">o</w:t>
      </w:r>
      <w:r>
        <w:t xml:space="preserve">,</w:t>
      </w:r>
      <w:r>
        <w:t xml:space="preserve"> </w:t>
      </w:r>
      <w:r>
        <w:rPr>
          <w:iCs/>
          <w:i/>
        </w:rPr>
        <w:t xml:space="preserve">h</w:t>
      </w:r>
      <w:r>
        <w:t xml:space="preserve">,</w:t>
      </w:r>
      <w:r>
        <w:t xml:space="preserve"> </w:t>
      </w:r>
      <w:r>
        <w:rPr>
          <w:iCs/>
          <w:i/>
        </w:rPr>
        <w:t xml:space="preserve">t</w:t>
      </w:r>
      <w:r>
        <w:t xml:space="preserve">) = τ</w:t>
      </w:r>
      <w:r>
        <w:rPr>
          <w:vertAlign w:val="superscript"/>
        </w:rPr>
        <w:t xml:space="preserve">∗</w:t>
      </w:r>
      <w:r>
        <w:rPr>
          <w:iCs/>
          <w:i/>
          <w:vertAlign w:val="subscript"/>
        </w:rPr>
        <w:t xml:space="preserve">m</w:t>
      </w:r>
      <w:r>
        <w:t xml:space="preserve">(</w:t>
      </w:r>
      <w:r>
        <w:rPr>
          <w:iCs/>
          <w:i/>
        </w:rPr>
        <w:t xml:space="preserve">o</w:t>
      </w:r>
      <w:r>
        <w:t xml:space="preserve">,</w:t>
      </w:r>
      <w:r>
        <w:t xml:space="preserve"> </w:t>
      </w:r>
      <w:r>
        <w:rPr>
          <w:iCs/>
          <w:i/>
        </w:rPr>
        <w:t xml:space="preserve">z</w:t>
      </w:r>
      <w:r>
        <w:rPr>
          <w:iCs/>
          <w:i/>
          <w:vertAlign w:val="subscript"/>
        </w:rPr>
        <w:t xml:space="preserve">h</w:t>
      </w:r>
      <w:r>
        <w:t xml:space="preserve">,</w:t>
      </w:r>
      <w:r>
        <w:t xml:space="preserve"> </w:t>
      </w:r>
      <w:r>
        <w:rPr>
          <w:iCs/>
          <w:i/>
        </w:rPr>
        <w:t xml:space="preserve">t</w:t>
      </w:r>
      <w:r>
        <w:t xml:space="preserve">) −</w:t>
      </w:r>
      <w:r>
        <w:t xml:space="preserve"> </w:t>
      </w:r>
      <w:r>
        <w:rPr>
          <w:iCs/>
          <w:i/>
        </w:rPr>
        <w:t xml:space="preserve">t</w:t>
      </w:r>
      <w:r>
        <w:t xml:space="preserve">. Rank the suitable hospitals by the key</w:t>
      </w:r>
    </w:p>
    <w:p>
      <w:pPr>
        <w:pStyle w:val="Equation"/>
      </w:pPr>
      <w:r>
        <w:tab/>
      </w:r>
      <w:r>
        <w:drawing>
          <wp:inline>
            <wp:extent cx="4253788" cy="514807"/>
            <wp:effectExtent b="0" l="0" r="0" t="0"/>
            <wp:docPr descr="" title="" id="111" name="Picture"/>
            <a:graphic>
              <a:graphicData uri="http://schemas.openxmlformats.org/drawingml/2006/picture">
                <pic:pic>
                  <pic:nvPicPr>
                    <pic:cNvPr descr="eq/eq17.png" id="112" name="Picture"/>
                    <pic:cNvPicPr>
                      <a:picLocks noChangeArrowheads="1" noChangeAspect="1"/>
                    </pic:cNvPicPr>
                  </pic:nvPicPr>
                  <pic:blipFill>
                    <a:blip r:embed="rId110"/>
                    <a:stretch>
                      <a:fillRect/>
                    </a:stretch>
                  </pic:blipFill>
                  <pic:spPr bwMode="auto">
                    <a:xfrm>
                      <a:off x="0" y="0"/>
                      <a:ext cx="4253788" cy="514807"/>
                    </a:xfrm>
                    <a:prstGeom prst="rect">
                      <a:avLst/>
                    </a:prstGeom>
                    <a:noFill/>
                    <a:ln w="9525">
                      <a:noFill/>
                      <a:headEnd/>
                      <a:tailEnd/>
                    </a:ln>
                  </pic:spPr>
                </pic:pic>
              </a:graphicData>
            </a:graphic>
          </wp:inline>
        </w:drawing>
      </w:r>
      <w:r/>
      <w:r/>
      <w:r>
        <w:rPr>
          <w:rFonts w:ascii="Times New Roman" w:hAnsi="Times New Roman"/>
          <w:sz w:val="24"/>
        </w:rPr>
        <w:tab/>
        <w:t>(17)</w:t>
      </w:r>
    </w:p>
    <w:p>
      <w:pPr>
        <w:pStyle w:val="Source"/>
      </w:pPr>
      <w:r>
        <w:t xml:space="preserve">Source: formulated in this study (Definition 18)</w:t>
      </w:r>
    </w:p>
    <w:p>
      <w:pPr>
        <w:pStyle w:val="BodyText"/>
      </w:pPr>
      <w:r>
        <w:t xml:space="preserve">compared lexicographically. Ties in travel time go to the hospital with more free beds, and then to the smaller identifier; a hospital with UNKNOWN status counts as having zero free beds for this purpose.</w:t>
      </w:r>
    </w:p>
    <w:p>
      <w:pPr>
        <w:pStyle w:val="BodyText"/>
      </w:pPr>
      <w:r>
        <w:t xml:space="preserve">The backup list answers problem P8. A hospital may become full between its last report and the patient’s arrival, and an ambulance crew turned away at the door should already know where to go next and how much longer that trip takes.</w:t>
      </w:r>
    </w:p>
    <w:p>
      <w:pPr>
        <w:pStyle w:val="BodyText"/>
      </w:pPr>
      <w:r>
        <w:rPr>
          <w:bCs/>
          <w:b/>
        </w:rPr>
        <w:t xml:space="preserve">Definition 19 (Stabilization rule).</w:t>
      </w:r>
      <w:r>
        <w:t xml:space="preserve"> </w:t>
      </w:r>
      <w:r>
        <w:t xml:space="preserve">The rule applies only when κ = 1. Let</w:t>
      </w:r>
      <w:r>
        <w:t xml:space="preserve"> </w:t>
      </w:r>
      <w:r>
        <w:rPr>
          <w:iCs/>
          <w:i/>
        </w:rPr>
        <w:t xml:space="preserve">h</w:t>
      </w:r>
      <w:r>
        <w:t xml:space="preserve">° be the nearest hospital with an emergency room (</w:t>
      </w:r>
      <w:r>
        <w:rPr>
          <w:iCs/>
          <w:i/>
        </w:rPr>
        <w:t xml:space="preserve">e</w:t>
      </w:r>
      <w:r>
        <w:rPr>
          <w:iCs/>
          <w:i/>
          <w:vertAlign w:val="subscript"/>
        </w:rPr>
        <w:t xml:space="preserve">h</w:t>
      </w:r>
      <w:r>
        <w:t xml:space="preserve"> </w:t>
      </w:r>
      <w:r>
        <w:t xml:space="preserve">= 1) whose status is not FULL, ignoring its level, services, and cost class. If such a hospital exists and</w:t>
      </w:r>
    </w:p>
    <w:p>
      <w:pPr>
        <w:pStyle w:val="Equation"/>
      </w:pPr>
      <w:r>
        <w:tab/>
      </w:r>
      <w:r>
        <w:drawing>
          <wp:inline>
            <wp:extent cx="2157069" cy="159105"/>
            <wp:effectExtent b="0" l="0" r="0" t="0"/>
            <wp:docPr descr="" title="" id="114" name="Picture"/>
            <a:graphic>
              <a:graphicData uri="http://schemas.openxmlformats.org/drawingml/2006/picture">
                <pic:pic>
                  <pic:nvPicPr>
                    <pic:cNvPr descr="eq/eq18.png" id="115" name="Picture"/>
                    <pic:cNvPicPr>
                      <a:picLocks noChangeArrowheads="1" noChangeAspect="1"/>
                    </pic:cNvPicPr>
                  </pic:nvPicPr>
                  <pic:blipFill>
                    <a:blip r:embed="rId113"/>
                    <a:stretch>
                      <a:fillRect/>
                    </a:stretch>
                  </pic:blipFill>
                  <pic:spPr bwMode="auto">
                    <a:xfrm>
                      <a:off x="0" y="0"/>
                      <a:ext cx="2157069" cy="159105"/>
                    </a:xfrm>
                    <a:prstGeom prst="rect">
                      <a:avLst/>
                    </a:prstGeom>
                    <a:noFill/>
                    <a:ln w="9525">
                      <a:noFill/>
                      <a:headEnd/>
                      <a:tailEnd/>
                    </a:ln>
                  </pic:spPr>
                </pic:pic>
              </a:graphicData>
            </a:graphic>
          </wp:inline>
        </w:drawing>
      </w:r>
      <w:r/>
      <w:r/>
      <w:r>
        <w:rPr>
          <w:rFonts w:ascii="Times New Roman" w:hAnsi="Times New Roman"/>
          <w:sz w:val="24"/>
        </w:rPr>
        <w:tab/>
        <w:t>(18)</w:t>
      </w:r>
    </w:p>
    <w:p>
      <w:pPr>
        <w:pStyle w:val="Source"/>
      </w:pPr>
      <w:r>
        <w:t xml:space="preserve">Source: formulated in this study (Definition 19)</w:t>
      </w:r>
    </w:p>
    <w:p>
      <w:pPr>
        <w:pStyle w:val="BodyText"/>
      </w:pPr>
      <w:r>
        <w:t xml:space="preserve">the application returns</w:t>
      </w:r>
      <w:r>
        <w:t xml:space="preserve"> </w:t>
      </w:r>
      <w:r>
        <w:rPr>
          <w:iCs/>
          <w:i/>
        </w:rPr>
        <w:t xml:space="preserve">h</w:t>
      </w:r>
      <w:r>
        <w:t xml:space="preserve">° first, with the message</w:t>
      </w:r>
      <w:r>
        <w:t xml:space="preserve"> </w:t>
      </w:r>
      <w:r>
        <w:t xml:space="preserve">“</w:t>
      </w:r>
      <w:r>
        <w:t xml:space="preserve">stabilize, then transfer to</w:t>
      </w:r>
      <w:r>
        <w:t xml:space="preserve"> </w:t>
      </w:r>
      <w:r>
        <w:rPr>
          <w:iCs/>
          <w:i/>
        </w:rPr>
        <w:t xml:space="preserve">h</w:t>
      </w:r>
      <w:r>
        <w:rPr>
          <w:vertAlign w:val="superscript"/>
        </w:rPr>
        <w:t xml:space="preserve">∗</w:t>
      </w:r>
      <w:r>
        <w:t xml:space="preserve">,</w:t>
      </w:r>
      <w:r>
        <w:t xml:space="preserve">”</w:t>
      </w:r>
      <w:r>
        <w:t xml:space="preserve"> </w:t>
      </w:r>
      <w:r>
        <w:t xml:space="preserve">and</w:t>
      </w:r>
      <w:r>
        <w:t xml:space="preserve"> </w:t>
      </w:r>
      <w:r>
        <w:rPr>
          <w:iCs/>
          <w:i/>
        </w:rPr>
        <w:t xml:space="preserve">h</w:t>
      </w:r>
      <w:r>
        <w:rPr>
          <w:vertAlign w:val="superscript"/>
        </w:rPr>
        <w:t xml:space="preserve">∗</w:t>
      </w:r>
      <w:r>
        <w:t xml:space="preserve"> </w:t>
      </w:r>
      <w:r>
        <w:t xml:space="preserve">second. A patient who needs immediate life-saving care should not pass an open emergency room on the way to a Level 3 hospital.</w:t>
      </w:r>
    </w:p>
    <w:p>
      <w:pPr>
        <w:pStyle w:val="BodyText"/>
      </w:pPr>
      <w:r>
        <w:t xml:space="preserve">Figure 3 shows the steps of hospital mode, and Algorithm 1 gives the search.</w:t>
      </w:r>
    </w:p>
    <w:p>
      <w:pPr>
        <w:pStyle w:val="CaptionedFigure"/>
      </w:pPr>
      <w:r>
        <w:drawing>
          <wp:inline>
            <wp:extent cx="5943600" cy="2964569"/>
            <wp:effectExtent b="0" l="0" r="0" t="0"/>
            <wp:docPr descr="Figure 3. Steps of hospital mode, from the patient’s inputs to the recommendation. Orange boxes depend on the agent network or are shown to the user." title="" id="117" name="Picture"/>
            <a:graphic>
              <a:graphicData uri="http://schemas.openxmlformats.org/drawingml/2006/picture">
                <pic:pic>
                  <pic:nvPicPr>
                    <pic:cNvPr descr="fig/fig3_hospital_mode.png" id="118" name="Picture"/>
                    <pic:cNvPicPr>
                      <a:picLocks noChangeArrowheads="1" noChangeAspect="1"/>
                    </pic:cNvPicPr>
                  </pic:nvPicPr>
                  <pic:blipFill>
                    <a:blip r:embed="rId116"/>
                    <a:stretch>
                      <a:fillRect/>
                    </a:stretch>
                  </pic:blipFill>
                  <pic:spPr bwMode="auto">
                    <a:xfrm>
                      <a:off x="0" y="0"/>
                      <a:ext cx="5943600" cy="2964569"/>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Steps of hospital mode, from the patient’s inputs to the recommendation. Orange boxes depend on the agent network or are shown to the user.</w:t>
      </w:r>
    </w:p>
    <w:p>
      <w:pPr>
        <w:pStyle w:val="AlgoTitle"/>
      </w:pPr>
      <w:r>
        <w:rPr>
          <w:bCs/>
          <w:b/>
        </w:rPr>
        <w:t xml:space="preserve">Algorithm 1.</w:t>
      </w:r>
      <w:r>
        <w:t xml:space="preserve"> </w:t>
      </w:r>
      <w:r>
        <w:t xml:space="preserve">Hospital mode for one patient (early-stopping search with backups)</w:t>
      </w:r>
    </w:p>
    <w:p>
      <w:pPr>
        <w:pStyle w:val="SourceCode"/>
      </w:pPr>
      <w:r>
        <w:rPr>
          <w:rStyle w:val="VerbatimChar"/>
        </w:rPr>
        <w:t xml:space="preserve">Input : origin o, time t, profile pi = (kappa, N, rho, m), mode x, backups k</w:t>
      </w:r>
      <w:r>
        <w:br/>
      </w:r>
      <w:r>
        <w:rPr>
          <w:rStyle w:val="VerbatimChar"/>
        </w:rPr>
        <w:t xml:space="preserve">Output: up to k suitable hospitals in key order, with travel times</w:t>
      </w:r>
      <w:r>
        <w:br/>
      </w:r>
      <w:r>
        <w:rPr>
          <w:rStyle w:val="VerbatimChar"/>
        </w:rPr>
        <w:t xml:space="preserve"> 1  if x = amb: graph &lt;- ambulance subgraph, arc time = length / speed</w:t>
      </w:r>
      <w:r>
        <w:br/>
      </w:r>
      <w:r>
        <w:rPr>
          <w:rStyle w:val="VerbatimChar"/>
        </w:rPr>
        <w:t xml:space="preserve"> 2  else:       graph &lt;- time-expanded graph with hospital sinks,</w:t>
      </w:r>
      <w:r>
        <w:br/>
      </w:r>
      <w:r>
        <w:rPr>
          <w:rStyle w:val="VerbatimChar"/>
        </w:rPr>
        <w:t xml:space="preserve">                         walking speed v_m and walking cap t_m</w:t>
      </w:r>
      <w:r>
        <w:br/>
      </w:r>
      <w:r>
        <w:rPr>
          <w:rStyle w:val="VerbatimChar"/>
        </w:rPr>
        <w:t xml:space="preserve"> 3  Q &lt;- priority queue holding the origin with label t</w:t>
      </w:r>
      <w:r>
        <w:br/>
      </w:r>
      <w:r>
        <w:rPr>
          <w:rStyle w:val="VerbatimChar"/>
        </w:rPr>
        <w:t xml:space="preserve"> 4  found &lt;- empty list;  bound &lt;- +infinity</w:t>
      </w:r>
      <w:r>
        <w:br/>
      </w:r>
      <w:r>
        <w:rPr>
          <w:rStyle w:val="VerbatimChar"/>
        </w:rPr>
        <w:t xml:space="preserve"> 5  while Q is not empty:</w:t>
      </w:r>
      <w:r>
        <w:br/>
      </w:r>
      <w:r>
        <w:rPr>
          <w:rStyle w:val="VerbatimChar"/>
        </w:rPr>
        <w:t xml:space="preserve"> 6      (label, u) &lt;- extract the smallest label from Q</w:t>
      </w:r>
      <w:r>
        <w:br/>
      </w:r>
      <w:r>
        <w:rPr>
          <w:rStyle w:val="VerbatimChar"/>
        </w:rPr>
        <w:t xml:space="preserve"> 7      if label &gt; bound: stop</w:t>
      </w:r>
      <w:r>
        <w:br/>
      </w:r>
      <w:r>
        <w:rPr>
          <w:rStyle w:val="VerbatimChar"/>
        </w:rPr>
        <w:t xml:space="preserve"> 8      if u is the vertex (or sink) of hospital h and Phi(h; pi, t) = 1:</w:t>
      </w:r>
      <w:r>
        <w:br/>
      </w:r>
      <w:r>
        <w:rPr>
          <w:rStyle w:val="VerbatimChar"/>
        </w:rPr>
        <w:t xml:space="preserve"> 9          add (label - t, -b_h(t), id_h) to found</w:t>
      </w:r>
      <w:r>
        <w:br/>
      </w:r>
      <w:r>
        <w:rPr>
          <w:rStyle w:val="VerbatimChar"/>
        </w:rPr>
        <w:t xml:space="preserve">10          if found has k entries and bound = +infinity: bound &lt;- label</w:t>
      </w:r>
      <w:r>
        <w:br/>
      </w:r>
      <w:r>
        <w:rPr>
          <w:rStyle w:val="VerbatimChar"/>
        </w:rPr>
        <w:t xml:space="preserve">11      relax every arc leaving u</w:t>
      </w:r>
      <w:r>
        <w:br/>
      </w:r>
      <w:r>
        <w:rPr>
          <w:rStyle w:val="VerbatimChar"/>
        </w:rPr>
        <w:t xml:space="preserve">12  sort found by key; keep the first k</w:t>
      </w:r>
      <w:r>
        <w:br/>
      </w:r>
      <w:r>
        <w:rPr>
          <w:rStyle w:val="VerbatimChar"/>
        </w:rPr>
        <w:t xml:space="preserve">13  if kappa = 1: apply the stabilization rule (Definition 19)</w:t>
      </w:r>
      <w:r>
        <w:br/>
      </w:r>
      <w:r>
        <w:rPr>
          <w:rStyle w:val="VerbatimChar"/>
        </w:rPr>
        <w:t xml:space="preserve">14  return found</w:t>
      </w:r>
    </w:p>
    <w:bookmarkEnd w:id="119"/>
    <w:bookmarkStart w:id="135" w:name="Xfeb44c18ee1d73fe99e5a06e06d5c87f2a00765"/>
    <w:p>
      <w:pPr>
        <w:pStyle w:val="Heading2"/>
      </w:pPr>
      <w:r>
        <w:t xml:space="preserve">2.11 Gaps, Catchments, and Bed Access per Person</w:t>
      </w:r>
    </w:p>
    <w:p>
      <w:pPr>
        <w:pStyle w:val="FirstParagraph"/>
      </w:pPr>
      <w:r>
        <w:t xml:space="preserve">The quantities in this section turn single routes into maps and summary figures for planners.</w:t>
      </w:r>
    </w:p>
    <w:p>
      <w:pPr>
        <w:pStyle w:val="BodyText"/>
      </w:pPr>
      <w:r>
        <w:rPr>
          <w:bCs/>
          <w:b/>
        </w:rPr>
        <w:t xml:space="preserve">Definition 20 (Payment, need, and mobility gaps).</w:t>
      </w:r>
      <w:r>
        <w:t xml:space="preserve"> </w:t>
      </w:r>
      <w:r>
        <w:t xml:space="preserve">At origin</w:t>
      </w:r>
      <w:r>
        <w:t xml:space="preserve"> </w:t>
      </w:r>
      <w:r>
        <w:rPr>
          <w:iCs/>
          <w:i/>
        </w:rPr>
        <w:t xml:space="preserve">o</w:t>
      </w:r>
      <w:r>
        <w:t xml:space="preserve"> </w:t>
      </w:r>
      <w:r>
        <w:t xml:space="preserve">and time</w:t>
      </w:r>
      <w:r>
        <w:t xml:space="preserve"> </w:t>
      </w:r>
      <w:r>
        <w:rPr>
          <w:iCs/>
          <w:i/>
        </w:rPr>
        <w:t xml:space="preserve">t</w:t>
      </w:r>
      <w:r>
        <w:t xml:space="preserve">, for a profile π = (κ,</w:t>
      </w:r>
      <w:r>
        <w:t xml:space="preserve"> </w:t>
      </w:r>
      <w:r>
        <w:rPr>
          <w:iCs/>
          <w:i/>
        </w:rPr>
        <w:t xml:space="preserve">N</w:t>
      </w:r>
      <w:r>
        <w:t xml:space="preserve">, ρ,</w:t>
      </w:r>
      <w:r>
        <w:t xml:space="preserve"> </w:t>
      </w:r>
      <w:r>
        <w:rPr>
          <w:iCs/>
          <w:i/>
        </w:rPr>
        <w:t xml:space="preserve">m</w:t>
      </w:r>
      <w:r>
        <w:t xml:space="preserve">),</w:t>
      </w:r>
    </w:p>
    <w:p>
      <w:pPr>
        <w:pStyle w:val="Equation"/>
      </w:pPr>
      <w:r>
        <w:tab/>
      </w:r>
      <w:r>
        <w:drawing>
          <wp:inline>
            <wp:extent cx="4252874" cy="191109"/>
            <wp:effectExtent b="0" l="0" r="0" t="0"/>
            <wp:docPr descr="" title="" id="121" name="Picture"/>
            <a:graphic>
              <a:graphicData uri="http://schemas.openxmlformats.org/drawingml/2006/picture">
                <pic:pic>
                  <pic:nvPicPr>
                    <pic:cNvPr descr="eq/eq19.png" id="122" name="Picture"/>
                    <pic:cNvPicPr>
                      <a:picLocks noChangeArrowheads="1" noChangeAspect="1"/>
                    </pic:cNvPicPr>
                  </pic:nvPicPr>
                  <pic:blipFill>
                    <a:blip r:embed="rId120"/>
                    <a:stretch>
                      <a:fillRect/>
                    </a:stretch>
                  </pic:blipFill>
                  <pic:spPr bwMode="auto">
                    <a:xfrm>
                      <a:off x="0" y="0"/>
                      <a:ext cx="4252874" cy="191109"/>
                    </a:xfrm>
                    <a:prstGeom prst="rect">
                      <a:avLst/>
                    </a:prstGeom>
                    <a:noFill/>
                    <a:ln w="9525">
                      <a:noFill/>
                      <a:headEnd/>
                      <a:tailEnd/>
                    </a:ln>
                  </pic:spPr>
                </pic:pic>
              </a:graphicData>
            </a:graphic>
          </wp:inline>
        </w:drawing>
      </w:r>
      <w:r/>
      <w:r/>
      <w:r>
        <w:rPr>
          <w:rFonts w:ascii="Times New Roman" w:hAnsi="Times New Roman"/>
          <w:sz w:val="24"/>
        </w:rPr>
        <w:tab/>
        <w:t>(19)</w:t>
      </w:r>
    </w:p>
    <w:p>
      <w:pPr>
        <w:pStyle w:val="Equation"/>
      </w:pPr>
      <w:r>
        <w:tab/>
      </w:r>
      <w:r>
        <w:drawing>
          <wp:inline>
            <wp:extent cx="4750308" cy="436168"/>
            <wp:effectExtent b="0" l="0" r="0" t="0"/>
            <wp:docPr descr="" title="" id="124" name="Picture"/>
            <a:graphic>
              <a:graphicData uri="http://schemas.openxmlformats.org/drawingml/2006/picture">
                <pic:pic>
                  <pic:nvPicPr>
                    <pic:cNvPr descr="eq/eq20.png" id="125" name="Picture"/>
                    <pic:cNvPicPr>
                      <a:picLocks noChangeArrowheads="1" noChangeAspect="1"/>
                    </pic:cNvPicPr>
                  </pic:nvPicPr>
                  <pic:blipFill>
                    <a:blip r:embed="rId123"/>
                    <a:stretch>
                      <a:fillRect/>
                    </a:stretch>
                  </pic:blipFill>
                  <pic:spPr bwMode="auto">
                    <a:xfrm>
                      <a:off x="0" y="0"/>
                      <a:ext cx="4750308" cy="436168"/>
                    </a:xfrm>
                    <a:prstGeom prst="rect">
                      <a:avLst/>
                    </a:prstGeom>
                    <a:noFill/>
                    <a:ln w="9525">
                      <a:noFill/>
                      <a:headEnd/>
                      <a:tailEnd/>
                    </a:ln>
                  </pic:spPr>
                </pic:pic>
              </a:graphicData>
            </a:graphic>
          </wp:inline>
        </w:drawing>
      </w:r>
      <w:r/>
      <w:r/>
      <w:r>
        <w:rPr>
          <w:rFonts w:ascii="Times New Roman" w:hAnsi="Times New Roman"/>
          <w:sz w:val="24"/>
        </w:rPr>
        <w:tab/>
        <w:t>(20)</w:t>
      </w:r>
    </w:p>
    <w:p>
      <w:pPr>
        <w:pStyle w:val="Source"/>
      </w:pPr>
      <w:r>
        <w:t xml:space="preserve">Source: formulated in this study (Definition 20)</w:t>
      </w:r>
    </w:p>
    <w:p>
      <w:pPr>
        <w:pStyle w:val="BodyText"/>
      </w:pPr>
      <w:r>
        <w:t xml:space="preserve">with the convention ∞ − ∞ := 0. The payment gap is the extra travel time a patient bears because of what the family can pay.</w:t>
      </w:r>
    </w:p>
    <w:p>
      <w:pPr>
        <w:pStyle w:val="BodyText"/>
      </w:pPr>
      <w:r>
        <w:rPr>
          <w:bCs/>
          <w:b/>
        </w:rPr>
        <w:t xml:space="preserve">Definition 21 (Free-bed accessibility).</w:t>
      </w:r>
      <w:r>
        <w:t xml:space="preserve"> </w:t>
      </w:r>
      <w:r>
        <w:t xml:space="preserve">The free-bed analogues of Definition 7 count the free beds, and the free beds that a patient in payment class ρ may use, within budget θ of anchor</w:t>
      </w:r>
      <w:r>
        <w:t xml:space="preserve"> </w:t>
      </w:r>
      <w:r>
        <w:rPr>
          <w:iCs/>
          <w:i/>
        </w:rPr>
        <w:t xml:space="preserve">a</w:t>
      </w:r>
      <w:r>
        <w:t xml:space="preserve">:</w:t>
      </w:r>
    </w:p>
    <w:p>
      <w:pPr>
        <w:pStyle w:val="Equation"/>
      </w:pPr>
      <w:r>
        <w:tab/>
      </w:r>
      <w:r>
        <w:drawing>
          <wp:inline>
            <wp:extent cx="2643530" cy="828446"/>
            <wp:effectExtent b="0" l="0" r="0" t="0"/>
            <wp:docPr descr="" title="" id="127" name="Picture"/>
            <a:graphic>
              <a:graphicData uri="http://schemas.openxmlformats.org/drawingml/2006/picture">
                <pic:pic>
                  <pic:nvPicPr>
                    <pic:cNvPr descr="eq/eq21.png" id="128" name="Picture"/>
                    <pic:cNvPicPr>
                      <a:picLocks noChangeArrowheads="1" noChangeAspect="1"/>
                    </pic:cNvPicPr>
                  </pic:nvPicPr>
                  <pic:blipFill>
                    <a:blip r:embed="rId126"/>
                    <a:stretch>
                      <a:fillRect/>
                    </a:stretch>
                  </pic:blipFill>
                  <pic:spPr bwMode="auto">
                    <a:xfrm>
                      <a:off x="0" y="0"/>
                      <a:ext cx="2643530" cy="828446"/>
                    </a:xfrm>
                    <a:prstGeom prst="rect">
                      <a:avLst/>
                    </a:prstGeom>
                    <a:noFill/>
                    <a:ln w="9525">
                      <a:noFill/>
                      <a:headEnd/>
                      <a:tailEnd/>
                    </a:ln>
                  </pic:spPr>
                </pic:pic>
              </a:graphicData>
            </a:graphic>
          </wp:inline>
        </w:drawing>
      </w:r>
      <w:r/>
      <w:r/>
      <w:r>
        <w:rPr>
          <w:rFonts w:ascii="Times New Roman" w:hAnsi="Times New Roman"/>
          <w:sz w:val="24"/>
        </w:rPr>
        <w:tab/>
        <w:t>(21)</w:t>
      </w:r>
    </w:p>
    <w:p>
      <w:pPr>
        <w:pStyle w:val="Source"/>
      </w:pPr>
      <w:r>
        <w:t xml:space="preserve">Source: formulated in this study by applying Wachs and Kumagai (1973) to free beds</w:t>
      </w:r>
    </w:p>
    <w:p>
      <w:pPr>
        <w:pStyle w:val="BodyText"/>
      </w:pPr>
      <w:r>
        <w:rPr>
          <w:bCs/>
          <w:b/>
        </w:rPr>
        <w:t xml:space="preserve">Definition 22 (Hospital catchment map).</w:t>
      </w:r>
      <w:r>
        <w:t xml:space="preserve"> </w:t>
      </w:r>
      <w:r>
        <w:t xml:space="preserve">For a profile π and time</w:t>
      </w:r>
      <w:r>
        <w:t xml:space="preserve"> </w:t>
      </w:r>
      <w:r>
        <w:rPr>
          <w:iCs/>
          <w:i/>
        </w:rPr>
        <w:t xml:space="preserve">t</w:t>
      </w:r>
      <w:r>
        <w:t xml:space="preserve"> </w:t>
      </w:r>
      <w:r>
        <w:t xml:space="preserve">in ambulance mode, the catchment of hospital</w:t>
      </w:r>
      <w:r>
        <w:t xml:space="preserve"> </w:t>
      </w:r>
      <w:r>
        <w:rPr>
          <w:iCs/>
          <w:i/>
        </w:rPr>
        <w:t xml:space="preserve">h</w:t>
      </w:r>
      <w:r>
        <w:t xml:space="preserve"> </w:t>
      </w:r>
      <w:r>
        <w:t xml:space="preserve">is</w:t>
      </w:r>
    </w:p>
    <w:p>
      <w:pPr>
        <w:pStyle w:val="Equation"/>
      </w:pPr>
      <w:r>
        <w:tab/>
      </w:r>
      <w:r>
        <w:drawing>
          <wp:inline>
            <wp:extent cx="2515514" cy="159105"/>
            <wp:effectExtent b="0" l="0" r="0" t="0"/>
            <wp:docPr descr="" title="" id="130" name="Picture"/>
            <a:graphic>
              <a:graphicData uri="http://schemas.openxmlformats.org/drawingml/2006/picture">
                <pic:pic>
                  <pic:nvPicPr>
                    <pic:cNvPr descr="eq/eq22.png" id="131" name="Picture"/>
                    <pic:cNvPicPr>
                      <a:picLocks noChangeArrowheads="1" noChangeAspect="1"/>
                    </pic:cNvPicPr>
                  </pic:nvPicPr>
                  <pic:blipFill>
                    <a:blip r:embed="rId129"/>
                    <a:stretch>
                      <a:fillRect/>
                    </a:stretch>
                  </pic:blipFill>
                  <pic:spPr bwMode="auto">
                    <a:xfrm>
                      <a:off x="0" y="0"/>
                      <a:ext cx="2515514" cy="159105"/>
                    </a:xfrm>
                    <a:prstGeom prst="rect">
                      <a:avLst/>
                    </a:prstGeom>
                    <a:noFill/>
                    <a:ln w="9525">
                      <a:noFill/>
                      <a:headEnd/>
                      <a:tailEnd/>
                    </a:ln>
                  </pic:spPr>
                </pic:pic>
              </a:graphicData>
            </a:graphic>
          </wp:inline>
        </w:drawing>
      </w:r>
      <w:r/>
      <w:r/>
      <w:r>
        <w:rPr>
          <w:rFonts w:ascii="Times New Roman" w:hAnsi="Times New Roman"/>
          <w:sz w:val="24"/>
        </w:rPr>
        <w:tab/>
        <w:t>(22)</w:t>
      </w:r>
    </w:p>
    <w:p>
      <w:pPr>
        <w:pStyle w:val="Source"/>
      </w:pPr>
      <w:r>
        <w:t xml:space="preserve">Source: formulated in this study; a network Voronoi diagram in the sense of Okabe et al. (2000) and Erwig (2000), restricted to suitable hospitals</w:t>
      </w:r>
    </w:p>
    <w:p>
      <w:pPr>
        <w:pStyle w:val="BodyText"/>
      </w:pPr>
      <w:r>
        <w:t xml:space="preserve">The catchments are disjoint, and together they cover every road vertex that can reach a suitable hospital. Each catchment is the area that a given hospital would serve for that kind of patient.</w:t>
      </w:r>
    </w:p>
    <w:p>
      <w:pPr>
        <w:pStyle w:val="BodyText"/>
      </w:pPr>
      <w:r>
        <w:rPr>
          <w:bCs/>
          <w:b/>
        </w:rPr>
        <w:t xml:space="preserve">Definition 23 (Bed-to-population ratio and bed desert).</w:t>
      </w:r>
      <w:r>
        <w:t xml:space="preserve"> </w:t>
      </w:r>
      <w:r>
        <w:t xml:space="preserve">Following the two-step floating catchment area method of Luo and Wang (2003), let</w:t>
      </w:r>
      <w:r>
        <w:t xml:space="preserve"> </w:t>
      </w:r>
      <w:r>
        <w:rPr>
          <w:iCs/>
          <w:i/>
        </w:rPr>
        <w:t xml:space="preserve">s</w:t>
      </w:r>
      <w:r>
        <w:rPr>
          <w:iCs/>
          <w:i/>
          <w:vertAlign w:val="subscript"/>
        </w:rPr>
        <w:t xml:space="preserve">h</w:t>
      </w:r>
      <w:r>
        <w:t xml:space="preserve"> </w:t>
      </w:r>
      <w:r>
        <w:t xml:space="preserve">be the supply of hospital</w:t>
      </w:r>
      <w:r>
        <w:t xml:space="preserve"> </w:t>
      </w:r>
      <w:r>
        <w:rPr>
          <w:iCs/>
          <w:i/>
        </w:rPr>
        <w:t xml:space="preserve">h</w:t>
      </w:r>
      <w:r>
        <w:t xml:space="preserve"> </w:t>
      </w:r>
      <w:r>
        <w:t xml:space="preserve">(its authorized beds</w:t>
      </w:r>
      <w:r>
        <w:t xml:space="preserve"> </w:t>
      </w:r>
      <w:r>
        <w:rPr>
          <w:iCs/>
          <w:i/>
        </w:rPr>
        <w:t xml:space="preserve">c</w:t>
      </w:r>
      <w:r>
        <w:rPr>
          <w:iCs/>
          <w:i/>
          <w:vertAlign w:val="subscript"/>
        </w:rPr>
        <w:t xml:space="preserve">h</w:t>
      </w:r>
      <w:r>
        <w:t xml:space="preserve"> </w:t>
      </w:r>
      <w:r>
        <w:t xml:space="preserve">or its free beds</w:t>
      </w:r>
      <w:r>
        <w:t xml:space="preserve"> </w:t>
      </w:r>
      <w:r>
        <w:rPr>
          <w:iCs/>
          <w:i/>
        </w:rPr>
        <w:t xml:space="preserve">b</w:t>
      </w:r>
      <w:r>
        <w:rPr>
          <w:iCs/>
          <w:i/>
          <w:vertAlign w:val="subscript"/>
        </w:rPr>
        <w:t xml:space="preserve">h</w:t>
      </w:r>
      <w:r>
        <w:t xml:space="preserve">(</w:t>
      </w:r>
      <w:r>
        <w:rPr>
          <w:iCs/>
          <w:i/>
        </w:rPr>
        <w:t xml:space="preserve">t</w:t>
      </w:r>
      <w:r>
        <w:t xml:space="preserve">)) and, for budget θ,</w:t>
      </w:r>
    </w:p>
    <w:p>
      <w:pPr>
        <w:pStyle w:val="Equation"/>
      </w:pPr>
      <w:r>
        <w:tab/>
      </w:r>
      <w:r>
        <w:drawing>
          <wp:inline>
            <wp:extent cx="3771900" cy="425196"/>
            <wp:effectExtent b="0" l="0" r="0" t="0"/>
            <wp:docPr descr="" title="" id="133" name="Picture"/>
            <a:graphic>
              <a:graphicData uri="http://schemas.openxmlformats.org/drawingml/2006/picture">
                <pic:pic>
                  <pic:nvPicPr>
                    <pic:cNvPr descr="eq/eq23.png" id="134" name="Picture"/>
                    <pic:cNvPicPr>
                      <a:picLocks noChangeArrowheads="1" noChangeAspect="1"/>
                    </pic:cNvPicPr>
                  </pic:nvPicPr>
                  <pic:blipFill>
                    <a:blip r:embed="rId132"/>
                    <a:stretch>
                      <a:fillRect/>
                    </a:stretch>
                  </pic:blipFill>
                  <pic:spPr bwMode="auto">
                    <a:xfrm>
                      <a:off x="0" y="0"/>
                      <a:ext cx="3771900" cy="425196"/>
                    </a:xfrm>
                    <a:prstGeom prst="rect">
                      <a:avLst/>
                    </a:prstGeom>
                    <a:noFill/>
                    <a:ln w="9525">
                      <a:noFill/>
                      <a:headEnd/>
                      <a:tailEnd/>
                    </a:ln>
                  </pic:spPr>
                </pic:pic>
              </a:graphicData>
            </a:graphic>
          </wp:inline>
        </w:drawing>
      </w:r>
      <w:r/>
      <w:r/>
      <w:r>
        <w:rPr>
          <w:rFonts w:ascii="Times New Roman" w:hAnsi="Times New Roman"/>
          <w:sz w:val="24"/>
        </w:rPr>
        <w:tab/>
        <w:t>(23)</w:t>
      </w:r>
    </w:p>
    <w:p>
      <w:pPr>
        <w:pStyle w:val="Source"/>
      </w:pPr>
      <w:r>
        <w:t xml:space="preserve">Source: Luo and Wang (2003), applied in this study to anchors and to free beds</w:t>
      </w:r>
    </w:p>
    <w:p>
      <w:pPr>
        <w:pStyle w:val="BodyText"/>
      </w:pPr>
      <w:r>
        <w:t xml:space="preserve">with</w:t>
      </w:r>
      <w:r>
        <w:t xml:space="preserve"> </w:t>
      </w:r>
      <w:r>
        <w:rPr>
          <w:iCs/>
          <w:i/>
        </w:rPr>
        <w:t xml:space="preserve">R</w:t>
      </w:r>
      <w:r>
        <w:rPr>
          <w:iCs/>
          <w:i/>
          <w:vertAlign w:val="subscript"/>
        </w:rPr>
        <w:t xml:space="preserve">h</w:t>
      </w:r>
      <w:r>
        <w:t xml:space="preserve">(θ) = 0 when no anchor lies within θ of</w:t>
      </w:r>
      <w:r>
        <w:t xml:space="preserve"> </w:t>
      </w:r>
      <w:r>
        <w:rPr>
          <w:iCs/>
          <w:i/>
        </w:rPr>
        <w:t xml:space="preserve">h</w:t>
      </w:r>
      <w:r>
        <w:t xml:space="preserve">.</w:t>
      </w:r>
      <w:r>
        <w:t xml:space="preserve"> </w:t>
      </w:r>
      <w:r>
        <w:rPr>
          <w:iCs/>
          <w:i/>
        </w:rPr>
        <w:t xml:space="preserve">R</w:t>
      </w:r>
      <w:r>
        <w:rPr>
          <w:iCs/>
          <w:i/>
          <w:vertAlign w:val="subscript"/>
        </w:rPr>
        <w:t xml:space="preserve">h</w:t>
      </w:r>
      <w:r>
        <w:t xml:space="preserve"> </w:t>
      </w:r>
      <w:r>
        <w:t xml:space="preserve">is the number of beds per person in the hospital’s reach, and</w:t>
      </w:r>
      <w:r>
        <w:t xml:space="preserve"> </w:t>
      </w:r>
      <w:r>
        <w:rPr>
          <w:iCs/>
          <w:i/>
        </w:rPr>
        <w:t xml:space="preserve">A</w:t>
      </w:r>
      <w:r>
        <w:rPr>
          <w:iCs/>
          <w:i/>
          <w:vertAlign w:val="superscript"/>
        </w:rPr>
        <w:t xml:space="preserve">F</w:t>
      </w:r>
      <w:r>
        <w:rPr>
          <w:iCs/>
          <w:i/>
          <w:vertAlign w:val="subscript"/>
        </w:rPr>
        <w:t xml:space="preserve">a</w:t>
      </w:r>
      <w:r>
        <w:t xml:space="preserve"> </w:t>
      </w:r>
      <w:r>
        <w:t xml:space="preserve">is the number of beds per person that anchor</w:t>
      </w:r>
      <w:r>
        <w:t xml:space="preserve"> </w:t>
      </w:r>
      <w:r>
        <w:rPr>
          <w:iCs/>
          <w:i/>
        </w:rPr>
        <w:t xml:space="preserve">a</w:t>
      </w:r>
      <w:r>
        <w:t xml:space="preserve"> </w:t>
      </w:r>
      <w:r>
        <w:t xml:space="preserve">can draw on. Results are reported per 10,000 people.</w:t>
      </w:r>
    </w:p>
    <w:p>
      <w:pPr>
        <w:pStyle w:val="BodyText"/>
      </w:pPr>
      <w:r>
        <w:t xml:space="preserve">The difference between Equations (4) and (23) matters to patients. In Equation (4), one bed counts once for every anchor that can reach it, so a bed shared by fifty thousand people looks the same as a bed shared by five hundred.</w:t>
      </w:r>
    </w:p>
    <w:p>
      <w:pPr>
        <w:pStyle w:val="BodyText"/>
      </w:pPr>
      <w:r>
        <w:t xml:space="preserve">Algorithm 2 builds the whole catchment map in one search, and Proposition 14 proves it correct.</w:t>
      </w:r>
    </w:p>
    <w:p>
      <w:pPr>
        <w:pStyle w:val="AlgoTitle"/>
      </w:pPr>
      <w:r>
        <w:rPr>
          <w:bCs/>
          <w:b/>
        </w:rPr>
        <w:t xml:space="preserve">Algorithm 2.</w:t>
      </w:r>
      <w:r>
        <w:t xml:space="preserve"> </w:t>
      </w:r>
      <w:r>
        <w:t xml:space="preserve">Catchment map for one profile from a single search</w:t>
      </w:r>
    </w:p>
    <w:p>
      <w:pPr>
        <w:pStyle w:val="SourceCode"/>
      </w:pPr>
      <w:r>
        <w:rPr>
          <w:rStyle w:val="VerbatimChar"/>
        </w:rPr>
        <w:t xml:space="preserve">Input : ambulance subgraph, profile pi, time t</w:t>
      </w:r>
      <w:r>
        <w:br/>
      </w:r>
      <w:r>
        <w:rPr>
          <w:rStyle w:val="VerbatimChar"/>
        </w:rPr>
        <w:t xml:space="preserve">Output: for every road vertex v: h*(v), T*(v); shortest-path forest F</w:t>
      </w:r>
      <w:r>
        <w:br/>
      </w:r>
      <w:r>
        <w:rPr>
          <w:rStyle w:val="VerbatimChar"/>
        </w:rPr>
        <w:t xml:space="preserve"> 1  reverse every arc of the ambulance subgraph</w:t>
      </w:r>
      <w:r>
        <w:br/>
      </w:r>
      <w:r>
        <w:rPr>
          <w:rStyle w:val="VerbatimChar"/>
        </w:rPr>
        <w:t xml:space="preserve"> 2  for each hospital h with Phi(h; pi, t) = 1:</w:t>
      </w:r>
      <w:r>
        <w:br/>
      </w:r>
      <w:r>
        <w:rPr>
          <w:rStyle w:val="VerbatimChar"/>
        </w:rPr>
        <w:t xml:space="preserve"> 3      insert v_h into Q with label (0, -b_h(t), id_h) and no parent</w:t>
      </w:r>
      <w:r>
        <w:br/>
      </w:r>
      <w:r>
        <w:rPr>
          <w:rStyle w:val="VerbatimChar"/>
        </w:rPr>
        <w:t xml:space="preserve"> 4  while Q is not empty:</w:t>
      </w:r>
      <w:r>
        <w:br/>
      </w:r>
      <w:r>
        <w:rPr>
          <w:rStyle w:val="VerbatimChar"/>
        </w:rPr>
        <w:t xml:space="preserve"> 5      ((d, beta, i), u, p) &lt;- extract the smallest label (lexicographic)</w:t>
      </w:r>
      <w:r>
        <w:br/>
      </w:r>
      <w:r>
        <w:rPr>
          <w:rStyle w:val="VerbatimChar"/>
        </w:rPr>
        <w:t xml:space="preserve"> 6      if u is already labeled: continue</w:t>
      </w:r>
      <w:r>
        <w:br/>
      </w:r>
      <w:r>
        <w:rPr>
          <w:rStyle w:val="VerbatimChar"/>
        </w:rPr>
        <w:t xml:space="preserve"> 7      label(u) &lt;- (d, beta, i);  parent(u) &lt;- p</w:t>
      </w:r>
      <w:r>
        <w:br/>
      </w:r>
      <w:r>
        <w:rPr>
          <w:rStyle w:val="VerbatimChar"/>
        </w:rPr>
        <w:t xml:space="preserve"> 8      for each reversed arc (u, w) with travel time delta:</w:t>
      </w:r>
      <w:r>
        <w:br/>
      </w:r>
      <w:r>
        <w:rPr>
          <w:rStyle w:val="VerbatimChar"/>
        </w:rPr>
        <w:t xml:space="preserve"> 9          if w is unlabeled: push w, label (d + delta, beta, i), parent u</w:t>
      </w:r>
      <w:r>
        <w:br/>
      </w:r>
      <w:r>
        <w:rPr>
          <w:rStyle w:val="VerbatimChar"/>
        </w:rPr>
        <w:t xml:space="preserve">10  F &lt;- { road segment between u and parent(u) : parent(u) exists }</w:t>
      </w:r>
      <w:r>
        <w:br/>
      </w:r>
      <w:r>
        <w:rPr>
          <w:rStyle w:val="VerbatimChar"/>
        </w:rPr>
        <w:t xml:space="preserve">11  return labels and F      (hospital i is h*(u); d is T*(u))</w:t>
      </w:r>
    </w:p>
    <w:bookmarkEnd w:id="135"/>
    <w:bookmarkStart w:id="139" w:name="surge-assignment-many-patients-few-beds"/>
    <w:p>
      <w:pPr>
        <w:pStyle w:val="Heading2"/>
      </w:pPr>
      <w:r>
        <w:t xml:space="preserve">2.12 Surge Assignment: Many Patients, Few Beds</w:t>
      </w:r>
    </w:p>
    <w:p>
      <w:pPr>
        <w:pStyle w:val="FirstParagraph"/>
      </w:pPr>
      <w:r>
        <w:t xml:space="preserve">Hospital mode answers one patient at a time. During a typhoon, an eruption, or a large road crash, many patients need beds at once, and the free beds are shared.</w:t>
      </w:r>
    </w:p>
    <w:p>
      <w:pPr>
        <w:pStyle w:val="BodyText"/>
      </w:pPr>
      <w:r>
        <w:rPr>
          <w:bCs/>
          <w:b/>
        </w:rPr>
        <w:t xml:space="preserve">Definition 24 (Surge assignment).</w:t>
      </w:r>
      <w:r>
        <w:t xml:space="preserve"> </w:t>
      </w:r>
      <w:r>
        <w:t xml:space="preserve">Let patients</w:t>
      </w:r>
      <w:r>
        <w:t xml:space="preserve"> </w:t>
      </w:r>
      <w:r>
        <w:rPr>
          <w:iCs/>
          <w:i/>
        </w:rPr>
        <w:t xml:space="preserve">i</w:t>
      </w:r>
      <w:r>
        <w:t xml:space="preserve"> </w:t>
      </w:r>
      <w:r>
        <w:t xml:space="preserve">= 1, …,</w:t>
      </w:r>
      <w:r>
        <w:t xml:space="preserve"> </w:t>
      </w:r>
      <w:r>
        <w:rPr>
          <w:iCs/>
          <w:i/>
        </w:rPr>
        <w:t xml:space="preserve">n</w:t>
      </w:r>
      <w:r>
        <w:t xml:space="preserve"> </w:t>
      </w:r>
      <w:r>
        <w:t xml:space="preserve">wait at origins</w:t>
      </w:r>
      <w:r>
        <w:t xml:space="preserve"> </w:t>
      </w:r>
      <w:r>
        <w:rPr>
          <w:iCs/>
          <w:i/>
        </w:rPr>
        <w:t xml:space="preserve">o</w:t>
      </w:r>
      <w:r>
        <w:rPr>
          <w:iCs/>
          <w:i/>
          <w:vertAlign w:val="subscript"/>
        </w:rPr>
        <w:t xml:space="preserve">i</w:t>
      </w:r>
      <w:r>
        <w:t xml:space="preserve"> </w:t>
      </w:r>
      <w:r>
        <w:t xml:space="preserve">with profiles π</w:t>
      </w:r>
      <w:r>
        <w:rPr>
          <w:iCs/>
          <w:i/>
          <w:vertAlign w:val="subscript"/>
        </w:rPr>
        <w:t xml:space="preserve">i</w:t>
      </w:r>
      <w:r>
        <w:t xml:space="preserve">, and let each hospital</w:t>
      </w:r>
      <w:r>
        <w:t xml:space="preserve"> </w:t>
      </w:r>
      <w:r>
        <w:rPr>
          <w:iCs/>
          <w:i/>
        </w:rPr>
        <w:t xml:space="preserve">h</w:t>
      </w:r>
      <w:r>
        <w:t xml:space="preserve"> </w:t>
      </w:r>
      <w:r>
        <w:t xml:space="preserve">have</w:t>
      </w:r>
      <w:r>
        <w:t xml:space="preserve"> </w:t>
      </w:r>
      <w:r>
        <w:rPr>
          <w:iCs/>
          <w:i/>
        </w:rPr>
        <w:t xml:space="preserve">b</w:t>
      </w:r>
      <w:r>
        <w:rPr>
          <w:iCs/>
          <w:i/>
          <w:vertAlign w:val="subscript"/>
        </w:rPr>
        <w:t xml:space="preserve">h</w:t>
      </w:r>
      <w:r>
        <w:t xml:space="preserve"> </w:t>
      </w:r>
      <w:r>
        <w:t xml:space="preserve">≥ 0 free beds. Let Φ′(</w:t>
      </w:r>
      <w:r>
        <w:rPr>
          <w:iCs/>
          <w:i/>
        </w:rPr>
        <w:t xml:space="preserve">h</w:t>
      </w:r>
      <w:r>
        <w:t xml:space="preserve">; π</w:t>
      </w:r>
      <w:r>
        <w:rPr>
          <w:iCs/>
          <w:i/>
          <w:vertAlign w:val="subscript"/>
        </w:rPr>
        <w:t xml:space="preserve">i</w:t>
      </w:r>
      <w:r>
        <w:t xml:space="preserve">,</w:t>
      </w:r>
      <w:r>
        <w:t xml:space="preserve"> </w:t>
      </w:r>
      <w:r>
        <w:rPr>
          <w:iCs/>
          <w:i/>
        </w:rPr>
        <w:t xml:space="preserve">t</w:t>
      </w:r>
      <w:r>
        <w:t xml:space="preserve">) be Equation (16) without the FULL factor, since capacity is now handled by</w:t>
      </w:r>
      <w:r>
        <w:t xml:space="preserve"> </w:t>
      </w:r>
      <w:r>
        <w:rPr>
          <w:iCs/>
          <w:i/>
        </w:rPr>
        <w:t xml:space="preserve">b</w:t>
      </w:r>
      <w:r>
        <w:rPr>
          <w:iCs/>
          <w:i/>
          <w:vertAlign w:val="subscript"/>
        </w:rPr>
        <w:t xml:space="preserve">h</w:t>
      </w:r>
      <w:r>
        <w:t xml:space="preserve"> </w:t>
      </w:r>
      <w:r>
        <w:t xml:space="preserve">directly, and let</w:t>
      </w:r>
      <w:r>
        <w:t xml:space="preserve"> </w:t>
      </w:r>
      <w:r>
        <w:rPr>
          <w:iCs/>
          <w:i/>
        </w:rPr>
        <w:t xml:space="preserve">c</w:t>
      </w:r>
      <w:r>
        <w:rPr>
          <w:iCs/>
          <w:i/>
          <w:vertAlign w:val="subscript"/>
        </w:rPr>
        <w:t xml:space="preserve">ih</w:t>
      </w:r>
      <w:r>
        <w:t xml:space="preserve"> </w:t>
      </w:r>
      <w:r>
        <w:t xml:space="preserve">=</w:t>
      </w:r>
      <w:r>
        <w:t xml:space="preserve"> </w:t>
      </w:r>
      <w:r>
        <w:rPr>
          <w:iCs/>
          <w:i/>
        </w:rPr>
        <w:t xml:space="preserve">T</w:t>
      </w:r>
      <w:r>
        <w:rPr>
          <w:iCs/>
          <w:i/>
          <w:vertAlign w:val="subscript"/>
        </w:rPr>
        <w:t xml:space="preserve">x</w:t>
      </w:r>
      <w:r>
        <w:t xml:space="preserve">(</w:t>
      </w:r>
      <w:r>
        <w:rPr>
          <w:iCs/>
          <w:i/>
        </w:rPr>
        <w:t xml:space="preserve">o</w:t>
      </w:r>
      <w:r>
        <w:rPr>
          <w:iCs/>
          <w:i/>
          <w:vertAlign w:val="subscript"/>
        </w:rPr>
        <w:t xml:space="preserve">i</w:t>
      </w:r>
      <w:r>
        <w:t xml:space="preserve">,</w:t>
      </w:r>
      <w:r>
        <w:t xml:space="preserve"> </w:t>
      </w:r>
      <w:r>
        <w:rPr>
          <w:iCs/>
          <w:i/>
        </w:rPr>
        <w:t xml:space="preserve">h</w:t>
      </w:r>
      <w:r>
        <w:t xml:space="preserve">,</w:t>
      </w:r>
      <w:r>
        <w:t xml:space="preserve"> </w:t>
      </w:r>
      <w:r>
        <w:rPr>
          <w:iCs/>
          <w:i/>
        </w:rPr>
        <w:t xml:space="preserve">t</w:t>
      </w:r>
      <w:r>
        <w:t xml:space="preserve">). The surge assignment chooses</w:t>
      </w:r>
      <w:r>
        <w:t xml:space="preserve"> </w:t>
      </w:r>
      <w:r>
        <w:rPr>
          <w:iCs/>
          <w:i/>
        </w:rPr>
        <w:t xml:space="preserve">x</w:t>
      </w:r>
      <w:r>
        <w:rPr>
          <w:iCs/>
          <w:i/>
          <w:vertAlign w:val="subscript"/>
        </w:rPr>
        <w:t xml:space="preserve">ih</w:t>
      </w:r>
      <w:r>
        <w:t xml:space="preserve"> </w:t>
      </w:r>
      <w:r>
        <w:t xml:space="preserve">∈ {0, 1} to</w:t>
      </w:r>
    </w:p>
    <w:p>
      <w:pPr>
        <w:pStyle w:val="Equation"/>
      </w:pPr>
      <w:r>
        <w:tab/>
      </w:r>
      <w:r>
        <w:drawing>
          <wp:inline>
            <wp:extent cx="4469587" cy="986637"/>
            <wp:effectExtent b="0" l="0" r="0" t="0"/>
            <wp:docPr descr="" title="" id="137" name="Picture"/>
            <a:graphic>
              <a:graphicData uri="http://schemas.openxmlformats.org/drawingml/2006/picture">
                <pic:pic>
                  <pic:nvPicPr>
                    <pic:cNvPr descr="eq/eq24.png" id="138" name="Picture"/>
                    <pic:cNvPicPr>
                      <a:picLocks noChangeArrowheads="1" noChangeAspect="1"/>
                    </pic:cNvPicPr>
                  </pic:nvPicPr>
                  <pic:blipFill>
                    <a:blip r:embed="rId136"/>
                    <a:stretch>
                      <a:fillRect/>
                    </a:stretch>
                  </pic:blipFill>
                  <pic:spPr bwMode="auto">
                    <a:xfrm>
                      <a:off x="0" y="0"/>
                      <a:ext cx="4469587" cy="986637"/>
                    </a:xfrm>
                    <a:prstGeom prst="rect">
                      <a:avLst/>
                    </a:prstGeom>
                    <a:noFill/>
                    <a:ln w="9525">
                      <a:noFill/>
                      <a:headEnd/>
                      <a:tailEnd/>
                    </a:ln>
                  </pic:spPr>
                </pic:pic>
              </a:graphicData>
            </a:graphic>
          </wp:inline>
        </w:drawing>
      </w:r>
      <w:r/>
      <w:r/>
      <w:r>
        <w:rPr>
          <w:rFonts w:ascii="Times New Roman" w:hAnsi="Times New Roman"/>
          <w:sz w:val="24"/>
        </w:rPr>
        <w:tab/>
        <w:t>(24)</w:t>
      </w:r>
    </w:p>
    <w:p>
      <w:pPr>
        <w:pStyle w:val="Source"/>
      </w:pPr>
      <w:r>
        <w:t xml:space="preserve">Source: formulated in this study as a transportation problem (Ahuja et al., 1993)</w:t>
      </w:r>
    </w:p>
    <w:p>
      <w:pPr>
        <w:pStyle w:val="BodyText"/>
      </w:pPr>
      <w:r>
        <w:t xml:space="preserve">where</w:t>
      </w:r>
      <w:r>
        <w:t xml:space="preserve"> </w:t>
      </w:r>
      <w:r>
        <w:rPr>
          <w:iCs/>
          <w:i/>
        </w:rPr>
        <w:t xml:space="preserve">U</w:t>
      </w:r>
      <w:r>
        <w:rPr>
          <w:iCs/>
          <w:i/>
          <w:vertAlign w:val="subscript"/>
        </w:rPr>
        <w:t xml:space="preserve">i</w:t>
      </w:r>
      <w:r>
        <w:t xml:space="preserve"> </w:t>
      </w:r>
      <w:r>
        <w:t xml:space="preserve">is the penalty for leaving patient</w:t>
      </w:r>
      <w:r>
        <w:t xml:space="preserve"> </w:t>
      </w:r>
      <w:r>
        <w:rPr>
          <w:iCs/>
          <w:i/>
        </w:rPr>
        <w:t xml:space="preserve">i</w:t>
      </w:r>
      <w:r>
        <w:t xml:space="preserve"> </w:t>
      </w:r>
      <w:r>
        <w:t xml:space="preserve">unplaced. With</w:t>
      </w:r>
      <w:r>
        <w:t xml:space="preserve"> </w:t>
      </w:r>
      <w:r>
        <w:rPr>
          <w:iCs/>
          <w:i/>
        </w:rPr>
        <w:t xml:space="preserve">ĉ</w:t>
      </w:r>
      <w:r>
        <w:t xml:space="preserve"> </w:t>
      </w:r>
      <w:r>
        <w:t xml:space="preserve">the largest finite</w:t>
      </w:r>
      <w:r>
        <w:t xml:space="preserve"> </w:t>
      </w:r>
      <w:r>
        <w:rPr>
          <w:iCs/>
          <w:i/>
        </w:rPr>
        <w:t xml:space="preserve">c</w:t>
      </w:r>
      <w:r>
        <w:rPr>
          <w:iCs/>
          <w:i/>
          <w:vertAlign w:val="subscript"/>
        </w:rPr>
        <w:t xml:space="preserve">ih</w:t>
      </w:r>
      <w:r>
        <w:t xml:space="preserve">, the penalties are set to</w:t>
      </w:r>
      <w:r>
        <w:t xml:space="preserve"> </w:t>
      </w:r>
      <w:r>
        <w:rPr>
          <w:iCs/>
          <w:i/>
        </w:rPr>
        <w:t xml:space="preserve">U</w:t>
      </w:r>
      <w:r>
        <w:rPr>
          <w:iCs/>
          <w:i/>
          <w:vertAlign w:val="subscript"/>
        </w:rPr>
        <w:t xml:space="preserve">i</w:t>
      </w:r>
      <w:r>
        <w:t xml:space="preserve"> </w:t>
      </w:r>
      <w:r>
        <w:t xml:space="preserve">=</w:t>
      </w:r>
      <w:r>
        <w:t xml:space="preserve"> </w:t>
      </w:r>
      <w:r>
        <w:rPr>
          <w:iCs/>
          <w:i/>
        </w:rPr>
        <w:t xml:space="preserve">U</w:t>
      </w:r>
      <w:r>
        <w:rPr>
          <w:vertAlign w:val="subscript"/>
        </w:rPr>
        <w:t xml:space="preserve">0</w:t>
      </w:r>
      <w:r>
        <w:t xml:space="preserve"> </w:t>
      </w:r>
      <w:r>
        <w:t xml:space="preserve">&gt;</w:t>
      </w:r>
      <w:r>
        <w:t xml:space="preserve"> </w:t>
      </w:r>
      <w:r>
        <w:rPr>
          <w:iCs/>
          <w:i/>
        </w:rPr>
        <w:t xml:space="preserve">n</w:t>
      </w:r>
      <w:r>
        <w:t xml:space="preserve"> </w:t>
      </w:r>
      <w:r>
        <w:rPr>
          <w:iCs/>
          <w:i/>
        </w:rPr>
        <w:t xml:space="preserve">ĉ</w:t>
      </w:r>
      <w:r>
        <w:t xml:space="preserve"> </w:t>
      </w:r>
      <w:r>
        <w:t xml:space="preserve">for non-emergency patients and</w:t>
      </w:r>
      <w:r>
        <w:t xml:space="preserve"> </w:t>
      </w:r>
      <w:r>
        <w:rPr>
          <w:iCs/>
          <w:i/>
        </w:rPr>
        <w:t xml:space="preserve">U</w:t>
      </w:r>
      <w:r>
        <w:rPr>
          <w:iCs/>
          <w:i/>
          <w:vertAlign w:val="subscript"/>
        </w:rPr>
        <w:t xml:space="preserve">i</w:t>
      </w:r>
      <w:r>
        <w:t xml:space="preserve"> </w:t>
      </w:r>
      <w:r>
        <w:t xml:space="preserve">=</w:t>
      </w:r>
      <w:r>
        <w:t xml:space="preserve"> </w:t>
      </w:r>
      <w:r>
        <w:rPr>
          <w:iCs/>
          <w:i/>
        </w:rPr>
        <w:t xml:space="preserve">U</w:t>
      </w:r>
      <w:r>
        <w:rPr>
          <w:iCs/>
          <w:i/>
          <w:vertAlign w:val="subscript"/>
        </w:rPr>
        <w:t xml:space="preserve">E</w:t>
      </w:r>
      <w:r>
        <w:t xml:space="preserve"> </w:t>
      </w:r>
      <w:r>
        <w:t xml:space="preserve">&gt;</w:t>
      </w:r>
      <w:r>
        <w:t xml:space="preserve"> </w:t>
      </w:r>
      <w:r>
        <w:rPr>
          <w:iCs/>
          <w:i/>
        </w:rPr>
        <w:t xml:space="preserve">n</w:t>
      </w:r>
      <w:r>
        <w:t xml:space="preserve"> </w:t>
      </w:r>
      <w:r>
        <w:t xml:space="preserve">(</w:t>
      </w:r>
      <w:r>
        <w:rPr>
          <w:iCs/>
          <w:i/>
        </w:rPr>
        <w:t xml:space="preserve">U</w:t>
      </w:r>
      <w:r>
        <w:rPr>
          <w:vertAlign w:val="subscript"/>
        </w:rPr>
        <w:t xml:space="preserve">0</w:t>
      </w:r>
      <w:r>
        <w:t xml:space="preserve"> </w:t>
      </w:r>
      <w:r>
        <w:t xml:space="preserve">+</w:t>
      </w:r>
      <w:r>
        <w:t xml:space="preserve"> </w:t>
      </w:r>
      <w:r>
        <w:rPr>
          <w:iCs/>
          <w:i/>
        </w:rPr>
        <w:t xml:space="preserve">ĉ</w:t>
      </w:r>
      <w:r>
        <w:t xml:space="preserve">) for patients with κ</w:t>
      </w:r>
      <w:r>
        <w:rPr>
          <w:iCs/>
          <w:i/>
          <w:vertAlign w:val="subscript"/>
        </w:rPr>
        <w:t xml:space="preserve">i</w:t>
      </w:r>
      <w:r>
        <w:t xml:space="preserve"> </w:t>
      </w:r>
      <w:r>
        <w:t xml:space="preserve">∈</w:t>
      </w:r>
      <w:r>
        <w:t xml:space="preserve"> </w:t>
      </w:r>
      <w:r>
        <w:rPr>
          <w:iCs/>
          <w:i/>
        </w:rPr>
        <w:t xml:space="preserve">K</w:t>
      </w:r>
      <w:r>
        <w:rPr>
          <w:iCs/>
          <w:i/>
          <w:vertAlign w:val="subscript"/>
        </w:rPr>
        <w:t xml:space="preserve">E</w:t>
      </w:r>
      <w:r>
        <w:t xml:space="preserve">.</w:t>
      </w:r>
    </w:p>
    <w:p>
      <w:pPr>
        <w:pStyle w:val="AlgoTitle"/>
      </w:pPr>
      <w:r>
        <w:rPr>
          <w:bCs/>
          <w:b/>
        </w:rPr>
        <w:t xml:space="preserve">Algorithm 3.</w:t>
      </w:r>
      <w:r>
        <w:t xml:space="preserve"> </w:t>
      </w:r>
      <w:r>
        <w:t xml:space="preserve">Surge assignment</w:t>
      </w:r>
    </w:p>
    <w:p>
      <w:pPr>
        <w:pStyle w:val="SourceCode"/>
      </w:pPr>
      <w:r>
        <w:rPr>
          <w:rStyle w:val="VerbatimChar"/>
        </w:rPr>
        <w:t xml:space="preserve">Input : patients i with origins o_i and profiles pi_i; free beds b_h</w:t>
      </w:r>
      <w:r>
        <w:br/>
      </w:r>
      <w:r>
        <w:rPr>
          <w:rStyle w:val="VerbatimChar"/>
        </w:rPr>
        <w:t xml:space="preserve">Output: a hospital, or "not placed", for each patient</w:t>
      </w:r>
      <w:r>
        <w:br/>
      </w:r>
      <w:r>
        <w:rPr>
          <w:rStyle w:val="VerbatimChar"/>
        </w:rPr>
        <w:t xml:space="preserve"> 1  for each patient i and hospital h:</w:t>
      </w:r>
      <w:r>
        <w:br/>
      </w:r>
      <w:r>
        <w:rPr>
          <w:rStyle w:val="VerbatimChar"/>
        </w:rPr>
        <w:t xml:space="preserve"> 2      cost(i, h) &lt;- T_x(o_i, h, t) if h suits pi_i (ignoring FULL)</w:t>
      </w:r>
      <w:r>
        <w:br/>
      </w:r>
      <w:r>
        <w:rPr>
          <w:rStyle w:val="VerbatimChar"/>
        </w:rPr>
        <w:t xml:space="preserve">                      and is reachable; otherwise forbidden</w:t>
      </w:r>
      <w:r>
        <w:br/>
      </w:r>
      <w:r>
        <w:rPr>
          <w:rStyle w:val="VerbatimChar"/>
        </w:rPr>
        <w:t xml:space="preserve"> 3  make b_h copies ("bed slots") of each hospital h</w:t>
      </w:r>
      <w:r>
        <w:br/>
      </w:r>
      <w:r>
        <w:rPr>
          <w:rStyle w:val="VerbatimChar"/>
        </w:rPr>
        <w:t xml:space="preserve"> 4  give each patient i one private "not placed" slot with cost U_i</w:t>
      </w:r>
      <w:r>
        <w:br/>
      </w:r>
      <w:r>
        <w:rPr>
          <w:rStyle w:val="VerbatimChar"/>
        </w:rPr>
        <w:t xml:space="preserve"> 5  solve the assignment problem on patients x slots</w:t>
      </w:r>
      <w:r>
        <w:br/>
      </w:r>
      <w:r>
        <w:rPr>
          <w:rStyle w:val="VerbatimChar"/>
        </w:rPr>
        <w:t xml:space="preserve">        (Hungarian method, Kuhn, 1955, or minimum-cost flow)</w:t>
      </w:r>
      <w:r>
        <w:br/>
      </w:r>
      <w:r>
        <w:rPr>
          <w:rStyle w:val="VerbatimChar"/>
        </w:rPr>
        <w:t xml:space="preserve"> 6  return the hospital of each patient's slot, or "not placed"</w:t>
      </w:r>
    </w:p>
    <w:bookmarkEnd w:id="139"/>
    <w:bookmarkStart w:id="146" w:name="X33061b043199c16272d699ad6f4a0dd59d963b9"/>
    <w:p>
      <w:pPr>
        <w:pStyle w:val="Heading2"/>
      </w:pPr>
      <w:r>
        <w:t xml:space="preserve">2.13 Planning Measures: Critical Roads and Where to Add Care</w:t>
      </w:r>
    </w:p>
    <w:p>
      <w:pPr>
        <w:pStyle w:val="FirstParagraph"/>
      </w:pPr>
      <w:r>
        <w:rPr>
          <w:bCs/>
          <w:b/>
        </w:rPr>
        <w:t xml:space="preserve">Definition 25 (Segment criticality).</w:t>
      </w:r>
      <w:r>
        <w:t xml:space="preserve"> </w:t>
      </w:r>
      <w:r>
        <w:t xml:space="preserve">For a profile π and time</w:t>
      </w:r>
      <w:r>
        <w:t xml:space="preserve"> </w:t>
      </w:r>
      <w:r>
        <w:rPr>
          <w:iCs/>
          <w:i/>
        </w:rPr>
        <w:t xml:space="preserve">t</w:t>
      </w:r>
      <w:r>
        <w:t xml:space="preserve">, let</w:t>
      </w:r>
      <w:r>
        <w:t xml:space="preserve"> </w:t>
      </w:r>
      <w:r>
        <w:rPr>
          <w:iCs/>
          <w:i/>
        </w:rPr>
        <w:t xml:space="preserve">G</w:t>
      </w:r>
      <w:r>
        <w:t xml:space="preserve"> </w:t>
      </w:r>
      <w:r>
        <w:t xml:space="preserve">−</w:t>
      </w:r>
      <w:r>
        <w:t xml:space="preserve"> </w:t>
      </w:r>
      <w:r>
        <w:rPr>
          <w:iCs/>
          <w:i/>
        </w:rPr>
        <w:t xml:space="preserve">e</w:t>
      </w:r>
      <w:r>
        <w:t xml:space="preserve"> </w:t>
      </w:r>
      <w:r>
        <w:t xml:space="preserve">be the ambulance subgraph with road segment</w:t>
      </w:r>
      <w:r>
        <w:t xml:space="preserve"> </w:t>
      </w:r>
      <w:r>
        <w:rPr>
          <w:iCs/>
          <w:i/>
        </w:rPr>
        <w:t xml:space="preserve">e</w:t>
      </w:r>
      <w:r>
        <w:t xml:space="preserve"> </w:t>
      </w:r>
      <w:r>
        <w:t xml:space="preserve">closed in both directions. The criticality of</w:t>
      </w:r>
      <w:r>
        <w:t xml:space="preserve"> </w:t>
      </w:r>
      <w:r>
        <w:rPr>
          <w:iCs/>
          <w:i/>
        </w:rPr>
        <w:t xml:space="preserve">e</w:t>
      </w:r>
      <w:r>
        <w:t xml:space="preserve"> </w:t>
      </w:r>
      <w:r>
        <w:t xml:space="preserve">is</w:t>
      </w:r>
    </w:p>
    <w:p>
      <w:pPr>
        <w:pStyle w:val="Equation"/>
      </w:pPr>
      <w:r>
        <w:tab/>
      </w:r>
      <w:r>
        <w:drawing>
          <wp:inline>
            <wp:extent cx="3233318" cy="360273"/>
            <wp:effectExtent b="0" l="0" r="0" t="0"/>
            <wp:docPr descr="" title="" id="141" name="Picture"/>
            <a:graphic>
              <a:graphicData uri="http://schemas.openxmlformats.org/drawingml/2006/picture">
                <pic:pic>
                  <pic:nvPicPr>
                    <pic:cNvPr descr="eq/eq25.png" id="142" name="Picture"/>
                    <pic:cNvPicPr>
                      <a:picLocks noChangeArrowheads="1" noChangeAspect="1"/>
                    </pic:cNvPicPr>
                  </pic:nvPicPr>
                  <pic:blipFill>
                    <a:blip r:embed="rId140"/>
                    <a:stretch>
                      <a:fillRect/>
                    </a:stretch>
                  </pic:blipFill>
                  <pic:spPr bwMode="auto">
                    <a:xfrm>
                      <a:off x="0" y="0"/>
                      <a:ext cx="3233318" cy="360273"/>
                    </a:xfrm>
                    <a:prstGeom prst="rect">
                      <a:avLst/>
                    </a:prstGeom>
                    <a:noFill/>
                    <a:ln w="9525">
                      <a:noFill/>
                      <a:headEnd/>
                      <a:tailEnd/>
                    </a:ln>
                  </pic:spPr>
                </pic:pic>
              </a:graphicData>
            </a:graphic>
          </wp:inline>
        </w:drawing>
      </w:r>
      <w:r/>
      <w:r/>
      <w:r>
        <w:rPr>
          <w:rFonts w:ascii="Times New Roman" w:hAnsi="Times New Roman"/>
          <w:sz w:val="24"/>
        </w:rPr>
        <w:tab/>
        <w:t>(25)</w:t>
      </w:r>
    </w:p>
    <w:p>
      <w:pPr>
        <w:pStyle w:val="Source"/>
      </w:pPr>
      <w:r>
        <w:t xml:space="preserve">Source: formulated in this study, after the link-importance measure of Jenelius et al. (2006)</w:t>
      </w:r>
    </w:p>
    <w:p>
      <w:pPr>
        <w:pStyle w:val="BodyText"/>
      </w:pPr>
      <w:r>
        <w:t xml:space="preserve">with ∞ − ∞ := 0, and</w:t>
      </w:r>
      <w:r>
        <w:t xml:space="preserve"> </w:t>
      </w:r>
      <w:r>
        <w:rPr>
          <w:iCs/>
          <w:i/>
        </w:rPr>
        <w:t xml:space="preserve">D</w:t>
      </w:r>
      <w:r>
        <w:rPr>
          <w:iCs/>
          <w:i/>
          <w:vertAlign w:val="subscript"/>
        </w:rPr>
        <w:t xml:space="preserve">e</w:t>
      </w:r>
      <w:r>
        <w:t xml:space="preserve"> </w:t>
      </w:r>
      <w:r>
        <w:t xml:space="preserve">= +∞ when closing</w:t>
      </w:r>
      <w:r>
        <w:t xml:space="preserve"> </w:t>
      </w:r>
      <w:r>
        <w:rPr>
          <w:iCs/>
          <w:i/>
        </w:rPr>
        <w:t xml:space="preserve">e</w:t>
      </w:r>
      <w:r>
        <w:t xml:space="preserve"> </w:t>
      </w:r>
      <w:r>
        <w:t xml:space="preserve">cuts some anchor off from every suitable hospital. Segments with large</w:t>
      </w:r>
      <w:r>
        <w:t xml:space="preserve"> </w:t>
      </w:r>
      <w:r>
        <w:rPr>
          <w:iCs/>
          <w:i/>
        </w:rPr>
        <w:t xml:space="preserve">D</w:t>
      </w:r>
      <w:r>
        <w:rPr>
          <w:iCs/>
          <w:i/>
          <w:vertAlign w:val="subscript"/>
        </w:rPr>
        <w:t xml:space="preserve">e</w:t>
      </w:r>
      <w:r>
        <w:t xml:space="preserve"> </w:t>
      </w:r>
      <w:r>
        <w:t xml:space="preserve">are the ones to clear first after a typhoon and to protect before one.</w:t>
      </w:r>
    </w:p>
    <w:p>
      <w:pPr>
        <w:pStyle w:val="BodyText"/>
      </w:pPr>
      <w:r>
        <w:rPr>
          <w:bCs/>
          <w:b/>
        </w:rPr>
        <w:t xml:space="preserve">Definition 26 (Site selection by coverage).</w:t>
      </w:r>
      <w:r>
        <w:t xml:space="preserve"> </w:t>
      </w:r>
      <w:r>
        <w:t xml:space="preserve">Fix a budget θ and a profile for a patient in payment class 0, for example κ = 3 and</w:t>
      </w:r>
      <w:r>
        <w:t xml:space="preserve"> </w:t>
      </w:r>
      <w:r>
        <w:rPr>
          <w:iCs/>
          <w:i/>
        </w:rPr>
        <w:t xml:space="preserve">N</w:t>
      </w:r>
      <w:r>
        <w:t xml:space="preserve"> </w:t>
      </w:r>
      <w:r>
        <w:t xml:space="preserve">= ∅. Let</w:t>
      </w:r>
      <w:r>
        <w:t xml:space="preserve"> </w:t>
      </w:r>
      <w:r>
        <w:rPr>
          <w:iCs/>
          <w:i/>
        </w:rPr>
        <w:t xml:space="preserve">C</w:t>
      </w:r>
      <w:r>
        <w:rPr>
          <w:vertAlign w:val="subscript"/>
        </w:rPr>
        <w:t xml:space="preserve">0</w:t>
      </w:r>
      <w:r>
        <w:t xml:space="preserve"> </w:t>
      </w:r>
      <w:r>
        <w:t xml:space="preserve">be the anchors already within θ of a suitable hospital of cost class 0, let</w:t>
      </w:r>
      <w:r>
        <w:t xml:space="preserve"> </w:t>
      </w:r>
      <w:r>
        <w:rPr>
          <w:iCs/>
          <w:i/>
        </w:rPr>
        <w:t xml:space="preserve">Q</w:t>
      </w:r>
      <w:r>
        <w:t xml:space="preserve"> </w:t>
      </w:r>
      <w:r>
        <w:t xml:space="preserve">be the candidate sites (for example, public hospitals of cost class 1 that could host a new Malasakit Center), and let</w:t>
      </w:r>
      <w:r>
        <w:t xml:space="preserve"> </w:t>
      </w:r>
      <w:r>
        <w:rPr>
          <w:iCs/>
          <w:i/>
        </w:rPr>
        <w:t xml:space="preserve">C</w:t>
      </w:r>
      <w:r>
        <w:rPr>
          <w:iCs/>
          <w:i/>
          <w:vertAlign w:val="subscript"/>
        </w:rPr>
        <w:t xml:space="preserve">j</w:t>
      </w:r>
      <w:r>
        <w:t xml:space="preserve"> </w:t>
      </w:r>
      <w:r>
        <w:t xml:space="preserve">= {</w:t>
      </w:r>
      <w:r>
        <w:t xml:space="preserve"> </w:t>
      </w:r>
      <w:r>
        <w:rPr>
          <w:iCs/>
          <w:i/>
        </w:rPr>
        <w:t xml:space="preserve">a</w:t>
      </w:r>
      <w:r>
        <w:t xml:space="preserve"> </w:t>
      </w:r>
      <w:r>
        <w:t xml:space="preserve">:</w:t>
      </w:r>
      <w:r>
        <w:t xml:space="preserve"> </w:t>
      </w:r>
      <w:r>
        <w:rPr>
          <w:iCs/>
          <w:i/>
        </w:rPr>
        <w:t xml:space="preserve">T̄</w:t>
      </w:r>
      <w:r>
        <w:t xml:space="preserve">(</w:t>
      </w:r>
      <w:r>
        <w:rPr>
          <w:iCs/>
          <w:i/>
        </w:rPr>
        <w:t xml:space="preserve">o</w:t>
      </w:r>
      <w:r>
        <w:rPr>
          <w:iCs/>
          <w:i/>
          <w:vertAlign w:val="subscript"/>
        </w:rPr>
        <w:t xml:space="preserve">a</w:t>
      </w:r>
      <w:r>
        <w:t xml:space="preserve">,</w:t>
      </w:r>
      <w:r>
        <w:t xml:space="preserve"> </w:t>
      </w:r>
      <w:r>
        <w:rPr>
          <w:iCs/>
          <w:i/>
        </w:rPr>
        <w:t xml:space="preserve">j</w:t>
      </w:r>
      <w:r>
        <w:t xml:space="preserve">) ≤ θ } for</w:t>
      </w:r>
      <w:r>
        <w:t xml:space="preserve"> </w:t>
      </w:r>
      <w:r>
        <w:rPr>
          <w:iCs/>
          <w:i/>
        </w:rPr>
        <w:t xml:space="preserve">j</w:t>
      </w:r>
      <w:r>
        <w:t xml:space="preserve"> </w:t>
      </w:r>
      <w:r>
        <w:t xml:space="preserve">∈</w:t>
      </w:r>
      <w:r>
        <w:t xml:space="preserve"> </w:t>
      </w:r>
      <w:r>
        <w:rPr>
          <w:iCs/>
          <w:i/>
        </w:rPr>
        <w:t xml:space="preserve">Q</w:t>
      </w:r>
      <w:r>
        <w:t xml:space="preserve">. The coverage gained by a set of sites</w:t>
      </w:r>
      <w:r>
        <w:t xml:space="preserve"> </w:t>
      </w:r>
      <w:r>
        <w:rPr>
          <w:iCs/>
          <w:i/>
        </w:rPr>
        <w:t xml:space="preserve">S</w:t>
      </w:r>
      <w:r>
        <w:t xml:space="preserve"> </w:t>
      </w:r>
      <w:r>
        <w:t xml:space="preserve">⊆</w:t>
      </w:r>
      <w:r>
        <w:t xml:space="preserve"> </w:t>
      </w:r>
      <w:r>
        <w:rPr>
          <w:iCs/>
          <w:i/>
        </w:rPr>
        <w:t xml:space="preserve">Q</w:t>
      </w:r>
      <w:r>
        <w:t xml:space="preserve"> </w:t>
      </w:r>
      <w:r>
        <w:t xml:space="preserve">is</w:t>
      </w:r>
    </w:p>
    <w:p>
      <w:pPr>
        <w:pStyle w:val="Equation"/>
      </w:pPr>
      <w:r>
        <w:tab/>
      </w:r>
      <w:r>
        <w:drawing>
          <wp:inline>
            <wp:extent cx="3004718" cy="378561"/>
            <wp:effectExtent b="0" l="0" r="0" t="0"/>
            <wp:docPr descr="" title="" id="144" name="Picture"/>
            <a:graphic>
              <a:graphicData uri="http://schemas.openxmlformats.org/drawingml/2006/picture">
                <pic:pic>
                  <pic:nvPicPr>
                    <pic:cNvPr descr="eq/eq26.png" id="145" name="Picture"/>
                    <pic:cNvPicPr>
                      <a:picLocks noChangeArrowheads="1" noChangeAspect="1"/>
                    </pic:cNvPicPr>
                  </pic:nvPicPr>
                  <pic:blipFill>
                    <a:blip r:embed="rId143"/>
                    <a:stretch>
                      <a:fillRect/>
                    </a:stretch>
                  </pic:blipFill>
                  <pic:spPr bwMode="auto">
                    <a:xfrm>
                      <a:off x="0" y="0"/>
                      <a:ext cx="3004718" cy="378561"/>
                    </a:xfrm>
                    <a:prstGeom prst="rect">
                      <a:avLst/>
                    </a:prstGeom>
                    <a:noFill/>
                    <a:ln w="9525">
                      <a:noFill/>
                      <a:headEnd/>
                      <a:tailEnd/>
                    </a:ln>
                  </pic:spPr>
                </pic:pic>
              </a:graphicData>
            </a:graphic>
          </wp:inline>
        </w:drawing>
      </w:r>
      <w:r/>
      <w:r/>
      <w:r>
        <w:rPr>
          <w:rFonts w:ascii="Times New Roman" w:hAnsi="Times New Roman"/>
          <w:sz w:val="24"/>
        </w:rPr>
        <w:tab/>
        <w:t>(26)</w:t>
      </w:r>
    </w:p>
    <w:p>
      <w:pPr>
        <w:pStyle w:val="Source"/>
      </w:pPr>
      <w:r>
        <w:t xml:space="preserve">Source: formulated in this study after the maximal covering location problem of Church and ReVelle (1974)</w:t>
      </w:r>
    </w:p>
    <w:p>
      <w:pPr>
        <w:pStyle w:val="BodyText"/>
      </w:pPr>
      <w:r>
        <w:t xml:space="preserve">and the task is to choose |</w:t>
      </w:r>
      <w:r>
        <w:rPr>
          <w:iCs/>
          <w:i/>
        </w:rPr>
        <w:t xml:space="preserve">S</w:t>
      </w:r>
      <w:r>
        <w:t xml:space="preserve">| =</w:t>
      </w:r>
      <w:r>
        <w:t xml:space="preserve"> </w:t>
      </w:r>
      <w:r>
        <w:rPr>
          <w:iCs/>
          <w:i/>
        </w:rPr>
        <w:t xml:space="preserve">k</w:t>
      </w:r>
      <w:r>
        <w:t xml:space="preserve"> </w:t>
      </w:r>
      <w:r>
        <w:t xml:space="preserve">sites with the largest</w:t>
      </w:r>
      <w:r>
        <w:t xml:space="preserve"> </w:t>
      </w:r>
      <w:r>
        <w:rPr>
          <w:iCs/>
          <w:i/>
        </w:rPr>
        <w:t xml:space="preserve">f</w:t>
      </w:r>
      <w:r>
        <w:t xml:space="preserve">(</w:t>
      </w:r>
      <w:r>
        <w:rPr>
          <w:iCs/>
          <w:i/>
        </w:rPr>
        <w:t xml:space="preserve">S</w:t>
      </w:r>
      <w:r>
        <w:t xml:space="preserve">). Algorithm 4 does this greedily, and Proposition 18 bounds how far it can fall short.</w:t>
      </w:r>
    </w:p>
    <w:p>
      <w:pPr>
        <w:pStyle w:val="AlgoTitle"/>
      </w:pPr>
      <w:r>
        <w:rPr>
          <w:bCs/>
          <w:b/>
        </w:rPr>
        <w:t xml:space="preserve">Algorithm 4.</w:t>
      </w:r>
      <w:r>
        <w:t xml:space="preserve"> </w:t>
      </w:r>
      <w:r>
        <w:t xml:space="preserve">Greedy site selection</w:t>
      </w:r>
    </w:p>
    <w:p>
      <w:pPr>
        <w:pStyle w:val="SourceCode"/>
      </w:pPr>
      <w:r>
        <w:rPr>
          <w:rStyle w:val="VerbatimChar"/>
        </w:rPr>
        <w:t xml:space="preserve">Input : anchors a with weights P_a; candidate sites Q; covered set C_0;</w:t>
      </w:r>
      <w:r>
        <w:br/>
      </w:r>
      <w:r>
        <w:rPr>
          <w:rStyle w:val="VerbatimChar"/>
        </w:rPr>
        <w:t xml:space="preserve">        coverage sets C_j; number of sites k</w:t>
      </w:r>
      <w:r>
        <w:br/>
      </w:r>
      <w:r>
        <w:rPr>
          <w:rStyle w:val="VerbatimChar"/>
        </w:rPr>
        <w:t xml:space="preserve">Output: chosen sites S</w:t>
      </w:r>
      <w:r>
        <w:br/>
      </w:r>
      <w:r>
        <w:rPr>
          <w:rStyle w:val="VerbatimChar"/>
        </w:rPr>
        <w:t xml:space="preserve"> 1  S &lt;- empty set;  U &lt;- C_0</w:t>
      </w:r>
      <w:r>
        <w:br/>
      </w:r>
      <w:r>
        <w:rPr>
          <w:rStyle w:val="VerbatimChar"/>
        </w:rPr>
        <w:t xml:space="preserve"> 2  repeat k times:</w:t>
      </w:r>
      <w:r>
        <w:br/>
      </w:r>
      <w:r>
        <w:rPr>
          <w:rStyle w:val="VerbatimChar"/>
        </w:rPr>
        <w:t xml:space="preserve"> 3      for each j in Q not in S:  gain(j) &lt;- sum of P_a over a in C_j, a not in U</w:t>
      </w:r>
      <w:r>
        <w:br/>
      </w:r>
      <w:r>
        <w:rPr>
          <w:rStyle w:val="VerbatimChar"/>
        </w:rPr>
        <w:t xml:space="preserve"> 4      j* &lt;- the j with the largest gain (smallest index on ties)</w:t>
      </w:r>
      <w:r>
        <w:br/>
      </w:r>
      <w:r>
        <w:rPr>
          <w:rStyle w:val="VerbatimChar"/>
        </w:rPr>
        <w:t xml:space="preserve"> 5      S &lt;- S plus j*;  U &lt;- U plus C_j*</w:t>
      </w:r>
      <w:r>
        <w:br/>
      </w:r>
      <w:r>
        <w:rPr>
          <w:rStyle w:val="VerbatimChar"/>
        </w:rPr>
        <w:t xml:space="preserve"> 6  return S</w:t>
      </w:r>
    </w:p>
    <w:bookmarkEnd w:id="146"/>
    <w:bookmarkStart w:id="147" w:name="assumptions"/>
    <w:p>
      <w:pPr>
        <w:pStyle w:val="Heading2"/>
      </w:pPr>
      <w:r>
        <w:t xml:space="preserve">2.14 Assumptions</w:t>
      </w:r>
    </w:p>
    <w:p>
      <w:pPr>
        <w:pStyle w:val="FirstParagraph"/>
      </w:pPr>
      <w:r>
        <w:t xml:space="preserve">Shortest-path searches on time-dependent networks keep their optimality only if the first-in, first-out property holds (Kaufman &amp; Smith, 1993; Pyrga et al., 2008). The first two assumptions secure it; the others fix the scope of the model.</w:t>
      </w:r>
    </w:p>
    <w:p>
      <w:pPr>
        <w:numPr>
          <w:ilvl w:val="0"/>
          <w:numId w:val="1005"/>
        </w:numPr>
        <w:pStyle w:val="BodyText"/>
        <w:spacing w:after="80"/>
      </w:pPr>
      <w:r>
        <w:rPr>
          <w:bCs/>
          <w:b/>
        </w:rPr>
        <w:t xml:space="preserve">Assumption 1 (Nonnegative traversal).</w:t>
      </w:r>
      <w:r>
        <w:t xml:space="preserve"> </w:t>
      </w:r>
      <w:r>
        <w:t xml:space="preserve">A journey never goes back in time, because no arc of</w:t>
      </w:r>
      <w:r>
        <w:t xml:space="preserve"> </w:t>
      </w:r>
      <w:r>
        <w:rPr>
          <w:iCs/>
          <w:i/>
        </w:rPr>
        <w:t xml:space="preserve">G</w:t>
      </w:r>
      <w:r>
        <w:t xml:space="preserve"> </w:t>
      </w:r>
      <w:r>
        <w:t xml:space="preserve">has</w:t>
      </w:r>
      <w:r>
        <w:t xml:space="preserve"> </w:t>
      </w:r>
      <w:r>
        <w:rPr>
          <w:iCs/>
          <w:i/>
        </w:rPr>
        <w:t xml:space="preserve">t</w:t>
      </w:r>
      <w:r>
        <w:t xml:space="preserve">(head) &lt;</w:t>
      </w:r>
      <w:r>
        <w:t xml:space="preserve"> </w:t>
      </w:r>
      <w:r>
        <w:rPr>
          <w:iCs/>
          <w:i/>
        </w:rPr>
        <w:t xml:space="preserve">t</w:t>
      </w:r>
      <w:r>
        <w:t xml:space="preserve">(tail).</w:t>
      </w:r>
    </w:p>
    <w:p>
      <w:pPr>
        <w:numPr>
          <w:ilvl w:val="0"/>
          <w:numId w:val="1005"/>
        </w:numPr>
        <w:pStyle w:val="BodyText"/>
        <w:spacing w:after="80"/>
      </w:pPr>
      <w:r>
        <w:rPr>
          <w:bCs/>
          <w:b/>
        </w:rPr>
        <w:t xml:space="preserve">Assumption 2 (No overtaking within a route).</w:t>
      </w:r>
      <w:r>
        <w:t xml:space="preserve"> </w:t>
      </w:r>
      <w:r>
        <w:t xml:space="preserve">On any given route, a vehicle that leaves earlier does not arrive later than one that leaves after it.</w:t>
      </w:r>
    </w:p>
    <w:p>
      <w:pPr>
        <w:numPr>
          <w:ilvl w:val="0"/>
          <w:numId w:val="1005"/>
        </w:numPr>
        <w:pStyle w:val="BodyText"/>
        <w:spacing w:after="80"/>
      </w:pPr>
      <w:r>
        <w:rPr>
          <w:bCs/>
          <w:b/>
        </w:rPr>
        <w:t xml:space="preserve">Assumption 3 (Frequency of service).</w:t>
      </w:r>
      <w:r>
        <w:t xml:space="preserve"> </w:t>
      </w:r>
      <w:r>
        <w:t xml:space="preserve">On routes with no fixed schedule, departures are placed at the average headway. The sensitivity tests compare the resulting waits with a half-headway baseline.</w:t>
      </w:r>
    </w:p>
    <w:p>
      <w:pPr>
        <w:numPr>
          <w:ilvl w:val="0"/>
          <w:numId w:val="1005"/>
        </w:numPr>
        <w:pStyle w:val="BodyText"/>
        <w:spacing w:after="80"/>
      </w:pPr>
      <w:r>
        <w:rPr>
          <w:bCs/>
          <w:b/>
        </w:rPr>
        <w:t xml:space="preserve">Assumption 4 (No queue at the destination).</w:t>
      </w:r>
      <w:r>
        <w:t xml:space="preserve"> </w:t>
      </w:r>
      <w:r>
        <w:t xml:space="preserve">On arrival at a landmark, no one waits in line or meets a capacity limit. This is standard in cumulative accessibility studies (Geurs &amp; van Wee, 2004). Hospital mode relaxes it through live bed reports, and the surge assignment relaxes it further for patients who travel at the same time.</w:t>
      </w:r>
    </w:p>
    <w:p>
      <w:pPr>
        <w:numPr>
          <w:ilvl w:val="0"/>
          <w:numId w:val="1005"/>
        </w:numPr>
        <w:pStyle w:val="BodyText"/>
        <w:spacing w:after="80"/>
      </w:pPr>
      <w:r>
        <w:rPr>
          <w:bCs/>
          <w:b/>
        </w:rPr>
        <w:t xml:space="preserve">Assumption 5 (Open data only).</w:t>
      </w:r>
      <w:r>
        <w:t xml:space="preserve"> </w:t>
      </w:r>
      <w:r>
        <w:t xml:space="preserve">Every number in this paper comes from one of four sources: a mathematical derivation, a declared model parameter, a public register (Appendix A), or a synthetic data set made only for testing. No facility was interviewed and no field measurement was taken.</w:t>
      </w:r>
    </w:p>
    <w:p>
      <w:pPr>
        <w:numPr>
          <w:ilvl w:val="0"/>
          <w:numId w:val="1005"/>
        </w:numPr>
        <w:pStyle w:val="BodyText"/>
        <w:spacing w:after="80"/>
      </w:pPr>
      <w:r>
        <w:rPr>
          <w:bCs/>
          <w:b/>
        </w:rPr>
        <w:t xml:space="preserve">Assumption 6 (Reported bed counts).</w:t>
      </w:r>
      <w:r>
        <w:t xml:space="preserve"> </w:t>
      </w:r>
      <w:r>
        <w:t xml:space="preserve">In live operation, bed counts are entered by the hospitals themselves. The Validator checks their form and range (Table 11) but cannot confirm them.</w:t>
      </w:r>
    </w:p>
    <w:p>
      <w:pPr>
        <w:numPr>
          <w:ilvl w:val="0"/>
          <w:numId w:val="1005"/>
        </w:numPr>
        <w:pStyle w:val="BodyText"/>
        <w:spacing w:after="80"/>
      </w:pPr>
      <w:r>
        <w:rPr>
          <w:bCs/>
          <w:b/>
        </w:rPr>
        <w:t xml:space="preserve">Assumption 7 (Emergency care).</w:t>
      </w:r>
      <w:r>
        <w:t xml:space="preserve"> </w:t>
      </w:r>
      <w:r>
        <w:t xml:space="preserve">Hospitals with an emergency room follow Republic Act No. 10932 (2017) and give basic emergency care in emergency or serious cases without first asking for a deposit or advance payment. The payment filter is therefore dropped for κ ∈</w:t>
      </w:r>
      <w:r>
        <w:t xml:space="preserve"> </w:t>
      </w:r>
      <w:r>
        <w:rPr>
          <w:iCs/>
          <w:i/>
        </w:rPr>
        <w:t xml:space="preserve">K</w:t>
      </w:r>
      <w:r>
        <w:rPr>
          <w:iCs/>
          <w:i/>
          <w:vertAlign w:val="subscript"/>
        </w:rPr>
        <w:t xml:space="preserve">E</w:t>
      </w:r>
      <w:r>
        <w:t xml:space="preserve">.</w:t>
      </w:r>
    </w:p>
    <w:p>
      <w:pPr>
        <w:numPr>
          <w:ilvl w:val="0"/>
          <w:numId w:val="1005"/>
        </w:numPr>
        <w:pStyle w:val="BodyText"/>
        <w:spacing w:after="80"/>
      </w:pPr>
      <w:r>
        <w:rPr>
          <w:bCs/>
          <w:b/>
        </w:rPr>
        <w:t xml:space="preserve">Assumption 8 (Ambulance travel time).</w:t>
      </w:r>
      <w:r>
        <w:t xml:space="preserve"> </w:t>
      </w:r>
      <w:r>
        <w:t xml:space="preserve">Ambulance times use the free-flow speeds of Definition 2. Dispatch time, handover time, emergency driving, and traffic delay are not included.</w:t>
      </w:r>
    </w:p>
    <w:p>
      <w:pPr>
        <w:numPr>
          <w:ilvl w:val="0"/>
          <w:numId w:val="1005"/>
        </w:numPr>
        <w:pStyle w:val="BodyText"/>
        <w:spacing w:after="80"/>
      </w:pPr>
      <w:r>
        <w:rPr>
          <w:bCs/>
          <w:b/>
        </w:rPr>
        <w:t xml:space="preserve">Assumption 9 (Service lists).</w:t>
      </w:r>
      <w:r>
        <w:t xml:space="preserve"> </w:t>
      </w:r>
      <w:r>
        <w:t xml:space="preserve">A hospital offers the services of its level unless a published register entry for that facility says otherwise (Equation 12).</w:t>
      </w:r>
    </w:p>
    <w:p>
      <w:pPr>
        <w:numPr>
          <w:ilvl w:val="0"/>
          <w:numId w:val="1005"/>
        </w:numPr>
        <w:pStyle w:val="BodyText"/>
        <w:spacing w:after="80"/>
      </w:pPr>
      <w:r>
        <w:rPr>
          <w:bCs/>
          <w:b/>
        </w:rPr>
        <w:t xml:space="preserve">Assumption 10 (Surge requests).</w:t>
      </w:r>
      <w:r>
        <w:t xml:space="preserve"> </w:t>
      </w:r>
      <w:r>
        <w:t xml:space="preserve">In the surge assignment, the free beds are known when the assignment is made and the patients’ requests are handled together, in one batch.</w:t>
      </w:r>
    </w:p>
    <w:bookmarkEnd w:id="147"/>
    <w:bookmarkStart w:id="148" w:name="notation"/>
    <w:p>
      <w:pPr>
        <w:pStyle w:val="Heading2"/>
      </w:pPr>
      <w:r>
        <w:t xml:space="preserve">2.15 Notation</w:t>
      </w:r>
    </w:p>
    <w:p>
      <w:pPr>
        <w:pStyle w:val="TableCaption"/>
      </w:pPr>
      <w:r>
        <w:rPr>
          <w:bCs/>
          <w:b/>
        </w:rPr>
        <w:t xml:space="preserve">Table 13.</w:t>
      </w:r>
      <w:r>
        <w:t xml:space="preserve"> </w:t>
      </w:r>
      <w:r>
        <w:t xml:space="preserve">Symbols and their meanings.</w:t>
      </w:r>
    </w:p>
    <w:tbl>
      <w:tblPr>
        <w:tblStyle w:val="Table"/>
        <w:tblW w:type="pct" w:w="5000"/>
        <w:jc w:val="center"/>
        <w:tblCaption w:val="Table 13. Symbols and their meaning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227"/>
        <w:gridCol w:w="5692"/>
      </w:tblGrid>
      <w:tr>
        <w:trPr>
          <w:tblHeader w:val="true"/>
          <w:tblHeader/>
          <w:cantSplit/>
        </w:trPr>
        <w:tc>
          <w:tcPr/>
          <w:p>
            <w:pPr>
              <w:pStyle w:val="Compact"/>
              <w:jc w:val="left"/>
            </w:pPr>
            <w:r>
              <w:rPr>
                <w:b/>
              </w:rPr>
              <w:t xml:space="preserve">Symbol</w:t>
            </w:r>
          </w:p>
        </w:tc>
        <w:tc>
          <w:tcPr/>
          <w:p>
            <w:pPr>
              <w:pStyle w:val="Compact"/>
              <w:jc w:val="left"/>
            </w:pPr>
            <w:r>
              <w:rPr>
                <w:b/>
              </w:rPr>
              <w:t xml:space="preserve">Meaning</w:t>
            </w:r>
          </w:p>
        </w:tc>
      </w:tr>
      <w:tr>
        <w:trPr>
          <w:cantSplit/>
        </w:trPr>
        <w:tc>
          <w:tcPr/>
          <w:p>
            <w:pPr>
              <w:pStyle w:val="Compact"/>
              <w:jc w:val="left"/>
            </w:pPr>
            <w:r>
              <w:rPr>
                <w:iCs/>
                <w:i/>
              </w:rPr>
              <w:t xml:space="preserve">L</w:t>
            </w:r>
            <w:r>
              <w:t xml:space="preserve">,</w:t>
            </w:r>
            <w:r>
              <w:t xml:space="preserve"> </w:t>
            </w:r>
            <w:r>
              <w:rPr>
                <w:iCs/>
                <w:i/>
              </w:rPr>
              <w:t xml:space="preserve">L</w:t>
            </w:r>
            <w:r>
              <w:rPr>
                <w:iCs/>
                <w:i/>
                <w:vertAlign w:val="subscript"/>
              </w:rPr>
              <w:t xml:space="preserve">a</w:t>
            </w:r>
            <w:r>
              <w:t xml:space="preserve">,</w:t>
            </w:r>
            <w:r>
              <w:t xml:space="preserve"> </w:t>
            </w:r>
            <w:r>
              <w:rPr>
                <w:iCs/>
                <w:i/>
              </w:rPr>
              <w:t xml:space="preserve">L</w:t>
            </w:r>
            <w:r>
              <w:rPr>
                <w:iCs/>
                <w:i/>
                <w:vertAlign w:val="subscript"/>
              </w:rPr>
              <w:t xml:space="preserve">d</w:t>
            </w:r>
          </w:p>
        </w:tc>
        <w:tc>
          <w:tcPr/>
          <w:p>
            <w:pPr>
              <w:pStyle w:val="Compact"/>
              <w:jc w:val="left"/>
            </w:pPr>
            <w:r>
              <w:t xml:space="preserve">all landmarks; anchors; essential destinations</w:t>
            </w:r>
          </w:p>
        </w:tc>
      </w:tr>
      <w:tr>
        <w:trPr>
          <w:cantSplit/>
        </w:trPr>
        <w:tc>
          <w:tcPr/>
          <w:p>
            <w:pPr>
              <w:pStyle w:val="Compact"/>
              <w:jc w:val="left"/>
            </w:pPr>
            <w:r>
              <w:rPr>
                <w:iCs/>
                <w:i/>
              </w:rPr>
              <w:t xml:space="preserve">N</w:t>
            </w:r>
            <w:r>
              <w:rPr>
                <w:iCs/>
                <w:i/>
                <w:vertAlign w:val="subscript"/>
              </w:rPr>
              <w:t xml:space="preserve">a</w:t>
            </w:r>
            <w:r>
              <w:t xml:space="preserve">;</w:t>
            </w:r>
            <w:r>
              <w:t xml:space="preserve"> </w:t>
            </w:r>
            <w:r>
              <w:rPr>
                <w:iCs/>
                <w:i/>
              </w:rPr>
              <w:t xml:space="preserve">P</w:t>
            </w:r>
            <w:r>
              <w:rPr>
                <w:iCs/>
                <w:i/>
                <w:vertAlign w:val="subscript"/>
              </w:rPr>
              <w:t xml:space="preserve">a</w:t>
            </w:r>
            <w:r>
              <w:t xml:space="preserve">,</w:t>
            </w:r>
            <w:r>
              <w:t xml:space="preserve"> </w:t>
            </w:r>
            <w:r>
              <w:rPr>
                <w:iCs/>
                <w:i/>
              </w:rPr>
              <w:t xml:space="preserve">W</w:t>
            </w:r>
          </w:p>
        </w:tc>
        <w:tc>
          <w:tcPr/>
          <w:p>
            <w:pPr>
              <w:pStyle w:val="Compact"/>
              <w:jc w:val="left"/>
            </w:pPr>
            <w:r>
              <w:t xml:space="preserve">number of anchors; weight of anchor</w:t>
            </w:r>
            <w:r>
              <w:t xml:space="preserve"> </w:t>
            </w:r>
            <w:r>
              <w:rPr>
                <w:iCs/>
                <w:i/>
              </w:rPr>
              <w:t xml:space="preserve">a</w:t>
            </w:r>
            <w:r>
              <w:t xml:space="preserve">; sum of all weights</w:t>
            </w:r>
          </w:p>
        </w:tc>
      </w:tr>
      <w:tr>
        <w:trPr>
          <w:cantSplit/>
        </w:trPr>
        <w:tc>
          <w:tcPr/>
          <w:p>
            <w:pPr>
              <w:pStyle w:val="Compact"/>
              <w:jc w:val="left"/>
            </w:pPr>
            <w:r>
              <w:rPr>
                <w:iCs/>
                <w:i/>
              </w:rPr>
              <w:t xml:space="preserve">S</w:t>
            </w:r>
            <w:r>
              <w:t xml:space="preserve">,</w:t>
            </w:r>
            <w:r>
              <w:t xml:space="preserve"> </w:t>
            </w:r>
            <w:r>
              <w:rPr>
                <w:iCs/>
                <w:i/>
              </w:rPr>
              <w:t xml:space="preserve">C</w:t>
            </w:r>
          </w:p>
        </w:tc>
        <w:tc>
          <w:tcPr/>
          <w:p>
            <w:pPr>
              <w:pStyle w:val="Compact"/>
              <w:jc w:val="left"/>
            </w:pPr>
            <w:r>
              <w:t xml:space="preserve">stops; connections</w:t>
            </w:r>
          </w:p>
        </w:tc>
      </w:tr>
      <w:tr>
        <w:trPr>
          <w:cantSplit/>
        </w:trPr>
        <w:tc>
          <w:tcPr/>
          <w:p>
            <w:pPr>
              <w:pStyle w:val="Compact"/>
              <w:jc w:val="left"/>
            </w:pPr>
            <w:r>
              <w:rPr>
                <w:iCs/>
                <w:i/>
              </w:rPr>
              <w:t xml:space="preserve">G</w:t>
            </w:r>
            <w:r>
              <w:t xml:space="preserve"> </w:t>
            </w:r>
            <w:r>
              <w:t xml:space="preserve">= (</w:t>
            </w:r>
            <w:r>
              <w:rPr>
                <w:iCs/>
                <w:i/>
              </w:rPr>
              <w:t xml:space="preserve">V</w:t>
            </w:r>
            <w:r>
              <w:t xml:space="preserve">,</w:t>
            </w:r>
            <w:r>
              <w:t xml:space="preserve"> </w:t>
            </w:r>
            <w:r>
              <w:rPr>
                <w:iCs/>
                <w:i/>
              </w:rPr>
              <w:t xml:space="preserve">E</w:t>
            </w:r>
            <w:r>
              <w:t xml:space="preserve">)</w:t>
            </w:r>
          </w:p>
        </w:tc>
        <w:tc>
          <w:tcPr/>
          <w:p>
            <w:pPr>
              <w:pStyle w:val="Compact"/>
              <w:jc w:val="left"/>
            </w:pPr>
            <w:r>
              <w:t xml:space="preserve">the time-expanded timetable graph</w:t>
            </w:r>
          </w:p>
        </w:tc>
      </w:tr>
      <w:tr>
        <w:trPr>
          <w:cantSplit/>
        </w:trPr>
        <w:tc>
          <w:tcPr/>
          <w:p>
            <w:pPr>
              <w:pStyle w:val="Compact"/>
              <w:jc w:val="left"/>
            </w:pPr>
            <w:r>
              <w:t xml:space="preserve">θ</w:t>
            </w:r>
            <w:r>
              <w:rPr>
                <w:iCs/>
                <w:i/>
                <w:vertAlign w:val="subscript"/>
              </w:rPr>
              <w:t xml:space="preserve">ch</w:t>
            </w:r>
          </w:p>
        </w:tc>
        <w:tc>
          <w:tcPr/>
          <w:p>
            <w:pPr>
              <w:pStyle w:val="Compact"/>
              <w:jc w:val="left"/>
            </w:pPr>
            <w:r>
              <w:t xml:space="preserve">minimum change time between trips</w:t>
            </w:r>
          </w:p>
        </w:tc>
      </w:tr>
      <w:tr>
        <w:trPr>
          <w:cantSplit/>
        </w:trPr>
        <w:tc>
          <w:tcPr/>
          <w:p>
            <w:pPr>
              <w:pStyle w:val="Compact"/>
              <w:jc w:val="left"/>
            </w:pPr>
            <w:r>
              <w:t xml:space="preserve">τ</w:t>
            </w:r>
            <w:r>
              <w:rPr>
                <w:vertAlign w:val="superscript"/>
              </w:rPr>
              <w:t xml:space="preserve">∗</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w:t>
            </w:r>
            <w:r>
              <w:t xml:space="preserve"> </w:t>
            </w:r>
            <w:r>
              <w:rPr>
                <w:iCs/>
                <w:i/>
              </w:rPr>
              <w:t xml:space="preserve">T</w:t>
            </w:r>
            <w:r>
              <w:t xml:space="preserve">,</w:t>
            </w:r>
            <w:r>
              <w:t xml:space="preserve"> </w:t>
            </w:r>
            <w:r>
              <w:rPr>
                <w:iCs/>
                <w:i/>
              </w:rPr>
              <w:t xml:space="preserve">T̄</w:t>
            </w:r>
          </w:p>
        </w:tc>
        <w:tc>
          <w:tcPr/>
          <w:p>
            <w:pPr>
              <w:pStyle w:val="Compact"/>
              <w:jc w:val="left"/>
            </w:pPr>
            <w:r>
              <w:t xml:space="preserve">earliest arrival; door-to-door travel time; its mean over departure times</w:t>
            </w:r>
          </w:p>
        </w:tc>
      </w:tr>
      <w:tr>
        <w:trPr>
          <w:cantSplit/>
        </w:trPr>
        <w:tc>
          <w:tcPr/>
          <w:p>
            <w:pPr>
              <w:pStyle w:val="Compact"/>
              <w:jc w:val="left"/>
            </w:pPr>
            <w:r>
              <w:t xml:space="preserve">θ</w:t>
            </w:r>
          </w:p>
        </w:tc>
        <w:tc>
          <w:tcPr/>
          <w:p>
            <w:pPr>
              <w:pStyle w:val="Compact"/>
              <w:jc w:val="left"/>
            </w:pPr>
            <w:r>
              <w:t xml:space="preserve">travel-time budget</w:t>
            </w:r>
          </w:p>
        </w:tc>
      </w:tr>
      <w:tr>
        <w:trPr>
          <w:cantSplit/>
        </w:trPr>
        <w:tc>
          <w:tcPr/>
          <w:p>
            <w:pPr>
              <w:pStyle w:val="Compact"/>
              <w:jc w:val="left"/>
            </w:pPr>
            <w:r>
              <w:rPr>
                <w:iCs/>
                <w:i/>
              </w:rPr>
              <w:t xml:space="preserve">A</w:t>
            </w:r>
            <w:r>
              <w:rPr>
                <w:iCs/>
                <w:i/>
                <w:vertAlign w:val="superscript"/>
              </w:rPr>
              <w:t xml:space="preserve">k</w:t>
            </w:r>
            <w:r>
              <w:rPr>
                <w:iCs/>
                <w:i/>
                <w:vertAlign w:val="subscript"/>
              </w:rPr>
              <w:t xml:space="preserve">a</w:t>
            </w:r>
            <w:r>
              <w:t xml:space="preserve">(θ)</w:t>
            </w:r>
          </w:p>
        </w:tc>
        <w:tc>
          <w:tcPr/>
          <w:p>
            <w:pPr>
              <w:pStyle w:val="Compact"/>
              <w:jc w:val="left"/>
            </w:pPr>
            <w:r>
              <w:t xml:space="preserve">total size of category-</w:t>
            </w:r>
            <w:r>
              <w:rPr>
                <w:iCs/>
                <w:i/>
              </w:rPr>
              <w:t xml:space="preserve">k</w:t>
            </w:r>
            <w:r>
              <w:t xml:space="preserve"> </w:t>
            </w:r>
            <w:r>
              <w:t xml:space="preserve">destinations reachable from anchor</w:t>
            </w:r>
            <w:r>
              <w:t xml:space="preserve"> </w:t>
            </w:r>
            <w:r>
              <w:rPr>
                <w:iCs/>
                <w:i/>
              </w:rPr>
              <w:t xml:space="preserve">a</w:t>
            </w:r>
            <w:r>
              <w:t xml:space="preserve"> </w:t>
            </w:r>
            <w:r>
              <w:t xml:space="preserve">within θ</w:t>
            </w:r>
          </w:p>
        </w:tc>
      </w:tr>
      <w:tr>
        <w:trPr>
          <w:cantSplit/>
        </w:trPr>
        <w:tc>
          <w:tcPr/>
          <w:p>
            <w:pPr>
              <w:pStyle w:val="Compact"/>
              <w:jc w:val="left"/>
            </w:pPr>
            <w:r>
              <w:t xml:space="preserve">μ;</w:t>
            </w:r>
            <w:r>
              <w:t xml:space="preserve"> </w:t>
            </w:r>
            <w:r>
              <w:rPr>
                <w:iCs/>
                <w:i/>
              </w:rPr>
              <w:t xml:space="preserve">G</w:t>
            </w:r>
            <w:r>
              <w:t xml:space="preserve">(</w:t>
            </w:r>
            <w:r>
              <w:rPr>
                <w:iCs/>
                <w:i/>
              </w:rPr>
              <w:t xml:space="preserve">A</w:t>
            </w:r>
            <w:r>
              <w:t xml:space="preserve">,</w:t>
            </w:r>
            <w:r>
              <w:t xml:space="preserve"> </w:t>
            </w:r>
            <w:r>
              <w:rPr>
                <w:iCs/>
                <w:i/>
              </w:rPr>
              <w:t xml:space="preserve">P</w:t>
            </w:r>
            <w:r>
              <w:t xml:space="preserve">),</w:t>
            </w:r>
            <w:r>
              <w:t xml:space="preserve"> </w:t>
            </w:r>
            <w:r>
              <w:rPr>
                <w:iCs/>
                <w:i/>
              </w:rPr>
              <w:t xml:space="preserve">T</w:t>
            </w:r>
            <w:r>
              <w:t xml:space="preserve">(</w:t>
            </w:r>
            <w:r>
              <w:rPr>
                <w:iCs/>
                <w:i/>
              </w:rPr>
              <w:t xml:space="preserve">A</w:t>
            </w:r>
            <w:r>
              <w:t xml:space="preserve">,</w:t>
            </w:r>
            <w:r>
              <w:t xml:space="preserve"> </w:t>
            </w:r>
            <w:r>
              <w:rPr>
                <w:iCs/>
                <w:i/>
              </w:rPr>
              <w:t xml:space="preserve">P</w:t>
            </w:r>
            <w:r>
              <w:t xml:space="preserve">)</w:t>
            </w:r>
          </w:p>
        </w:tc>
        <w:tc>
          <w:tcPr/>
          <w:p>
            <w:pPr>
              <w:pStyle w:val="Compact"/>
              <w:jc w:val="left"/>
            </w:pPr>
            <w:r>
              <w:t xml:space="preserve">weighted mean access; Gini coefficient; Theil index</w:t>
            </w:r>
          </w:p>
        </w:tc>
      </w:tr>
      <w:tr>
        <w:trPr>
          <w:cantSplit/>
        </w:trPr>
        <w:tc>
          <w:tcPr/>
          <w:p>
            <w:pPr>
              <w:pStyle w:val="Compact"/>
              <w:jc w:val="left"/>
            </w:pPr>
            <w:r>
              <w:t xml:space="preserve">γ,</w:t>
            </w:r>
            <w:r>
              <w:t xml:space="preserve"> </w:t>
            </w:r>
            <w:r>
              <w:rPr>
                <w:iCs/>
                <w:i/>
              </w:rPr>
              <w:t xml:space="preserve">E</w:t>
            </w:r>
            <w:r>
              <w:rPr>
                <w:vertAlign w:val="subscript"/>
              </w:rPr>
              <w:t xml:space="preserve">γ</w:t>
            </w:r>
            <w:r>
              <w:t xml:space="preserve">,</w:t>
            </w:r>
            <w:r>
              <w:t xml:space="preserve"> </w:t>
            </w:r>
            <w:r>
              <w:rPr>
                <w:iCs/>
                <w:i/>
              </w:rPr>
              <w:t xml:space="preserve">d</w:t>
            </w:r>
            <w:r>
              <w:rPr>
                <w:vertAlign w:val="subscript"/>
              </w:rPr>
              <w:t xml:space="preserve">γ</w:t>
            </w:r>
            <w:r>
              <w:t xml:space="preserve">; γ</w:t>
            </w:r>
            <w:r>
              <w:rPr>
                <w:iCs/>
                <w:i/>
                <w:vertAlign w:val="subscript"/>
              </w:rPr>
              <w:t xml:space="preserve">amb</w:t>
            </w:r>
          </w:p>
        </w:tc>
        <w:tc>
          <w:tcPr/>
          <w:p>
            <w:pPr>
              <w:pStyle w:val="Compact"/>
              <w:jc w:val="left"/>
            </w:pPr>
            <w:r>
              <w:t xml:space="preserve">vehicle class, arcs open to it, its shortest-path distance; the ambulance class</w:t>
            </w:r>
          </w:p>
        </w:tc>
      </w:tr>
      <w:tr>
        <w:trPr>
          <w:cantSplit/>
        </w:trPr>
        <w:tc>
          <w:tcPr/>
          <w:p>
            <w:pPr>
              <w:pStyle w:val="Compact"/>
              <w:jc w:val="left"/>
            </w:pPr>
            <w:r>
              <w:rPr>
                <w:iCs/>
                <w:i/>
              </w:rPr>
              <w:t xml:space="preserve">f</w:t>
            </w:r>
            <w:r>
              <w:t xml:space="preserve">(</w:t>
            </w:r>
            <w:r>
              <w:rPr>
                <w:iCs/>
                <w:i/>
              </w:rPr>
              <w:t xml:space="preserve">d</w:t>
            </w:r>
            <w:r>
              <w:t xml:space="preserve">),</w:t>
            </w:r>
            <w:r>
              <w:t xml:space="preserve"> </w:t>
            </w:r>
            <w:r>
              <w:rPr>
                <w:iCs/>
                <w:i/>
              </w:rPr>
              <w:t xml:space="preserve">F</w:t>
            </w:r>
            <w:r>
              <w:t xml:space="preserve">(</w:t>
            </w:r>
            <w:r>
              <w:rPr>
                <w:iCs/>
                <w:i/>
              </w:rPr>
              <w:t xml:space="preserve">J</w:t>
            </w:r>
            <w:r>
              <w:t xml:space="preserve">)</w:t>
            </w:r>
          </w:p>
        </w:tc>
        <w:tc>
          <w:tcPr/>
          <w:p>
            <w:pPr>
              <w:pStyle w:val="Compact"/>
              <w:jc w:val="left"/>
            </w:pPr>
            <w:r>
              <w:t xml:space="preserve">fare for a leg; fare for a journey</w:t>
            </w:r>
          </w:p>
        </w:tc>
      </w:tr>
      <w:tr>
        <w:trPr>
          <w:cantSplit/>
        </w:trPr>
        <w:tc>
          <w:tcPr/>
          <w:p>
            <w:pPr>
              <w:pStyle w:val="Compact"/>
              <w:jc w:val="left"/>
            </w:pPr>
            <w:r>
              <w:rPr>
                <w:iCs/>
                <w:i/>
              </w:rPr>
              <w:t xml:space="preserve">H</w:t>
            </w:r>
            <w:r>
              <w:t xml:space="preserve">,</w:t>
            </w:r>
            <w:r>
              <w:t xml:space="preserve"> </w:t>
            </w:r>
            <w:r>
              <w:rPr>
                <w:iCs/>
                <w:i/>
              </w:rPr>
              <w:t xml:space="preserve">v</w:t>
            </w:r>
            <w:r>
              <w:rPr>
                <w:iCs/>
                <w:i/>
                <w:vertAlign w:val="subscript"/>
              </w:rPr>
              <w:t xml:space="preserve">h</w:t>
            </w:r>
            <w:r>
              <w:t xml:space="preserve">,</w:t>
            </w:r>
            <w:r>
              <w:t xml:space="preserve"> </w:t>
            </w:r>
            <w:r>
              <w:rPr>
                <w:iCs/>
                <w:i/>
              </w:rPr>
              <w:t xml:space="preserve">c</w:t>
            </w:r>
            <w:r>
              <w:rPr>
                <w:iCs/>
                <w:i/>
                <w:vertAlign w:val="subscript"/>
              </w:rPr>
              <w:t xml:space="preserve">h</w:t>
            </w:r>
          </w:p>
        </w:tc>
        <w:tc>
          <w:tcPr/>
          <w:p>
            <w:pPr>
              <w:pStyle w:val="Compact"/>
              <w:jc w:val="left"/>
            </w:pPr>
            <w:r>
              <w:t xml:space="preserve">hospitals; entrance node; authorized beds</w:t>
            </w:r>
          </w:p>
        </w:tc>
      </w:tr>
      <w:tr>
        <w:trPr>
          <w:cantSplit/>
        </w:trPr>
        <w:tc>
          <w:tcPr/>
          <w:p>
            <w:pPr>
              <w:pStyle w:val="Compact"/>
              <w:jc w:val="left"/>
            </w:pPr>
            <w:r>
              <w:t xml:space="preserve">η</w:t>
            </w:r>
            <w:r>
              <w:rPr>
                <w:iCs/>
                <w:i/>
                <w:vertAlign w:val="subscript"/>
              </w:rPr>
              <w:t xml:space="preserve">h</w:t>
            </w:r>
            <w:r>
              <w:t xml:space="preserve">, Σ</w:t>
            </w:r>
            <w:r>
              <w:rPr>
                <w:iCs/>
                <w:i/>
                <w:vertAlign w:val="subscript"/>
              </w:rPr>
              <w:t xml:space="preserve">h</w:t>
            </w:r>
            <w:r>
              <w:t xml:space="preserve">,</w:t>
            </w:r>
            <w:r>
              <w:t xml:space="preserve"> </w:t>
            </w:r>
            <w:r>
              <w:rPr>
                <w:iCs/>
                <w:i/>
              </w:rPr>
              <w:t xml:space="preserve">e</w:t>
            </w:r>
            <w:r>
              <w:rPr>
                <w:iCs/>
                <w:i/>
                <w:vertAlign w:val="subscript"/>
              </w:rPr>
              <w:t xml:space="preserve">h</w:t>
            </w:r>
            <w:r>
              <w:t xml:space="preserve">,</w:t>
            </w:r>
            <w:r>
              <w:t xml:space="preserve"> </w:t>
            </w:r>
            <w:r>
              <w:rPr>
                <w:iCs/>
                <w:i/>
              </w:rPr>
              <w:t xml:space="preserve">q</w:t>
            </w:r>
            <w:r>
              <w:rPr>
                <w:iCs/>
                <w:i/>
                <w:vertAlign w:val="subscript"/>
              </w:rPr>
              <w:t xml:space="preserve">h</w:t>
            </w:r>
            <w:r>
              <w:t xml:space="preserve">,</w:t>
            </w:r>
            <w:r>
              <w:t xml:space="preserve"> </w:t>
            </w:r>
            <w:r>
              <w:rPr>
                <w:iCs/>
                <w:i/>
              </w:rPr>
              <w:t xml:space="preserve">m</w:t>
            </w:r>
            <w:r>
              <w:rPr>
                <w:iCs/>
                <w:i/>
                <w:vertAlign w:val="subscript"/>
              </w:rPr>
              <w:t xml:space="preserve">h</w:t>
            </w:r>
          </w:p>
        </w:tc>
        <w:tc>
          <w:tcPr/>
          <w:p>
            <w:pPr>
              <w:pStyle w:val="Compact"/>
              <w:jc w:val="left"/>
            </w:pPr>
            <w:r>
              <w:t xml:space="preserve">service level; service set; emergency-room flag; cost class; contact address</w:t>
            </w:r>
          </w:p>
        </w:tc>
      </w:tr>
      <w:tr>
        <w:trPr>
          <w:cantSplit/>
        </w:trPr>
        <w:tc>
          <w:tcPr/>
          <w:p>
            <w:pPr>
              <w:pStyle w:val="Compact"/>
              <w:jc w:val="left"/>
            </w:pPr>
            <w:r>
              <w:t xml:space="preserve">𝒮; Σ(η)</w:t>
            </w:r>
          </w:p>
        </w:tc>
        <w:tc>
          <w:tcPr/>
          <w:p>
            <w:pPr>
              <w:pStyle w:val="Compact"/>
              <w:jc w:val="left"/>
            </w:pPr>
            <w:r>
              <w:t xml:space="preserve">list of services (Table 8); default service set of level η</w:t>
            </w:r>
          </w:p>
        </w:tc>
      </w:tr>
      <w:tr>
        <w:trPr>
          <w:cantSplit/>
        </w:trPr>
        <w:tc>
          <w:tcPr/>
          <w:p>
            <w:pPr>
              <w:pStyle w:val="Compact"/>
              <w:jc w:val="left"/>
            </w:pPr>
            <w:r>
              <w:rPr>
                <w:iCs/>
                <w:i/>
              </w:rPr>
              <w:t xml:space="preserve">P</w:t>
            </w:r>
            <w:r>
              <w:rPr>
                <w:iCs/>
                <w:i/>
                <w:vertAlign w:val="subscript"/>
              </w:rPr>
              <w:t xml:space="preserve">h</w:t>
            </w:r>
            <w:r>
              <w:t xml:space="preserve">,</w:t>
            </w:r>
            <w:r>
              <w:t xml:space="preserve"> </w:t>
            </w:r>
            <w:r>
              <w:rPr>
                <w:iCs/>
                <w:i/>
              </w:rPr>
              <w:t xml:space="preserve">R</w:t>
            </w:r>
            <w:r>
              <w:rPr>
                <w:iCs/>
                <w:i/>
                <w:vertAlign w:val="subscript"/>
              </w:rPr>
              <w:t xml:space="preserve">rem</w:t>
            </w:r>
            <w:r>
              <w:t xml:space="preserve">,</w:t>
            </w:r>
            <w:r>
              <w:t xml:space="preserve"> </w:t>
            </w:r>
            <w:r>
              <w:rPr>
                <w:iCs/>
                <w:i/>
              </w:rPr>
              <w:t xml:space="preserve">n</w:t>
            </w:r>
            <w:r>
              <w:rPr>
                <w:iCs/>
                <w:i/>
                <w:vertAlign w:val="subscript"/>
              </w:rPr>
              <w:t xml:space="preserve">rem</w:t>
            </w:r>
            <w:r>
              <w:t xml:space="preserve">,</w:t>
            </w:r>
            <w:r>
              <w:t xml:space="preserve"> </w:t>
            </w:r>
            <w:r>
              <w:rPr>
                <w:iCs/>
                <w:i/>
              </w:rPr>
              <w:t xml:space="preserve">D</w:t>
            </w:r>
            <w:r>
              <w:rPr>
                <w:iCs/>
                <w:i/>
                <w:vertAlign w:val="subscript"/>
              </w:rPr>
              <w:t xml:space="preserve">rep</w:t>
            </w:r>
          </w:p>
        </w:tc>
        <w:tc>
          <w:tcPr/>
          <w:p>
            <w:pPr>
              <w:pStyle w:val="Compact"/>
              <w:jc w:val="left"/>
            </w:pPr>
            <w:r>
              <w:t xml:space="preserve">inquiry period; reminder delay; reminders allowed per cycle; longest reply delay assumed</w:t>
            </w:r>
          </w:p>
        </w:tc>
      </w:tr>
      <w:tr>
        <w:trPr>
          <w:cantSplit/>
        </w:trPr>
        <w:tc>
          <w:tcPr/>
          <w:p>
            <w:pPr>
              <w:pStyle w:val="Compact"/>
              <w:jc w:val="left"/>
            </w:pPr>
            <w:r>
              <w:rPr>
                <w:iCs/>
                <w:i/>
              </w:rPr>
              <w:t xml:space="preserve">ĉ</w:t>
            </w:r>
            <w:r>
              <w:rPr>
                <w:iCs/>
                <w:i/>
                <w:vertAlign w:val="subscript"/>
              </w:rPr>
              <w:t xml:space="preserve">h</w:t>
            </w:r>
            <w:r>
              <w:t xml:space="preserve">,</w:t>
            </w:r>
            <w:r>
              <w:t xml:space="preserve"> </w:t>
            </w:r>
            <w:r>
              <w:rPr>
                <w:iCs/>
                <w:i/>
              </w:rPr>
              <w:t xml:space="preserve">ô</w:t>
            </w:r>
            <w:r>
              <w:rPr>
                <w:iCs/>
                <w:i/>
                <w:vertAlign w:val="subscript"/>
              </w:rPr>
              <w:t xml:space="preserve">h</w:t>
            </w:r>
            <w:r>
              <w:t xml:space="preserve">,</w:t>
            </w:r>
            <w:r>
              <w:t xml:space="preserve"> </w:t>
            </w:r>
            <w:r>
              <w:rPr>
                <w:iCs/>
                <w:i/>
              </w:rPr>
              <w:t xml:space="preserve">ê</w:t>
            </w:r>
            <w:r>
              <w:rPr>
                <w:iCs/>
                <w:i/>
                <w:vertAlign w:val="subscript"/>
              </w:rPr>
              <w:t xml:space="preserve">h</w:t>
            </w:r>
            <w:r>
              <w:t xml:space="preserve">,</w:t>
            </w:r>
            <w:r>
              <w:t xml:space="preserve"> </w:t>
            </w:r>
            <w:r>
              <w:rPr>
                <w:iCs/>
                <w:i/>
              </w:rPr>
              <w:t xml:space="preserve">b</w:t>
            </w:r>
            <w:r>
              <w:rPr>
                <w:iCs/>
                <w:i/>
                <w:vertAlign w:val="subscript"/>
              </w:rPr>
              <w:t xml:space="preserve">h</w:t>
            </w:r>
            <w:r>
              <w:t xml:space="preserve">(</w:t>
            </w:r>
            <w:r>
              <w:rPr>
                <w:iCs/>
                <w:i/>
              </w:rPr>
              <w:t xml:space="preserve">t</w:t>
            </w:r>
            <w:r>
              <w:t xml:space="preserve">)</w:t>
            </w:r>
          </w:p>
        </w:tc>
        <w:tc>
          <w:tcPr/>
          <w:p>
            <w:pPr>
              <w:pStyle w:val="Compact"/>
              <w:jc w:val="left"/>
            </w:pPr>
            <w:r>
              <w:t xml:space="preserve">reported capacity, occupied beds, and emergency-room status; free beds</w:t>
            </w:r>
          </w:p>
        </w:tc>
      </w:tr>
      <w:tr>
        <w:trPr>
          <w:cantSplit/>
        </w:trPr>
        <w:tc>
          <w:tcPr/>
          <w:p>
            <w:pPr>
              <w:pStyle w:val="Compact"/>
              <w:jc w:val="left"/>
            </w:pPr>
            <w:r>
              <w:t xml:space="preserve">σ</w:t>
            </w:r>
            <w:r>
              <w:rPr>
                <w:iCs/>
                <w:i/>
                <w:vertAlign w:val="subscript"/>
              </w:rPr>
              <w:t xml:space="preserve">h</w:t>
            </w:r>
            <w:r>
              <w:t xml:space="preserve">(</w:t>
            </w:r>
            <w:r>
              <w:rPr>
                <w:iCs/>
                <w:i/>
              </w:rPr>
              <w:t xml:space="preserve">t</w:t>
            </w:r>
            <w:r>
              <w:t xml:space="preserve">),</w:t>
            </w:r>
            <w:r>
              <w:t xml:space="preserve"> </w:t>
            </w:r>
            <w:r>
              <w:rPr>
                <w:iCs/>
                <w:i/>
              </w:rPr>
              <w:t xml:space="preserve">age</w:t>
            </w:r>
            <w:r>
              <w:rPr>
                <w:iCs/>
                <w:i/>
                <w:vertAlign w:val="subscript"/>
              </w:rPr>
              <w:t xml:space="preserve">h</w:t>
            </w:r>
            <w:r>
              <w:t xml:space="preserve">(</w:t>
            </w:r>
            <w:r>
              <w:rPr>
                <w:iCs/>
                <w:i/>
              </w:rPr>
              <w:t xml:space="preserve">t</w:t>
            </w:r>
            <w:r>
              <w:t xml:space="preserve">),</w:t>
            </w:r>
            <w:r>
              <w:t xml:space="preserve"> </w:t>
            </w:r>
            <w:r>
              <w:rPr>
                <w:iCs/>
                <w:i/>
              </w:rPr>
              <w:t xml:space="preserve">age</w:t>
            </w:r>
            <w:r>
              <w:rPr>
                <w:vertAlign w:val="subscript"/>
              </w:rPr>
              <w:t xml:space="preserve">max</w:t>
            </w:r>
          </w:p>
        </w:tc>
        <w:tc>
          <w:tcPr/>
          <w:p>
            <w:pPr>
              <w:pStyle w:val="Compact"/>
              <w:jc w:val="left"/>
            </w:pPr>
            <w:r>
              <w:t xml:space="preserve">bed status; age of the report; limit on age</w:t>
            </w:r>
          </w:p>
        </w:tc>
      </w:tr>
      <w:tr>
        <w:trPr>
          <w:cantSplit/>
        </w:trPr>
        <w:tc>
          <w:tcPr/>
          <w:p>
            <w:pPr>
              <w:pStyle w:val="Compact"/>
              <w:jc w:val="left"/>
            </w:pPr>
            <w:r>
              <w:t xml:space="preserve">π = (κ,</w:t>
            </w:r>
            <w:r>
              <w:t xml:space="preserve"> </w:t>
            </w:r>
            <w:r>
              <w:rPr>
                <w:iCs/>
                <w:i/>
              </w:rPr>
              <w:t xml:space="preserve">N</w:t>
            </w:r>
            <w:r>
              <w:t xml:space="preserve">, ρ,</w:t>
            </w:r>
            <w:r>
              <w:t xml:space="preserve"> </w:t>
            </w:r>
            <w:r>
              <w:rPr>
                <w:iCs/>
                <w:i/>
              </w:rPr>
              <w:t xml:space="preserve">m</w:t>
            </w:r>
            <w:r>
              <w:t xml:space="preserve">)</w:t>
            </w:r>
          </w:p>
        </w:tc>
        <w:tc>
          <w:tcPr/>
          <w:p>
            <w:pPr>
              <w:pStyle w:val="Compact"/>
              <w:jc w:val="left"/>
            </w:pPr>
            <w:r>
              <w:t xml:space="preserve">patient profile: acuity, needed services, payment class, mobility class</w:t>
            </w:r>
          </w:p>
        </w:tc>
      </w:tr>
      <w:tr>
        <w:trPr>
          <w:cantSplit/>
        </w:trPr>
        <w:tc>
          <w:tcPr/>
          <w:p>
            <w:pPr>
              <w:pStyle w:val="Compact"/>
              <w:jc w:val="left"/>
            </w:pPr>
            <w:r>
              <w:t xml:space="preserve">λ(κ),</w:t>
            </w:r>
            <w:r>
              <w:t xml:space="preserve"> </w:t>
            </w:r>
            <w:r>
              <w:rPr>
                <w:iCs/>
                <w:i/>
              </w:rPr>
              <w:t xml:space="preserve">K</w:t>
            </w:r>
            <w:r>
              <w:rPr>
                <w:iCs/>
                <w:i/>
                <w:vertAlign w:val="subscript"/>
              </w:rPr>
              <w:t xml:space="preserve">E</w:t>
            </w:r>
          </w:p>
        </w:tc>
        <w:tc>
          <w:tcPr/>
          <w:p>
            <w:pPr>
              <w:pStyle w:val="Compact"/>
              <w:jc w:val="left"/>
            </w:pPr>
            <w:r>
              <w:t xml:space="preserve">lowest acceptable service level; emergency set</w:t>
            </w:r>
          </w:p>
        </w:tc>
      </w:tr>
      <w:tr>
        <w:trPr>
          <w:cantSplit/>
        </w:trPr>
        <w:tc>
          <w:tcPr/>
          <w:p>
            <w:pPr>
              <w:pStyle w:val="Compact"/>
              <w:jc w:val="left"/>
            </w:pPr>
            <w:r>
              <w:rPr>
                <w:iCs/>
                <w:i/>
              </w:rPr>
              <w:t xml:space="preserve">v</w:t>
            </w:r>
            <w:r>
              <w:rPr>
                <w:iCs/>
                <w:i/>
                <w:vertAlign w:val="subscript"/>
              </w:rPr>
              <w:t xml:space="preserve">m</w:t>
            </w:r>
            <w:r>
              <w:t xml:space="preserve">,</w:t>
            </w:r>
            <w:r>
              <w:t xml:space="preserve"> </w:t>
            </w:r>
            <w:r>
              <w:rPr>
                <w:iCs/>
                <w:i/>
              </w:rPr>
              <w:t xml:space="preserve">t̄</w:t>
            </w:r>
            <w:r>
              <w:rPr>
                <w:iCs/>
                <w:i/>
                <w:vertAlign w:val="subscript"/>
              </w:rPr>
              <w:t xml:space="preserve">m</w:t>
            </w:r>
          </w:p>
        </w:tc>
        <w:tc>
          <w:tcPr/>
          <w:p>
            <w:pPr>
              <w:pStyle w:val="Compact"/>
              <w:jc w:val="left"/>
            </w:pPr>
            <w:r>
              <w:t xml:space="preserve">walking speed and walking cap of mobility class</w:t>
            </w:r>
            <w:r>
              <w:t xml:space="preserve"> </w:t>
            </w:r>
            <w:r>
              <w:rPr>
                <w:iCs/>
                <w:i/>
              </w:rPr>
              <w:t xml:space="preserve">m</w:t>
            </w:r>
          </w:p>
        </w:tc>
      </w:tr>
      <w:tr>
        <w:trPr>
          <w:cantSplit/>
        </w:trPr>
        <w:tc>
          <w:tcPr/>
          <w:p>
            <w:pPr>
              <w:pStyle w:val="Compact"/>
              <w:jc w:val="left"/>
            </w:pPr>
            <w:r>
              <w:t xml:space="preserve">Φ,</w:t>
            </w:r>
            <w:r>
              <w:t xml:space="preserve"> </w:t>
            </w:r>
            <w:r>
              <w:rPr>
                <w:iCs/>
                <w:i/>
              </w:rPr>
              <w:t xml:space="preserve">H</w:t>
            </w:r>
            <w:r>
              <w:rPr>
                <w:vertAlign w:val="subscript"/>
              </w:rPr>
              <w:t xml:space="preserve">π</w:t>
            </w:r>
            <w:r>
              <w:t xml:space="preserve">(</w:t>
            </w:r>
            <w:r>
              <w:rPr>
                <w:iCs/>
                <w:i/>
              </w:rPr>
              <w:t xml:space="preserve">t</w:t>
            </w:r>
            <w:r>
              <w:t xml:space="preserve">)</w:t>
            </w:r>
          </w:p>
        </w:tc>
        <w:tc>
          <w:tcPr/>
          <w:p>
            <w:pPr>
              <w:pStyle w:val="Compact"/>
              <w:jc w:val="left"/>
            </w:pPr>
            <w:r>
              <w:t xml:space="preserve">suitability indicator; set of suitable hospitals</w:t>
            </w:r>
          </w:p>
        </w:tc>
      </w:tr>
      <w:tr>
        <w:trPr>
          <w:cantSplit/>
        </w:trPr>
        <w:tc>
          <w:tcPr/>
          <w:p>
            <w:pPr>
              <w:pStyle w:val="Compact"/>
              <w:jc w:val="left"/>
            </w:pPr>
            <w:r>
              <w:rPr>
                <w:iCs/>
                <w:i/>
              </w:rPr>
              <w:t xml:space="preserve">T</w:t>
            </w:r>
            <w:r>
              <w:rPr>
                <w:iCs/>
                <w:i/>
                <w:vertAlign w:val="subscript"/>
              </w:rPr>
              <w:t xml:space="preserve">x</w:t>
            </w:r>
            <w:r>
              <w:t xml:space="preserve">,</w:t>
            </w:r>
            <w:r>
              <w:t xml:space="preserve"> </w:t>
            </w:r>
            <w:r>
              <w:rPr>
                <w:iCs/>
                <w:i/>
              </w:rPr>
              <w:t xml:space="preserve">h</w:t>
            </w:r>
            <w:r>
              <w:rPr>
                <w:vertAlign w:val="superscript"/>
              </w:rPr>
              <w:t xml:space="preserve">∗</w:t>
            </w:r>
            <w:r>
              <w:t xml:space="preserve">,</w:t>
            </w:r>
            <w:r>
              <w:t xml:space="preserve"> </w:t>
            </w:r>
            <w:r>
              <w:rPr>
                <w:iCs/>
                <w:i/>
              </w:rPr>
              <w:t xml:space="preserve">T</w:t>
            </w:r>
            <w:r>
              <w:rPr>
                <w:vertAlign w:val="superscript"/>
              </w:rPr>
              <w:t xml:space="preserve">∗</w:t>
            </w:r>
            <w:r>
              <w:t xml:space="preserve">;</w:t>
            </w:r>
            <w:r>
              <w:t xml:space="preserve"> </w:t>
            </w:r>
            <w:r>
              <w:rPr>
                <w:iCs/>
                <w:i/>
              </w:rPr>
              <w:t xml:space="preserve">h</w:t>
            </w:r>
            <w:r>
              <w:rPr>
                <w:vertAlign w:val="subscript"/>
              </w:rPr>
              <w:t xml:space="preserve">(1)</w:t>
            </w:r>
            <w:r>
              <w:t xml:space="preserve">, …,</w:t>
            </w:r>
            <w:r>
              <w:t xml:space="preserve"> </w:t>
            </w:r>
            <w:r>
              <w:rPr>
                <w:iCs/>
                <w:i/>
              </w:rPr>
              <w:t xml:space="preserve">h</w:t>
            </w:r>
            <w:r>
              <w:rPr>
                <w:vertAlign w:val="subscript"/>
              </w:rPr>
              <w:t xml:space="preserve">(</w:t>
            </w:r>
            <w:r>
              <w:rPr>
                <w:iCs/>
                <w:i/>
                <w:vertAlign w:val="subscript"/>
              </w:rPr>
              <w:t xml:space="preserve">k</w:t>
            </w:r>
            <w:r>
              <w:rPr>
                <w:vertAlign w:val="subscript"/>
              </w:rPr>
              <w:t xml:space="preserve">)</w:t>
            </w:r>
          </w:p>
        </w:tc>
        <w:tc>
          <w:tcPr/>
          <w:p>
            <w:pPr>
              <w:pStyle w:val="Compact"/>
              <w:jc w:val="left"/>
            </w:pPr>
            <w:r>
              <w:t xml:space="preserve">travel time in mode</w:t>
            </w:r>
            <w:r>
              <w:t xml:space="preserve"> </w:t>
            </w:r>
            <w:r>
              <w:rPr>
                <w:iCs/>
                <w:i/>
              </w:rPr>
              <w:t xml:space="preserve">x</w:t>
            </w:r>
            <w:r>
              <w:t xml:space="preserve">; nearest suitable hospital; time to reach it; backup list</w:t>
            </w:r>
          </w:p>
        </w:tc>
      </w:tr>
      <w:tr>
        <w:trPr>
          <w:cantSplit/>
        </w:trPr>
        <w:tc>
          <w:tcPr/>
          <w:p>
            <w:pPr>
              <w:pStyle w:val="Compact"/>
              <w:jc w:val="left"/>
            </w:pPr>
            <w:r>
              <w:rPr>
                <w:iCs/>
                <w:i/>
              </w:rPr>
              <w:t xml:space="preserve">h</w:t>
            </w:r>
            <w:r>
              <w:t xml:space="preserve">°, θ</w:t>
            </w:r>
            <w:r>
              <w:rPr>
                <w:iCs/>
                <w:i/>
                <w:vertAlign w:val="subscript"/>
              </w:rPr>
              <w:t xml:space="preserve">stab</w:t>
            </w:r>
          </w:p>
        </w:tc>
        <w:tc>
          <w:tcPr/>
          <w:p>
            <w:pPr>
              <w:pStyle w:val="Compact"/>
              <w:jc w:val="left"/>
            </w:pPr>
            <w:r>
              <w:t xml:space="preserve">nearest open emergency room; margin for stabilization</w:t>
            </w:r>
          </w:p>
        </w:tc>
      </w:tr>
      <w:tr>
        <w:trPr>
          <w:cantSplit/>
        </w:trPr>
        <w:tc>
          <w:tcPr/>
          <w:p>
            <w:pPr>
              <w:pStyle w:val="Compact"/>
              <w:jc w:val="left"/>
            </w:pPr>
            <w:r>
              <w:t xml:space="preserve">Δ</w:t>
            </w:r>
            <w:r>
              <w:rPr>
                <w:iCs/>
                <w:i/>
                <w:vertAlign w:val="subscript"/>
              </w:rPr>
              <w:t xml:space="preserve">pay</w:t>
            </w:r>
            <w:r>
              <w:t xml:space="preserve">, Δ</w:t>
            </w:r>
            <w:r>
              <w:rPr>
                <w:iCs/>
                <w:i/>
                <w:vertAlign w:val="subscript"/>
              </w:rPr>
              <w:t xml:space="preserve">need</w:t>
            </w:r>
            <w:r>
              <w:t xml:space="preserve">, Δ</w:t>
            </w:r>
            <w:r>
              <w:rPr>
                <w:iCs/>
                <w:i/>
                <w:vertAlign w:val="subscript"/>
              </w:rPr>
              <w:t xml:space="preserve">mob</w:t>
            </w:r>
          </w:p>
        </w:tc>
        <w:tc>
          <w:tcPr/>
          <w:p>
            <w:pPr>
              <w:pStyle w:val="Compact"/>
              <w:jc w:val="left"/>
            </w:pPr>
            <w:r>
              <w:t xml:space="preserve">payment gap; need gap; mobility gap</w:t>
            </w:r>
          </w:p>
        </w:tc>
      </w:tr>
      <w:tr>
        <w:trPr>
          <w:cantSplit/>
        </w:trPr>
        <w:tc>
          <w:tcPr/>
          <w:p>
            <w:pPr>
              <w:pStyle w:val="Compact"/>
              <w:jc w:val="left"/>
            </w:pPr>
            <w:r>
              <w:rPr>
                <w:iCs/>
                <w:i/>
              </w:rPr>
              <w:t xml:space="preserve">B</w:t>
            </w:r>
            <w:r>
              <w:rPr>
                <w:iCs/>
                <w:i/>
                <w:vertAlign w:val="subscript"/>
              </w:rPr>
              <w:t xml:space="preserve">a</w:t>
            </w:r>
            <w:r>
              <w:t xml:space="preserve">,</w:t>
            </w:r>
            <w:r>
              <w:t xml:space="preserve"> </w:t>
            </w:r>
            <w:r>
              <w:rPr>
                <w:iCs/>
                <w:i/>
              </w:rPr>
              <w:t xml:space="preserve">B</w:t>
            </w:r>
            <w:r>
              <w:rPr>
                <w:vertAlign w:val="superscript"/>
              </w:rPr>
              <w:t xml:space="preserve">ρ</w:t>
            </w:r>
            <w:r>
              <w:rPr>
                <w:iCs/>
                <w:i/>
                <w:vertAlign w:val="subscript"/>
              </w:rPr>
              <w:t xml:space="preserve">a</w:t>
            </w:r>
          </w:p>
        </w:tc>
        <w:tc>
          <w:tcPr/>
          <w:p>
            <w:pPr>
              <w:pStyle w:val="Compact"/>
              <w:jc w:val="left"/>
            </w:pPr>
            <w:r>
              <w:t xml:space="preserve">free beds reachable; free beds reachable that payment class ρ accepts</w:t>
            </w:r>
          </w:p>
        </w:tc>
      </w:tr>
      <w:tr>
        <w:trPr>
          <w:cantSplit/>
        </w:trPr>
        <w:tc>
          <w:tcPr/>
          <w:p>
            <w:pPr>
              <w:pStyle w:val="Compact"/>
              <w:jc w:val="left"/>
            </w:pPr>
            <w:r>
              <w:rPr>
                <w:iCs/>
                <w:i/>
              </w:rPr>
              <w:t xml:space="preserve">C</w:t>
            </w:r>
            <w:r>
              <w:rPr>
                <w:iCs/>
                <w:i/>
                <w:vertAlign w:val="subscript"/>
              </w:rPr>
              <w:t xml:space="preserve">h</w:t>
            </w:r>
            <w:r>
              <w:t xml:space="preserve">(π,</w:t>
            </w:r>
            <w:r>
              <w:t xml:space="preserve"> </w:t>
            </w:r>
            <w:r>
              <w:rPr>
                <w:iCs/>
                <w:i/>
              </w:rPr>
              <w:t xml:space="preserve">t</w:t>
            </w:r>
            <w:r>
              <w:t xml:space="preserve">)</w:t>
            </w:r>
          </w:p>
        </w:tc>
        <w:tc>
          <w:tcPr/>
          <w:p>
            <w:pPr>
              <w:pStyle w:val="Compact"/>
              <w:jc w:val="left"/>
            </w:pPr>
            <w:r>
              <w:t xml:space="preserve">catchment of hospital</w:t>
            </w:r>
            <w:r>
              <w:t xml:space="preserve"> </w:t>
            </w:r>
            <w:r>
              <w:rPr>
                <w:iCs/>
                <w:i/>
              </w:rPr>
              <w:t xml:space="preserve">h</w:t>
            </w:r>
          </w:p>
        </w:tc>
      </w:tr>
      <w:tr>
        <w:trPr>
          <w:cantSplit/>
        </w:trPr>
        <w:tc>
          <w:tcPr/>
          <w:p>
            <w:pPr>
              <w:pStyle w:val="Compact"/>
              <w:jc w:val="left"/>
            </w:pPr>
            <w:r>
              <w:rPr>
                <w:iCs/>
                <w:i/>
              </w:rPr>
              <w:t xml:space="preserve">R</w:t>
            </w:r>
            <w:r>
              <w:rPr>
                <w:iCs/>
                <w:i/>
                <w:vertAlign w:val="subscript"/>
              </w:rPr>
              <w:t xml:space="preserve">h</w:t>
            </w:r>
            <w:r>
              <w:t xml:space="preserve">,</w:t>
            </w:r>
            <w:r>
              <w:t xml:space="preserve"> </w:t>
            </w:r>
            <w:r>
              <w:rPr>
                <w:iCs/>
                <w:i/>
              </w:rPr>
              <w:t xml:space="preserve">A</w:t>
            </w:r>
            <w:r>
              <w:rPr>
                <w:iCs/>
                <w:i/>
                <w:vertAlign w:val="superscript"/>
              </w:rPr>
              <w:t xml:space="preserve">F</w:t>
            </w:r>
            <w:r>
              <w:rPr>
                <w:iCs/>
                <w:i/>
                <w:vertAlign w:val="subscript"/>
              </w:rPr>
              <w:t xml:space="preserve">a</w:t>
            </w:r>
          </w:p>
        </w:tc>
        <w:tc>
          <w:tcPr/>
          <w:p>
            <w:pPr>
              <w:pStyle w:val="Compact"/>
              <w:jc w:val="left"/>
            </w:pPr>
            <w:r>
              <w:t xml:space="preserve">beds per person in the reach of</w:t>
            </w:r>
            <w:r>
              <w:t xml:space="preserve"> </w:t>
            </w:r>
            <w:r>
              <w:rPr>
                <w:iCs/>
                <w:i/>
              </w:rPr>
              <w:t xml:space="preserve">h</w:t>
            </w:r>
            <w:r>
              <w:t xml:space="preserve">; beds per person available to anchor</w:t>
            </w:r>
            <w:r>
              <w:t xml:space="preserve"> </w:t>
            </w:r>
            <w:r>
              <w:rPr>
                <w:iCs/>
                <w:i/>
              </w:rPr>
              <w:t xml:space="preserve">a</w:t>
            </w:r>
          </w:p>
        </w:tc>
      </w:tr>
      <w:tr>
        <w:trPr>
          <w:cantSplit/>
        </w:trPr>
        <w:tc>
          <w:tcPr/>
          <w:p>
            <w:pPr>
              <w:pStyle w:val="Compact"/>
              <w:jc w:val="left"/>
            </w:pPr>
            <w:r>
              <w:rPr>
                <w:iCs/>
                <w:i/>
              </w:rPr>
              <w:t xml:space="preserve">x</w:t>
            </w:r>
            <w:r>
              <w:rPr>
                <w:iCs/>
                <w:i/>
                <w:vertAlign w:val="subscript"/>
              </w:rPr>
              <w:t xml:space="preserve">ih</w:t>
            </w:r>
            <w:r>
              <w:t xml:space="preserve">,</w:t>
            </w:r>
            <w:r>
              <w:t xml:space="preserve"> </w:t>
            </w:r>
            <w:r>
              <w:rPr>
                <w:iCs/>
                <w:i/>
              </w:rPr>
              <w:t xml:space="preserve">U</w:t>
            </w:r>
            <w:r>
              <w:rPr>
                <w:iCs/>
                <w:i/>
                <w:vertAlign w:val="subscript"/>
              </w:rPr>
              <w:t xml:space="preserve">i</w:t>
            </w:r>
          </w:p>
        </w:tc>
        <w:tc>
          <w:tcPr/>
          <w:p>
            <w:pPr>
              <w:pStyle w:val="Compact"/>
              <w:jc w:val="left"/>
            </w:pPr>
            <w:r>
              <w:t xml:space="preserve">assignment of patient</w:t>
            </w:r>
            <w:r>
              <w:t xml:space="preserve"> </w:t>
            </w:r>
            <w:r>
              <w:rPr>
                <w:iCs/>
                <w:i/>
              </w:rPr>
              <w:t xml:space="preserve">i</w:t>
            </w:r>
            <w:r>
              <w:t xml:space="preserve"> </w:t>
            </w:r>
            <w:r>
              <w:t xml:space="preserve">to hospital</w:t>
            </w:r>
            <w:r>
              <w:t xml:space="preserve"> </w:t>
            </w:r>
            <w:r>
              <w:rPr>
                <w:iCs/>
                <w:i/>
              </w:rPr>
              <w:t xml:space="preserve">h</w:t>
            </w:r>
            <w:r>
              <w:t xml:space="preserve">; penalty for leaving</w:t>
            </w:r>
            <w:r>
              <w:t xml:space="preserve"> </w:t>
            </w:r>
            <w:r>
              <w:rPr>
                <w:iCs/>
                <w:i/>
              </w:rPr>
              <w:t xml:space="preserve">i</w:t>
            </w:r>
            <w:r>
              <w:t xml:space="preserve"> </w:t>
            </w:r>
            <w:r>
              <w:t xml:space="preserve">unplaced</w:t>
            </w:r>
          </w:p>
        </w:tc>
      </w:tr>
      <w:tr>
        <w:trPr>
          <w:cantSplit/>
        </w:trPr>
        <w:tc>
          <w:tcPr/>
          <w:p>
            <w:pPr>
              <w:pStyle w:val="Compact"/>
              <w:jc w:val="left"/>
            </w:pPr>
            <w:r>
              <w:rPr>
                <w:iCs/>
                <w:i/>
              </w:rPr>
              <w:t xml:space="preserve">D</w:t>
            </w:r>
            <w:r>
              <w:rPr>
                <w:iCs/>
                <w:i/>
                <w:vertAlign w:val="subscript"/>
              </w:rPr>
              <w:t xml:space="preserve">e</w:t>
            </w:r>
          </w:p>
        </w:tc>
        <w:tc>
          <w:tcPr/>
          <w:p>
            <w:pPr>
              <w:pStyle w:val="Compact"/>
              <w:jc w:val="left"/>
            </w:pPr>
            <w:r>
              <w:t xml:space="preserve">criticality of road segment</w:t>
            </w:r>
            <w:r>
              <w:t xml:space="preserve"> </w:t>
            </w:r>
            <w:r>
              <w:rPr>
                <w:iCs/>
                <w:i/>
              </w:rPr>
              <w:t xml:space="preserve">e</w:t>
            </w:r>
          </w:p>
        </w:tc>
      </w:tr>
      <w:tr>
        <w:trPr>
          <w:cantSplit/>
        </w:trPr>
        <w:tc>
          <w:tcPr/>
          <w:p>
            <w:pPr>
              <w:pStyle w:val="Compact"/>
              <w:jc w:val="left"/>
            </w:pPr>
            <w:r>
              <w:rPr>
                <w:iCs/>
                <w:i/>
              </w:rPr>
              <w:t xml:space="preserve">Q</w:t>
            </w:r>
            <w:r>
              <w:t xml:space="preserve">,</w:t>
            </w:r>
            <w:r>
              <w:t xml:space="preserve"> </w:t>
            </w:r>
            <w:r>
              <w:rPr>
                <w:iCs/>
                <w:i/>
              </w:rPr>
              <w:t xml:space="preserve">C</w:t>
            </w:r>
            <w:r>
              <w:rPr>
                <w:iCs/>
                <w:i/>
                <w:vertAlign w:val="subscript"/>
              </w:rPr>
              <w:t xml:space="preserve">j</w:t>
            </w:r>
            <w:r>
              <w:t xml:space="preserve">,</w:t>
            </w:r>
            <w:r>
              <w:t xml:space="preserve"> </w:t>
            </w:r>
            <w:r>
              <w:rPr>
                <w:iCs/>
                <w:i/>
              </w:rPr>
              <w:t xml:space="preserve">C</w:t>
            </w:r>
            <w:r>
              <w:rPr>
                <w:vertAlign w:val="subscript"/>
              </w:rPr>
              <w:t xml:space="preserve">0</w:t>
            </w:r>
            <w:r>
              <w:t xml:space="preserve">,</w:t>
            </w:r>
            <w:r>
              <w:t xml:space="preserve"> </w:t>
            </w:r>
            <w:r>
              <w:rPr>
                <w:iCs/>
                <w:i/>
              </w:rPr>
              <w:t xml:space="preserve">f</w:t>
            </w:r>
            <w:r>
              <w:t xml:space="preserve">(</w:t>
            </w:r>
            <w:r>
              <w:rPr>
                <w:iCs/>
                <w:i/>
              </w:rPr>
              <w:t xml:space="preserve">S</w:t>
            </w:r>
            <w:r>
              <w:t xml:space="preserve">)</w:t>
            </w:r>
          </w:p>
        </w:tc>
        <w:tc>
          <w:tcPr/>
          <w:p>
            <w:pPr>
              <w:pStyle w:val="Compact"/>
              <w:jc w:val="left"/>
            </w:pPr>
            <w:r>
              <w:t xml:space="preserve">candidate sites; anchors covered by site</w:t>
            </w:r>
            <w:r>
              <w:t xml:space="preserve"> </w:t>
            </w:r>
            <w:r>
              <w:rPr>
                <w:iCs/>
                <w:i/>
              </w:rPr>
              <w:t xml:space="preserve">j</w:t>
            </w:r>
            <w:r>
              <w:t xml:space="preserve">; anchors already covered; coverage gained by sites</w:t>
            </w:r>
            <w:r>
              <w:t xml:space="preserve"> </w:t>
            </w:r>
            <w:r>
              <w:rPr>
                <w:iCs/>
                <w:i/>
              </w:rPr>
              <w:t xml:space="preserve">S</w:t>
            </w:r>
          </w:p>
        </w:tc>
      </w:tr>
    </w:tbl>
    <w:p>
      <w:pPr>
        <w:pStyle w:val="BodyText"/>
        <w:spacing w:before="200"/>
      </w:pPr>
      <w:r>
        <w:rPr>
          <w:bCs/>
          <w:b/>
        </w:rPr>
        <w:t xml:space="preserve">Sources of the equations.</w:t>
      </w:r>
      <w:r>
        <w:t xml:space="preserve"> </w:t>
      </w:r>
      <w:r>
        <w:t xml:space="preserve">Equations (2) to (7) and (9) are established constructions, cited at first use, as are the Theil decomposition (27) and the bound (32) in Section 3.2. Equations (21) and (23) apply Wachs and Kumagai (1973) and Luo and Wang (2003) to anchors and free beds.</w:t>
      </w:r>
    </w:p>
    <w:bookmarkEnd w:id="148"/>
    <w:bookmarkEnd w:id="149"/>
    <w:bookmarkStart w:id="186" w:name="findings"/>
    <w:p>
      <w:pPr>
        <w:pStyle w:val="Heading1"/>
      </w:pPr>
      <w:r>
        <w:t xml:space="preserve">3. FINDINGS</w:t>
      </w:r>
    </w:p>
    <w:bookmarkStart w:id="150" w:name="note-on-data-sources-and-integrity"/>
    <w:p>
      <w:pPr>
        <w:pStyle w:val="Heading2"/>
      </w:pPr>
      <w:r>
        <w:t xml:space="preserve">3.0 Note on Data Sources and Integrity</w:t>
      </w:r>
    </w:p>
    <w:p>
      <w:pPr>
        <w:pStyle w:val="FirstParagraph"/>
      </w:pPr>
      <w:r>
        <w:t xml:space="preserve">Every result in this chapter comes from proof or from simulation.</w:t>
      </w:r>
    </w:p>
    <w:p>
      <w:pPr>
        <w:pStyle w:val="BodyText"/>
      </w:pPr>
      <w:r>
        <w:t xml:space="preserve">Two scripts produced the numbers.</w:t>
      </w:r>
    </w:p>
    <w:bookmarkEnd w:id="150"/>
    <w:bookmarkStart w:id="151" w:name="general-methods"/>
    <w:p>
      <w:pPr>
        <w:pStyle w:val="Heading2"/>
      </w:pPr>
      <w:r>
        <w:t xml:space="preserve">3.1 General Methods</w:t>
      </w:r>
    </w:p>
    <w:p>
      <w:pPr>
        <w:pStyle w:val="FirstParagraph"/>
      </w:pPr>
      <w:r>
        <w:t xml:space="preserve">The work proceeded in nine stages.</w:t>
      </w:r>
    </w:p>
    <w:p>
      <w:pPr>
        <w:pStyle w:val="BodyText"/>
      </w:pPr>
      <w:r>
        <w:rPr>
          <w:bCs/>
          <w:b/>
        </w:rPr>
        <w:t xml:space="preserve">Stage 1: Road network.</w:t>
      </w:r>
      <w:r>
        <w:t xml:space="preserve"> </w:t>
      </w:r>
      <w:r>
        <w:t xml:space="preserve">OpenStreetMap road data were used to build the network of Definition 2 (OpenStreetMap contributors, 2026).</w:t>
      </w:r>
    </w:p>
    <w:p>
      <w:pPr>
        <w:pStyle w:val="BodyText"/>
      </w:pPr>
      <w:r>
        <w:rPr>
          <w:bCs/>
          <w:b/>
        </w:rPr>
        <w:t xml:space="preserve">Stage 2: Landmark listing and snapping.</w:t>
      </w:r>
      <w:r>
        <w:t xml:space="preserve"> </w:t>
      </w:r>
      <w:r>
        <w:t xml:space="preserve">The public registers of Table 4 supplied candidate landmarks under the criteria of Appendix C.</w:t>
      </w:r>
    </w:p>
    <w:p>
      <w:pPr>
        <w:pStyle w:val="BodyText"/>
      </w:pPr>
      <w:r>
        <w:rPr>
          <w:bCs/>
          <w:b/>
        </w:rPr>
        <w:t xml:space="preserve">Stage 3: GTFS feed.</w:t>
      </w:r>
      <w:r>
        <w:t xml:space="preserve"> </w:t>
      </w:r>
      <w:r>
        <w:t xml:space="preserve">Stops, routes, trips, arrival times, calendar rules, fare rules, and route shapes were written into a standard GTFS feed (Appendix B).</w:t>
      </w:r>
    </w:p>
    <w:p>
      <w:pPr>
        <w:pStyle w:val="BodyText"/>
      </w:pPr>
      <w:r>
        <w:rPr>
          <w:bCs/>
          <w:b/>
        </w:rPr>
        <w:t xml:space="preserve">Stage 4: Graph and queries.</w:t>
      </w:r>
      <w:r>
        <w:t xml:space="preserve"> </w:t>
      </w:r>
      <w:r>
        <w:t xml:space="preserve">The feed and the walking links were combined into the time-expanded graph of Section 2.2.</w:t>
      </w:r>
    </w:p>
    <w:p>
      <w:pPr>
        <w:pStyle w:val="BodyText"/>
      </w:pPr>
      <w:r>
        <w:rPr>
          <w:bCs/>
          <w:b/>
        </w:rPr>
        <w:t xml:space="preserve">Stage 5: Accessibility and inequality.</w:t>
      </w:r>
      <w:r>
        <w:t xml:space="preserve"> </w:t>
      </w:r>
      <w:r>
        <w:t xml:space="preserve">Cumulative landmark scores were computed from the travel times, and their distributions gave the Lorenz curves, Gini coefficients, Theil indices, and Palma ratios.</w:t>
      </w:r>
    </w:p>
    <w:p>
      <w:pPr>
        <w:pStyle w:val="BodyText"/>
      </w:pPr>
      <w:r>
        <w:rPr>
          <w:bCs/>
          <w:b/>
        </w:rPr>
        <w:t xml:space="preserve">Stage 6: Hospital map.</w:t>
      </w:r>
      <w:r>
        <w:t xml:space="preserve"> </w:t>
      </w:r>
      <w:r>
        <w:t xml:space="preserve">Every hospital and infirmary received the record of Definition 13.</w:t>
      </w:r>
    </w:p>
    <w:p>
      <w:pPr>
        <w:pStyle w:val="BodyText"/>
      </w:pPr>
      <w:r>
        <w:rPr>
          <w:bCs/>
          <w:b/>
        </w:rPr>
        <w:t xml:space="preserve">Stage 7: Live bed tracking.</w:t>
      </w:r>
      <w:r>
        <w:t xml:space="preserve"> </w:t>
      </w:r>
      <w:r>
        <w:t xml:space="preserve">The e-mail agents of Section 2.8 followed the protocol of Definition 14 and published free beds, status, and report age for each facility (Definition 15).</w:t>
      </w:r>
    </w:p>
    <w:p>
      <w:pPr>
        <w:pStyle w:val="BodyText"/>
      </w:pPr>
      <w:r>
        <w:rPr>
          <w:bCs/>
          <w:b/>
        </w:rPr>
        <w:t xml:space="preserve">Stage 8: Hospital mode.</w:t>
      </w:r>
      <w:r>
        <w:t xml:space="preserve"> </w:t>
      </w:r>
      <w:r>
        <w:t xml:space="preserve">The routing engine, the hospital map, and the bed table were joined into hospital mode (Algorithm 1), with the suitability rule of Definition 17, the backup list of Definition 18, and the stabilization rule of Definition 19.</w:t>
      </w:r>
    </w:p>
    <w:p>
      <w:pPr>
        <w:pStyle w:val="BodyText"/>
      </w:pPr>
      <w:r>
        <w:rPr>
          <w:bCs/>
          <w:b/>
        </w:rPr>
        <w:t xml:space="preserve">Stage 9: Patient needs and planning tools.</w:t>
      </w:r>
      <w:r>
        <w:t xml:space="preserve"> </w:t>
      </w:r>
      <w:r>
        <w:t xml:space="preserve">The patient profile was extended with required services and mobility classes (Definition 16).</w:t>
      </w:r>
    </w:p>
    <w:p>
      <w:pPr>
        <w:pStyle w:val="BodyText"/>
      </w:pPr>
      <w:r>
        <w:t xml:space="preserve">The web application that joins these parts, with its fare calculator, route directions, vehicle-restricted routing, and hospital mode, is described in Appendix D.</w:t>
      </w:r>
    </w:p>
    <w:bookmarkEnd w:id="151"/>
    <w:bookmarkStart w:id="170" w:name="theoretical-results"/>
    <w:p>
      <w:pPr>
        <w:pStyle w:val="Heading2"/>
      </w:pPr>
      <w:r>
        <w:t xml:space="preserve">3.2 Theoretical Results</w:t>
      </w:r>
    </w:p>
    <w:p>
      <w:pPr>
        <w:pStyle w:val="FirstParagraph"/>
      </w:pPr>
      <w:r>
        <w:t xml:space="preserve">The query engine must be shown correct before any accessibility figure built on it can be trusted, so the results begin there.</w:t>
      </w:r>
    </w:p>
    <w:p>
      <w:pPr>
        <w:pStyle w:val="BodyText"/>
      </w:pPr>
      <w:r>
        <w:rPr>
          <w:bCs/>
          <w:b/>
        </w:rPr>
        <w:t xml:space="preserve">Proposition 1 (Query engine correctness; from Dijkstra, 1959; Pyrga et al., 2008).</w:t>
      </w:r>
      <w:r>
        <w:t xml:space="preserve"> </w:t>
      </w:r>
      <w:r>
        <w:t xml:space="preserve">Suppose Assumption 1 holds. For any origin</w:t>
      </w:r>
      <w:r>
        <w:t xml:space="preserve"> </w:t>
      </w:r>
      <w:r>
        <w:rPr>
          <w:iCs/>
          <w:i/>
        </w:rPr>
        <w:t xml:space="preserve">o</w:t>
      </w:r>
      <w:r>
        <w:t xml:space="preserve">, destination</w:t>
      </w:r>
      <w:r>
        <w:t xml:space="preserve"> </w:t>
      </w:r>
      <w:r>
        <w:rPr>
          <w:iCs/>
          <w:i/>
        </w:rPr>
        <w:t xml:space="preserve">d</w:t>
      </w:r>
      <w:r>
        <w:t xml:space="preserve">, and departure time</w:t>
      </w:r>
      <w:r>
        <w:t xml:space="preserve"> </w:t>
      </w:r>
      <w:r>
        <w:rPr>
          <w:iCs/>
          <w:i/>
        </w:rPr>
        <w:t xml:space="preserve">t</w:t>
      </w:r>
      <w:r>
        <w:rPr>
          <w:vertAlign w:val="subscript"/>
        </w:rPr>
        <w:t xml:space="preserve">0</w:t>
      </w:r>
      <w:r>
        <w:t xml:space="preserve">, a label-setting shortest-path search on the time-expanded graph</w:t>
      </w:r>
      <w:r>
        <w:t xml:space="preserve"> </w:t>
      </w:r>
      <w:r>
        <w:rPr>
          <w:iCs/>
          <w:i/>
        </w:rPr>
        <w:t xml:space="preserve">G</w:t>
      </w:r>
      <w:r>
        <w:t xml:space="preserve"> </w:t>
      </w:r>
      <w:r>
        <w:t xml:space="preserve">that uses absolute arrival time as its label and extracts vertices in nondecreasing order of label returns the exact earliest arrival τ</w:t>
      </w:r>
      <w:r>
        <w:rPr>
          <w:vertAlign w:val="superscript"/>
        </w:rPr>
        <w:t xml:space="preserve">∗</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w:t>
      </w:r>
    </w:p>
    <w:p>
      <w:pPr>
        <w:pStyle w:val="BodyText"/>
      </w:pPr>
      <w:r>
        <w:rPr>
          <w:iCs/>
          <w:i/>
        </w:rPr>
        <w:t xml:space="preserve">Proof.</w:t>
      </w:r>
      <w:r>
        <w:t xml:space="preserve"> </w:t>
      </w:r>
      <w:r>
        <w:t xml:space="preserve">Weight each arc (</w:t>
      </w:r>
      <w:r>
        <w:rPr>
          <w:iCs/>
          <w:i/>
        </w:rPr>
        <w:t xml:space="preserve">u</w:t>
      </w:r>
      <w:r>
        <w:t xml:space="preserve">,</w:t>
      </w:r>
      <w:r>
        <w:t xml:space="preserve"> </w:t>
      </w:r>
      <w:r>
        <w:rPr>
          <w:iCs/>
          <w:i/>
        </w:rPr>
        <w:t xml:space="preserve">v</w:t>
      </w:r>
      <w:r>
        <w:t xml:space="preserve">) of</w:t>
      </w:r>
      <w:r>
        <w:t xml:space="preserve"> </w:t>
      </w:r>
      <w:r>
        <w:rPr>
          <w:iCs/>
          <w:i/>
        </w:rPr>
        <w:t xml:space="preserve">E</w:t>
      </w:r>
      <w:r>
        <w:t xml:space="preserve"> </w:t>
      </w:r>
      <w:r>
        <w:t xml:space="preserve">by ω(</w:t>
      </w:r>
      <w:r>
        <w:rPr>
          <w:iCs/>
          <w:i/>
        </w:rPr>
        <w:t xml:space="preserve">u</w:t>
      </w:r>
      <w:r>
        <w:t xml:space="preserve">,</w:t>
      </w:r>
      <w:r>
        <w:t xml:space="preserve"> </w:t>
      </w:r>
      <w:r>
        <w:rPr>
          <w:iCs/>
          <w:i/>
        </w:rPr>
        <w:t xml:space="preserve">v</w:t>
      </w:r>
      <w:r>
        <w:t xml:space="preserve">) =</w:t>
      </w:r>
      <w:r>
        <w:t xml:space="preserve"> </w:t>
      </w:r>
      <w:r>
        <w:rPr>
          <w:iCs/>
          <w:i/>
        </w:rPr>
        <w:t xml:space="preserve">t</w:t>
      </w:r>
      <w:r>
        <w:t xml:space="preserve">(</w:t>
      </w:r>
      <w:r>
        <w:rPr>
          <w:iCs/>
          <w:i/>
        </w:rPr>
        <w:t xml:space="preserve">v</w:t>
      </w:r>
      <w:r>
        <w:t xml:space="preserve">) −</w:t>
      </w:r>
      <w:r>
        <w:t xml:space="preserve"> </w:t>
      </w:r>
      <w:r>
        <w:rPr>
          <w:iCs/>
          <w:i/>
        </w:rPr>
        <w:t xml:space="preserve">t</w:t>
      </w:r>
      <w:r>
        <w:t xml:space="preserve">(</w:t>
      </w:r>
      <w:r>
        <w:rPr>
          <w:iCs/>
          <w:i/>
        </w:rPr>
        <w:t xml:space="preserve">u</w:t>
      </w:r>
      <w:r>
        <w:t xml:space="preserve">); under Assumption 1 every such weight is nonnegative. Along any path π that leaves the source (</w:t>
      </w:r>
      <w:r>
        <w:rPr>
          <w:iCs/>
          <w:i/>
        </w:rPr>
        <w:t xml:space="preserve">o</w:t>
      </w:r>
      <w:r>
        <w:t xml:space="preserve">,</w:t>
      </w:r>
      <w:r>
        <w:t xml:space="preserve"> </w:t>
      </w:r>
      <w:r>
        <w:rPr>
          <w:iCs/>
          <w:i/>
        </w:rPr>
        <w:t xml:space="preserve">t</w:t>
      </w:r>
      <w:r>
        <w:rPr>
          <w:vertAlign w:val="subscript"/>
        </w:rPr>
        <w:t xml:space="preserve">0</w:t>
      </w:r>
      <w:r>
        <w:t xml:space="preserve">) and ends at (</w:t>
      </w:r>
      <w:r>
        <w:rPr>
          <w:iCs/>
          <w:i/>
        </w:rPr>
        <w:t xml:space="preserve">d</w:t>
      </w:r>
      <w:r>
        <w:t xml:space="preserve">,</w:t>
      </w:r>
      <w:r>
        <w:t xml:space="preserve"> </w:t>
      </w:r>
      <w:r>
        <w:rPr>
          <w:iCs/>
          <w:i/>
        </w:rPr>
        <w:t xml:space="preserve">t</w:t>
      </w:r>
      <w:r>
        <w:t xml:space="preserve">), the weights telescope to Σ</w:t>
      </w:r>
      <w:r>
        <w:rPr>
          <w:vertAlign w:val="subscript"/>
        </w:rPr>
        <w:t xml:space="preserve">(</w:t>
      </w:r>
      <w:r>
        <w:rPr>
          <w:iCs/>
          <w:i/>
          <w:vertAlign w:val="subscript"/>
        </w:rPr>
        <w:t xml:space="preserve">u</w:t>
      </w:r>
      <w:r>
        <w:rPr>
          <w:vertAlign w:val="subscript"/>
        </w:rPr>
        <w:t xml:space="preserve">,</w:t>
      </w:r>
      <w:r>
        <w:rPr>
          <w:iCs/>
          <w:i/>
          <w:vertAlign w:val="subscript"/>
        </w:rPr>
        <w:t xml:space="preserve">v</w:t>
      </w:r>
      <w:r>
        <w:rPr>
          <w:vertAlign w:val="subscript"/>
        </w:rPr>
        <w:t xml:space="preserve">) ∈ π</w:t>
      </w:r>
      <w:r>
        <w:t xml:space="preserve"> </w:t>
      </w:r>
      <w:r>
        <w:t xml:space="preserve">ω(</w:t>
      </w:r>
      <w:r>
        <w:rPr>
          <w:iCs/>
          <w:i/>
        </w:rPr>
        <w:t xml:space="preserve">u</w:t>
      </w:r>
      <w:r>
        <w:t xml:space="preserve">,</w:t>
      </w:r>
      <w:r>
        <w:t xml:space="preserve"> </w:t>
      </w:r>
      <w:r>
        <w:rPr>
          <w:iCs/>
          <w:i/>
        </w:rPr>
        <w:t xml:space="preserve">v</w:t>
      </w:r>
      <w:r>
        <w:t xml:space="preserve">) =</w:t>
      </w:r>
      <w:r>
        <w:t xml:space="preserve"> </w:t>
      </w:r>
      <w:r>
        <w:rPr>
          <w:iCs/>
          <w:i/>
        </w:rPr>
        <w:t xml:space="preserve">t</w:t>
      </w:r>
      <w:r>
        <w:t xml:space="preserve"> </w:t>
      </w:r>
      <w:r>
        <w:t xml:space="preserve">−</w:t>
      </w:r>
      <w:r>
        <w:t xml:space="preserve"> </w:t>
      </w:r>
      <w:r>
        <w:rPr>
          <w:iCs/>
          <w:i/>
        </w:rPr>
        <w:t xml:space="preserve">t</w:t>
      </w:r>
      <w:r>
        <w:rPr>
          <w:vertAlign w:val="subscript"/>
        </w:rPr>
        <w:t xml:space="preserve">0</w:t>
      </w:r>
      <w:r>
        <w:t xml:space="preserve">, so a path has minimum weight exactly when it arrives earliest. By the way</w:t>
      </w:r>
      <w:r>
        <w:t xml:space="preserve"> </w:t>
      </w:r>
      <w:r>
        <w:rPr>
          <w:iCs/>
          <w:i/>
        </w:rPr>
        <w:t xml:space="preserve">E</w:t>
      </w:r>
      <w:r>
        <w:t xml:space="preserve"> </w:t>
      </w:r>
      <w:r>
        <w:t xml:space="preserve">is built, paths in</w:t>
      </w:r>
      <w:r>
        <w:t xml:space="preserve"> </w:t>
      </w:r>
      <w:r>
        <w:rPr>
          <w:iCs/>
          <w:i/>
        </w:rPr>
        <w:t xml:space="preserve">G</w:t>
      </w:r>
      <w:r>
        <w:t xml:space="preserve"> </w:t>
      </w:r>
      <w:r>
        <w:t xml:space="preserve">and feasible journeys are the same objects: a ride arc never lets the rider off between two consecutive stops, a change of trip always passes through a transfer arc costing θ</w:t>
      </w:r>
      <w:r>
        <w:rPr>
          <w:iCs/>
          <w:i/>
          <w:vertAlign w:val="subscript"/>
        </w:rPr>
        <w:t xml:space="preserve">ch</w:t>
      </w:r>
      <w:r>
        <w:t xml:space="preserve">, a wait arc lets the rider stay put, and no walk arc is longer than</w:t>
      </w:r>
      <w:r>
        <w:t xml:space="preserve"> </w:t>
      </w:r>
      <w:r>
        <w:rPr>
          <w:iCs/>
          <w:i/>
        </w:rPr>
        <w:t xml:space="preserve">t̄</w:t>
      </w:r>
      <w:r>
        <w:rPr>
          <w:iCs/>
          <w:i/>
          <w:vertAlign w:val="subscript"/>
        </w:rPr>
        <w:t xml:space="preserve">W</w:t>
      </w:r>
      <w:r>
        <w:t xml:space="preserve">. A minimum-weight path is therefore a feasible journey with the earliest possible arrival. Nonnegative weights make Dijkstra’s (1959) algorithm label-setting (Cormen et al., 2022). Whenever the vertex with the smallest tentative label is taken from the queue, nothing still queued carries a smaller label, and since no arc weight is negative, no path found later can improve it. Each label is final once its vertex is removed, and the first vertex removed at stop</w:t>
      </w:r>
      <w:r>
        <w:t xml:space="preserve"> </w:t>
      </w:r>
      <w:r>
        <w:rPr>
          <w:iCs/>
          <w:i/>
        </w:rPr>
        <w:t xml:space="preserve">d</w:t>
      </w:r>
      <w:r>
        <w:t xml:space="preserve"> </w:t>
      </w:r>
      <w:r>
        <w:t xml:space="preserve">carries the label τ</w:t>
      </w:r>
      <w:r>
        <w:rPr>
          <w:vertAlign w:val="superscript"/>
        </w:rPr>
        <w:t xml:space="preserve">∗</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rPr>
          <w:vertAlign w:val="subscript"/>
        </w:rPr>
        <w:t xml:space="preserve">0</w:t>
      </w:r>
      <w:r>
        <w:t xml:space="preserve">). □</w:t>
      </w:r>
    </w:p>
    <w:p>
      <w:pPr>
        <w:pStyle w:val="BodyText"/>
      </w:pPr>
      <w:r>
        <w:rPr>
          <w:bCs/>
          <w:b/>
        </w:rPr>
        <w:t xml:space="preserve">Remark 1 (Why the vertex set must be event-based).</w:t>
      </w:r>
      <w:r>
        <w:t xml:space="preserve"> </w:t>
      </w:r>
      <w:r>
        <w:t xml:space="preserve">Proposition 1 depends on the event-based vertices of Definition 5, one for each departure and each arrival. A common shortcut keeps a single label per stop, and that breaks the result.</w:t>
      </w:r>
    </w:p>
    <w:p>
      <w:pPr>
        <w:pStyle w:val="BodyText"/>
      </w:pPr>
      <w:r>
        <w:rPr>
          <w:bCs/>
          <w:b/>
        </w:rPr>
        <w:t xml:space="preserve">Proposition 2 (Computational complexity; Cormen et al., 2022).</w:t>
      </w:r>
      <w:r>
        <w:t xml:space="preserve"> </w:t>
      </w:r>
      <w:r>
        <w:t xml:space="preserve">Let |</w:t>
      </w:r>
      <w:r>
        <w:rPr>
          <w:iCs/>
          <w:i/>
        </w:rPr>
        <w:t xml:space="preserve">S</w:t>
      </w:r>
      <w:r>
        <w:t xml:space="preserve">| be the number of stops, |</w:t>
      </w:r>
      <w:r>
        <w:rPr>
          <w:iCs/>
          <w:i/>
        </w:rPr>
        <w:t xml:space="preserve">C</w:t>
      </w:r>
      <w:r>
        <w:t xml:space="preserve">| the number of connections, and</w:t>
      </w:r>
      <w:r>
        <w:t xml:space="preserve"> </w:t>
      </w:r>
      <w:r>
        <w:rPr>
          <w:iCs/>
          <w:i/>
        </w:rPr>
        <w:t xml:space="preserve">f̄</w:t>
      </w:r>
      <w:r>
        <w:t xml:space="preserve"> </w:t>
      </w:r>
      <w:r>
        <w:t xml:space="preserve">the mean number of footpaths per stop. Then |</w:t>
      </w:r>
      <w:r>
        <w:rPr>
          <w:iCs/>
          <w:i/>
        </w:rPr>
        <w:t xml:space="preserve">V</w:t>
      </w:r>
      <w:r>
        <w:t xml:space="preserve">| =</w:t>
      </w:r>
      <w:r>
        <w:t xml:space="preserve"> </w:t>
      </w:r>
      <w:r>
        <w:rPr>
          <w:iCs/>
          <w:i/>
        </w:rPr>
        <w:t xml:space="preserve">O</w:t>
      </w:r>
      <w:r>
        <w:t xml:space="preserve">(|</w:t>
      </w:r>
      <w:r>
        <w:rPr>
          <w:iCs/>
          <w:i/>
        </w:rPr>
        <w:t xml:space="preserve">C</w:t>
      </w:r>
      <w:r>
        <w:t xml:space="preserve">| + |</w:t>
      </w:r>
      <w:r>
        <w:rPr>
          <w:iCs/>
          <w:i/>
        </w:rPr>
        <w:t xml:space="preserve">S</w:t>
      </w:r>
      <w:r>
        <w:t xml:space="preserve">|) and |</w:t>
      </w:r>
      <w:r>
        <w:rPr>
          <w:iCs/>
          <w:i/>
        </w:rPr>
        <w:t xml:space="preserve">E</w:t>
      </w:r>
      <w:r>
        <w:t xml:space="preserve">| =</w:t>
      </w:r>
      <w:r>
        <w:t xml:space="preserve"> </w:t>
      </w:r>
      <w:r>
        <w:rPr>
          <w:iCs/>
          <w:i/>
        </w:rPr>
        <w:t xml:space="preserve">O</w:t>
      </w:r>
      <w:r>
        <w:t xml:space="preserve">((1 +</w:t>
      </w:r>
      <w:r>
        <w:t xml:space="preserve"> </w:t>
      </w:r>
      <w:r>
        <w:rPr>
          <w:iCs/>
          <w:i/>
        </w:rPr>
        <w:t xml:space="preserve">f̄</w:t>
      </w:r>
      <w:r>
        <w:t xml:space="preserve">)|</w:t>
      </w:r>
      <w:r>
        <w:rPr>
          <w:iCs/>
          <w:i/>
        </w:rPr>
        <w:t xml:space="preserve">C</w:t>
      </w:r>
      <w:r>
        <w:t xml:space="preserve">| + |</w:t>
      </w:r>
      <w:r>
        <w:rPr>
          <w:iCs/>
          <w:i/>
        </w:rPr>
        <w:t xml:space="preserve">S</w:t>
      </w:r>
      <w:r>
        <w:t xml:space="preserve">|). The search of Proposition 1 runs in</w:t>
      </w:r>
      <w:r>
        <w:t xml:space="preserve"> </w:t>
      </w:r>
      <w:r>
        <w:rPr>
          <w:iCs/>
          <w:i/>
        </w:rPr>
        <w:t xml:space="preserve">O</w:t>
      </w:r>
      <w:r>
        <w:t xml:space="preserve">(|</w:t>
      </w:r>
      <w:r>
        <w:rPr>
          <w:iCs/>
          <w:i/>
        </w:rPr>
        <w:t xml:space="preserve">E</w:t>
      </w:r>
      <w:r>
        <w:t xml:space="preserve">| log |</w:t>
      </w:r>
      <w:r>
        <w:rPr>
          <w:iCs/>
          <w:i/>
        </w:rPr>
        <w:t xml:space="preserve">V</w:t>
      </w:r>
      <w:r>
        <w:t xml:space="preserve">|) per query with a binary heap. If every arc duration is strictly positive,</w:t>
      </w:r>
      <w:r>
        <w:t xml:space="preserve"> </w:t>
      </w:r>
      <w:r>
        <w:rPr>
          <w:iCs/>
          <w:i/>
        </w:rPr>
        <w:t xml:space="preserve">G</w:t>
      </w:r>
      <w:r>
        <w:t xml:space="preserve"> </w:t>
      </w:r>
      <w:r>
        <w:t xml:space="preserve">is acyclic and the same query can be answered in</w:t>
      </w:r>
      <w:r>
        <w:t xml:space="preserve"> </w:t>
      </w:r>
      <w:r>
        <w:rPr>
          <w:iCs/>
          <w:i/>
        </w:rPr>
        <w:t xml:space="preserve">O</w:t>
      </w:r>
      <w:r>
        <w:t xml:space="preserve">(|</w:t>
      </w:r>
      <w:r>
        <w:rPr>
          <w:iCs/>
          <w:i/>
        </w:rPr>
        <w:t xml:space="preserve">V</w:t>
      </w:r>
      <w:r>
        <w:t xml:space="preserve">| + |</w:t>
      </w:r>
      <w:r>
        <w:rPr>
          <w:iCs/>
          <w:i/>
        </w:rPr>
        <w:t xml:space="preserve">E</w:t>
      </w:r>
      <w:r>
        <w:t xml:space="preserve">|) by a scan in topological order.</w:t>
      </w:r>
    </w:p>
    <w:p>
      <w:pPr>
        <w:pStyle w:val="BodyText"/>
      </w:pPr>
      <w:r>
        <w:rPr>
          <w:iCs/>
          <w:i/>
        </w:rPr>
        <w:t xml:space="preserve">Proof.</w:t>
      </w:r>
      <w:r>
        <w:t xml:space="preserve"> </w:t>
      </w:r>
      <w:r>
        <w:t xml:space="preserve">Each connection contributes one departure vertex, one arrival vertex, and one ride arc. Wait arcs form a chain through the events at each stop, so they add</w:t>
      </w:r>
      <w:r>
        <w:t xml:space="preserve"> </w:t>
      </w:r>
      <w:r>
        <w:rPr>
          <w:iCs/>
          <w:i/>
        </w:rPr>
        <w:t xml:space="preserve">O</w:t>
      </w:r>
      <w:r>
        <w:t xml:space="preserve">(1) arcs per event. Transfer and walk arcs add</w:t>
      </w:r>
      <w:r>
        <w:t xml:space="preserve"> </w:t>
      </w:r>
      <w:r>
        <w:rPr>
          <w:iCs/>
          <w:i/>
        </w:rPr>
        <w:t xml:space="preserve">O</w:t>
      </w:r>
      <w:r>
        <w:t xml:space="preserve">(1 +</w:t>
      </w:r>
      <w:r>
        <w:t xml:space="preserve"> </w:t>
      </w:r>
      <w:r>
        <w:rPr>
          <w:iCs/>
          <w:i/>
        </w:rPr>
        <w:t xml:space="preserve">f̄</w:t>
      </w:r>
      <w:r>
        <w:t xml:space="preserve">) arcs per arrival event. The heap bound is the standard bound for Dijkstra’s algorithm with nonnegative weights. In the acyclic case, every arc strictly increases the time coordinate, so no directed cycle exists, and relaxing the arcs in topological order visits each arc once. □</w:t>
      </w:r>
    </w:p>
    <w:p>
      <w:pPr>
        <w:pStyle w:val="BodyText"/>
      </w:pPr>
      <w:r>
        <w:rPr>
          <w:bCs/>
          <w:b/>
        </w:rPr>
        <w:t xml:space="preserve">Proposition 3 (Nested vehicle limits and monotone reachability).</w:t>
      </w:r>
      <w:r>
        <w:t xml:space="preserve"> </w:t>
      </w:r>
      <w:r>
        <w:t xml:space="preserve">If γ ≤ γ′, then</w:t>
      </w:r>
      <w:r>
        <w:t xml:space="preserve"> </w:t>
      </w:r>
      <w:r>
        <w:rPr>
          <w:iCs/>
          <w:i/>
        </w:rPr>
        <w:t xml:space="preserve">E</w:t>
      </w:r>
      <w:r>
        <w:rPr>
          <w:vertAlign w:val="subscript"/>
        </w:rPr>
        <w:t xml:space="preserve">γ′</w:t>
      </w:r>
      <w:r>
        <w:t xml:space="preserve"> </w:t>
      </w:r>
      <w:r>
        <w:t xml:space="preserve">⊆</w:t>
      </w:r>
      <w:r>
        <w:t xml:space="preserve"> </w:t>
      </w:r>
      <w:r>
        <w:rPr>
          <w:iCs/>
          <w:i/>
        </w:rPr>
        <w:t xml:space="preserve">E</w:t>
      </w:r>
      <w:r>
        <w:rPr>
          <w:vertAlign w:val="subscript"/>
        </w:rPr>
        <w:t xml:space="preserve">γ</w:t>
      </w:r>
      <w:r>
        <w:t xml:space="preserve">, and the shortest-path times satisfy</w:t>
      </w:r>
      <w:r>
        <w:t xml:space="preserve"> </w:t>
      </w:r>
      <w:r>
        <w:rPr>
          <w:iCs/>
          <w:i/>
        </w:rPr>
        <w:t xml:space="preserve">d</w:t>
      </w:r>
      <w:r>
        <w:rPr>
          <w:vertAlign w:val="subscript"/>
        </w:rPr>
        <w:t xml:space="preserve">γ</w:t>
      </w:r>
      <w:r>
        <w:t xml:space="preserve">(</w:t>
      </w:r>
      <w:r>
        <w:rPr>
          <w:iCs/>
          <w:i/>
        </w:rPr>
        <w:t xml:space="preserve">u</w:t>
      </w:r>
      <w:r>
        <w:t xml:space="preserve">,</w:t>
      </w:r>
      <w:r>
        <w:t xml:space="preserve"> </w:t>
      </w:r>
      <w:r>
        <w:rPr>
          <w:iCs/>
          <w:i/>
        </w:rPr>
        <w:t xml:space="preserve">v</w:t>
      </w:r>
      <w:r>
        <w:t xml:space="preserve">) ≤</w:t>
      </w:r>
      <w:r>
        <w:t xml:space="preserve"> </w:t>
      </w:r>
      <w:r>
        <w:rPr>
          <w:iCs/>
          <w:i/>
        </w:rPr>
        <w:t xml:space="preserve">d</w:t>
      </w:r>
      <w:r>
        <w:rPr>
          <w:vertAlign w:val="subscript"/>
        </w:rPr>
        <w:t xml:space="preserve">γ′</w:t>
      </w:r>
      <w:r>
        <w:t xml:space="preserve">(</w:t>
      </w:r>
      <w:r>
        <w:rPr>
          <w:iCs/>
          <w:i/>
        </w:rPr>
        <w:t xml:space="preserve">u</w:t>
      </w:r>
      <w:r>
        <w:t xml:space="preserve">,</w:t>
      </w:r>
      <w:r>
        <w:t xml:space="preserve"> </w:t>
      </w:r>
      <w:r>
        <w:rPr>
          <w:iCs/>
          <w:i/>
        </w:rPr>
        <w:t xml:space="preserve">v</w:t>
      </w:r>
      <w:r>
        <w:t xml:space="preserve">) for all</w:t>
      </w:r>
      <w:r>
        <w:t xml:space="preserve"> </w:t>
      </w:r>
      <w:r>
        <w:rPr>
          <w:iCs/>
          <w:i/>
        </w:rPr>
        <w:t xml:space="preserve">u</w:t>
      </w:r>
      <w:r>
        <w:t xml:space="preserve">,</w:t>
      </w:r>
      <w:r>
        <w:t xml:space="preserve"> </w:t>
      </w:r>
      <w:r>
        <w:rPr>
          <w:iCs/>
          <w:i/>
        </w:rPr>
        <w:t xml:space="preserve">v</w:t>
      </w:r>
      <w:r>
        <w:t xml:space="preserve"> </w:t>
      </w:r>
      <w:r>
        <w:t xml:space="preserve">∈</w:t>
      </w:r>
      <w:r>
        <w:t xml:space="preserve"> </w:t>
      </w:r>
      <w:r>
        <w:rPr>
          <w:iCs/>
          <w:i/>
        </w:rPr>
        <w:t xml:space="preserve">V</w:t>
      </w:r>
      <w:r>
        <w:rPr>
          <w:iCs/>
          <w:i/>
          <w:vertAlign w:val="subscript"/>
        </w:rPr>
        <w:t xml:space="preserve">R</w:t>
      </w:r>
      <w:r>
        <w:t xml:space="preserve">. Every vertex reachable for γ′ is reachable for γ.</w:t>
      </w:r>
    </w:p>
    <w:p>
      <w:pPr>
        <w:pStyle w:val="BodyText"/>
      </w:pPr>
      <w:r>
        <w:rPr>
          <w:iCs/>
          <w:i/>
        </w:rPr>
        <w:t xml:space="preserve">Proof.</w:t>
      </w:r>
      <w:r>
        <w:t xml:space="preserve"> </w:t>
      </w:r>
      <w:r>
        <w:t xml:space="preserve">Take any arc</w:t>
      </w:r>
      <w:r>
        <w:t xml:space="preserve"> </w:t>
      </w:r>
      <w:r>
        <w:rPr>
          <w:iCs/>
          <w:i/>
        </w:rPr>
        <w:t xml:space="preserve">e</w:t>
      </w:r>
      <w:r>
        <w:t xml:space="preserve"> </w:t>
      </w:r>
      <w:r>
        <w:t xml:space="preserve">∈</w:t>
      </w:r>
      <w:r>
        <w:t xml:space="preserve"> </w:t>
      </w:r>
      <w:r>
        <w:rPr>
          <w:iCs/>
          <w:i/>
        </w:rPr>
        <w:t xml:space="preserve">E</w:t>
      </w:r>
      <w:r>
        <w:rPr>
          <w:vertAlign w:val="subscript"/>
        </w:rPr>
        <w:t xml:space="preserve">γ′</w:t>
      </w:r>
      <w:r>
        <w:t xml:space="preserve">. For each component</w:t>
      </w:r>
      <w:r>
        <w:t xml:space="preserve"> </w:t>
      </w:r>
      <w:r>
        <w:rPr>
          <w:iCs/>
          <w:i/>
        </w:rPr>
        <w:t xml:space="preserve">i</w:t>
      </w:r>
      <w:r>
        <w:t xml:space="preserve">,</w:t>
      </w:r>
      <w:r>
        <w:t xml:space="preserve"> </w:t>
      </w:r>
      <w:r>
        <w:rPr>
          <w:iCs/>
          <w:i/>
        </w:rPr>
        <w:t xml:space="preserve">a</w:t>
      </w:r>
      <w:r>
        <w:rPr>
          <w:iCs/>
          <w:i/>
          <w:vertAlign w:val="superscript"/>
        </w:rPr>
        <w:t xml:space="preserve">i</w:t>
      </w:r>
      <w:r>
        <w:rPr>
          <w:iCs/>
          <w:i/>
          <w:vertAlign w:val="subscript"/>
        </w:rPr>
        <w:t xml:space="preserve">e</w:t>
      </w:r>
      <w:r>
        <w:t xml:space="preserve"> </w:t>
      </w:r>
      <w:r>
        <w:t xml:space="preserve">≥ γ′</w:t>
      </w:r>
      <w:r>
        <w:rPr>
          <w:iCs/>
          <w:i/>
          <w:vertAlign w:val="superscript"/>
        </w:rPr>
        <w:t xml:space="preserve">i</w:t>
      </w:r>
      <w:r>
        <w:t xml:space="preserve"> </w:t>
      </w:r>
      <w:r>
        <w:t xml:space="preserve">≥ γ</w:t>
      </w:r>
      <w:r>
        <w:rPr>
          <w:iCs/>
          <w:i/>
          <w:vertAlign w:val="superscript"/>
        </w:rPr>
        <w:t xml:space="preserve">i</w:t>
      </w:r>
      <w:r>
        <w:t xml:space="preserve">, so</w:t>
      </w:r>
      <w:r>
        <w:t xml:space="preserve"> </w:t>
      </w:r>
      <w:r>
        <w:rPr>
          <w:iCs/>
          <w:i/>
        </w:rPr>
        <w:t xml:space="preserve">e</w:t>
      </w:r>
      <w:r>
        <w:t xml:space="preserve"> </w:t>
      </w:r>
      <w:r>
        <w:t xml:space="preserve">∈</w:t>
      </w:r>
      <w:r>
        <w:t xml:space="preserve"> </w:t>
      </w:r>
      <w:r>
        <w:rPr>
          <w:iCs/>
          <w:i/>
        </w:rPr>
        <w:t xml:space="preserve">E</w:t>
      </w:r>
      <w:r>
        <w:rPr>
          <w:vertAlign w:val="subscript"/>
        </w:rPr>
        <w:t xml:space="preserve">γ</w:t>
      </w:r>
      <w:r>
        <w:t xml:space="preserve"> </w:t>
      </w:r>
      <w:r>
        <w:t xml:space="preserve">and therefore</w:t>
      </w:r>
      <w:r>
        <w:t xml:space="preserve"> </w:t>
      </w:r>
      <w:r>
        <w:rPr>
          <w:iCs/>
          <w:i/>
        </w:rPr>
        <w:t xml:space="preserve">E</w:t>
      </w:r>
      <w:r>
        <w:rPr>
          <w:vertAlign w:val="subscript"/>
        </w:rPr>
        <w:t xml:space="preserve">γ′</w:t>
      </w:r>
      <w:r>
        <w:t xml:space="preserve"> </w:t>
      </w:r>
      <w:r>
        <w:t xml:space="preserve">⊆</w:t>
      </w:r>
      <w:r>
        <w:t xml:space="preserve"> </w:t>
      </w:r>
      <w:r>
        <w:rPr>
          <w:iCs/>
          <w:i/>
        </w:rPr>
        <w:t xml:space="preserve">E</w:t>
      </w:r>
      <w:r>
        <w:rPr>
          <w:vertAlign w:val="subscript"/>
        </w:rPr>
        <w:t xml:space="preserve">γ</w:t>
      </w:r>
      <w:r>
        <w:t xml:space="preserve">. Every path of</w:t>
      </w:r>
      <w:r>
        <w:t xml:space="preserve"> </w:t>
      </w:r>
      <w:r>
        <w:rPr>
          <w:iCs/>
          <w:i/>
        </w:rPr>
        <w:t xml:space="preserve">G</w:t>
      </w:r>
      <w:r>
        <w:rPr>
          <w:vertAlign w:val="subscript"/>
        </w:rPr>
        <w:t xml:space="preserve">γ′</w:t>
      </w:r>
      <w:r>
        <w:t xml:space="preserve"> </w:t>
      </w:r>
      <w:r>
        <w:t xml:space="preserve">uses only arcs of</w:t>
      </w:r>
      <w:r>
        <w:t xml:space="preserve"> </w:t>
      </w:r>
      <w:r>
        <w:rPr>
          <w:iCs/>
          <w:i/>
        </w:rPr>
        <w:t xml:space="preserve">E</w:t>
      </w:r>
      <w:r>
        <w:rPr>
          <w:vertAlign w:val="subscript"/>
        </w:rPr>
        <w:t xml:space="preserve">γ′</w:t>
      </w:r>
      <w:r>
        <w:t xml:space="preserve">, so it is also a path of</w:t>
      </w:r>
      <w:r>
        <w:t xml:space="preserve"> </w:t>
      </w:r>
      <w:r>
        <w:rPr>
          <w:iCs/>
          <w:i/>
        </w:rPr>
        <w:t xml:space="preserve">G</w:t>
      </w:r>
      <w:r>
        <w:rPr>
          <w:vertAlign w:val="subscript"/>
        </w:rPr>
        <w:t xml:space="preserve">γ</w:t>
      </w:r>
      <w:r>
        <w:t xml:space="preserve">. A minimum over a set of paths cannot exceed the minimum over a subset of it, which gives the distance inequality, and comparing finite path lengths gives the reachability claim. The argument needs only nonnegative arc weights, so it holds for the travel-time weights ℓ</w:t>
      </w:r>
      <w:r>
        <w:rPr>
          <w:iCs/>
          <w:i/>
          <w:vertAlign w:val="subscript"/>
        </w:rPr>
        <w:t xml:space="preserve">e</w:t>
      </w:r>
      <w:r>
        <w:t xml:space="preserve"> </w:t>
      </w:r>
      <w:r>
        <w:t xml:space="preserve">/</w:t>
      </w:r>
      <w:r>
        <w:t xml:space="preserve"> </w:t>
      </w:r>
      <w:r>
        <w:rPr>
          <w:iCs/>
          <w:i/>
        </w:rPr>
        <w:t xml:space="preserve">v</w:t>
      </w:r>
      <w:r>
        <w:rPr>
          <w:iCs/>
          <w:i/>
          <w:vertAlign w:val="subscript"/>
        </w:rPr>
        <w:t xml:space="preserve">e</w:t>
      </w:r>
      <w:r>
        <w:t xml:space="preserve">. □</w:t>
      </w:r>
    </w:p>
    <w:p>
      <w:pPr>
        <w:pStyle w:val="BodyText"/>
      </w:pPr>
      <w:r>
        <w:rPr>
          <w:bCs/>
          <w:b/>
        </w:rPr>
        <w:t xml:space="preserve">Corollary 4 (Vehicle-class accessibility ordering).</w:t>
      </w:r>
      <w:r>
        <w:t xml:space="preserve"> </w:t>
      </w:r>
      <w:r>
        <w:t xml:space="preserve">For every anchor</w:t>
      </w:r>
      <w:r>
        <w:t xml:space="preserve"> </w:t>
      </w:r>
      <w:r>
        <w:rPr>
          <w:iCs/>
          <w:i/>
        </w:rPr>
        <w:t xml:space="preserve">a</w:t>
      </w:r>
      <w:r>
        <w:t xml:space="preserve">, category</w:t>
      </w:r>
      <w:r>
        <w:t xml:space="preserve"> </w:t>
      </w:r>
      <w:r>
        <w:rPr>
          <w:iCs/>
          <w:i/>
        </w:rPr>
        <w:t xml:space="preserve">k</w:t>
      </w:r>
      <w:r>
        <w:t xml:space="preserve">, and budget θ, if γ ≤ γ′ then</w:t>
      </w:r>
      <w:r>
        <w:t xml:space="preserve"> </w:t>
      </w:r>
      <w:r>
        <w:rPr>
          <w:iCs/>
          <w:i/>
        </w:rPr>
        <w:t xml:space="preserve">A</w:t>
      </w:r>
      <w:r>
        <w:rPr>
          <w:iCs/>
          <w:i/>
          <w:vertAlign w:val="superscript"/>
        </w:rPr>
        <w:t xml:space="preserve">k</w:t>
      </w:r>
      <w:r>
        <w:rPr>
          <w:iCs/>
          <w:i/>
          <w:vertAlign w:val="subscript"/>
        </w:rPr>
        <w:t xml:space="preserve">a</w:t>
      </w:r>
      <w:r>
        <w:rPr>
          <w:vertAlign w:val="subscript"/>
        </w:rPr>
        <w:t xml:space="preserve">,γ</w:t>
      </w:r>
      <w:r>
        <w:t xml:space="preserve">(θ) ≥</w:t>
      </w:r>
      <w:r>
        <w:t xml:space="preserve"> </w:t>
      </w:r>
      <w:r>
        <w:rPr>
          <w:iCs/>
          <w:i/>
        </w:rPr>
        <w:t xml:space="preserve">A</w:t>
      </w:r>
      <w:r>
        <w:rPr>
          <w:iCs/>
          <w:i/>
          <w:vertAlign w:val="superscript"/>
        </w:rPr>
        <w:t xml:space="preserve">k</w:t>
      </w:r>
      <w:r>
        <w:rPr>
          <w:iCs/>
          <w:i/>
          <w:vertAlign w:val="subscript"/>
        </w:rPr>
        <w:t xml:space="preserve">a</w:t>
      </w:r>
      <w:r>
        <w:rPr>
          <w:vertAlign w:val="subscript"/>
        </w:rPr>
        <w:t xml:space="preserve">,γ′</w:t>
      </w:r>
      <w:r>
        <w:t xml:space="preserve">(θ). A larger vehicle class never has more access than a smaller one.</w:t>
      </w:r>
    </w:p>
    <w:p>
      <w:pPr>
        <w:pStyle w:val="BodyText"/>
      </w:pPr>
      <w:r>
        <w:rPr>
          <w:iCs/>
          <w:i/>
        </w:rPr>
        <w:t xml:space="preserve">Proof.</w:t>
      </w:r>
      <w:r>
        <w:t xml:space="preserve"> </w:t>
      </w:r>
      <w:r>
        <w:t xml:space="preserve">With travel times as weights, Proposition 3 makes every travel time under γ′ at least the matching time under γ. The indicator</w:t>
      </w:r>
      <w:r>
        <w:t xml:space="preserve"> </w:t>
      </w:r>
      <w:r>
        <w:rPr>
          <w:bCs/>
          <w:b/>
        </w:rPr>
        <w:t xml:space="preserve">1</w:t>
      </w:r>
      <w:r>
        <w:t xml:space="preserve">[</w:t>
      </w:r>
      <w:r>
        <w:rPr>
          <w:iCs/>
          <w:i/>
        </w:rPr>
        <w:t xml:space="preserve">T̄</w:t>
      </w:r>
      <w:r>
        <w:t xml:space="preserve"> </w:t>
      </w:r>
      <w:r>
        <w:t xml:space="preserve">≤ θ] does not increase as</w:t>
      </w:r>
      <w:r>
        <w:t xml:space="preserve"> </w:t>
      </w:r>
      <w:r>
        <w:rPr>
          <w:iCs/>
          <w:i/>
        </w:rPr>
        <w:t xml:space="preserve">T̄</w:t>
      </w:r>
      <w:r>
        <w:t xml:space="preserve"> </w:t>
      </w:r>
      <w:r>
        <w:t xml:space="preserve">grows, and a weighted sum with nonnegative weights</w:t>
      </w:r>
      <w:r>
        <w:t xml:space="preserve"> </w:t>
      </w:r>
      <w:r>
        <w:rPr>
          <w:iCs/>
          <w:i/>
        </w:rPr>
        <w:t xml:space="preserve">w</w:t>
      </w:r>
      <w:r>
        <w:rPr>
          <w:iCs/>
          <w:i/>
          <w:vertAlign w:val="subscript"/>
        </w:rPr>
        <w:t xml:space="preserve">p</w:t>
      </w:r>
      <w:r>
        <w:t xml:space="preserve"> </w:t>
      </w:r>
      <w:r>
        <w:t xml:space="preserve">inherits that property. □</w:t>
      </w:r>
    </w:p>
    <w:p>
      <w:pPr>
        <w:pStyle w:val="BodyText"/>
      </w:pPr>
      <w:r>
        <w:rPr>
          <w:bCs/>
          <w:b/>
        </w:rPr>
        <w:t xml:space="preserve">Remark 2 (Preprocessing many vehicle classes).</w:t>
      </w:r>
      <w:r>
        <w:t xml:space="preserve"> </w:t>
      </w:r>
      <w:r>
        <w:t xml:space="preserve">Corollary 4 also makes multi-class routing cheap. The classes form a partially ordered set, not a single chain; the tricycle needs more clearance than the sedan, while the sedan needs more width.</w:t>
      </w:r>
    </w:p>
    <w:p>
      <w:pPr>
        <w:pStyle w:val="BodyText"/>
      </w:pPr>
      <w:r>
        <w:rPr>
          <w:bCs/>
          <w:b/>
        </w:rPr>
        <w:t xml:space="preserve">Proposition 5 (Standard properties of the access Gini coefficient; Cowell, 2011).</w:t>
      </w:r>
      <w:r>
        <w:t xml:space="preserve"> </w:t>
      </w:r>
      <w:r>
        <w:t xml:space="preserve">Let</w:t>
      </w:r>
      <w:r>
        <w:t xml:space="preserve"> </w:t>
      </w:r>
      <w:r>
        <w:rPr>
          <w:iCs/>
          <w:i/>
        </w:rPr>
        <w:t xml:space="preserve">A</w:t>
      </w:r>
      <w:r>
        <w:rPr>
          <w:iCs/>
          <w:i/>
          <w:vertAlign w:val="subscript"/>
        </w:rPr>
        <w:t xml:space="preserve">a</w:t>
      </w:r>
      <w:r>
        <w:t xml:space="preserve"> </w:t>
      </w:r>
      <w:r>
        <w:t xml:space="preserve">≥ 0 for every anchor, with weights</w:t>
      </w:r>
      <w:r>
        <w:t xml:space="preserve"> </w:t>
      </w:r>
      <w:r>
        <w:rPr>
          <w:iCs/>
          <w:i/>
        </w:rPr>
        <w:t xml:space="preserve">P</w:t>
      </w:r>
      <w:r>
        <w:rPr>
          <w:iCs/>
          <w:i/>
          <w:vertAlign w:val="subscript"/>
        </w:rPr>
        <w:t xml:space="preserve">a</w:t>
      </w:r>
      <w:r>
        <w:t xml:space="preserve"> </w:t>
      </w:r>
      <w:r>
        <w:t xml:space="preserve">&gt; 0 and weighted mean μ &gt; 0. Then (i) 0 ≤</w:t>
      </w:r>
      <w:r>
        <w:t xml:space="preserve"> </w:t>
      </w:r>
      <w:r>
        <w:rPr>
          <w:iCs/>
          <w:i/>
        </w:rPr>
        <w:t xml:space="preserve">G</w:t>
      </w:r>
      <w:r>
        <w:t xml:space="preserve">(</w:t>
      </w:r>
      <w:r>
        <w:rPr>
          <w:iCs/>
          <w:i/>
        </w:rPr>
        <w:t xml:space="preserve">A</w:t>
      </w:r>
      <w:r>
        <w:t xml:space="preserve">,</w:t>
      </w:r>
      <w:r>
        <w:t xml:space="preserve"> </w:t>
      </w:r>
      <w:r>
        <w:rPr>
          <w:iCs/>
          <w:i/>
        </w:rPr>
        <w:t xml:space="preserve">P</w:t>
      </w:r>
      <w:r>
        <w:t xml:space="preserve">) ≤ 1; (ii)</w:t>
      </w:r>
      <w:r>
        <w:t xml:space="preserve"> </w:t>
      </w:r>
      <w:r>
        <w:rPr>
          <w:iCs/>
          <w:i/>
        </w:rPr>
        <w:t xml:space="preserve">G</w:t>
      </w:r>
      <w:r>
        <w:t xml:space="preserve">(λ</w:t>
      </w:r>
      <w:r>
        <w:t xml:space="preserve"> </w:t>
      </w:r>
      <w:r>
        <w:rPr>
          <w:iCs/>
          <w:i/>
        </w:rPr>
        <w:t xml:space="preserve">A</w:t>
      </w:r>
      <w:r>
        <w:t xml:space="preserve">,</w:t>
      </w:r>
      <w:r>
        <w:t xml:space="preserve"> </w:t>
      </w:r>
      <w:r>
        <w:rPr>
          <w:iCs/>
          <w:i/>
        </w:rPr>
        <w:t xml:space="preserve">P</w:t>
      </w:r>
      <w:r>
        <w:t xml:space="preserve">) =</w:t>
      </w:r>
      <w:r>
        <w:t xml:space="preserve"> </w:t>
      </w:r>
      <w:r>
        <w:rPr>
          <w:iCs/>
          <w:i/>
        </w:rPr>
        <w:t xml:space="preserve">G</w:t>
      </w:r>
      <w:r>
        <w:t xml:space="preserve">(</w:t>
      </w:r>
      <w:r>
        <w:rPr>
          <w:iCs/>
          <w:i/>
        </w:rPr>
        <w:t xml:space="preserve">A</w:t>
      </w:r>
      <w:r>
        <w:t xml:space="preserve">,</w:t>
      </w:r>
      <w:r>
        <w:t xml:space="preserve"> </w:t>
      </w:r>
      <w:r>
        <w:rPr>
          <w:iCs/>
          <w:i/>
        </w:rPr>
        <w:t xml:space="preserve">P</w:t>
      </w:r>
      <w:r>
        <w:t xml:space="preserve">) for every λ &gt; 0; and (iii)</w:t>
      </w:r>
      <w:r>
        <w:t xml:space="preserve"> </w:t>
      </w:r>
      <w:r>
        <w:rPr>
          <w:iCs/>
          <w:i/>
        </w:rPr>
        <w:t xml:space="preserve">G</w:t>
      </w:r>
      <w:r>
        <w:t xml:space="preserve">(</w:t>
      </w:r>
      <w:r>
        <w:rPr>
          <w:iCs/>
          <w:i/>
        </w:rPr>
        <w:t xml:space="preserve">A</w:t>
      </w:r>
      <w:r>
        <w:t xml:space="preserve"> </w:t>
      </w:r>
      <w:r>
        <w:t xml:space="preserve">+</w:t>
      </w:r>
      <w:r>
        <w:t xml:space="preserve"> </w:t>
      </w:r>
      <w:r>
        <w:rPr>
          <w:iCs/>
          <w:i/>
        </w:rPr>
        <w:t xml:space="preserve">c</w:t>
      </w:r>
      <w:r>
        <w:t xml:space="preserve"> </w:t>
      </w:r>
      <w:r>
        <w:rPr>
          <w:bCs/>
          <w:b/>
        </w:rPr>
        <w:t xml:space="preserve">1</w:t>
      </w:r>
      <w:r>
        <w:t xml:space="preserve">,</w:t>
      </w:r>
      <w:r>
        <w:t xml:space="preserve"> </w:t>
      </w:r>
      <w:r>
        <w:rPr>
          <w:iCs/>
          <w:i/>
        </w:rPr>
        <w:t xml:space="preserve">P</w:t>
      </w:r>
      <w:r>
        <w:t xml:space="preserve">) &lt;</w:t>
      </w:r>
      <w:r>
        <w:t xml:space="preserve"> </w:t>
      </w:r>
      <w:r>
        <w:rPr>
          <w:iCs/>
          <w:i/>
        </w:rPr>
        <w:t xml:space="preserve">G</w:t>
      </w:r>
      <w:r>
        <w:t xml:space="preserve">(</w:t>
      </w:r>
      <w:r>
        <w:rPr>
          <w:iCs/>
          <w:i/>
        </w:rPr>
        <w:t xml:space="preserve">A</w:t>
      </w:r>
      <w:r>
        <w:t xml:space="preserve">,</w:t>
      </w:r>
      <w:r>
        <w:t xml:space="preserve"> </w:t>
      </w:r>
      <w:r>
        <w:rPr>
          <w:iCs/>
          <w:i/>
        </w:rPr>
        <w:t xml:space="preserve">P</w:t>
      </w:r>
      <w:r>
        <w:t xml:space="preserve">) for every</w:t>
      </w:r>
      <w:r>
        <w:t xml:space="preserve"> </w:t>
      </w:r>
      <w:r>
        <w:rPr>
          <w:iCs/>
          <w:i/>
        </w:rPr>
        <w:t xml:space="preserve">c</w:t>
      </w:r>
      <w:r>
        <w:t xml:space="preserve"> </w:t>
      </w:r>
      <w:r>
        <w:t xml:space="preserve">&gt; 0 whenever</w:t>
      </w:r>
      <w:r>
        <w:t xml:space="preserve"> </w:t>
      </w:r>
      <w:r>
        <w:rPr>
          <w:iCs/>
          <w:i/>
        </w:rPr>
        <w:t xml:space="preserve">G</w:t>
      </w:r>
      <w:r>
        <w:t xml:space="preserve">(</w:t>
      </w:r>
      <w:r>
        <w:rPr>
          <w:iCs/>
          <w:i/>
        </w:rPr>
        <w:t xml:space="preserve">A</w:t>
      </w:r>
      <w:r>
        <w:t xml:space="preserve">,</w:t>
      </w:r>
      <w:r>
        <w:t xml:space="preserve"> </w:t>
      </w:r>
      <w:r>
        <w:rPr>
          <w:iCs/>
          <w:i/>
        </w:rPr>
        <w:t xml:space="preserve">P</w:t>
      </w:r>
      <w:r>
        <w:t xml:space="preserve">) &gt; 0.</w:t>
      </w:r>
    </w:p>
    <w:p>
      <w:pPr>
        <w:pStyle w:val="BodyText"/>
      </w:pPr>
      <w:r>
        <w:rPr>
          <w:iCs/>
          <w:i/>
        </w:rPr>
        <w:t xml:space="preserve">Proof.</w:t>
      </w:r>
      <w:r>
        <w:t xml:space="preserve"> </w:t>
      </w:r>
      <w:r>
        <w:t xml:space="preserve">(i) Every term of the numerator is nonnegative, so</w:t>
      </w:r>
      <w:r>
        <w:t xml:space="preserve"> </w:t>
      </w:r>
      <w:r>
        <w:rPr>
          <w:iCs/>
          <w:i/>
        </w:rPr>
        <w:t xml:space="preserve">G</w:t>
      </w:r>
      <w:r>
        <w:t xml:space="preserve"> </w:t>
      </w:r>
      <w:r>
        <w:t xml:space="preserve">≥ 0. Since</w:t>
      </w:r>
      <w:r>
        <w:t xml:space="preserve"> </w:t>
      </w:r>
      <w:r>
        <w:rPr>
          <w:iCs/>
          <w:i/>
        </w:rPr>
        <w:t xml:space="preserve">A</w:t>
      </w:r>
      <w:r>
        <w:rPr>
          <w:iCs/>
          <w:i/>
          <w:vertAlign w:val="subscript"/>
        </w:rPr>
        <w:t xml:space="preserve">a</w:t>
      </w:r>
      <w:r>
        <w:t xml:space="preserve"> </w:t>
      </w:r>
      <w:r>
        <w:t xml:space="preserve">≥ 0, |</w:t>
      </w:r>
      <w:r>
        <w:t xml:space="preserve"> </w:t>
      </w:r>
      <w:r>
        <w:rPr>
          <w:iCs/>
          <w:i/>
        </w:rPr>
        <w:t xml:space="preserve">A</w:t>
      </w:r>
      <w:r>
        <w:rPr>
          <w:iCs/>
          <w:i/>
          <w:vertAlign w:val="subscript"/>
        </w:rPr>
        <w:t xml:space="preserve">i</w:t>
      </w:r>
      <w:r>
        <w:t xml:space="preserve"> </w:t>
      </w:r>
      <w:r>
        <w:t xml:space="preserve">−</w:t>
      </w:r>
      <w:r>
        <w:t xml:space="preserve"> </w:t>
      </w:r>
      <w:r>
        <w:rPr>
          <w:iCs/>
          <w:i/>
        </w:rPr>
        <w:t xml:space="preserve">A</w:t>
      </w:r>
      <w:r>
        <w:rPr>
          <w:iCs/>
          <w:i/>
          <w:vertAlign w:val="subscript"/>
        </w:rPr>
        <w:t xml:space="preserve">j</w:t>
      </w:r>
      <w:r>
        <w:t xml:space="preserve"> </w:t>
      </w:r>
      <w:r>
        <w:t xml:space="preserve">| ≤</w:t>
      </w:r>
      <w:r>
        <w:t xml:space="preserve"> </w:t>
      </w:r>
      <w:r>
        <w:rPr>
          <w:iCs/>
          <w:i/>
        </w:rPr>
        <w:t xml:space="preserve">A</w:t>
      </w:r>
      <w:r>
        <w:rPr>
          <w:iCs/>
          <w:i/>
          <w:vertAlign w:val="subscript"/>
        </w:rPr>
        <w:t xml:space="preserve">i</w:t>
      </w:r>
      <w:r>
        <w:t xml:space="preserve"> </w:t>
      </w:r>
      <w:r>
        <w:t xml:space="preserve">+</w:t>
      </w:r>
      <w:r>
        <w:t xml:space="preserve"> </w:t>
      </w:r>
      <w:r>
        <w:rPr>
          <w:iCs/>
          <w:i/>
        </w:rPr>
        <w:t xml:space="preserve">A</w:t>
      </w:r>
      <w:r>
        <w:rPr>
          <w:iCs/>
          <w:i/>
          <w:vertAlign w:val="subscript"/>
        </w:rPr>
        <w:t xml:space="preserve">j</w:t>
      </w:r>
      <w:r>
        <w:t xml:space="preserve">, hence Σ</w:t>
      </w:r>
      <w:r>
        <w:rPr>
          <w:iCs/>
          <w:i/>
          <w:vertAlign w:val="subscript"/>
        </w:rPr>
        <w:t xml:space="preserve">i</w:t>
      </w:r>
      <w:r>
        <w:t xml:space="preserve"> </w:t>
      </w:r>
      <w:r>
        <w:t xml:space="preserve">Σ</w:t>
      </w:r>
      <w:r>
        <w:rPr>
          <w:iCs/>
          <w:i/>
          <w:vertAlign w:val="subscript"/>
        </w:rPr>
        <w:t xml:space="preserve">j</w:t>
      </w:r>
      <w:r>
        <w:t xml:space="preserve"> </w:t>
      </w:r>
      <w:r>
        <w:rPr>
          <w:iCs/>
          <w:i/>
        </w:rPr>
        <w:t xml:space="preserve">P</w:t>
      </w:r>
      <w:r>
        <w:rPr>
          <w:iCs/>
          <w:i/>
          <w:vertAlign w:val="subscript"/>
        </w:rPr>
        <w:t xml:space="preserve">i</w:t>
      </w:r>
      <w:r>
        <w:t xml:space="preserve"> </w:t>
      </w:r>
      <w:r>
        <w:rPr>
          <w:iCs/>
          <w:i/>
        </w:rPr>
        <w:t xml:space="preserve">P</w:t>
      </w:r>
      <w:r>
        <w:rPr>
          <w:iCs/>
          <w:i/>
          <w:vertAlign w:val="subscript"/>
        </w:rPr>
        <w:t xml:space="preserve">j</w:t>
      </w:r>
      <w:r>
        <w:t xml:space="preserve"> </w:t>
      </w:r>
      <w:r>
        <w:t xml:space="preserve">|</w:t>
      </w:r>
      <w:r>
        <w:t xml:space="preserve"> </w:t>
      </w:r>
      <w:r>
        <w:rPr>
          <w:iCs/>
          <w:i/>
        </w:rPr>
        <w:t xml:space="preserve">A</w:t>
      </w:r>
      <w:r>
        <w:rPr>
          <w:iCs/>
          <w:i/>
          <w:vertAlign w:val="subscript"/>
        </w:rPr>
        <w:t xml:space="preserve">i</w:t>
      </w:r>
      <w:r>
        <w:t xml:space="preserve"> </w:t>
      </w:r>
      <w:r>
        <w:t xml:space="preserve">−</w:t>
      </w:r>
      <w:r>
        <w:t xml:space="preserve"> </w:t>
      </w:r>
      <w:r>
        <w:rPr>
          <w:iCs/>
          <w:i/>
        </w:rPr>
        <w:t xml:space="preserve">A</w:t>
      </w:r>
      <w:r>
        <w:rPr>
          <w:iCs/>
          <w:i/>
          <w:vertAlign w:val="subscript"/>
        </w:rPr>
        <w:t xml:space="preserve">j</w:t>
      </w:r>
      <w:r>
        <w:t xml:space="preserve"> </w:t>
      </w:r>
      <w:r>
        <w:t xml:space="preserve">| ≤ Σ</w:t>
      </w:r>
      <w:r>
        <w:rPr>
          <w:iCs/>
          <w:i/>
          <w:vertAlign w:val="subscript"/>
        </w:rPr>
        <w:t xml:space="preserve">i</w:t>
      </w:r>
      <w:r>
        <w:t xml:space="preserve"> </w:t>
      </w:r>
      <w:r>
        <w:t xml:space="preserve">Σ</w:t>
      </w:r>
      <w:r>
        <w:rPr>
          <w:iCs/>
          <w:i/>
          <w:vertAlign w:val="subscript"/>
        </w:rPr>
        <w:t xml:space="preserve">j</w:t>
      </w:r>
      <w:r>
        <w:t xml:space="preserve"> </w:t>
      </w:r>
      <w:r>
        <w:rPr>
          <w:iCs/>
          <w:i/>
        </w:rPr>
        <w:t xml:space="preserve">P</w:t>
      </w:r>
      <w:r>
        <w:rPr>
          <w:iCs/>
          <w:i/>
          <w:vertAlign w:val="subscript"/>
        </w:rPr>
        <w:t xml:space="preserve">i</w:t>
      </w:r>
      <w:r>
        <w:t xml:space="preserve"> </w:t>
      </w:r>
      <w:r>
        <w:rPr>
          <w:iCs/>
          <w:i/>
        </w:rPr>
        <w:t xml:space="preserve">P</w:t>
      </w:r>
      <w:r>
        <w:rPr>
          <w:iCs/>
          <w:i/>
          <w:vertAlign w:val="subscript"/>
        </w:rPr>
        <w:t xml:space="preserve">j</w:t>
      </w:r>
      <w:r>
        <w:t xml:space="preserve"> </w:t>
      </w:r>
      <w:r>
        <w:t xml:space="preserve">(</w:t>
      </w:r>
      <w:r>
        <w:rPr>
          <w:iCs/>
          <w:i/>
        </w:rPr>
        <w:t xml:space="preserve">A</w:t>
      </w:r>
      <w:r>
        <w:rPr>
          <w:iCs/>
          <w:i/>
          <w:vertAlign w:val="subscript"/>
        </w:rPr>
        <w:t xml:space="preserve">i</w:t>
      </w:r>
      <w:r>
        <w:t xml:space="preserve"> </w:t>
      </w:r>
      <w:r>
        <w:t xml:space="preserve">+</w:t>
      </w:r>
      <w:r>
        <w:t xml:space="preserve"> </w:t>
      </w:r>
      <w:r>
        <w:rPr>
          <w:iCs/>
          <w:i/>
        </w:rPr>
        <w:t xml:space="preserve">A</w:t>
      </w:r>
      <w:r>
        <w:rPr>
          <w:iCs/>
          <w:i/>
          <w:vertAlign w:val="subscript"/>
        </w:rPr>
        <w:t xml:space="preserve">j</w:t>
      </w:r>
      <w:r>
        <w:t xml:space="preserve">) = 2</w:t>
      </w:r>
      <w:r>
        <w:rPr>
          <w:iCs/>
          <w:i/>
        </w:rPr>
        <w:t xml:space="preserve">W</w:t>
      </w:r>
      <w:r>
        <w:t xml:space="preserve"> </w:t>
      </w:r>
      <w:r>
        <w:t xml:space="preserve">Σ</w:t>
      </w:r>
      <w:r>
        <w:rPr>
          <w:iCs/>
          <w:i/>
          <w:vertAlign w:val="subscript"/>
        </w:rPr>
        <w:t xml:space="preserve">i</w:t>
      </w:r>
      <w:r>
        <w:t xml:space="preserve"> </w:t>
      </w:r>
      <w:r>
        <w:rPr>
          <w:iCs/>
          <w:i/>
        </w:rPr>
        <w:t xml:space="preserve">P</w:t>
      </w:r>
      <w:r>
        <w:rPr>
          <w:iCs/>
          <w:i/>
          <w:vertAlign w:val="subscript"/>
        </w:rPr>
        <w:t xml:space="preserve">i</w:t>
      </w:r>
      <w:r>
        <w:t xml:space="preserve"> </w:t>
      </w:r>
      <w:r>
        <w:rPr>
          <w:iCs/>
          <w:i/>
        </w:rPr>
        <w:t xml:space="preserve">A</w:t>
      </w:r>
      <w:r>
        <w:rPr>
          <w:iCs/>
          <w:i/>
          <w:vertAlign w:val="subscript"/>
        </w:rPr>
        <w:t xml:space="preserve">i</w:t>
      </w:r>
      <w:r>
        <w:t xml:space="preserve"> </w:t>
      </w:r>
      <w:r>
        <w:t xml:space="preserve">= 2</w:t>
      </w:r>
      <w:r>
        <w:rPr>
          <w:iCs/>
          <w:i/>
        </w:rPr>
        <w:t xml:space="preserve">W</w:t>
      </w:r>
      <w:r>
        <w:rPr>
          <w:vertAlign w:val="superscript"/>
        </w:rPr>
        <w:t xml:space="preserve">2</w:t>
      </w:r>
      <w:r>
        <w:t xml:space="preserve"> </w:t>
      </w:r>
      <w:r>
        <w:t xml:space="preserve">μ, and dividing by 2</w:t>
      </w:r>
      <w:r>
        <w:rPr>
          <w:iCs/>
          <w:i/>
        </w:rPr>
        <w:t xml:space="preserve">W</w:t>
      </w:r>
      <w:r>
        <w:rPr>
          <w:vertAlign w:val="superscript"/>
        </w:rPr>
        <w:t xml:space="preserve">2</w:t>
      </w:r>
      <w:r>
        <w:t xml:space="preserve">μ gives</w:t>
      </w:r>
      <w:r>
        <w:t xml:space="preserve"> </w:t>
      </w:r>
      <w:r>
        <w:rPr>
          <w:iCs/>
          <w:i/>
        </w:rPr>
        <w:t xml:space="preserve">G</w:t>
      </w:r>
      <w:r>
        <w:t xml:space="preserve"> </w:t>
      </w:r>
      <w:r>
        <w:t xml:space="preserve">≤ 1. (ii) Multiplying</w:t>
      </w:r>
      <w:r>
        <w:t xml:space="preserve"> </w:t>
      </w:r>
      <w:r>
        <w:rPr>
          <w:iCs/>
          <w:i/>
        </w:rPr>
        <w:t xml:space="preserve">A</w:t>
      </w:r>
      <w:r>
        <w:t xml:space="preserve"> </w:t>
      </w:r>
      <w:r>
        <w:t xml:space="preserve">by λ multiplies every difference and the mean by λ, and the factors cancel. (iii) Adding</w:t>
      </w:r>
      <w:r>
        <w:t xml:space="preserve"> </w:t>
      </w:r>
      <w:r>
        <w:rPr>
          <w:iCs/>
          <w:i/>
        </w:rPr>
        <w:t xml:space="preserve">c</w:t>
      </w:r>
      <w:r>
        <w:t xml:space="preserve"> </w:t>
      </w:r>
      <w:r>
        <w:t xml:space="preserve">to every score leaves every pairwise difference unchanged and raises the mean from μ to μ +</w:t>
      </w:r>
      <w:r>
        <w:t xml:space="preserve"> </w:t>
      </w:r>
      <w:r>
        <w:rPr>
          <w:iCs/>
          <w:i/>
        </w:rPr>
        <w:t xml:space="preserve">c</w:t>
      </w:r>
      <w:r>
        <w:t xml:space="preserve">, so a positive</w:t>
      </w:r>
      <w:r>
        <w:t xml:space="preserve"> </w:t>
      </w:r>
      <w:r>
        <w:rPr>
          <w:iCs/>
          <w:i/>
        </w:rPr>
        <w:t xml:space="preserve">G</w:t>
      </w:r>
      <w:r>
        <w:t xml:space="preserve"> </w:t>
      </w:r>
      <w:r>
        <w:t xml:space="preserve">strictly falls. □</w:t>
      </w:r>
    </w:p>
    <w:p>
      <w:pPr>
        <w:pStyle w:val="BodyText"/>
      </w:pPr>
      <w:r>
        <w:rPr>
          <w:bCs/>
          <w:b/>
        </w:rPr>
        <w:t xml:space="preserve">Remark 3 (What the Gini properties mean for planners).</w:t>
      </w:r>
      <w:r>
        <w:t xml:space="preserve"> </w:t>
      </w:r>
      <w:r>
        <w:t xml:space="preserve">Property (ii) allows Gini values to be compared across destination types measured in different units, such as beds and classrooms, because the units cancel. Property (iii) gives a plain policy reading: an equal absolute increase in access for every anchor lowers measured inequality.</w:t>
      </w:r>
    </w:p>
    <w:p>
      <w:pPr>
        <w:pStyle w:val="BodyText"/>
      </w:pPr>
      <w:r>
        <w:rPr>
          <w:bCs/>
          <w:b/>
        </w:rPr>
        <w:t xml:space="preserve">Proposition 6 (Exact decomposition of the Theil index; Theil, 1967; Shorrocks, 1980).</w:t>
      </w:r>
      <w:r>
        <w:t xml:space="preserve"> </w:t>
      </w:r>
      <w:r>
        <w:t xml:space="preserve">Partition the anchors into groups</w:t>
      </w:r>
      <w:r>
        <w:t xml:space="preserve"> </w:t>
      </w:r>
      <w:r>
        <w:rPr>
          <w:iCs/>
          <w:i/>
        </w:rPr>
        <w:t xml:space="preserve">g</w:t>
      </w:r>
      <w:r>
        <w:t xml:space="preserve"> </w:t>
      </w:r>
      <w:r>
        <w:t xml:space="preserve">(here, municipalities). Let</w:t>
      </w:r>
      <w:r>
        <w:t xml:space="preserve"> </w:t>
      </w:r>
      <w:r>
        <w:rPr>
          <w:iCs/>
          <w:i/>
        </w:rPr>
        <w:t xml:space="preserve">W</w:t>
      </w:r>
      <w:r>
        <w:rPr>
          <w:iCs/>
          <w:i/>
          <w:vertAlign w:val="subscript"/>
        </w:rPr>
        <w:t xml:space="preserve">g</w:t>
      </w:r>
      <w:r>
        <w:t xml:space="preserve"> </w:t>
      </w:r>
      <w:r>
        <w:t xml:space="preserve">= Σ</w:t>
      </w:r>
      <w:r>
        <w:rPr>
          <w:iCs/>
          <w:i/>
          <w:vertAlign w:val="subscript"/>
        </w:rPr>
        <w:t xml:space="preserve">a</w:t>
      </w:r>
      <w:r>
        <w:rPr>
          <w:vertAlign w:val="subscript"/>
        </w:rPr>
        <w:t xml:space="preserve"> ∈ </w:t>
      </w:r>
      <w:r>
        <w:rPr>
          <w:iCs/>
          <w:i/>
          <w:vertAlign w:val="subscript"/>
        </w:rPr>
        <w:t xml:space="preserve">g</w:t>
      </w:r>
      <w:r>
        <w:t xml:space="preserve"> </w:t>
      </w:r>
      <w:r>
        <w:rPr>
          <w:iCs/>
          <w:i/>
        </w:rPr>
        <w:t xml:space="preserve">P</w:t>
      </w:r>
      <w:r>
        <w:rPr>
          <w:iCs/>
          <w:i/>
          <w:vertAlign w:val="subscript"/>
        </w:rPr>
        <w:t xml:space="preserve">a</w:t>
      </w:r>
      <w:r>
        <w:t xml:space="preserve">, let μ</w:t>
      </w:r>
      <w:r>
        <w:rPr>
          <w:iCs/>
          <w:i/>
          <w:vertAlign w:val="subscript"/>
        </w:rPr>
        <w:t xml:space="preserve">g</w:t>
      </w:r>
      <w:r>
        <w:t xml:space="preserve"> </w:t>
      </w:r>
      <w:r>
        <w:t xml:space="preserve">be the weighted mean of group</w:t>
      </w:r>
      <w:r>
        <w:t xml:space="preserve"> </w:t>
      </w:r>
      <w:r>
        <w:rPr>
          <w:iCs/>
          <w:i/>
        </w:rPr>
        <w:t xml:space="preserve">g</w:t>
      </w:r>
      <w:r>
        <w:t xml:space="preserve">, and let</w:t>
      </w:r>
      <w:r>
        <w:t xml:space="preserve"> </w:t>
      </w:r>
      <w:r>
        <w:rPr>
          <w:iCs/>
          <w:i/>
        </w:rPr>
        <w:t xml:space="preserve">s</w:t>
      </w:r>
      <w:r>
        <w:rPr>
          <w:iCs/>
          <w:i/>
          <w:vertAlign w:val="subscript"/>
        </w:rPr>
        <w:t xml:space="preserve">g</w:t>
      </w:r>
      <w:r>
        <w:t xml:space="preserve"> </w:t>
      </w:r>
      <w:r>
        <w:t xml:space="preserve">=</w:t>
      </w:r>
      <w:r>
        <w:t xml:space="preserve"> </w:t>
      </w:r>
      <w:r>
        <w:rPr>
          <w:iCs/>
          <w:i/>
        </w:rPr>
        <w:t xml:space="preserve">W</w:t>
      </w:r>
      <w:r>
        <w:rPr>
          <w:iCs/>
          <w:i/>
          <w:vertAlign w:val="subscript"/>
        </w:rPr>
        <w:t xml:space="preserve">g</w:t>
      </w:r>
      <w:r>
        <w:t xml:space="preserve"> </w:t>
      </w:r>
      <w:r>
        <w:t xml:space="preserve">μ</w:t>
      </w:r>
      <w:r>
        <w:rPr>
          <w:iCs/>
          <w:i/>
          <w:vertAlign w:val="subscript"/>
        </w:rPr>
        <w:t xml:space="preserve">g</w:t>
      </w:r>
      <w:r>
        <w:t xml:space="preserve"> </w:t>
      </w:r>
      <w:r>
        <w:t xml:space="preserve">/ (</w:t>
      </w:r>
      <w:r>
        <w:rPr>
          <w:iCs/>
          <w:i/>
        </w:rPr>
        <w:t xml:space="preserve">W</w:t>
      </w:r>
      <w:r>
        <w:t xml:space="preserve"> </w:t>
      </w:r>
      <w:r>
        <w:t xml:space="preserve">μ) be the group’s share of all reachable destinations. Then</w:t>
      </w:r>
    </w:p>
    <w:p>
      <w:pPr>
        <w:pStyle w:val="Equation"/>
      </w:pPr>
      <w:r>
        <w:tab/>
      </w:r>
      <w:r>
        <w:drawing>
          <wp:inline>
            <wp:extent cx="1896465" cy="397764"/>
            <wp:effectExtent b="0" l="0" r="0" t="0"/>
            <wp:docPr descr="" title="" id="153" name="Picture"/>
            <a:graphic>
              <a:graphicData uri="http://schemas.openxmlformats.org/drawingml/2006/picture">
                <pic:pic>
                  <pic:nvPicPr>
                    <pic:cNvPr descr="eq/eq27.png" id="154" name="Picture"/>
                    <pic:cNvPicPr>
                      <a:picLocks noChangeArrowheads="1" noChangeAspect="1"/>
                    </pic:cNvPicPr>
                  </pic:nvPicPr>
                  <pic:blipFill>
                    <a:blip r:embed="rId152"/>
                    <a:stretch>
                      <a:fillRect/>
                    </a:stretch>
                  </pic:blipFill>
                  <pic:spPr bwMode="auto">
                    <a:xfrm>
                      <a:off x="0" y="0"/>
                      <a:ext cx="1896465" cy="397764"/>
                    </a:xfrm>
                    <a:prstGeom prst="rect">
                      <a:avLst/>
                    </a:prstGeom>
                    <a:noFill/>
                    <a:ln w="9525">
                      <a:noFill/>
                      <a:headEnd/>
                      <a:tailEnd/>
                    </a:ln>
                  </pic:spPr>
                </pic:pic>
              </a:graphicData>
            </a:graphic>
          </wp:inline>
        </w:drawing>
      </w:r>
      <w:r/>
      <w:r/>
      <w:r>
        <w:rPr>
          <w:rFonts w:ascii="Times New Roman" w:hAnsi="Times New Roman"/>
          <w:sz w:val="24"/>
        </w:rPr>
        <w:tab/>
        <w:t>(27)</w:t>
      </w:r>
    </w:p>
    <w:p>
      <w:pPr>
        <w:pStyle w:val="Source"/>
      </w:pPr>
      <w:r>
        <w:t xml:space="preserve">Source: Theil (1967); decomposition after Shorrocks (1980)</w:t>
      </w:r>
    </w:p>
    <w:p>
      <w:pPr>
        <w:pStyle w:val="BodyText"/>
      </w:pPr>
      <w:r>
        <w:t xml:space="preserve">where</w:t>
      </w:r>
      <w:r>
        <w:t xml:space="preserve"> </w:t>
      </w:r>
      <w:r>
        <w:rPr>
          <w:iCs/>
          <w:i/>
        </w:rPr>
        <w:t xml:space="preserve">T</w:t>
      </w:r>
      <w:r>
        <w:rPr>
          <w:iCs/>
          <w:i/>
          <w:vertAlign w:val="subscript"/>
        </w:rPr>
        <w:t xml:space="preserve">g</w:t>
      </w:r>
      <w:r>
        <w:t xml:space="preserve"> </w:t>
      </w:r>
      <w:r>
        <w:t xml:space="preserve">is the Theil index within group</w:t>
      </w:r>
      <w:r>
        <w:t xml:space="preserve"> </w:t>
      </w:r>
      <w:r>
        <w:rPr>
          <w:iCs/>
          <w:i/>
        </w:rPr>
        <w:t xml:space="preserve">g</w:t>
      </w:r>
      <w:r>
        <w:t xml:space="preserve">.</w:t>
      </w:r>
    </w:p>
    <w:p>
      <w:pPr>
        <w:pStyle w:val="BodyText"/>
      </w:pPr>
      <w:r>
        <w:rPr>
          <w:iCs/>
          <w:i/>
        </w:rPr>
        <w:t xml:space="preserve">Proof.</w:t>
      </w:r>
      <w:r>
        <w:t xml:space="preserve"> </w:t>
      </w:r>
      <w:r>
        <w:t xml:space="preserve">Write</w:t>
      </w:r>
      <w:r>
        <w:t xml:space="preserve"> </w:t>
      </w:r>
      <w:r>
        <w:rPr>
          <w:iCs/>
          <w:i/>
        </w:rPr>
        <w:t xml:space="preserve">p</w:t>
      </w:r>
      <w:r>
        <w:rPr>
          <w:iCs/>
          <w:i/>
          <w:vertAlign w:val="subscript"/>
        </w:rPr>
        <w:t xml:space="preserve">a</w:t>
      </w:r>
      <w:r>
        <w:t xml:space="preserve"> </w:t>
      </w:r>
      <w:r>
        <w:t xml:space="preserve">=</w:t>
      </w:r>
      <w:r>
        <w:t xml:space="preserve"> </w:t>
      </w:r>
      <w:r>
        <w:rPr>
          <w:iCs/>
          <w:i/>
        </w:rPr>
        <w:t xml:space="preserve">P</w:t>
      </w:r>
      <w:r>
        <w:rPr>
          <w:iCs/>
          <w:i/>
          <w:vertAlign w:val="subscript"/>
        </w:rPr>
        <w:t xml:space="preserve">a</w:t>
      </w:r>
      <w:r>
        <w:t xml:space="preserve"> </w:t>
      </w:r>
      <w:r>
        <w:t xml:space="preserve">/</w:t>
      </w:r>
      <w:r>
        <w:t xml:space="preserve"> </w:t>
      </w:r>
      <w:r>
        <w:rPr>
          <w:iCs/>
          <w:i/>
        </w:rPr>
        <w:t xml:space="preserve">W</w:t>
      </w:r>
      <w:r>
        <w:t xml:space="preserve"> </w:t>
      </w:r>
      <w:r>
        <w:t xml:space="preserve">and, for</w:t>
      </w:r>
      <w:r>
        <w:t xml:space="preserve"> </w:t>
      </w:r>
      <w:r>
        <w:rPr>
          <w:iCs/>
          <w:i/>
        </w:rPr>
        <w:t xml:space="preserve">a</w:t>
      </w:r>
      <w:r>
        <w:t xml:space="preserve"> </w:t>
      </w:r>
      <w:r>
        <w:t xml:space="preserve">∈</w:t>
      </w:r>
      <w:r>
        <w:t xml:space="preserve"> </w:t>
      </w:r>
      <w:r>
        <w:rPr>
          <w:iCs/>
          <w:i/>
        </w:rPr>
        <w:t xml:space="preserve">g</w:t>
      </w:r>
      <w:r>
        <w:t xml:space="preserve">,</w:t>
      </w:r>
      <w:r>
        <w:t xml:space="preserve"> </w:t>
      </w:r>
      <w:r>
        <w:rPr>
          <w:iCs/>
          <w:i/>
        </w:rPr>
        <w:t xml:space="preserve">p</w:t>
      </w:r>
      <w:r>
        <w:rPr>
          <w:iCs/>
          <w:i/>
          <w:vertAlign w:val="superscript"/>
        </w:rPr>
        <w:t xml:space="preserve">g</w:t>
      </w:r>
      <w:r>
        <w:rPr>
          <w:iCs/>
          <w:i/>
          <w:vertAlign w:val="subscript"/>
        </w:rPr>
        <w:t xml:space="preserve">a</w:t>
      </w:r>
      <w:r>
        <w:t xml:space="preserve"> </w:t>
      </w:r>
      <w:r>
        <w:t xml:space="preserve">=</w:t>
      </w:r>
      <w:r>
        <w:t xml:space="preserve"> </w:t>
      </w:r>
      <w:r>
        <w:rPr>
          <w:iCs/>
          <w:i/>
        </w:rPr>
        <w:t xml:space="preserve">P</w:t>
      </w:r>
      <w:r>
        <w:rPr>
          <w:iCs/>
          <w:i/>
          <w:vertAlign w:val="subscript"/>
        </w:rPr>
        <w:t xml:space="preserve">a</w:t>
      </w:r>
      <w:r>
        <w:t xml:space="preserve"> </w:t>
      </w:r>
      <w:r>
        <w:t xml:space="preserve">/</w:t>
      </w:r>
      <w:r>
        <w:t xml:space="preserve"> </w:t>
      </w:r>
      <w:r>
        <w:rPr>
          <w:iCs/>
          <w:i/>
        </w:rPr>
        <w:t xml:space="preserve">W</w:t>
      </w:r>
      <w:r>
        <w:rPr>
          <w:iCs/>
          <w:i/>
          <w:vertAlign w:val="subscript"/>
        </w:rPr>
        <w:t xml:space="preserve">g</w:t>
      </w:r>
      <w:r>
        <w:t xml:space="preserve">, so</w:t>
      </w:r>
      <w:r>
        <w:t xml:space="preserve"> </w:t>
      </w:r>
      <w:r>
        <w:rPr>
          <w:iCs/>
          <w:i/>
        </w:rPr>
        <w:t xml:space="preserve">p</w:t>
      </w:r>
      <w:r>
        <w:rPr>
          <w:iCs/>
          <w:i/>
          <w:vertAlign w:val="subscript"/>
        </w:rPr>
        <w:t xml:space="preserve">a</w:t>
      </w:r>
      <w:r>
        <w:t xml:space="preserve"> </w:t>
      </w:r>
      <w:r>
        <w:t xml:space="preserve">= (</w:t>
      </w:r>
      <w:r>
        <w:rPr>
          <w:iCs/>
          <w:i/>
        </w:rPr>
        <w:t xml:space="preserve">W</w:t>
      </w:r>
      <w:r>
        <w:rPr>
          <w:iCs/>
          <w:i/>
          <w:vertAlign w:val="subscript"/>
        </w:rPr>
        <w:t xml:space="preserve">g</w:t>
      </w:r>
      <w:r>
        <w:t xml:space="preserve"> </w:t>
      </w:r>
      <w:r>
        <w:t xml:space="preserve">/</w:t>
      </w:r>
      <w:r>
        <w:t xml:space="preserve"> </w:t>
      </w:r>
      <w:r>
        <w:rPr>
          <w:iCs/>
          <w:i/>
        </w:rPr>
        <w:t xml:space="preserve">W</w:t>
      </w:r>
      <w:r>
        <w:t xml:space="preserve">)</w:t>
      </w:r>
      <w:r>
        <w:t xml:space="preserve"> </w:t>
      </w:r>
      <w:r>
        <w:rPr>
          <w:iCs/>
          <w:i/>
        </w:rPr>
        <w:t xml:space="preserve">p</w:t>
      </w:r>
      <w:r>
        <w:rPr>
          <w:iCs/>
          <w:i/>
          <w:vertAlign w:val="superscript"/>
        </w:rPr>
        <w:t xml:space="preserve">g</w:t>
      </w:r>
      <w:r>
        <w:rPr>
          <w:iCs/>
          <w:i/>
          <w:vertAlign w:val="subscript"/>
        </w:rPr>
        <w:t xml:space="preserve">a</w:t>
      </w:r>
      <w:r>
        <w:t xml:space="preserve">. Split the ratio as</w:t>
      </w:r>
      <w:r>
        <w:t xml:space="preserve"> </w:t>
      </w:r>
      <w:r>
        <w:rPr>
          <w:iCs/>
          <w:i/>
        </w:rPr>
        <w:t xml:space="preserve">A</w:t>
      </w:r>
      <w:r>
        <w:rPr>
          <w:iCs/>
          <w:i/>
          <w:vertAlign w:val="subscript"/>
        </w:rPr>
        <w:t xml:space="preserve">a</w:t>
      </w:r>
      <w:r>
        <w:t xml:space="preserve"> </w:t>
      </w:r>
      <w:r>
        <w:t xml:space="preserve">/ μ = (</w:t>
      </w:r>
      <w:r>
        <w:rPr>
          <w:iCs/>
          <w:i/>
        </w:rPr>
        <w:t xml:space="preserve">A</w:t>
      </w:r>
      <w:r>
        <w:rPr>
          <w:iCs/>
          <w:i/>
          <w:vertAlign w:val="subscript"/>
        </w:rPr>
        <w:t xml:space="preserve">a</w:t>
      </w:r>
      <w:r>
        <w:t xml:space="preserve"> </w:t>
      </w:r>
      <w:r>
        <w:t xml:space="preserve">/ μ</w:t>
      </w:r>
      <w:r>
        <w:rPr>
          <w:iCs/>
          <w:i/>
          <w:vertAlign w:val="subscript"/>
        </w:rPr>
        <w:t xml:space="preserve">g</w:t>
      </w:r>
      <w:r>
        <w:t xml:space="preserve">)(μ</w:t>
      </w:r>
      <w:r>
        <w:rPr>
          <w:iCs/>
          <w:i/>
          <w:vertAlign w:val="subscript"/>
        </w:rPr>
        <w:t xml:space="preserve">g</w:t>
      </w:r>
      <w:r>
        <w:t xml:space="preserve"> </w:t>
      </w:r>
      <w:r>
        <w:t xml:space="preserve">/ μ). Then</w:t>
      </w:r>
    </w:p>
    <w:p>
      <w:pPr>
        <w:pStyle w:val="Equation"/>
      </w:pPr>
      <w:r>
        <w:tab/>
      </w:r>
      <w:r>
        <w:drawing>
          <wp:inline>
            <wp:extent cx="3318357" cy="485546"/>
            <wp:effectExtent b="0" l="0" r="0" t="0"/>
            <wp:docPr descr="" title="" id="156" name="Picture"/>
            <a:graphic>
              <a:graphicData uri="http://schemas.openxmlformats.org/drawingml/2006/picture">
                <pic:pic>
                  <pic:nvPicPr>
                    <pic:cNvPr descr="eq/eq28.png" id="157" name="Picture"/>
                    <pic:cNvPicPr>
                      <a:picLocks noChangeArrowheads="1" noChangeAspect="1"/>
                    </pic:cNvPicPr>
                  </pic:nvPicPr>
                  <pic:blipFill>
                    <a:blip r:embed="rId155"/>
                    <a:stretch>
                      <a:fillRect/>
                    </a:stretch>
                  </pic:blipFill>
                  <pic:spPr bwMode="auto">
                    <a:xfrm>
                      <a:off x="0" y="0"/>
                      <a:ext cx="3318357" cy="485546"/>
                    </a:xfrm>
                    <a:prstGeom prst="rect">
                      <a:avLst/>
                    </a:prstGeom>
                    <a:noFill/>
                    <a:ln w="9525">
                      <a:noFill/>
                      <a:headEnd/>
                      <a:tailEnd/>
                    </a:ln>
                  </pic:spPr>
                </pic:pic>
              </a:graphicData>
            </a:graphic>
          </wp:inline>
        </w:drawing>
      </w:r>
      <w:r/>
      <w:r/>
      <w:r>
        <w:rPr>
          <w:rFonts w:ascii="Times New Roman" w:hAnsi="Times New Roman"/>
          <w:sz w:val="24"/>
        </w:rPr>
        <w:tab/>
        <w:t>(28)</w:t>
      </w:r>
    </w:p>
    <w:p>
      <w:pPr>
        <w:pStyle w:val="Source"/>
      </w:pPr>
      <w:r>
        <w:t xml:space="preserve">Source: expansion of Equation (27); Theil (1967), Shorrocks (1980)</w:t>
      </w:r>
    </w:p>
    <w:p>
      <w:pPr>
        <w:pStyle w:val="BodyText"/>
      </w:pPr>
      <w:r>
        <w:t xml:space="preserve">Inside the brackets, the first sum is</w:t>
      </w:r>
      <w:r>
        <w:t xml:space="preserve"> </w:t>
      </w:r>
      <w:r>
        <w:rPr>
          <w:iCs/>
          <w:i/>
        </w:rPr>
        <w:t xml:space="preserve">T</w:t>
      </w:r>
      <w:r>
        <w:rPr>
          <w:iCs/>
          <w:i/>
          <w:vertAlign w:val="subscript"/>
        </w:rPr>
        <w:t xml:space="preserve">g</w:t>
      </w:r>
      <w:r>
        <w:t xml:space="preserve"> </w:t>
      </w:r>
      <w:r>
        <w:t xml:space="preserve">by definition, and the second is Σ</w:t>
      </w:r>
      <w:r>
        <w:rPr>
          <w:iCs/>
          <w:i/>
          <w:vertAlign w:val="subscript"/>
        </w:rPr>
        <w:t xml:space="preserve">a</w:t>
      </w:r>
      <w:r>
        <w:rPr>
          <w:vertAlign w:val="subscript"/>
        </w:rPr>
        <w:t xml:space="preserve"> ∈ </w:t>
      </w:r>
      <w:r>
        <w:rPr>
          <w:iCs/>
          <w:i/>
          <w:vertAlign w:val="subscript"/>
        </w:rPr>
        <w:t xml:space="preserve">g</w:t>
      </w:r>
      <w:r>
        <w:t xml:space="preserve"> </w:t>
      </w:r>
      <w:r>
        <w:rPr>
          <w:iCs/>
          <w:i/>
        </w:rPr>
        <w:t xml:space="preserve">P</w:t>
      </w:r>
      <w:r>
        <w:rPr>
          <w:iCs/>
          <w:i/>
          <w:vertAlign w:val="subscript"/>
        </w:rPr>
        <w:t xml:space="preserve">a</w:t>
      </w:r>
      <w:r>
        <w:t xml:space="preserve"> </w:t>
      </w:r>
      <w:r>
        <w:rPr>
          <w:iCs/>
          <w:i/>
        </w:rPr>
        <w:t xml:space="preserve">A</w:t>
      </w:r>
      <w:r>
        <w:rPr>
          <w:iCs/>
          <w:i/>
          <w:vertAlign w:val="subscript"/>
        </w:rPr>
        <w:t xml:space="preserve">a</w:t>
      </w:r>
      <w:r>
        <w:t xml:space="preserve"> </w:t>
      </w:r>
      <w:r>
        <w:t xml:space="preserve">/ (</w:t>
      </w:r>
      <w:r>
        <w:rPr>
          <w:iCs/>
          <w:i/>
        </w:rPr>
        <w:t xml:space="preserve">W</w:t>
      </w:r>
      <w:r>
        <w:rPr>
          <w:iCs/>
          <w:i/>
          <w:vertAlign w:val="subscript"/>
        </w:rPr>
        <w:t xml:space="preserve">g</w:t>
      </w:r>
      <w:r>
        <w:t xml:space="preserve"> </w:t>
      </w:r>
      <w:r>
        <w:t xml:space="preserve">μ</w:t>
      </w:r>
      <w:r>
        <w:rPr>
          <w:iCs/>
          <w:i/>
          <w:vertAlign w:val="subscript"/>
        </w:rPr>
        <w:t xml:space="preserve">g</w:t>
      </w:r>
      <w:r>
        <w:t xml:space="preserve">) = 1.</w:t>
      </w:r>
    </w:p>
    <w:p>
      <w:pPr>
        <w:pStyle w:val="BodyText"/>
      </w:pPr>
      <w:r>
        <w:rPr>
          <w:bCs/>
          <w:b/>
        </w:rPr>
        <w:t xml:space="preserve">Remark 4 (From one number to a diagnosis).</w:t>
      </w:r>
      <w:r>
        <w:t xml:space="preserve"> </w:t>
      </w:r>
      <w:r>
        <w:t xml:space="preserve">With Proposition 6, a single inequality figure becomes a diagnosis. A large within-municipality part points to a local problem, to be met with feeder routes, better stop placement, or a closer health facility inside the municipality.</w:t>
      </w:r>
    </w:p>
    <w:p>
      <w:pPr>
        <w:pStyle w:val="BodyText"/>
      </w:pPr>
      <w:r>
        <w:rPr>
          <w:bCs/>
          <w:b/>
        </w:rPr>
        <w:t xml:space="preserve">Remark 5 (Decomposition over a chosen index set).</w:t>
      </w:r>
      <w:r>
        <w:t xml:space="preserve"> </w:t>
      </w:r>
      <w:r>
        <w:t xml:space="preserve">Q7 asked whether the decomposition survives when the index set is a list of landmarks rather than a full partition of the province. It does.</w:t>
      </w:r>
    </w:p>
    <w:p>
      <w:pPr>
        <w:pStyle w:val="BodyText"/>
      </w:pPr>
      <w:r>
        <w:rPr>
          <w:bCs/>
          <w:b/>
        </w:rPr>
        <w:t xml:space="preserve">Proposition 7 (Monotonicity and subadditivity of regulated fares).</w:t>
      </w:r>
      <w:r>
        <w:t xml:space="preserve"> </w:t>
      </w:r>
      <w:r>
        <w:t xml:space="preserve">The leg fare</w:t>
      </w:r>
      <w:r>
        <w:t xml:space="preserve"> </w:t>
      </w:r>
      <w:r>
        <w:rPr>
          <w:iCs/>
          <w:i/>
        </w:rPr>
        <w:t xml:space="preserve">f</w:t>
      </w:r>
      <w:r>
        <w:t xml:space="preserve">(</w:t>
      </w:r>
      <w:r>
        <w:rPr>
          <w:iCs/>
          <w:i/>
        </w:rPr>
        <w:t xml:space="preserve">d</w:t>
      </w:r>
      <w:r>
        <w:t xml:space="preserve">) =</w:t>
      </w:r>
      <w:r>
        <w:t xml:space="preserve"> </w:t>
      </w:r>
      <w:r>
        <w:rPr>
          <w:iCs/>
          <w:i/>
        </w:rPr>
        <w:t xml:space="preserve">f</w:t>
      </w:r>
      <w:r>
        <w:rPr>
          <w:vertAlign w:val="subscript"/>
        </w:rPr>
        <w:t xml:space="preserve">0</w:t>
      </w:r>
      <w:r>
        <w:t xml:space="preserve"> </w:t>
      </w:r>
      <w:r>
        <w:t xml:space="preserve">+</w:t>
      </w:r>
      <w:r>
        <w:t xml:space="preserve"> </w:t>
      </w:r>
      <w:r>
        <w:rPr>
          <w:iCs/>
          <w:i/>
        </w:rPr>
        <w:t xml:space="preserve">r</w:t>
      </w:r>
      <w:r>
        <w:t xml:space="preserve"> </w:t>
      </w:r>
      <w:r>
        <w:t xml:space="preserve">⌈ max(0,</w:t>
      </w:r>
      <w:r>
        <w:t xml:space="preserve"> </w:t>
      </w:r>
      <w:r>
        <w:rPr>
          <w:iCs/>
          <w:i/>
        </w:rPr>
        <w:t xml:space="preserve">d</w:t>
      </w:r>
      <w:r>
        <w:t xml:space="preserve"> </w:t>
      </w:r>
      <w:r>
        <w:t xml:space="preserve">−</w:t>
      </w:r>
      <w:r>
        <w:t xml:space="preserve"> </w:t>
      </w:r>
      <w:r>
        <w:rPr>
          <w:iCs/>
          <w:i/>
        </w:rPr>
        <w:t xml:space="preserve">d</w:t>
      </w:r>
      <w:r>
        <w:rPr>
          <w:vertAlign w:val="subscript"/>
        </w:rPr>
        <w:t xml:space="preserve">0</w:t>
      </w:r>
      <w:r>
        <w:t xml:space="preserve">) ⌉ never decreases as</w:t>
      </w:r>
      <w:r>
        <w:t xml:space="preserve"> </w:t>
      </w:r>
      <w:r>
        <w:rPr>
          <w:iCs/>
          <w:i/>
        </w:rPr>
        <w:t xml:space="preserve">d</w:t>
      </w:r>
      <w:r>
        <w:t xml:space="preserve"> </w:t>
      </w:r>
      <w:r>
        <w:t xml:space="preserve">grows. If, in addition,</w:t>
      </w:r>
      <w:r>
        <w:t xml:space="preserve"> </w:t>
      </w:r>
      <w:r>
        <w:rPr>
          <w:iCs/>
          <w:i/>
        </w:rPr>
        <w:t xml:space="preserve">r</w:t>
      </w:r>
      <w:r>
        <w:t xml:space="preserve"> </w:t>
      </w:r>
      <w:r>
        <w:rPr>
          <w:iCs/>
          <w:i/>
        </w:rPr>
        <w:t xml:space="preserve">d</w:t>
      </w:r>
      <w:r>
        <w:rPr>
          <w:vertAlign w:val="subscript"/>
        </w:rPr>
        <w:t xml:space="preserve">0</w:t>
      </w:r>
      <w:r>
        <w:t xml:space="preserve"> </w:t>
      </w:r>
      <w:r>
        <w:t xml:space="preserve">≤</w:t>
      </w:r>
      <w:r>
        <w:t xml:space="preserve"> </w:t>
      </w:r>
      <w:r>
        <w:rPr>
          <w:iCs/>
          <w:i/>
        </w:rPr>
        <w:t xml:space="preserve">f</w:t>
      </w:r>
      <w:r>
        <w:rPr>
          <w:vertAlign w:val="subscript"/>
        </w:rPr>
        <w:t xml:space="preserve">0</w:t>
      </w:r>
      <w:r>
        <w:t xml:space="preserve"> </w:t>
      </w:r>
      <w:r>
        <w:t xml:space="preserve">and</w:t>
      </w:r>
      <w:r>
        <w:t xml:space="preserve"> </w:t>
      </w:r>
      <w:r>
        <w:rPr>
          <w:iCs/>
          <w:i/>
        </w:rPr>
        <w:t xml:space="preserve">d</w:t>
      </w:r>
      <w:r>
        <w:rPr>
          <w:vertAlign w:val="subscript"/>
        </w:rPr>
        <w:t xml:space="preserve">0</w:t>
      </w:r>
      <w:r>
        <w:t xml:space="preserve"> </w:t>
      </w:r>
      <w:r>
        <w:t xml:space="preserve">is a positive integer, then</w:t>
      </w:r>
      <w:r>
        <w:t xml:space="preserve"> </w:t>
      </w:r>
      <w:r>
        <w:rPr>
          <w:iCs/>
          <w:i/>
        </w:rPr>
        <w:t xml:space="preserve">f</w:t>
      </w:r>
      <w:r>
        <w:t xml:space="preserve"> </w:t>
      </w:r>
      <w:r>
        <w:t xml:space="preserve">is subadditive:</w:t>
      </w:r>
      <w:r>
        <w:t xml:space="preserve"> </w:t>
      </w:r>
      <w:r>
        <w:rPr>
          <w:iCs/>
          <w:i/>
        </w:rPr>
        <w:t xml:space="preserve">f</w:t>
      </w:r>
      <w:r>
        <w:t xml:space="preserve">(</w:t>
      </w:r>
      <w:r>
        <w:rPr>
          <w:iCs/>
          <w:i/>
        </w:rPr>
        <w:t xml:space="preserve">d</w:t>
      </w:r>
      <w:r>
        <w:rPr>
          <w:vertAlign w:val="subscript"/>
        </w:rPr>
        <w:t xml:space="preserve">1</w:t>
      </w:r>
      <w:r>
        <w:t xml:space="preserve"> </w:t>
      </w:r>
      <w:r>
        <w:t xml:space="preserve">+</w:t>
      </w:r>
      <w:r>
        <w:t xml:space="preserve"> </w:t>
      </w:r>
      <w:r>
        <w:rPr>
          <w:iCs/>
          <w:i/>
        </w:rPr>
        <w:t xml:space="preserve">d</w:t>
      </w:r>
      <w:r>
        <w:rPr>
          <w:vertAlign w:val="subscript"/>
        </w:rPr>
        <w:t xml:space="preserve">2</w:t>
      </w:r>
      <w:r>
        <w:t xml:space="preserve">) ≤</w:t>
      </w:r>
      <w:r>
        <w:t xml:space="preserve"> </w:t>
      </w:r>
      <w:r>
        <w:rPr>
          <w:iCs/>
          <w:i/>
        </w:rPr>
        <w:t xml:space="preserve">f</w:t>
      </w:r>
      <w:r>
        <w:t xml:space="preserve">(</w:t>
      </w:r>
      <w:r>
        <w:rPr>
          <w:iCs/>
          <w:i/>
        </w:rPr>
        <w:t xml:space="preserve">d</w:t>
      </w:r>
      <w:r>
        <w:rPr>
          <w:vertAlign w:val="subscript"/>
        </w:rPr>
        <w:t xml:space="preserve">1</w:t>
      </w:r>
      <w:r>
        <w:t xml:space="preserve">) +</w:t>
      </w:r>
      <w:r>
        <w:t xml:space="preserve"> </w:t>
      </w:r>
      <w:r>
        <w:rPr>
          <w:iCs/>
          <w:i/>
        </w:rPr>
        <w:t xml:space="preserve">f</w:t>
      </w:r>
      <w:r>
        <w:t xml:space="preserve">(</w:t>
      </w:r>
      <w:r>
        <w:rPr>
          <w:iCs/>
          <w:i/>
        </w:rPr>
        <w:t xml:space="preserve">d</w:t>
      </w:r>
      <w:r>
        <w:rPr>
          <w:vertAlign w:val="subscript"/>
        </w:rPr>
        <w:t xml:space="preserve">2</w:t>
      </w:r>
      <w:r>
        <w:t xml:space="preserve">) for all</w:t>
      </w:r>
      <w:r>
        <w:t xml:space="preserve"> </w:t>
      </w:r>
      <w:r>
        <w:rPr>
          <w:iCs/>
          <w:i/>
        </w:rPr>
        <w:t xml:space="preserve">d</w:t>
      </w:r>
      <w:r>
        <w:rPr>
          <w:vertAlign w:val="subscript"/>
        </w:rPr>
        <w:t xml:space="preserve">1</w:t>
      </w:r>
      <w:r>
        <w:t xml:space="preserve">,</w:t>
      </w:r>
      <w:r>
        <w:t xml:space="preserve"> </w:t>
      </w:r>
      <w:r>
        <w:rPr>
          <w:iCs/>
          <w:i/>
        </w:rPr>
        <w:t xml:space="preserve">d</w:t>
      </w:r>
      <w:r>
        <w:rPr>
          <w:vertAlign w:val="subscript"/>
        </w:rPr>
        <w:t xml:space="preserve">2</w:t>
      </w:r>
      <w:r>
        <w:t xml:space="preserve"> </w:t>
      </w:r>
      <w:r>
        <w:t xml:space="preserve">≥ 0.</w:t>
      </w:r>
    </w:p>
    <w:p>
      <w:pPr>
        <w:pStyle w:val="BodyText"/>
      </w:pPr>
      <w:r>
        <w:rPr>
          <w:iCs/>
          <w:i/>
        </w:rPr>
        <w:t xml:space="preserve">Proof.</w:t>
      </w:r>
      <w:r>
        <w:t xml:space="preserve"> </w:t>
      </w:r>
      <w:r>
        <w:t xml:space="preserve">Monotonicity is immediate, since</w:t>
      </w:r>
      <w:r>
        <w:t xml:space="preserve"> </w:t>
      </w:r>
      <w:r>
        <w:rPr>
          <w:iCs/>
          <w:i/>
        </w:rPr>
        <w:t xml:space="preserve">d</w:t>
      </w:r>
      <w:r>
        <w:t xml:space="preserve"> </w:t>
      </w:r>
      <w:r>
        <w:t xml:space="preserve">↦ ⌈ max(0,</w:t>
      </w:r>
      <w:r>
        <w:t xml:space="preserve"> </w:t>
      </w:r>
      <w:r>
        <w:rPr>
          <w:iCs/>
          <w:i/>
        </w:rPr>
        <w:t xml:space="preserve">d</w:t>
      </w:r>
      <w:r>
        <w:t xml:space="preserve"> </w:t>
      </w:r>
      <w:r>
        <w:t xml:space="preserve">−</w:t>
      </w:r>
      <w:r>
        <w:t xml:space="preserve"> </w:t>
      </w:r>
      <w:r>
        <w:rPr>
          <w:iCs/>
          <w:i/>
        </w:rPr>
        <w:t xml:space="preserve">d</w:t>
      </w:r>
      <w:r>
        <w:rPr>
          <w:vertAlign w:val="subscript"/>
        </w:rPr>
        <w:t xml:space="preserve">0</w:t>
      </w:r>
      <w:r>
        <w:t xml:space="preserve">) ⌉ never decreases and</w:t>
      </w:r>
      <w:r>
        <w:t xml:space="preserve"> </w:t>
      </w:r>
      <w:r>
        <w:rPr>
          <w:iCs/>
          <w:i/>
        </w:rPr>
        <w:t xml:space="preserve">r</w:t>
      </w:r>
      <w:r>
        <w:t xml:space="preserve"> </w:t>
      </w:r>
      <w:r>
        <w:t xml:space="preserve">&gt; 0. For subadditivity, put</w:t>
      </w:r>
      <w:r>
        <w:t xml:space="preserve"> </w:t>
      </w:r>
      <w:r>
        <w:rPr>
          <w:iCs/>
          <w:i/>
        </w:rPr>
        <w:t xml:space="preserve">x</w:t>
      </w:r>
      <w:r>
        <w:t xml:space="preserve"> </w:t>
      </w:r>
      <w:r>
        <w:t xml:space="preserve">= max(0,</w:t>
      </w:r>
      <w:r>
        <w:t xml:space="preserve"> </w:t>
      </w:r>
      <w:r>
        <w:rPr>
          <w:iCs/>
          <w:i/>
        </w:rPr>
        <w:t xml:space="preserve">d</w:t>
      </w:r>
      <w:r>
        <w:rPr>
          <w:vertAlign w:val="subscript"/>
        </w:rPr>
        <w:t xml:space="preserve">1</w:t>
      </w:r>
      <w:r>
        <w:t xml:space="preserve"> </w:t>
      </w:r>
      <w:r>
        <w:t xml:space="preserve">−</w:t>
      </w:r>
      <w:r>
        <w:t xml:space="preserve"> </w:t>
      </w:r>
      <w:r>
        <w:rPr>
          <w:iCs/>
          <w:i/>
        </w:rPr>
        <w:t xml:space="preserve">d</w:t>
      </w:r>
      <w:r>
        <w:rPr>
          <w:vertAlign w:val="subscript"/>
        </w:rPr>
        <w:t xml:space="preserve">0</w:t>
      </w:r>
      <w:r>
        <w:t xml:space="preserve">) and</w:t>
      </w:r>
      <w:r>
        <w:t xml:space="preserve"> </w:t>
      </w:r>
      <w:r>
        <w:rPr>
          <w:iCs/>
          <w:i/>
        </w:rPr>
        <w:t xml:space="preserve">y</w:t>
      </w:r>
      <w:r>
        <w:t xml:space="preserve"> </w:t>
      </w:r>
      <w:r>
        <w:t xml:space="preserve">= max(0,</w:t>
      </w:r>
      <w:r>
        <w:t xml:space="preserve"> </w:t>
      </w:r>
      <w:r>
        <w:rPr>
          <w:iCs/>
          <w:i/>
        </w:rPr>
        <w:t xml:space="preserve">d</w:t>
      </w:r>
      <w:r>
        <w:rPr>
          <w:vertAlign w:val="subscript"/>
        </w:rPr>
        <w:t xml:space="preserve">2</w:t>
      </w:r>
      <w:r>
        <w:t xml:space="preserve"> </w:t>
      </w:r>
      <w:r>
        <w:t xml:space="preserve">−</w:t>
      </w:r>
      <w:r>
        <w:t xml:space="preserve"> </w:t>
      </w:r>
      <w:r>
        <w:rPr>
          <w:iCs/>
          <w:i/>
        </w:rPr>
        <w:t xml:space="preserve">d</w:t>
      </w:r>
      <w:r>
        <w:rPr>
          <w:vertAlign w:val="subscript"/>
        </w:rPr>
        <w:t xml:space="preserve">0</w:t>
      </w:r>
      <w:r>
        <w:t xml:space="preserve">). From</w:t>
      </w:r>
      <w:r>
        <w:t xml:space="preserve"> </w:t>
      </w:r>
      <w:r>
        <w:rPr>
          <w:iCs/>
          <w:i/>
        </w:rPr>
        <w:t xml:space="preserve">d</w:t>
      </w:r>
      <w:r>
        <w:rPr>
          <w:vertAlign w:val="subscript"/>
        </w:rPr>
        <w:t xml:space="preserve">1</w:t>
      </w:r>
      <w:r>
        <w:t xml:space="preserve"> </w:t>
      </w:r>
      <w:r>
        <w:t xml:space="preserve">≤</w:t>
      </w:r>
      <w:r>
        <w:t xml:space="preserve"> </w:t>
      </w:r>
      <w:r>
        <w:rPr>
          <w:iCs/>
          <w:i/>
        </w:rPr>
        <w:t xml:space="preserve">x</w:t>
      </w:r>
      <w:r>
        <w:t xml:space="preserve"> </w:t>
      </w:r>
      <w:r>
        <w:t xml:space="preserve">+</w:t>
      </w:r>
      <w:r>
        <w:t xml:space="preserve"> </w:t>
      </w:r>
      <w:r>
        <w:rPr>
          <w:iCs/>
          <w:i/>
        </w:rPr>
        <w:t xml:space="preserve">d</w:t>
      </w:r>
      <w:r>
        <w:rPr>
          <w:vertAlign w:val="subscript"/>
        </w:rPr>
        <w:t xml:space="preserve">0</w:t>
      </w:r>
      <w:r>
        <w:t xml:space="preserve"> </w:t>
      </w:r>
      <w:r>
        <w:t xml:space="preserve">and</w:t>
      </w:r>
      <w:r>
        <w:t xml:space="preserve"> </w:t>
      </w:r>
      <w:r>
        <w:rPr>
          <w:iCs/>
          <w:i/>
        </w:rPr>
        <w:t xml:space="preserve">d</w:t>
      </w:r>
      <w:r>
        <w:rPr>
          <w:vertAlign w:val="subscript"/>
        </w:rPr>
        <w:t xml:space="preserve">2</w:t>
      </w:r>
      <w:r>
        <w:t xml:space="preserve"> </w:t>
      </w:r>
      <w:r>
        <w:t xml:space="preserve">≤</w:t>
      </w:r>
      <w:r>
        <w:t xml:space="preserve"> </w:t>
      </w:r>
      <w:r>
        <w:rPr>
          <w:iCs/>
          <w:i/>
        </w:rPr>
        <w:t xml:space="preserve">y</w:t>
      </w:r>
      <w:r>
        <w:t xml:space="preserve"> </w:t>
      </w:r>
      <w:r>
        <w:t xml:space="preserve">+</w:t>
      </w:r>
      <w:r>
        <w:t xml:space="preserve"> </w:t>
      </w:r>
      <w:r>
        <w:rPr>
          <w:iCs/>
          <w:i/>
        </w:rPr>
        <w:t xml:space="preserve">d</w:t>
      </w:r>
      <w:r>
        <w:rPr>
          <w:vertAlign w:val="subscript"/>
        </w:rPr>
        <w:t xml:space="preserve">0</w:t>
      </w:r>
      <w:r>
        <w:t xml:space="preserve"> </w:t>
      </w:r>
      <w:r>
        <w:t xml:space="preserve">it follows that max(0,</w:t>
      </w:r>
      <w:r>
        <w:t xml:space="preserve"> </w:t>
      </w:r>
      <w:r>
        <w:rPr>
          <w:iCs/>
          <w:i/>
        </w:rPr>
        <w:t xml:space="preserve">d</w:t>
      </w:r>
      <w:r>
        <w:rPr>
          <w:vertAlign w:val="subscript"/>
        </w:rPr>
        <w:t xml:space="preserve">1</w:t>
      </w:r>
      <w:r>
        <w:t xml:space="preserve"> </w:t>
      </w:r>
      <w:r>
        <w:t xml:space="preserve">+</w:t>
      </w:r>
      <w:r>
        <w:t xml:space="preserve"> </w:t>
      </w:r>
      <w:r>
        <w:rPr>
          <w:iCs/>
          <w:i/>
        </w:rPr>
        <w:t xml:space="preserve">d</w:t>
      </w:r>
      <w:r>
        <w:rPr>
          <w:vertAlign w:val="subscript"/>
        </w:rPr>
        <w:t xml:space="preserve">2</w:t>
      </w:r>
      <w:r>
        <w:t xml:space="preserve"> </w:t>
      </w:r>
      <w:r>
        <w:t xml:space="preserve">−</w:t>
      </w:r>
      <w:r>
        <w:t xml:space="preserve"> </w:t>
      </w:r>
      <w:r>
        <w:rPr>
          <w:iCs/>
          <w:i/>
        </w:rPr>
        <w:t xml:space="preserve">d</w:t>
      </w:r>
      <w:r>
        <w:rPr>
          <w:vertAlign w:val="subscript"/>
        </w:rPr>
        <w:t xml:space="preserve">0</w:t>
      </w:r>
      <w:r>
        <w:t xml:space="preserve">) ≤</w:t>
      </w:r>
      <w:r>
        <w:t xml:space="preserve"> </w:t>
      </w:r>
      <w:r>
        <w:rPr>
          <w:iCs/>
          <w:i/>
        </w:rPr>
        <w:t xml:space="preserve">x</w:t>
      </w:r>
      <w:r>
        <w:t xml:space="preserve"> </w:t>
      </w:r>
      <w:r>
        <w:t xml:space="preserve">+</w:t>
      </w:r>
      <w:r>
        <w:t xml:space="preserve"> </w:t>
      </w:r>
      <w:r>
        <w:rPr>
          <w:iCs/>
          <w:i/>
        </w:rPr>
        <w:t xml:space="preserve">y</w:t>
      </w:r>
      <w:r>
        <w:t xml:space="preserve"> </w:t>
      </w:r>
      <w:r>
        <w:t xml:space="preserve">+</w:t>
      </w:r>
      <w:r>
        <w:t xml:space="preserve"> </w:t>
      </w:r>
      <w:r>
        <w:rPr>
          <w:iCs/>
          <w:i/>
        </w:rPr>
        <w:t xml:space="preserve">d</w:t>
      </w:r>
      <w:r>
        <w:rPr>
          <w:vertAlign w:val="subscript"/>
        </w:rPr>
        <w:t xml:space="preserve">0</w:t>
      </w:r>
      <w:r>
        <w:t xml:space="preserve">. The ceiling of a sum never exceeds the sum of the ceilings, and the integer</w:t>
      </w:r>
      <w:r>
        <w:t xml:space="preserve"> </w:t>
      </w:r>
      <w:r>
        <w:rPr>
          <w:iCs/>
          <w:i/>
        </w:rPr>
        <w:t xml:space="preserve">d</w:t>
      </w:r>
      <w:r>
        <w:rPr>
          <w:vertAlign w:val="subscript"/>
        </w:rPr>
        <w:t xml:space="preserve">0</w:t>
      </w:r>
      <w:r>
        <w:t xml:space="preserve"> </w:t>
      </w:r>
      <w:r>
        <w:t xml:space="preserve">is its own ceiling, so ⌈ max(0,</w:t>
      </w:r>
      <w:r>
        <w:t xml:space="preserve"> </w:t>
      </w:r>
      <w:r>
        <w:rPr>
          <w:iCs/>
          <w:i/>
        </w:rPr>
        <w:t xml:space="preserve">d</w:t>
      </w:r>
      <w:r>
        <w:rPr>
          <w:vertAlign w:val="subscript"/>
        </w:rPr>
        <w:t xml:space="preserve">1</w:t>
      </w:r>
      <w:r>
        <w:t xml:space="preserve"> </w:t>
      </w:r>
      <w:r>
        <w:t xml:space="preserve">+</w:t>
      </w:r>
      <w:r>
        <w:t xml:space="preserve"> </w:t>
      </w:r>
      <w:r>
        <w:rPr>
          <w:iCs/>
          <w:i/>
        </w:rPr>
        <w:t xml:space="preserve">d</w:t>
      </w:r>
      <w:r>
        <w:rPr>
          <w:vertAlign w:val="subscript"/>
        </w:rPr>
        <w:t xml:space="preserve">2</w:t>
      </w:r>
      <w:r>
        <w:t xml:space="preserve"> </w:t>
      </w:r>
      <w:r>
        <w:t xml:space="preserve">−</w:t>
      </w:r>
      <w:r>
        <w:t xml:space="preserve"> </w:t>
      </w:r>
      <w:r>
        <w:rPr>
          <w:iCs/>
          <w:i/>
        </w:rPr>
        <w:t xml:space="preserve">d</w:t>
      </w:r>
      <w:r>
        <w:rPr>
          <w:vertAlign w:val="subscript"/>
        </w:rPr>
        <w:t xml:space="preserve">0</w:t>
      </w:r>
      <w:r>
        <w:t xml:space="preserve">) ⌉ ≤ ⌈</w:t>
      </w:r>
      <w:r>
        <w:t xml:space="preserve"> </w:t>
      </w:r>
      <w:r>
        <w:rPr>
          <w:iCs/>
          <w:i/>
        </w:rPr>
        <w:t xml:space="preserve">x</w:t>
      </w:r>
      <w:r>
        <w:t xml:space="preserve"> </w:t>
      </w:r>
      <w:r>
        <w:t xml:space="preserve">⌉ + ⌈</w:t>
      </w:r>
      <w:r>
        <w:t xml:space="preserve"> </w:t>
      </w:r>
      <w:r>
        <w:rPr>
          <w:iCs/>
          <w:i/>
        </w:rPr>
        <w:t xml:space="preserve">y</w:t>
      </w:r>
      <w:r>
        <w:t xml:space="preserve"> </w:t>
      </w:r>
      <w:r>
        <w:t xml:space="preserve">⌉ +</w:t>
      </w:r>
      <w:r>
        <w:t xml:space="preserve"> </w:t>
      </w:r>
      <w:r>
        <w:rPr>
          <w:iCs/>
          <w:i/>
        </w:rPr>
        <w:t xml:space="preserve">d</w:t>
      </w:r>
      <w:r>
        <w:rPr>
          <w:vertAlign w:val="subscript"/>
        </w:rPr>
        <w:t xml:space="preserve">0</w:t>
      </w:r>
      <w:r>
        <w:t xml:space="preserve">. Hence</w:t>
      </w:r>
    </w:p>
    <w:p>
      <w:pPr>
        <w:pStyle w:val="Equation"/>
      </w:pPr>
      <w:r>
        <w:tab/>
      </w:r>
      <w:r>
        <w:drawing>
          <wp:inline>
            <wp:extent cx="3274466" cy="366674"/>
            <wp:effectExtent b="0" l="0" r="0" t="0"/>
            <wp:docPr descr="" title="" id="159" name="Picture"/>
            <a:graphic>
              <a:graphicData uri="http://schemas.openxmlformats.org/drawingml/2006/picture">
                <pic:pic>
                  <pic:nvPicPr>
                    <pic:cNvPr descr="eq/eq29.png" id="160" name="Picture"/>
                    <pic:cNvPicPr>
                      <a:picLocks noChangeArrowheads="1" noChangeAspect="1"/>
                    </pic:cNvPicPr>
                  </pic:nvPicPr>
                  <pic:blipFill>
                    <a:blip r:embed="rId158"/>
                    <a:stretch>
                      <a:fillRect/>
                    </a:stretch>
                  </pic:blipFill>
                  <pic:spPr bwMode="auto">
                    <a:xfrm>
                      <a:off x="0" y="0"/>
                      <a:ext cx="3274466" cy="366674"/>
                    </a:xfrm>
                    <a:prstGeom prst="rect">
                      <a:avLst/>
                    </a:prstGeom>
                    <a:noFill/>
                    <a:ln w="9525">
                      <a:noFill/>
                      <a:headEnd/>
                      <a:tailEnd/>
                    </a:ln>
                  </pic:spPr>
                </pic:pic>
              </a:graphicData>
            </a:graphic>
          </wp:inline>
        </w:drawing>
      </w:r>
      <w:r/>
      <w:r/>
      <w:r>
        <w:rPr>
          <w:rFonts w:ascii="Times New Roman" w:hAnsi="Times New Roman"/>
          <w:sz w:val="24"/>
        </w:rPr>
        <w:tab/>
        <w:t>(29)</w:t>
      </w:r>
    </w:p>
    <w:p>
      <w:pPr>
        <w:pStyle w:val="Source"/>
      </w:pPr>
      <w:r>
        <w:t xml:space="preserve">Source: formulated in this study (Proposition 7)</w:t>
      </w:r>
    </w:p>
    <w:p>
      <w:pPr>
        <w:pStyle w:val="BodyText"/>
      </w:pPr>
      <w:r>
        <w:t xml:space="preserve">with</w:t>
      </w:r>
      <w:r>
        <w:t xml:space="preserve"> </w:t>
      </w:r>
      <w:r>
        <w:rPr>
          <w:iCs/>
          <w:i/>
        </w:rPr>
        <w:t xml:space="preserve">r</w:t>
      </w:r>
      <w:r>
        <w:t xml:space="preserve"> </w:t>
      </w:r>
      <w:r>
        <w:rPr>
          <w:iCs/>
          <w:i/>
        </w:rPr>
        <w:t xml:space="preserve">d</w:t>
      </w:r>
      <w:r>
        <w:rPr>
          <w:vertAlign w:val="subscript"/>
        </w:rPr>
        <w:t xml:space="preserve">0</w:t>
      </w:r>
      <w:r>
        <w:t xml:space="preserve"> </w:t>
      </w:r>
      <w:r>
        <w:t xml:space="preserve">≤</w:t>
      </w:r>
      <w:r>
        <w:t xml:space="preserve"> </w:t>
      </w:r>
      <w:r>
        <w:rPr>
          <w:iCs/>
          <w:i/>
        </w:rPr>
        <w:t xml:space="preserve">f</w:t>
      </w:r>
      <w:r>
        <w:rPr>
          <w:vertAlign w:val="subscript"/>
        </w:rPr>
        <w:t xml:space="preserve">0</w:t>
      </w:r>
      <w:r>
        <w:t xml:space="preserve"> </w:t>
      </w:r>
      <w:r>
        <w:t xml:space="preserve">giving the second step. □</w:t>
      </w:r>
    </w:p>
    <w:p>
      <w:pPr>
        <w:pStyle w:val="BodyText"/>
      </w:pPr>
      <w:r>
        <w:rPr>
          <w:bCs/>
          <w:b/>
        </w:rPr>
        <w:t xml:space="preserve">Corollary 8 (Fare against time).</w:t>
      </w:r>
      <w:r>
        <w:t xml:space="preserve"> </w:t>
      </w:r>
      <w:r>
        <w:t xml:space="preserve">For the traditional jeepney in Table 6,</w:t>
      </w:r>
      <w:r>
        <w:t xml:space="preserve"> </w:t>
      </w:r>
      <w:r>
        <w:rPr>
          <w:iCs/>
          <w:i/>
        </w:rPr>
        <w:t xml:space="preserve">r</w:t>
      </w:r>
      <w:r>
        <w:t xml:space="preserve"> </w:t>
      </w:r>
      <w:r>
        <w:rPr>
          <w:iCs/>
          <w:i/>
        </w:rPr>
        <w:t xml:space="preserve">d</w:t>
      </w:r>
      <w:r>
        <w:rPr>
          <w:vertAlign w:val="subscript"/>
        </w:rPr>
        <w:t xml:space="preserve">0</w:t>
      </w:r>
      <w:r>
        <w:t xml:space="preserve"> </w:t>
      </w:r>
      <w:r>
        <w:t xml:space="preserve">= 8 ≤ 14 =</w:t>
      </w:r>
      <w:r>
        <w:t xml:space="preserve"> </w:t>
      </w:r>
      <w:r>
        <w:rPr>
          <w:iCs/>
          <w:i/>
        </w:rPr>
        <w:t xml:space="preserve">f</w:t>
      </w:r>
      <w:r>
        <w:rPr>
          <w:vertAlign w:val="subscript"/>
        </w:rPr>
        <w:t xml:space="preserve">0</w:t>
      </w:r>
      <w:r>
        <w:t xml:space="preserve">, so its fare is subadditive: one ride over a distance never costs more than two rides that cover the same distance. The cheapest journey therefore prefers a few long legs, while the quickest may use more transfers. Because the two aims can pull apart, the planner offers the whole Pareto set over arrival time, fare, and number of transfers rather than a single journey. For a poor patient going to hospital by public transport, the cheapest option is shown beside the fastest.</w:t>
      </w:r>
    </w:p>
    <w:p>
      <w:pPr>
        <w:pStyle w:val="BodyText"/>
      </w:pPr>
      <w:r>
        <w:rPr>
          <w:bCs/>
          <w:b/>
        </w:rPr>
        <w:t xml:space="preserve">Remark 6 (Why the Pareto set stays small).</w:t>
      </w:r>
      <w:r>
        <w:t xml:space="preserve"> </w:t>
      </w:r>
      <w:r>
        <w:t xml:space="preserve">Shortest paths under two or more additive criteria are hard in general. The weight-constrained version is already NP-complete (Garey &amp; Johnson, 1979), and the number of Pareto-optimal paths can grow exponentially with the size of the network (P.</w:t>
      </w:r>
    </w:p>
    <w:p>
      <w:pPr>
        <w:pStyle w:val="BodyText"/>
      </w:pPr>
      <w:r>
        <w:t xml:space="preserve">The remaining results concern the hospital layer.</w:t>
      </w:r>
    </w:p>
    <w:p>
      <w:pPr>
        <w:pStyle w:val="BodyText"/>
      </w:pPr>
      <w:r>
        <w:rPr>
          <w:bCs/>
          <w:b/>
        </w:rPr>
        <w:t xml:space="preserve">Proposition 9 (Early stopping with backups loses no exactness).</w:t>
      </w:r>
      <w:r>
        <w:t xml:space="preserve"> </w:t>
      </w:r>
      <w:r>
        <w:t xml:space="preserve">Fix</w:t>
      </w:r>
      <w:r>
        <w:t xml:space="preserve"> </w:t>
      </w:r>
      <w:r>
        <w:rPr>
          <w:iCs/>
          <w:i/>
        </w:rPr>
        <w:t xml:space="preserve">o</w:t>
      </w:r>
      <w:r>
        <w:t xml:space="preserve">,</w:t>
      </w:r>
      <w:r>
        <w:t xml:space="preserve"> </w:t>
      </w:r>
      <w:r>
        <w:rPr>
          <w:iCs/>
          <w:i/>
        </w:rPr>
        <w:t xml:space="preserve">t</w:t>
      </w:r>
      <w:r>
        <w:t xml:space="preserve">, π, and</w:t>
      </w:r>
      <w:r>
        <w:t xml:space="preserve"> </w:t>
      </w:r>
      <w:r>
        <w:rPr>
          <w:iCs/>
          <w:i/>
        </w:rPr>
        <w:t xml:space="preserve">k</w:t>
      </w:r>
      <w:r>
        <w:t xml:space="preserve"> </w:t>
      </w:r>
      <w:r>
        <w:t xml:space="preserve">≥ 1. Search from</w:t>
      </w:r>
      <w:r>
        <w:t xml:space="preserve"> </w:t>
      </w:r>
      <w:r>
        <w:rPr>
          <w:iCs/>
          <w:i/>
        </w:rPr>
        <w:t xml:space="preserve">o</w:t>
      </w:r>
      <w:r>
        <w:t xml:space="preserve"> </w:t>
      </w:r>
      <w:r>
        <w:t xml:space="preserve">at time</w:t>
      </w:r>
      <w:r>
        <w:t xml:space="preserve"> </w:t>
      </w:r>
      <w:r>
        <w:rPr>
          <w:iCs/>
          <w:i/>
        </w:rPr>
        <w:t xml:space="preserve">t</w:t>
      </w:r>
      <w:r>
        <w:t xml:space="preserve"> </w:t>
      </w:r>
      <w:r>
        <w:t xml:space="preserve">by the label-setting method of Proposition 1 in mode</w:t>
      </w:r>
      <w:r>
        <w:t xml:space="preserve"> </w:t>
      </w:r>
      <w:r>
        <w:rPr>
          <w:iCs/>
          <w:i/>
        </w:rPr>
        <w:t xml:space="preserve">pt</w:t>
      </w:r>
      <w:r>
        <w:t xml:space="preserve"> </w:t>
      </w:r>
      <w:r>
        <w:t xml:space="preserve">(with the walking values of the patient’s mobility class) or by Dijkstra’s algorithm on</w:t>
      </w:r>
      <w:r>
        <w:t xml:space="preserve"> </w:t>
      </w:r>
      <w:r>
        <w:rPr>
          <w:iCs/>
          <w:i/>
        </w:rPr>
        <w:t xml:space="preserve">G</w:t>
      </w:r>
      <w:r>
        <w:rPr>
          <w:vertAlign w:val="subscript"/>
        </w:rPr>
        <w:t xml:space="preserve">γ</w:t>
      </w:r>
      <w:r>
        <w:rPr>
          <w:iCs/>
          <w:i/>
          <w:vertAlign w:val="subscript"/>
        </w:rPr>
        <w:t xml:space="preserve">amb</w:t>
      </w:r>
      <w:r>
        <w:t xml:space="preserve"> </w:t>
      </w:r>
      <w:r>
        <w:t xml:space="preserve">in mode</w:t>
      </w:r>
      <w:r>
        <w:t xml:space="preserve"> </w:t>
      </w:r>
      <w:r>
        <w:rPr>
          <w:iCs/>
          <w:i/>
        </w:rPr>
        <w:t xml:space="preserve">amb</w:t>
      </w:r>
      <w:r>
        <w:t xml:space="preserve">. Halt once the</w:t>
      </w:r>
      <w:r>
        <w:t xml:space="preserve"> </w:t>
      </w:r>
      <w:r>
        <w:rPr>
          <w:iCs/>
          <w:i/>
        </w:rPr>
        <w:t xml:space="preserve">k</w:t>
      </w:r>
      <w:r>
        <w:t xml:space="preserve">-th vertex of a suitable hospital has been extracted, together with every other vertex that shares its label. Then the suitable hospitals extracted, sorted by the key of Equation (17), begin with exactly the backup list (</w:t>
      </w:r>
      <w:r>
        <w:rPr>
          <w:iCs/>
          <w:i/>
        </w:rPr>
        <w:t xml:space="preserve">h</w:t>
      </w:r>
      <w:r>
        <w:rPr>
          <w:vertAlign w:val="subscript"/>
        </w:rPr>
        <w:t xml:space="preserve">(1)</w:t>
      </w:r>
      <w:r>
        <w:t xml:space="preserve">, …,</w:t>
      </w:r>
      <w:r>
        <w:t xml:space="preserve"> </w:t>
      </w:r>
      <w:r>
        <w:rPr>
          <w:iCs/>
          <w:i/>
        </w:rPr>
        <w:t xml:space="preserve">h</w:t>
      </w:r>
      <w:r>
        <w:rPr>
          <w:vertAlign w:val="subscript"/>
        </w:rPr>
        <w:t xml:space="preserve">(</w:t>
      </w:r>
      <w:r>
        <w:rPr>
          <w:iCs/>
          <w:i/>
          <w:vertAlign w:val="subscript"/>
        </w:rPr>
        <w:t xml:space="preserve">k</w:t>
      </w:r>
      <w:r>
        <w:rPr>
          <w:vertAlign w:val="subscript"/>
        </w:rPr>
        <w:t xml:space="preserve">)</w:t>
      </w:r>
      <w:r>
        <w:t xml:space="preserve">) of Definition 18, and the label of each, minus</w:t>
      </w:r>
      <w:r>
        <w:t xml:space="preserve"> </w:t>
      </w:r>
      <w:r>
        <w:rPr>
          <w:iCs/>
          <w:i/>
        </w:rPr>
        <w:t xml:space="preserve">t</w:t>
      </w:r>
      <w:r>
        <w:t xml:space="preserve">, equals its travel time</w:t>
      </w:r>
      <w:r>
        <w:t xml:space="preserve"> </w:t>
      </w:r>
      <w:r>
        <w:rPr>
          <w:iCs/>
          <w:i/>
        </w:rPr>
        <w:t xml:space="preserve">T</w:t>
      </w:r>
      <w:r>
        <w:rPr>
          <w:iCs/>
          <w:i/>
          <w:vertAlign w:val="subscript"/>
        </w:rPr>
        <w:t xml:space="preserve">x</w:t>
      </w:r>
      <w:r>
        <w:t xml:space="preserve">(</w:t>
      </w:r>
      <w:r>
        <w:rPr>
          <w:iCs/>
          <w:i/>
        </w:rPr>
        <w:t xml:space="preserve">o</w:t>
      </w:r>
      <w:r>
        <w:t xml:space="preserve">,</w:t>
      </w:r>
      <w:r>
        <w:t xml:space="preserve"> </w:t>
      </w:r>
      <w:r>
        <w:rPr>
          <w:iCs/>
          <w:i/>
        </w:rPr>
        <w:t xml:space="preserve">h</w:t>
      </w:r>
      <w:r>
        <w:rPr>
          <w:vertAlign w:val="subscript"/>
        </w:rPr>
        <w:t xml:space="preserve">(</w:t>
      </w:r>
      <w:r>
        <w:rPr>
          <w:iCs/>
          <w:i/>
          <w:vertAlign w:val="subscript"/>
        </w:rPr>
        <w:t xml:space="preserve">j</w:t>
      </w:r>
      <w:r>
        <w:rPr>
          <w:vertAlign w:val="subscript"/>
        </w:rPr>
        <w:t xml:space="preserve">)</w:t>
      </w:r>
      <w:r>
        <w:t xml:space="preserve">,</w:t>
      </w:r>
      <w:r>
        <w:t xml:space="preserve"> </w:t>
      </w:r>
      <w:r>
        <w:rPr>
          <w:iCs/>
          <w:i/>
        </w:rPr>
        <w:t xml:space="preserve">t</w:t>
      </w:r>
      <w:r>
        <w:t xml:space="preserve">). For</w:t>
      </w:r>
      <w:r>
        <w:t xml:space="preserve"> </w:t>
      </w:r>
      <w:r>
        <w:rPr>
          <w:iCs/>
          <w:i/>
        </w:rPr>
        <w:t xml:space="preserve">k</w:t>
      </w:r>
      <w:r>
        <w:t xml:space="preserve"> </w:t>
      </w:r>
      <w:r>
        <w:t xml:space="preserve">= 1 this gives</w:t>
      </w:r>
      <w:r>
        <w:t xml:space="preserve"> </w:t>
      </w:r>
      <w:r>
        <w:rPr>
          <w:iCs/>
          <w:i/>
        </w:rPr>
        <w:t xml:space="preserve">h</w:t>
      </w:r>
      <w:r>
        <w:rPr>
          <w:vertAlign w:val="superscript"/>
        </w:rPr>
        <w:t xml:space="preserve">∗</w:t>
      </w:r>
      <w:r>
        <w:t xml:space="preserve">(</w:t>
      </w:r>
      <w:r>
        <w:rPr>
          <w:iCs/>
          <w:i/>
        </w:rPr>
        <w:t xml:space="preserve">o</w:t>
      </w:r>
      <w:r>
        <w:t xml:space="preserve">, π,</w:t>
      </w:r>
      <w:r>
        <w:t xml:space="preserve"> </w:t>
      </w:r>
      <w:r>
        <w:rPr>
          <w:iCs/>
          <w:i/>
        </w:rPr>
        <w:t xml:space="preserve">t</w:t>
      </w:r>
      <w:r>
        <w:t xml:space="preserve">) and</w:t>
      </w:r>
      <w:r>
        <w:t xml:space="preserve"> </w:t>
      </w:r>
      <w:r>
        <w:rPr>
          <w:iCs/>
          <w:i/>
        </w:rPr>
        <w:t xml:space="preserve">T</w:t>
      </w:r>
      <w:r>
        <w:rPr>
          <w:vertAlign w:val="superscript"/>
        </w:rPr>
        <w:t xml:space="preserve">∗</w:t>
      </w:r>
      <w:r>
        <w:t xml:space="preserve">(</w:t>
      </w:r>
      <w:r>
        <w:rPr>
          <w:iCs/>
          <w:i/>
        </w:rPr>
        <w:t xml:space="preserve">o</w:t>
      </w:r>
      <w:r>
        <w:t xml:space="preserve">, π,</w:t>
      </w:r>
      <w:r>
        <w:t xml:space="preserve"> </w:t>
      </w:r>
      <w:r>
        <w:rPr>
          <w:iCs/>
          <w:i/>
        </w:rPr>
        <w:t xml:space="preserve">t</w:t>
      </w:r>
      <w:r>
        <w:t xml:space="preserve">). If fewer than</w:t>
      </w:r>
      <w:r>
        <w:t xml:space="preserve"> </w:t>
      </w:r>
      <w:r>
        <w:rPr>
          <w:iCs/>
          <w:i/>
        </w:rPr>
        <w:t xml:space="preserve">k</w:t>
      </w:r>
      <w:r>
        <w:t xml:space="preserve"> </w:t>
      </w:r>
      <w:r>
        <w:t xml:space="preserve">suitable hospitals can be reached, the queue empties and the list holds all of them; if none can be reached,</w:t>
      </w:r>
      <w:r>
        <w:t xml:space="preserve"> </w:t>
      </w:r>
      <w:r>
        <w:rPr>
          <w:iCs/>
          <w:i/>
        </w:rPr>
        <w:t xml:space="preserve">T</w:t>
      </w:r>
      <w:r>
        <w:rPr>
          <w:vertAlign w:val="superscript"/>
        </w:rPr>
        <w:t xml:space="preserve">∗</w:t>
      </w:r>
      <w:r>
        <w:t xml:space="preserve"> </w:t>
      </w:r>
      <w:r>
        <w:t xml:space="preserve">= +∞.</w:t>
      </w:r>
    </w:p>
    <w:p>
      <w:pPr>
        <w:pStyle w:val="BodyText"/>
      </w:pPr>
      <w:r>
        <w:rPr>
          <w:iCs/>
          <w:i/>
        </w:rPr>
        <w:t xml:space="preserve">Proof.</w:t>
      </w:r>
      <w:r>
        <w:t xml:space="preserve"> </w:t>
      </w:r>
      <w:r>
        <w:t xml:space="preserve">Both graphs have nonnegative arc weights (</w:t>
      </w:r>
      <w:r>
        <w:rPr>
          <w:iCs/>
          <w:i/>
        </w:rPr>
        <w:t xml:space="preserve">G</w:t>
      </w:r>
      <w:r>
        <w:t xml:space="preserve"> </w:t>
      </w:r>
      <w:r>
        <w:t xml:space="preserve">by Assumption 1,</w:t>
      </w:r>
      <w:r>
        <w:t xml:space="preserve"> </w:t>
      </w:r>
      <w:r>
        <w:rPr>
          <w:iCs/>
          <w:i/>
        </w:rPr>
        <w:t xml:space="preserve">G</w:t>
      </w:r>
      <w:r>
        <w:rPr>
          <w:vertAlign w:val="subscript"/>
        </w:rPr>
        <w:t xml:space="preserve">γ</w:t>
      </w:r>
      <w:r>
        <w:rPr>
          <w:iCs/>
          <w:i/>
          <w:vertAlign w:val="subscript"/>
        </w:rPr>
        <w:t xml:space="preserve">amb</w:t>
      </w:r>
      <w:r>
        <w:t xml:space="preserve"> </w:t>
      </w:r>
      <w:r>
        <w:t xml:space="preserve">because lengths and speeds are positive), so labels leave the queue in nondecreasing order and are final when they leave, exactly as in Proposition 1. Let</w:t>
      </w:r>
      <w:r>
        <w:t xml:space="preserve"> </w:t>
      </w:r>
      <w:r>
        <w:rPr>
          <w:iCs/>
          <w:i/>
        </w:rPr>
        <w:t xml:space="preserve">L</w:t>
      </w:r>
      <w:r>
        <w:t xml:space="preserve"> </w:t>
      </w:r>
      <w:r>
        <w:t xml:space="preserve">be the label at which the</w:t>
      </w:r>
      <w:r>
        <w:t xml:space="preserve"> </w:t>
      </w:r>
      <w:r>
        <w:rPr>
          <w:iCs/>
          <w:i/>
        </w:rPr>
        <w:t xml:space="preserve">k</w:t>
      </w:r>
      <w:r>
        <w:t xml:space="preserve">-th suitable hospital vertex leaves the queue. Every suitable hospital with a label below</w:t>
      </w:r>
      <w:r>
        <w:t xml:space="preserve"> </w:t>
      </w:r>
      <w:r>
        <w:rPr>
          <w:iCs/>
          <w:i/>
        </w:rPr>
        <w:t xml:space="preserve">L</w:t>
      </w:r>
      <w:r>
        <w:t xml:space="preserve"> </w:t>
      </w:r>
      <w:r>
        <w:t xml:space="preserve">left the queue earlier, because labels leave in order. Every suitable hospital with label exactly</w:t>
      </w:r>
      <w:r>
        <w:t xml:space="preserve"> </w:t>
      </w:r>
      <w:r>
        <w:rPr>
          <w:iCs/>
          <w:i/>
        </w:rPr>
        <w:t xml:space="preserve">L</w:t>
      </w:r>
      <w:r>
        <w:t xml:space="preserve"> </w:t>
      </w:r>
      <w:r>
        <w:t xml:space="preserve">leaves before the search halts, by the halting rule. Every other suitable hospital has a label above</w:t>
      </w:r>
      <w:r>
        <w:t xml:space="preserve"> </w:t>
      </w:r>
      <w:r>
        <w:rPr>
          <w:iCs/>
          <w:i/>
        </w:rPr>
        <w:t xml:space="preserve">L</w:t>
      </w:r>
      <w:r>
        <w:t xml:space="preserve">. At least</w:t>
      </w:r>
      <w:r>
        <w:t xml:space="preserve"> </w:t>
      </w:r>
      <w:r>
        <w:rPr>
          <w:iCs/>
          <w:i/>
        </w:rPr>
        <w:t xml:space="preserve">k</w:t>
      </w:r>
      <w:r>
        <w:t xml:space="preserve"> </w:t>
      </w:r>
      <w:r>
        <w:t xml:space="preserve">suitable hospitals therefore have labels at most</w:t>
      </w:r>
      <w:r>
        <w:t xml:space="preserve"> </w:t>
      </w:r>
      <w:r>
        <w:rPr>
          <w:iCs/>
          <w:i/>
        </w:rPr>
        <w:t xml:space="preserve">L</w:t>
      </w:r>
      <w:r>
        <w:t xml:space="preserve">, and since the first component of the key is the travel time, the first</w:t>
      </w:r>
      <w:r>
        <w:t xml:space="preserve"> </w:t>
      </w:r>
      <w:r>
        <w:rPr>
          <w:iCs/>
          <w:i/>
        </w:rPr>
        <w:t xml:space="preserve">k</w:t>
      </w:r>
      <w:r>
        <w:t xml:space="preserve"> </w:t>
      </w:r>
      <w:r>
        <w:t xml:space="preserve">hospitals in key order all have labels at most</w:t>
      </w:r>
      <w:r>
        <w:t xml:space="preserve"> </w:t>
      </w:r>
      <w:r>
        <w:rPr>
          <w:iCs/>
          <w:i/>
        </w:rPr>
        <w:t xml:space="preserve">L</w:t>
      </w:r>
      <w:r>
        <w:t xml:space="preserve"> </w:t>
      </w:r>
      <w:r>
        <w:t xml:space="preserve">and were all extracted with exact labels. Sorting the extracted hospitals by key therefore yields</w:t>
      </w:r>
      <w:r>
        <w:t xml:space="preserve"> </w:t>
      </w:r>
      <w:r>
        <w:rPr>
          <w:iCs/>
          <w:i/>
        </w:rPr>
        <w:t xml:space="preserve">h</w:t>
      </w:r>
      <w:r>
        <w:rPr>
          <w:vertAlign w:val="subscript"/>
        </w:rPr>
        <w:t xml:space="preserve">(1)</w:t>
      </w:r>
      <w:r>
        <w:t xml:space="preserve">, …,</w:t>
      </w:r>
      <w:r>
        <w:t xml:space="preserve"> </w:t>
      </w:r>
      <w:r>
        <w:rPr>
          <w:iCs/>
          <w:i/>
        </w:rPr>
        <w:t xml:space="preserve">h</w:t>
      </w:r>
      <w:r>
        <w:rPr>
          <w:vertAlign w:val="subscript"/>
        </w:rPr>
        <w:t xml:space="preserve">(</w:t>
      </w:r>
      <w:r>
        <w:rPr>
          <w:iCs/>
          <w:i/>
          <w:vertAlign w:val="subscript"/>
        </w:rPr>
        <w:t xml:space="preserve">k</w:t>
      </w:r>
      <w:r>
        <w:rPr>
          <w:vertAlign w:val="subscript"/>
        </w:rPr>
        <w:t xml:space="preserve">)</w:t>
      </w:r>
      <w:r>
        <w:t xml:space="preserve">. In patient mode the sink</w:t>
      </w:r>
      <w:r>
        <w:t xml:space="preserve"> </w:t>
      </w:r>
      <w:r>
        <w:rPr>
          <w:iCs/>
          <w:i/>
        </w:rPr>
        <w:t xml:space="preserve">z</w:t>
      </w:r>
      <w:r>
        <w:rPr>
          <w:iCs/>
          <w:i/>
          <w:vertAlign w:val="subscript"/>
        </w:rPr>
        <w:t xml:space="preserve">h</w:t>
      </w:r>
      <w:r>
        <w:t xml:space="preserve"> </w:t>
      </w:r>
      <w:r>
        <w:t xml:space="preserve">is entered only through walking arcs from arrival events, so its label is the earliest possible arrival at the hospital and the travel time is</w:t>
      </w:r>
      <w:r>
        <w:t xml:space="preserve"> </w:t>
      </w:r>
      <w:r>
        <w:rPr>
          <w:iCs/>
          <w:i/>
        </w:rPr>
        <w:t xml:space="preserve">L</w:t>
      </w:r>
      <w:r>
        <w:rPr>
          <w:iCs/>
          <w:i/>
          <w:vertAlign w:val="subscript"/>
        </w:rPr>
        <w:t xml:space="preserve">h</w:t>
      </w:r>
      <w:r>
        <w:t xml:space="preserve"> </w:t>
      </w:r>
      <w:r>
        <w:t xml:space="preserve">−</w:t>
      </w:r>
      <w:r>
        <w:t xml:space="preserve"> </w:t>
      </w:r>
      <w:r>
        <w:rPr>
          <w:iCs/>
          <w:i/>
        </w:rPr>
        <w:t xml:space="preserve">t</w:t>
      </w:r>
      <w:r>
        <w:t xml:space="preserve">. If fewer than</w:t>
      </w:r>
      <w:r>
        <w:t xml:space="preserve"> </w:t>
      </w:r>
      <w:r>
        <w:rPr>
          <w:iCs/>
          <w:i/>
        </w:rPr>
        <w:t xml:space="preserve">k</w:t>
      </w:r>
      <w:r>
        <w:t xml:space="preserve"> </w:t>
      </w:r>
      <w:r>
        <w:t xml:space="preserve">suitable hospitals are reachable, the halting rule never fires, the queue empties, and every reachable suitable hospital has been extracted with its exact label. □</w:t>
      </w:r>
    </w:p>
    <w:p>
      <w:pPr>
        <w:pStyle w:val="BodyText"/>
      </w:pPr>
      <w:r>
        <w:rPr>
          <w:bCs/>
          <w:b/>
        </w:rPr>
        <w:t xml:space="preserve">Remark 7 (Why hospital mode is fast).</w:t>
      </w:r>
      <w:r>
        <w:t xml:space="preserve"> </w:t>
      </w:r>
      <w:r>
        <w:t xml:space="preserve">An atlas query must find paths from an origin to every landmark. A hospital query needs only the few nearest suitable hospitals, so it can stop early.</w:t>
      </w:r>
    </w:p>
    <w:p>
      <w:pPr>
        <w:pStyle w:val="BodyText"/>
      </w:pPr>
      <w:r>
        <w:rPr>
          <w:bCs/>
          <w:b/>
        </w:rPr>
        <w:t xml:space="preserve">Proposition 10 (Suitability is monotone in ability to pay, acuity, and needs).</w:t>
      </w:r>
      <w:r>
        <w:t xml:space="preserve"> </w:t>
      </w:r>
      <w:r>
        <w:t xml:space="preserve">Fix</w:t>
      </w:r>
      <w:r>
        <w:t xml:space="preserve"> </w:t>
      </w:r>
      <w:r>
        <w:rPr>
          <w:iCs/>
          <w:i/>
        </w:rPr>
        <w:t xml:space="preserve">o</w:t>
      </w:r>
      <w:r>
        <w:t xml:space="preserve">,</w:t>
      </w:r>
      <w:r>
        <w:t xml:space="preserve"> </w:t>
      </w:r>
      <w:r>
        <w:rPr>
          <w:iCs/>
          <w:i/>
        </w:rPr>
        <w:t xml:space="preserve">t</w:t>
      </w:r>
      <w:r>
        <w:t xml:space="preserve">, the mode of travel, the mobility class, and every bed status.</w:t>
      </w:r>
    </w:p>
    <w:p>
      <w:pPr>
        <w:numPr>
          <w:ilvl w:val="0"/>
          <w:numId w:val="1006"/>
        </w:numPr>
      </w:pPr>
      <w:r>
        <w:t xml:space="preserve">If ρ ≤ ρ′, then</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and</w:t>
      </w:r>
      <w:r>
        <w:t xml:space="preserve"> </w:t>
      </w:r>
      <w:r>
        <w:rPr>
          <w:iCs/>
          <w:i/>
        </w:rPr>
        <w:t xml:space="preserve">T</w:t>
      </w:r>
      <w:r>
        <w:rPr>
          <w:vertAlign w:val="superscript"/>
        </w:rPr>
        <w:t xml:space="preserve">∗</w:t>
      </w:r>
      <w:r>
        <w:t xml:space="preserve">(</w:t>
      </w:r>
      <w:r>
        <w:rPr>
          <w:iCs/>
          <w:i/>
        </w:rPr>
        <w:t xml:space="preserve">o</w:t>
      </w:r>
      <w:r>
        <w:t xml:space="preserve">, (κ,</w:t>
      </w:r>
      <w:r>
        <w:t xml:space="preserve"> </w:t>
      </w:r>
      <w:r>
        <w:rPr>
          <w:iCs/>
          <w:i/>
        </w:rPr>
        <w:t xml:space="preserve">N</w:t>
      </w:r>
      <w:r>
        <w:t xml:space="preserve">, ρ′,</w:t>
      </w:r>
      <w:r>
        <w:t xml:space="preserve"> </w:t>
      </w:r>
      <w:r>
        <w:rPr>
          <w:iCs/>
          <w:i/>
        </w:rPr>
        <w:t xml:space="preserve">m</w:t>
      </w:r>
      <w:r>
        <w:t xml:space="preserve">),</w:t>
      </w:r>
      <w:r>
        <w:t xml:space="preserve"> </w:t>
      </w:r>
      <w:r>
        <w:rPr>
          <w:iCs/>
          <w:i/>
        </w:rPr>
        <w:t xml:space="preserve">t</w:t>
      </w:r>
      <w:r>
        <w:t xml:space="preserve">) ≤</w:t>
      </w:r>
      <w:r>
        <w:t xml:space="preserve"> </w:t>
      </w:r>
      <w:r>
        <w:rPr>
          <w:iCs/>
          <w:i/>
        </w:rPr>
        <w:t xml:space="preserve">T</w:t>
      </w:r>
      <w:r>
        <w:rPr>
          <w:vertAlign w:val="superscript"/>
        </w:rPr>
        <w:t xml:space="preserve">∗</w:t>
      </w:r>
      <w:r>
        <w:t xml:space="preserve">(</w:t>
      </w:r>
      <w:r>
        <w:rPr>
          <w:iCs/>
          <w:i/>
        </w:rPr>
        <w:t xml:space="preserve">o</w:t>
      </w:r>
      <w:r>
        <w:t xml:space="preserve">, (κ,</w:t>
      </w:r>
      <w:r>
        <w:t xml:space="preserve"> </w:t>
      </w:r>
      <w:r>
        <w:rPr>
          <w:iCs/>
          <w:i/>
        </w:rPr>
        <w:t xml:space="preserve">N</w:t>
      </w:r>
      <w:r>
        <w:t xml:space="preserve">, ρ,</w:t>
      </w:r>
      <w:r>
        <w:t xml:space="preserve"> </w:t>
      </w:r>
      <w:r>
        <w:rPr>
          <w:iCs/>
          <w:i/>
        </w:rPr>
        <w:t xml:space="preserve">m</w:t>
      </w:r>
      <w:r>
        <w:t xml:space="preserve">),</w:t>
      </w:r>
      <w:r>
        <w:t xml:space="preserve"> </w:t>
      </w:r>
      <w:r>
        <w:rPr>
          <w:iCs/>
          <w:i/>
        </w:rPr>
        <w:t xml:space="preserve">t</w:t>
      </w:r>
      <w:r>
        <w:t xml:space="preserve">).</w:t>
      </w:r>
    </w:p>
    <w:p>
      <w:pPr>
        <w:numPr>
          <w:ilvl w:val="0"/>
          <w:numId w:val="1006"/>
        </w:numPr>
      </w:pPr>
      <w:r>
        <w:t xml:space="preserve">If κ and κ′ are both inside</w:t>
      </w:r>
      <w:r>
        <w:t xml:space="preserve"> </w:t>
      </w:r>
      <w:r>
        <w:rPr>
          <w:iCs/>
          <w:i/>
        </w:rPr>
        <w:t xml:space="preserve">K</w:t>
      </w:r>
      <w:r>
        <w:rPr>
          <w:iCs/>
          <w:i/>
          <w:vertAlign w:val="subscript"/>
        </w:rPr>
        <w:t xml:space="preserve">E</w:t>
      </w:r>
      <w:r>
        <w:t xml:space="preserve"> </w:t>
      </w:r>
      <w:r>
        <w:t xml:space="preserve">or both outside it, and λ(κ) ≥ λ(κ′), then</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and</w:t>
      </w:r>
      <w:r>
        <w:t xml:space="preserve"> </w:t>
      </w:r>
      <w:r>
        <w:rPr>
          <w:iCs/>
          <w:i/>
        </w:rPr>
        <w:t xml:space="preserve">T</w:t>
      </w:r>
      <w:r>
        <w:rPr>
          <w:vertAlign w:val="superscript"/>
        </w:rPr>
        <w:t xml:space="preserve">∗</w:t>
      </w:r>
      <w:r>
        <w:t xml:space="preserve">(</w:t>
      </w:r>
      <w:r>
        <w:rPr>
          <w:iCs/>
          <w:i/>
        </w:rPr>
        <w:t xml:space="preserve">o</w:t>
      </w:r>
      <w:r>
        <w:t xml:space="preserve">, (κ′,</w:t>
      </w:r>
      <w:r>
        <w:t xml:space="preserve"> </w:t>
      </w:r>
      <w:r>
        <w:rPr>
          <w:iCs/>
          <w:i/>
        </w:rPr>
        <w:t xml:space="preserve">N</w:t>
      </w:r>
      <w:r>
        <w:t xml:space="preserve">, ρ,</w:t>
      </w:r>
      <w:r>
        <w:t xml:space="preserve"> </w:t>
      </w:r>
      <w:r>
        <w:rPr>
          <w:iCs/>
          <w:i/>
        </w:rPr>
        <w:t xml:space="preserve">m</w:t>
      </w:r>
      <w:r>
        <w:t xml:space="preserve">),</w:t>
      </w:r>
      <w:r>
        <w:t xml:space="preserve"> </w:t>
      </w:r>
      <w:r>
        <w:rPr>
          <w:iCs/>
          <w:i/>
        </w:rPr>
        <w:t xml:space="preserve">t</w:t>
      </w:r>
      <w:r>
        <w:t xml:space="preserve">) ≤</w:t>
      </w:r>
      <w:r>
        <w:t xml:space="preserve"> </w:t>
      </w:r>
      <w:r>
        <w:rPr>
          <w:iCs/>
          <w:i/>
        </w:rPr>
        <w:t xml:space="preserve">T</w:t>
      </w:r>
      <w:r>
        <w:rPr>
          <w:vertAlign w:val="superscript"/>
        </w:rPr>
        <w:t xml:space="preserve">∗</w:t>
      </w:r>
      <w:r>
        <w:t xml:space="preserve">(</w:t>
      </w:r>
      <w:r>
        <w:rPr>
          <w:iCs/>
          <w:i/>
        </w:rPr>
        <w:t xml:space="preserve">o</w:t>
      </w:r>
      <w:r>
        <w:t xml:space="preserve">, (κ,</w:t>
      </w:r>
      <w:r>
        <w:t xml:space="preserve"> </w:t>
      </w:r>
      <w:r>
        <w:rPr>
          <w:iCs/>
          <w:i/>
        </w:rPr>
        <w:t xml:space="preserve">N</w:t>
      </w:r>
      <w:r>
        <w:t xml:space="preserve">, ρ,</w:t>
      </w:r>
      <w:r>
        <w:t xml:space="preserve"> </w:t>
      </w:r>
      <w:r>
        <w:rPr>
          <w:iCs/>
          <w:i/>
        </w:rPr>
        <w:t xml:space="preserve">m</w:t>
      </w:r>
      <w:r>
        <w:t xml:space="preserve">),</w:t>
      </w:r>
      <w:r>
        <w:t xml:space="preserve"> </w:t>
      </w:r>
      <w:r>
        <w:rPr>
          <w:iCs/>
          <w:i/>
        </w:rPr>
        <w:t xml:space="preserve">t</w:t>
      </w:r>
      <w:r>
        <w:t xml:space="preserve">).</w:t>
      </w:r>
    </w:p>
    <w:p>
      <w:pPr>
        <w:numPr>
          <w:ilvl w:val="0"/>
          <w:numId w:val="1006"/>
        </w:numPr>
      </w:pPr>
      <w:r>
        <w:t xml:space="preserve">If κ ∈</w:t>
      </w:r>
      <w:r>
        <w:t xml:space="preserve"> </w:t>
      </w:r>
      <w:r>
        <w:rPr>
          <w:iCs/>
          <w:i/>
        </w:rPr>
        <w:t xml:space="preserve">K</w:t>
      </w:r>
      <w:r>
        <w:rPr>
          <w:iCs/>
          <w:i/>
          <w:vertAlign w:val="subscript"/>
        </w:rPr>
        <w:t xml:space="preserve">E</w:t>
      </w:r>
      <w:r>
        <w:t xml:space="preserve">, then</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ρmax, </w:t>
      </w:r>
      <w:r>
        <w:rPr>
          <w:iCs/>
          <w:i/>
          <w:vertAlign w:val="subscript"/>
        </w:rPr>
        <w:t xml:space="preserve">m</w:t>
      </w:r>
      <w:r>
        <w:rPr>
          <w:vertAlign w:val="subscript"/>
        </w:rPr>
        <w:t xml:space="preserve">)</w:t>
      </w:r>
      <w:r>
        <w:t xml:space="preserve">(</w:t>
      </w:r>
      <w:r>
        <w:rPr>
          <w:iCs/>
          <w:i/>
        </w:rPr>
        <w:t xml:space="preserve">t</w:t>
      </w:r>
      <w:r>
        <w:t xml:space="preserve">) whatever ρ is.</w:t>
      </w:r>
    </w:p>
    <w:p>
      <w:pPr>
        <w:numPr>
          <w:ilvl w:val="0"/>
          <w:numId w:val="1006"/>
        </w:numPr>
      </w:pPr>
      <w:r>
        <w:t xml:space="preserve">If</w:t>
      </w:r>
      <w:r>
        <w:t xml:space="preserve"> </w:t>
      </w:r>
      <w:r>
        <w:rPr>
          <w:iCs/>
          <w:i/>
        </w:rPr>
        <w:t xml:space="preserve">N</w:t>
      </w:r>
      <w:r>
        <w:t xml:space="preserve"> </w:t>
      </w:r>
      <w:r>
        <w:t xml:space="preserve">⊆</w:t>
      </w:r>
      <w:r>
        <w:t xml:space="preserve"> </w:t>
      </w:r>
      <w:r>
        <w:rPr>
          <w:iCs/>
          <w:i/>
        </w:rPr>
        <w:t xml:space="preserve">N</w:t>
      </w:r>
      <w:r>
        <w:t xml:space="preserve">′, then</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w:t>
      </w:r>
      <w:r>
        <w:t xml:space="preserve"> </w:t>
      </w:r>
      <w:r>
        <w:rPr>
          <w:iCs/>
          <w:i/>
        </w:rPr>
        <w:t xml:space="preserve">H</w:t>
      </w:r>
      <w:r>
        <w:rPr>
          <w:vertAlign w:val="subscript"/>
        </w:rPr>
        <w:t xml:space="preserve">(κ, </w:t>
      </w:r>
      <w:r>
        <w:rPr>
          <w:iCs/>
          <w:i/>
          <w:vertAlign w:val="subscript"/>
        </w:rPr>
        <w:t xml:space="preserve">N</w:t>
      </w:r>
      <w:r>
        <w:rPr>
          <w:vertAlign w:val="subscript"/>
        </w:rPr>
        <w:t xml:space="preserve">, ρ, </w:t>
      </w:r>
      <w:r>
        <w:rPr>
          <w:iCs/>
          <w:i/>
          <w:vertAlign w:val="subscript"/>
        </w:rPr>
        <w:t xml:space="preserve">m</w:t>
      </w:r>
      <w:r>
        <w:rPr>
          <w:vertAlign w:val="subscript"/>
        </w:rPr>
        <w:t xml:space="preserve">)</w:t>
      </w:r>
      <w:r>
        <w:t xml:space="preserve">(</w:t>
      </w:r>
      <w:r>
        <w:rPr>
          <w:iCs/>
          <w:i/>
        </w:rPr>
        <w:t xml:space="preserve">t</w:t>
      </w:r>
      <w:r>
        <w:t xml:space="preserve">) and</w:t>
      </w:r>
      <w:r>
        <w:t xml:space="preserve"> </w:t>
      </w:r>
      <w:r>
        <w:rPr>
          <w:iCs/>
          <w:i/>
        </w:rPr>
        <w:t xml:space="preserve">T</w:t>
      </w:r>
      <w:r>
        <w:rPr>
          <w:vertAlign w:val="superscript"/>
        </w:rPr>
        <w:t xml:space="preserve">∗</w:t>
      </w:r>
      <w:r>
        <w:t xml:space="preserve">(</w:t>
      </w:r>
      <w:r>
        <w:rPr>
          <w:iCs/>
          <w:i/>
        </w:rPr>
        <w:t xml:space="preserve">o</w:t>
      </w:r>
      <w:r>
        <w:t xml:space="preserve">, (κ,</w:t>
      </w:r>
      <w:r>
        <w:t xml:space="preserve"> </w:t>
      </w:r>
      <w:r>
        <w:rPr>
          <w:iCs/>
          <w:i/>
        </w:rPr>
        <w:t xml:space="preserve">N</w:t>
      </w:r>
      <w:r>
        <w:t xml:space="preserve">, ρ,</w:t>
      </w:r>
      <w:r>
        <w:t xml:space="preserve"> </w:t>
      </w:r>
      <w:r>
        <w:rPr>
          <w:iCs/>
          <w:i/>
        </w:rPr>
        <w:t xml:space="preserve">m</w:t>
      </w:r>
      <w:r>
        <w:t xml:space="preserve">),</w:t>
      </w:r>
      <w:r>
        <w:t xml:space="preserve"> </w:t>
      </w:r>
      <w:r>
        <w:rPr>
          <w:iCs/>
          <w:i/>
        </w:rPr>
        <w:t xml:space="preserve">t</w:t>
      </w:r>
      <w:r>
        <w:t xml:space="preserve">) ≤</w:t>
      </w:r>
      <w:r>
        <w:t xml:space="preserve"> </w:t>
      </w:r>
      <w:r>
        <w:rPr>
          <w:iCs/>
          <w:i/>
        </w:rPr>
        <w:t xml:space="preserve">T</w:t>
      </w:r>
      <w:r>
        <w:rPr>
          <w:vertAlign w:val="superscript"/>
        </w:rPr>
        <w:t xml:space="preserve">∗</w:t>
      </w:r>
      <w:r>
        <w:t xml:space="preserve">(</w:t>
      </w:r>
      <w:r>
        <w:rPr>
          <w:iCs/>
          <w:i/>
        </w:rPr>
        <w:t xml:space="preserve">o</w:t>
      </w:r>
      <w:r>
        <w:t xml:space="preserve">, (κ,</w:t>
      </w:r>
      <w:r>
        <w:t xml:space="preserve"> </w:t>
      </w:r>
      <w:r>
        <w:rPr>
          <w:iCs/>
          <w:i/>
        </w:rPr>
        <w:t xml:space="preserve">N</w:t>
      </w:r>
      <w:r>
        <w:t xml:space="preserve">′, ρ,</w:t>
      </w:r>
      <w:r>
        <w:t xml:space="preserve"> </w:t>
      </w:r>
      <w:r>
        <w:rPr>
          <w:iCs/>
          <w:i/>
        </w:rPr>
        <w:t xml:space="preserve">m</w:t>
      </w:r>
      <w:r>
        <w:t xml:space="preserve">),</w:t>
      </w:r>
      <w:r>
        <w:t xml:space="preserve"> </w:t>
      </w:r>
      <w:r>
        <w:rPr>
          <w:iCs/>
          <w:i/>
        </w:rPr>
        <w:t xml:space="preserve">t</w:t>
      </w:r>
      <w:r>
        <w:t xml:space="preserve">).</w:t>
      </w:r>
    </w:p>
    <w:p>
      <w:pPr>
        <w:pStyle w:val="FirstParagraph"/>
      </w:pPr>
      <w:r>
        <w:rPr>
          <w:iCs/>
          <w:i/>
        </w:rPr>
        <w:t xml:space="preserve">Proof.</w:t>
      </w:r>
      <w:r>
        <w:t xml:space="preserve"> </w:t>
      </w:r>
      <w:r>
        <w:t xml:space="preserve">The travel time</w:t>
      </w:r>
      <w:r>
        <w:t xml:space="preserve"> </w:t>
      </w:r>
      <w:r>
        <w:rPr>
          <w:iCs/>
          <w:i/>
        </w:rPr>
        <w:t xml:space="preserve">T</w:t>
      </w:r>
      <w:r>
        <w:rPr>
          <w:iCs/>
          <w:i/>
          <w:vertAlign w:val="subscript"/>
        </w:rPr>
        <w:t xml:space="preserve">x</w:t>
      </w:r>
      <w:r>
        <w:t xml:space="preserve">(</w:t>
      </w:r>
      <w:r>
        <w:rPr>
          <w:iCs/>
          <w:i/>
        </w:rPr>
        <w:t xml:space="preserve">o</w:t>
      </w:r>
      <w:r>
        <w:t xml:space="preserve">,</w:t>
      </w:r>
      <w:r>
        <w:t xml:space="preserve"> </w:t>
      </w:r>
      <w:r>
        <w:rPr>
          <w:iCs/>
          <w:i/>
        </w:rPr>
        <w:t xml:space="preserve">h</w:t>
      </w:r>
      <w:r>
        <w:t xml:space="preserve">,</w:t>
      </w:r>
      <w:r>
        <w:t xml:space="preserve"> </w:t>
      </w:r>
      <w:r>
        <w:rPr>
          <w:iCs/>
          <w:i/>
        </w:rPr>
        <w:t xml:space="preserve">t</w:t>
      </w:r>
      <w:r>
        <w:t xml:space="preserve">) depends on the mode and the mobility class but not on κ,</w:t>
      </w:r>
      <w:r>
        <w:t xml:space="preserve"> </w:t>
      </w:r>
      <w:r>
        <w:rPr>
          <w:iCs/>
          <w:i/>
        </w:rPr>
        <w:t xml:space="preserve">N</w:t>
      </w:r>
      <w:r>
        <w:t xml:space="preserve">, or ρ, so in every part only the suitable set changes, and a minimum over a set is never below the minimum over a set that contains it. (i) Of the five factors in Equation (16), only the last involves ρ, and</w:t>
      </w:r>
      <w:r>
        <w:t xml:space="preserve"> </w:t>
      </w:r>
      <w:r>
        <w:rPr>
          <w:bCs/>
          <w:b/>
        </w:rPr>
        <w:t xml:space="preserve">1</w:t>
      </w:r>
      <w:r>
        <w:t xml:space="preserve">[κ ∈</w:t>
      </w:r>
      <w:r>
        <w:t xml:space="preserve"> </w:t>
      </w:r>
      <w:r>
        <w:rPr>
          <w:iCs/>
          <w:i/>
        </w:rPr>
        <w:t xml:space="preserve">K</w:t>
      </w:r>
      <w:r>
        <w:rPr>
          <w:iCs/>
          <w:i/>
          <w:vertAlign w:val="subscript"/>
        </w:rPr>
        <w:t xml:space="preserve">E</w:t>
      </w:r>
      <w:r>
        <w:t xml:space="preserve"> </w:t>
      </w:r>
      <w:r>
        <w:t xml:space="preserve">or</w:t>
      </w:r>
      <w:r>
        <w:t xml:space="preserve"> </w:t>
      </w:r>
      <w:r>
        <w:rPr>
          <w:iCs/>
          <w:i/>
        </w:rPr>
        <w:t xml:space="preserve">q</w:t>
      </w:r>
      <w:r>
        <w:rPr>
          <w:iCs/>
          <w:i/>
          <w:vertAlign w:val="subscript"/>
        </w:rPr>
        <w:t xml:space="preserve">h</w:t>
      </w:r>
      <w:r>
        <w:t xml:space="preserve"> </w:t>
      </w:r>
      <w:r>
        <w:t xml:space="preserve">≤ ρ] does not decrease as ρ grows, so the suitable sets nest. (ii) When κ and κ′ fall on the same side of</w:t>
      </w:r>
      <w:r>
        <w:t xml:space="preserve"> </w:t>
      </w:r>
      <w:r>
        <w:rPr>
          <w:iCs/>
          <w:i/>
        </w:rPr>
        <w:t xml:space="preserve">K</w:t>
      </w:r>
      <w:r>
        <w:rPr>
          <w:iCs/>
          <w:i/>
          <w:vertAlign w:val="subscript"/>
        </w:rPr>
        <w:t xml:space="preserve">E</w:t>
      </w:r>
      <w:r>
        <w:t xml:space="preserve">, the third and fifth factors agree for both profiles and the fourth ignores κ, while λ(κ) ≥ λ(κ′) gives</w:t>
      </w:r>
      <w:r>
        <w:t xml:space="preserve"> </w:t>
      </w:r>
      <w:r>
        <w:rPr>
          <w:bCs/>
          <w:b/>
        </w:rPr>
        <w:t xml:space="preserve">1</w:t>
      </w:r>
      <w:r>
        <w:t xml:space="preserve">[η</w:t>
      </w:r>
      <w:r>
        <w:rPr>
          <w:iCs/>
          <w:i/>
          <w:vertAlign w:val="subscript"/>
        </w:rPr>
        <w:t xml:space="preserve">h</w:t>
      </w:r>
      <w:r>
        <w:t xml:space="preserve"> </w:t>
      </w:r>
      <w:r>
        <w:t xml:space="preserve">≥ λ(κ)] ≤</w:t>
      </w:r>
      <w:r>
        <w:t xml:space="preserve"> </w:t>
      </w:r>
      <w:r>
        <w:rPr>
          <w:bCs/>
          <w:b/>
        </w:rPr>
        <w:t xml:space="preserve">1</w:t>
      </w:r>
      <w:r>
        <w:t xml:space="preserve">[η</w:t>
      </w:r>
      <w:r>
        <w:rPr>
          <w:iCs/>
          <w:i/>
          <w:vertAlign w:val="subscript"/>
        </w:rPr>
        <w:t xml:space="preserve">h</w:t>
      </w:r>
      <w:r>
        <w:t xml:space="preserve"> </w:t>
      </w:r>
      <w:r>
        <w:t xml:space="preserve">≥ λ(κ′)]. (iii) With κ ∈</w:t>
      </w:r>
      <w:r>
        <w:t xml:space="preserve"> </w:t>
      </w:r>
      <w:r>
        <w:rPr>
          <w:iCs/>
          <w:i/>
        </w:rPr>
        <w:t xml:space="preserve">K</w:t>
      </w:r>
      <w:r>
        <w:rPr>
          <w:iCs/>
          <w:i/>
          <w:vertAlign w:val="subscript"/>
        </w:rPr>
        <w:t xml:space="preserve">E</w:t>
      </w:r>
      <w:r>
        <w:t xml:space="preserve">, the fifth factor equals 1 whatever ρ is. (iv) Only the second factor involves the needs, and</w:t>
      </w:r>
      <w:r>
        <w:t xml:space="preserve"> </w:t>
      </w:r>
      <w:r>
        <w:rPr>
          <w:iCs/>
          <w:i/>
        </w:rPr>
        <w:t xml:space="preserve">N</w:t>
      </w:r>
      <w:r>
        <w:t xml:space="preserve">′ ⊆ Σ</w:t>
      </w:r>
      <w:r>
        <w:rPr>
          <w:iCs/>
          <w:i/>
          <w:vertAlign w:val="subscript"/>
        </w:rPr>
        <w:t xml:space="preserve">h</w:t>
      </w:r>
      <w:r>
        <w:t xml:space="preserve"> </w:t>
      </w:r>
      <w:r>
        <w:t xml:space="preserve">implies</w:t>
      </w:r>
      <w:r>
        <w:t xml:space="preserve"> </w:t>
      </w:r>
      <w:r>
        <w:rPr>
          <w:iCs/>
          <w:i/>
        </w:rPr>
        <w:t xml:space="preserve">N</w:t>
      </w:r>
      <w:r>
        <w:t xml:space="preserve"> </w:t>
      </w:r>
      <w:r>
        <w:t xml:space="preserve">⊆ Σ</w:t>
      </w:r>
      <w:r>
        <w:rPr>
          <w:iCs/>
          <w:i/>
          <w:vertAlign w:val="subscript"/>
        </w:rPr>
        <w:t xml:space="preserve">h</w:t>
      </w:r>
      <w:r>
        <w:t xml:space="preserve">, so the factor for</w:t>
      </w:r>
      <w:r>
        <w:t xml:space="preserve"> </w:t>
      </w:r>
      <w:r>
        <w:rPr>
          <w:iCs/>
          <w:i/>
        </w:rPr>
        <w:t xml:space="preserve">N</w:t>
      </w:r>
      <w:r>
        <w:t xml:space="preserve">′ never exceeds the factor for</w:t>
      </w:r>
      <w:r>
        <w:t xml:space="preserve"> </w:t>
      </w:r>
      <w:r>
        <w:rPr>
          <w:iCs/>
          <w:i/>
        </w:rPr>
        <w:t xml:space="preserve">N</w:t>
      </w:r>
      <w:r>
        <w:t xml:space="preserve">. □</w:t>
      </w:r>
    </w:p>
    <w:p>
      <w:pPr>
        <w:pStyle w:val="BodyText"/>
      </w:pPr>
      <w:r>
        <w:rPr>
          <w:bCs/>
          <w:b/>
        </w:rPr>
        <w:t xml:space="preserve">Remark 8 (A deliberate break at the emergency boundary).</w:t>
      </w:r>
      <w:r>
        <w:t xml:space="preserve"> </w:t>
      </w:r>
      <w:r>
        <w:t xml:space="preserve">Pairs of profiles on opposite sides of</w:t>
      </w:r>
      <w:r>
        <w:t xml:space="preserve"> </w:t>
      </w:r>
      <w:r>
        <w:rPr>
          <w:iCs/>
          <w:i/>
        </w:rPr>
        <w:t xml:space="preserve">K</w:t>
      </w:r>
      <w:r>
        <w:rPr>
          <w:iCs/>
          <w:i/>
          <w:vertAlign w:val="subscript"/>
        </w:rPr>
        <w:t xml:space="preserve">E</w:t>
      </w:r>
      <w:r>
        <w:t xml:space="preserve"> </w:t>
      </w:r>
      <w:r>
        <w:t xml:space="preserve">are left out of Proposition 10(ii) on purpose. Moving from κ = 3 to κ = 2 raises the level requirement, which removes hospitals, but it also switches off the payment filter, which adds them back.</w:t>
      </w:r>
    </w:p>
    <w:p>
      <w:pPr>
        <w:pStyle w:val="BodyText"/>
      </w:pPr>
      <w:r>
        <w:rPr>
          <w:bCs/>
          <w:b/>
        </w:rPr>
        <w:t xml:space="preserve">Corollary 11 (Payment gap and need gap).</w:t>
      </w:r>
      <w:r>
        <w:t xml:space="preserve"> </w:t>
      </w:r>
      <w:r>
        <w:t xml:space="preserve">For all</w:t>
      </w:r>
      <w:r>
        <w:t xml:space="preserve"> </w:t>
      </w:r>
      <w:r>
        <w:rPr>
          <w:iCs/>
          <w:i/>
        </w:rPr>
        <w:t xml:space="preserve">o</w:t>
      </w:r>
      <w:r>
        <w:t xml:space="preserve">,</w:t>
      </w:r>
      <w:r>
        <w:t xml:space="preserve"> </w:t>
      </w:r>
      <w:r>
        <w:rPr>
          <w:iCs/>
          <w:i/>
        </w:rPr>
        <w:t xml:space="preserve">t</w:t>
      </w:r>
      <w:r>
        <w:t xml:space="preserve">, and π: (a) Δ</w:t>
      </w:r>
      <w:r>
        <w:rPr>
          <w:iCs/>
          <w:i/>
          <w:vertAlign w:val="subscript"/>
        </w:rPr>
        <w:t xml:space="preserve">pay</w:t>
      </w:r>
      <w:r>
        <w:t xml:space="preserve"> </w:t>
      </w:r>
      <w:r>
        <w:t xml:space="preserve">≥ 0, Δ</w:t>
      </w:r>
      <w:r>
        <w:rPr>
          <w:iCs/>
          <w:i/>
          <w:vertAlign w:val="subscript"/>
        </w:rPr>
        <w:t xml:space="preserve">pay</w:t>
      </w:r>
      <w:r>
        <w:t xml:space="preserve"> </w:t>
      </w:r>
      <w:r>
        <w:t xml:space="preserve">does not increase as ρ grows, Δ</w:t>
      </w:r>
      <w:r>
        <w:rPr>
          <w:iCs/>
          <w:i/>
          <w:vertAlign w:val="subscript"/>
        </w:rPr>
        <w:t xml:space="preserve">pay</w:t>
      </w:r>
      <w:r>
        <w:t xml:space="preserve"> </w:t>
      </w:r>
      <w:r>
        <w:t xml:space="preserve">= 0 at ρ = ρ</w:t>
      </w:r>
      <w:r>
        <w:rPr>
          <w:vertAlign w:val="subscript"/>
        </w:rPr>
        <w:t xml:space="preserve">max</w:t>
      </w:r>
      <w:r>
        <w:t xml:space="preserve">, and Δ</w:t>
      </w:r>
      <w:r>
        <w:rPr>
          <w:iCs/>
          <w:i/>
          <w:vertAlign w:val="subscript"/>
        </w:rPr>
        <w:t xml:space="preserve">pay</w:t>
      </w:r>
      <w:r>
        <w:t xml:space="preserve"> </w:t>
      </w:r>
      <w:r>
        <w:t xml:space="preserve">= 0 for every κ ∈</w:t>
      </w:r>
      <w:r>
        <w:t xml:space="preserve"> </w:t>
      </w:r>
      <w:r>
        <w:rPr>
          <w:iCs/>
          <w:i/>
        </w:rPr>
        <w:t xml:space="preserve">K</w:t>
      </w:r>
      <w:r>
        <w:rPr>
          <w:iCs/>
          <w:i/>
          <w:vertAlign w:val="subscript"/>
        </w:rPr>
        <w:t xml:space="preserve">E</w:t>
      </w:r>
      <w:r>
        <w:t xml:space="preserve">; (b) Δ</w:t>
      </w:r>
      <w:r>
        <w:rPr>
          <w:iCs/>
          <w:i/>
          <w:vertAlign w:val="subscript"/>
        </w:rPr>
        <w:t xml:space="preserve">need</w:t>
      </w:r>
      <w:r>
        <w:t xml:space="preserve"> </w:t>
      </w:r>
      <w:r>
        <w:t xml:space="preserve">≥ 0, Δ</w:t>
      </w:r>
      <w:r>
        <w:rPr>
          <w:iCs/>
          <w:i/>
          <w:vertAlign w:val="subscript"/>
        </w:rPr>
        <w:t xml:space="preserve">need</w:t>
      </w:r>
      <w:r>
        <w:t xml:space="preserve"> </w:t>
      </w:r>
      <w:r>
        <w:t xml:space="preserve">= 0 when</w:t>
      </w:r>
      <w:r>
        <w:t xml:space="preserve"> </w:t>
      </w:r>
      <w:r>
        <w:rPr>
          <w:iCs/>
          <w:i/>
        </w:rPr>
        <w:t xml:space="preserve">N</w:t>
      </w:r>
      <w:r>
        <w:t xml:space="preserve"> </w:t>
      </w:r>
      <w:r>
        <w:t xml:space="preserve">= ∅, and</w:t>
      </w:r>
      <w:r>
        <w:t xml:space="preserve"> </w:t>
      </w:r>
      <w:r>
        <w:rPr>
          <w:iCs/>
          <w:i/>
        </w:rPr>
        <w:t xml:space="preserve">N</w:t>
      </w:r>
      <w:r>
        <w:t xml:space="preserve"> </w:t>
      </w:r>
      <w:r>
        <w:t xml:space="preserve">⊆</w:t>
      </w:r>
      <w:r>
        <w:t xml:space="preserve"> </w:t>
      </w:r>
      <w:r>
        <w:rPr>
          <w:iCs/>
          <w:i/>
        </w:rPr>
        <w:t xml:space="preserve">N</w:t>
      </w:r>
      <w:r>
        <w:t xml:space="preserve">′ implies Δ</w:t>
      </w:r>
      <w:r>
        <w:rPr>
          <w:iCs/>
          <w:i/>
          <w:vertAlign w:val="subscript"/>
        </w:rPr>
        <w:t xml:space="preserve">need</w:t>
      </w:r>
      <w:r>
        <w:t xml:space="preserve">(</w:t>
      </w:r>
      <w:r>
        <w:rPr>
          <w:iCs/>
          <w:i/>
        </w:rPr>
        <w:t xml:space="preserve">N</w:t>
      </w:r>
      <w:r>
        <w:t xml:space="preserve">) ≤ Δ</w:t>
      </w:r>
      <w:r>
        <w:rPr>
          <w:iCs/>
          <w:i/>
          <w:vertAlign w:val="subscript"/>
        </w:rPr>
        <w:t xml:space="preserve">need</w:t>
      </w:r>
      <w:r>
        <w:t xml:space="preserve">(</w:t>
      </w:r>
      <w:r>
        <w:rPr>
          <w:iCs/>
          <w:i/>
        </w:rPr>
        <w:t xml:space="preserve">N</w:t>
      </w:r>
      <w:r>
        <w:t xml:space="preserve">′).</w:t>
      </w:r>
    </w:p>
    <w:p>
      <w:pPr>
        <w:pStyle w:val="BodyText"/>
      </w:pPr>
      <w:r>
        <w:rPr>
          <w:iCs/>
          <w:i/>
        </w:rPr>
        <w:t xml:space="preserve">Proof.</w:t>
      </w:r>
      <w:r>
        <w:t xml:space="preserve"> </w:t>
      </w:r>
      <w:r>
        <w:t xml:space="preserve">(a) Proposition 10(i) gives the first three statements and Proposition 10(iii) the last. If</w:t>
      </w:r>
      <w:r>
        <w:t xml:space="preserve"> </w:t>
      </w:r>
      <w:r>
        <w:rPr>
          <w:iCs/>
          <w:i/>
        </w:rPr>
        <w:t xml:space="preserve">T</w:t>
      </w:r>
      <w:r>
        <w:rPr>
          <w:vertAlign w:val="superscript"/>
        </w:rPr>
        <w:t xml:space="preserve">∗</w:t>
      </w:r>
      <w:r>
        <w:t xml:space="preserve"> </w:t>
      </w:r>
      <w:r>
        <w:t xml:space="preserve">at ρ</w:t>
      </w:r>
      <w:r>
        <w:rPr>
          <w:vertAlign w:val="subscript"/>
        </w:rPr>
        <w:t xml:space="preserve">max</w:t>
      </w:r>
      <w:r>
        <w:t xml:space="preserve"> </w:t>
      </w:r>
      <w:r>
        <w:t xml:space="preserve">is infinite, then not even dropping the payment filter makes a suitable hospital reachable;</w:t>
      </w:r>
      <w:r>
        <w:t xml:space="preserve"> </w:t>
      </w:r>
      <w:r>
        <w:rPr>
          <w:iCs/>
          <w:i/>
        </w:rPr>
        <w:t xml:space="preserve">T</w:t>
      </w:r>
      <w:r>
        <w:rPr>
          <w:vertAlign w:val="superscript"/>
        </w:rPr>
        <w:t xml:space="preserve">∗</w:t>
      </w:r>
      <w:r>
        <w:t xml:space="preserve"> </w:t>
      </w:r>
      <w:r>
        <w:t xml:space="preserve">at ρ is infinite too, and the convention of Equation (19) sets Δ</w:t>
      </w:r>
      <w:r>
        <w:rPr>
          <w:iCs/>
          <w:i/>
          <w:vertAlign w:val="subscript"/>
        </w:rPr>
        <w:t xml:space="preserve">pay</w:t>
      </w:r>
      <w:r>
        <w:t xml:space="preserve"> </w:t>
      </w:r>
      <w:r>
        <w:t xml:space="preserve">= 0. If only</w:t>
      </w:r>
      <w:r>
        <w:t xml:space="preserve"> </w:t>
      </w:r>
      <w:r>
        <w:rPr>
          <w:iCs/>
          <w:i/>
        </w:rPr>
        <w:t xml:space="preserve">T</w:t>
      </w:r>
      <w:r>
        <w:rPr>
          <w:vertAlign w:val="superscript"/>
        </w:rPr>
        <w:t xml:space="preserve">∗</w:t>
      </w:r>
      <w:r>
        <w:t xml:space="preserve"> </w:t>
      </w:r>
      <w:r>
        <w:t xml:space="preserve">at ρ is infinite, Δ</w:t>
      </w:r>
      <w:r>
        <w:rPr>
          <w:iCs/>
          <w:i/>
          <w:vertAlign w:val="subscript"/>
        </w:rPr>
        <w:t xml:space="preserve">pay</w:t>
      </w:r>
      <w:r>
        <w:t xml:space="preserve"> </w:t>
      </w:r>
      <w:r>
        <w:t xml:space="preserve">= +∞, a case reported on its own as</w:t>
      </w:r>
      <w:r>
        <w:t xml:space="preserve"> </w:t>
      </w:r>
      <w:r>
        <w:t xml:space="preserve">“</w:t>
      </w:r>
      <w:r>
        <w:t xml:space="preserve">no affordable suitable hospital reachable.</w:t>
      </w:r>
      <w:r>
        <w:t xml:space="preserve">”</w:t>
      </w:r>
      <w:r>
        <w:t xml:space="preserve"> </w:t>
      </w:r>
      <w:r>
        <w:t xml:space="preserve">(b) Apply Proposition 10(iv) with ∅ ⊆</w:t>
      </w:r>
      <w:r>
        <w:t xml:space="preserve"> </w:t>
      </w:r>
      <w:r>
        <w:rPr>
          <w:iCs/>
          <w:i/>
        </w:rPr>
        <w:t xml:space="preserve">N</w:t>
      </w:r>
      <w:r>
        <w:t xml:space="preserve"> </w:t>
      </w:r>
      <w:r>
        <w:t xml:space="preserve">⊆</w:t>
      </w:r>
      <w:r>
        <w:t xml:space="preserve"> </w:t>
      </w:r>
      <w:r>
        <w:rPr>
          <w:iCs/>
          <w:i/>
        </w:rPr>
        <w:t xml:space="preserve">N</w:t>
      </w:r>
      <w:r>
        <w:t xml:space="preserve">′; the subtrahend in Equation (20) is the same for</w:t>
      </w:r>
      <w:r>
        <w:t xml:space="preserve"> </w:t>
      </w:r>
      <w:r>
        <w:rPr>
          <w:iCs/>
          <w:i/>
        </w:rPr>
        <w:t xml:space="preserve">N</w:t>
      </w:r>
      <w:r>
        <w:t xml:space="preserve"> </w:t>
      </w:r>
      <w:r>
        <w:t xml:space="preserve">and</w:t>
      </w:r>
      <w:r>
        <w:t xml:space="preserve"> </w:t>
      </w:r>
      <w:r>
        <w:rPr>
          <w:iCs/>
          <w:i/>
        </w:rPr>
        <w:t xml:space="preserve">N</w:t>
      </w:r>
      <w:r>
        <w:t xml:space="preserve">′. □</w:t>
      </w:r>
    </w:p>
    <w:p>
      <w:pPr>
        <w:pStyle w:val="BodyText"/>
      </w:pPr>
      <w:r>
        <w:rPr>
          <w:bCs/>
          <w:b/>
        </w:rPr>
        <w:t xml:space="preserve">Remark 9 (How to read the gaps and the bed vectors).</w:t>
      </w:r>
      <w:r>
        <w:t xml:space="preserve"> </w:t>
      </w:r>
      <w:r>
        <w:t xml:space="preserve">Outside emergencies, the payment gap counts the minutes that a family’s budget adds to the trip; for emergency patients it is zero by construction. The need gap counts the minutes that a particular medical need adds.</w:t>
      </w:r>
    </w:p>
    <w:p>
      <w:pPr>
        <w:pStyle w:val="BodyText"/>
      </w:pPr>
      <w:r>
        <w:rPr>
          <w:bCs/>
          <w:b/>
        </w:rPr>
        <w:t xml:space="preserve">Remark 10 (The ambulance’s place in the vehicle order).</w:t>
      </w:r>
      <w:r>
        <w:t xml:space="preserve"> </w:t>
      </w:r>
      <w:r>
        <w:t xml:space="preserve">In every component of Table 5, the ambulance lies between the sport utility vehicle and the jeepney. Proposition 3 therefore opens to the ambulance every road that a jeepney-class vehicle may use, and, with equal arc speeds, Corollary 4 guarantees that its hospital access is at least a jeepney’s.</w:t>
      </w:r>
    </w:p>
    <w:p>
      <w:pPr>
        <w:pStyle w:val="BodyText"/>
      </w:pPr>
      <w:r>
        <w:rPr>
          <w:bCs/>
          <w:b/>
        </w:rPr>
        <w:t xml:space="preserve">Proposition 12 (Bounds on messages, opt-outs, and report age).</w:t>
      </w:r>
      <w:r>
        <w:t xml:space="preserve"> </w:t>
      </w:r>
      <w:r>
        <w:t xml:space="preserve">Assume the protocol of Definition 14. (i) In each cycle no hospital receives more than 1 +</w:t>
      </w:r>
      <w:r>
        <w:t xml:space="preserve"> </w:t>
      </w:r>
      <w:r>
        <w:rPr>
          <w:iCs/>
          <w:i/>
        </w:rPr>
        <w:t xml:space="preserve">n</w:t>
      </w:r>
      <w:r>
        <w:rPr>
          <w:iCs/>
          <w:i/>
          <w:vertAlign w:val="subscript"/>
        </w:rPr>
        <w:t xml:space="preserve">rem</w:t>
      </w:r>
      <w:r>
        <w:t xml:space="preserve"> </w:t>
      </w:r>
      <w:r>
        <w:t xml:space="preserve">messages, and in each day no more than (1 +</w:t>
      </w:r>
      <w:r>
        <w:t xml:space="preserve"> </w:t>
      </w:r>
      <w:r>
        <w:rPr>
          <w:iCs/>
          <w:i/>
        </w:rPr>
        <w:t xml:space="preserve">n</w:t>
      </w:r>
      <w:r>
        <w:rPr>
          <w:iCs/>
          <w:i/>
          <w:vertAlign w:val="subscript"/>
        </w:rPr>
        <w:t xml:space="preserve">rem</w:t>
      </w:r>
      <w:r>
        <w:t xml:space="preserve">) ⌈ 24 h /</w:t>
      </w:r>
      <w:r>
        <w:t xml:space="preserve"> </w:t>
      </w:r>
      <w:r>
        <w:rPr>
          <w:iCs/>
          <w:i/>
        </w:rPr>
        <w:t xml:space="preserve">P</w:t>
      </w:r>
      <w:r>
        <w:rPr>
          <w:iCs/>
          <w:i/>
          <w:vertAlign w:val="subscript"/>
        </w:rPr>
        <w:t xml:space="preserve">h</w:t>
      </w:r>
      <w:r>
        <w:t xml:space="preserve"> </w:t>
      </w:r>
      <w:r>
        <w:t xml:space="preserve">⌉. (ii) Nothing is sent to a hospital once its opt-out is in the project mailbox. (iii) A hospital that answers each inquiry within</w:t>
      </w:r>
      <w:r>
        <w:t xml:space="preserve"> </w:t>
      </w:r>
      <w:r>
        <w:rPr>
          <w:iCs/>
          <w:i/>
        </w:rPr>
        <w:t xml:space="preserve">D</w:t>
      </w:r>
      <w:r>
        <w:rPr>
          <w:iCs/>
          <w:i/>
          <w:vertAlign w:val="subscript"/>
        </w:rPr>
        <w:t xml:space="preserve">rep</w:t>
      </w:r>
      <w:r>
        <w:t xml:space="preserve">, with a reply that passes validation, has</w:t>
      </w:r>
      <w:r>
        <w:t xml:space="preserve"> </w:t>
      </w:r>
      <w:r>
        <w:rPr>
          <w:iCs/>
          <w:i/>
        </w:rPr>
        <w:t xml:space="preserve">age</w:t>
      </w:r>
      <w:r>
        <w:rPr>
          <w:iCs/>
          <w:i/>
          <w:vertAlign w:val="subscript"/>
        </w:rPr>
        <w:t xml:space="preserve">h</w:t>
      </w:r>
      <w:r>
        <w:t xml:space="preserve">(</w:t>
      </w:r>
      <w:r>
        <w:rPr>
          <w:iCs/>
          <w:i/>
        </w:rPr>
        <w:t xml:space="preserve">t</w:t>
      </w:r>
      <w:r>
        <w:t xml:space="preserve">) &lt;</w:t>
      </w:r>
      <w:r>
        <w:t xml:space="preserve"> </w:t>
      </w:r>
      <w:r>
        <w:rPr>
          <w:iCs/>
          <w:i/>
        </w:rPr>
        <w:t xml:space="preserve">P</w:t>
      </w:r>
      <w:r>
        <w:rPr>
          <w:iCs/>
          <w:i/>
          <w:vertAlign w:val="subscript"/>
        </w:rPr>
        <w:t xml:space="preserve">h</w:t>
      </w:r>
      <w:r>
        <w:t xml:space="preserve"> </w:t>
      </w:r>
      <w:r>
        <w:t xml:space="preserve">+</w:t>
      </w:r>
      <w:r>
        <w:t xml:space="preserve"> </w:t>
      </w:r>
      <w:r>
        <w:rPr>
          <w:iCs/>
          <w:i/>
        </w:rPr>
        <w:t xml:space="preserve">D</w:t>
      </w:r>
      <w:r>
        <w:rPr>
          <w:iCs/>
          <w:i/>
          <w:vertAlign w:val="subscript"/>
        </w:rPr>
        <w:t xml:space="preserve">rep</w:t>
      </w:r>
      <w:r>
        <w:t xml:space="preserve"> </w:t>
      </w:r>
      <w:r>
        <w:t xml:space="preserve">at all times after its first such reply, and so it never becomes UNKNOWN if</w:t>
      </w:r>
      <w:r>
        <w:t xml:space="preserve"> </w:t>
      </w:r>
      <w:r>
        <w:rPr>
          <w:iCs/>
          <w:i/>
        </w:rPr>
        <w:t xml:space="preserve">P</w:t>
      </w:r>
      <w:r>
        <w:rPr>
          <w:iCs/>
          <w:i/>
          <w:vertAlign w:val="subscript"/>
        </w:rPr>
        <w:t xml:space="preserve">h</w:t>
      </w:r>
      <w:r>
        <w:t xml:space="preserve"> </w:t>
      </w:r>
      <w:r>
        <w:t xml:space="preserve">+</w:t>
      </w:r>
      <w:r>
        <w:t xml:space="preserve"> </w:t>
      </w:r>
      <w:r>
        <w:rPr>
          <w:iCs/>
          <w:i/>
        </w:rPr>
        <w:t xml:space="preserve">D</w:t>
      </w:r>
      <w:r>
        <w:rPr>
          <w:iCs/>
          <w:i/>
          <w:vertAlign w:val="subscript"/>
        </w:rPr>
        <w:t xml:space="preserve">rep</w:t>
      </w:r>
      <w:r>
        <w:t xml:space="preserve"> </w:t>
      </w:r>
      <w:r>
        <w:t xml:space="preserve">≤</w:t>
      </w:r>
      <w:r>
        <w:t xml:space="preserve"> </w:t>
      </w:r>
      <w:r>
        <w:rPr>
          <w:iCs/>
          <w:i/>
        </w:rPr>
        <w:t xml:space="preserve">age</w:t>
      </w:r>
      <w:r>
        <w:rPr>
          <w:vertAlign w:val="subscript"/>
        </w:rPr>
        <w:t xml:space="preserve">max</w:t>
      </w:r>
      <w:r>
        <w:t xml:space="preserve">.</w:t>
      </w:r>
    </w:p>
    <w:p>
      <w:pPr>
        <w:pStyle w:val="BodyText"/>
      </w:pPr>
      <w:r>
        <w:rPr>
          <w:iCs/>
          <w:i/>
        </w:rPr>
        <w:t xml:space="preserve">Proof.</w:t>
      </w:r>
      <w:r>
        <w:t xml:space="preserve"> </w:t>
      </w:r>
      <w:r>
        <w:t xml:space="preserve">(i) Within a cycle the Coordinator sends one inquiry at</w:t>
      </w:r>
      <w:r>
        <w:t xml:space="preserve"> </w:t>
      </w:r>
      <w:r>
        <w:rPr>
          <w:iCs/>
          <w:i/>
        </w:rPr>
        <w:t xml:space="preserve">t</w:t>
      </w:r>
      <w:r>
        <w:rPr>
          <w:iCs/>
          <w:i/>
          <w:vertAlign w:val="subscript"/>
        </w:rPr>
        <w:t xml:space="preserve">k</w:t>
      </w:r>
      <w:r>
        <w:t xml:space="preserve"> </w:t>
      </w:r>
      <w:r>
        <w:t xml:space="preserve">and reminders only at</w:t>
      </w:r>
      <w:r>
        <w:t xml:space="preserve"> </w:t>
      </w:r>
      <w:r>
        <w:rPr>
          <w:iCs/>
          <w:i/>
        </w:rPr>
        <w:t xml:space="preserve">t</w:t>
      </w:r>
      <w:r>
        <w:rPr>
          <w:iCs/>
          <w:i/>
          <w:vertAlign w:val="subscript"/>
        </w:rPr>
        <w:t xml:space="preserve">k</w:t>
      </w:r>
      <w:r>
        <w:t xml:space="preserve"> </w:t>
      </w:r>
      <w:r>
        <w:t xml:space="preserve">+</w:t>
      </w:r>
      <w:r>
        <w:t xml:space="preserve"> </w:t>
      </w:r>
      <w:r>
        <w:rPr>
          <w:iCs/>
          <w:i/>
        </w:rPr>
        <w:t xml:space="preserve">j</w:t>
      </w:r>
      <w:r>
        <w:t xml:space="preserve"> </w:t>
      </w:r>
      <w:r>
        <w:rPr>
          <w:iCs/>
          <w:i/>
        </w:rPr>
        <w:t xml:space="preserve">R</w:t>
      </w:r>
      <w:r>
        <w:rPr>
          <w:iCs/>
          <w:i/>
          <w:vertAlign w:val="subscript"/>
        </w:rPr>
        <w:t xml:space="preserve">rem</w:t>
      </w:r>
      <w:r>
        <w:t xml:space="preserve"> </w:t>
      </w:r>
      <w:r>
        <w:t xml:space="preserve">with</w:t>
      </w:r>
      <w:r>
        <w:t xml:space="preserve"> </w:t>
      </w:r>
      <w:r>
        <w:rPr>
          <w:iCs/>
          <w:i/>
        </w:rPr>
        <w:t xml:space="preserve">j</w:t>
      </w:r>
      <w:r>
        <w:t xml:space="preserve"> </w:t>
      </w:r>
      <w:r>
        <w:t xml:space="preserve">≤</w:t>
      </w:r>
      <w:r>
        <w:t xml:space="preserve"> </w:t>
      </w:r>
      <w:r>
        <w:rPr>
          <w:iCs/>
          <w:i/>
        </w:rPr>
        <w:t xml:space="preserve">n</w:t>
      </w:r>
      <w:r>
        <w:rPr>
          <w:iCs/>
          <w:i/>
          <w:vertAlign w:val="subscript"/>
        </w:rPr>
        <w:t xml:space="preserve">rem</w:t>
      </w:r>
      <w:r>
        <w:t xml:space="preserve">, and the condition</w:t>
      </w:r>
      <w:r>
        <w:t xml:space="preserve"> </w:t>
      </w:r>
      <w:r>
        <w:rPr>
          <w:iCs/>
          <w:i/>
        </w:rPr>
        <w:t xml:space="preserve">n</w:t>
      </w:r>
      <w:r>
        <w:rPr>
          <w:iCs/>
          <w:i/>
          <w:vertAlign w:val="subscript"/>
        </w:rPr>
        <w:t xml:space="preserve">rem</w:t>
      </w:r>
      <w:r>
        <w:t xml:space="preserve"> </w:t>
      </w:r>
      <w:r>
        <w:rPr>
          <w:iCs/>
          <w:i/>
        </w:rPr>
        <w:t xml:space="preserve">R</w:t>
      </w:r>
      <w:r>
        <w:rPr>
          <w:iCs/>
          <w:i/>
          <w:vertAlign w:val="subscript"/>
        </w:rPr>
        <w:t xml:space="preserve">rem</w:t>
      </w:r>
      <w:r>
        <w:t xml:space="preserve"> </w:t>
      </w:r>
      <w:r>
        <w:t xml:space="preserve">&lt;</w:t>
      </w:r>
      <w:r>
        <w:t xml:space="preserve"> </w:t>
      </w:r>
      <w:r>
        <w:rPr>
          <w:iCs/>
          <w:i/>
        </w:rPr>
        <w:t xml:space="preserve">P</w:t>
      </w:r>
      <w:r>
        <w:rPr>
          <w:iCs/>
          <w:i/>
          <w:vertAlign w:val="subscript"/>
        </w:rPr>
        <w:t xml:space="preserve">h</w:t>
      </w:r>
      <w:r>
        <w:t xml:space="preserve"> </w:t>
      </w:r>
      <w:r>
        <w:t xml:space="preserve">keeps every reminder inside its own cycle. (ii) The Reader clears the inbox immediately before each send, and the Coordinator reads the opt-out list only after that, so an opt-out already in the mailbox when a send falls due is recorded before the send. (iii) Write</w:t>
      </w:r>
      <w:r>
        <w:t xml:space="preserve"> </w:t>
      </w:r>
      <w:r>
        <w:rPr>
          <w:iCs/>
          <w:i/>
        </w:rPr>
        <w:t xml:space="preserve">d</w:t>
      </w:r>
      <w:r>
        <w:rPr>
          <w:iCs/>
          <w:i/>
          <w:vertAlign w:val="subscript"/>
        </w:rPr>
        <w:t xml:space="preserve">k</w:t>
      </w:r>
      <w:r>
        <w:t xml:space="preserve"> </w:t>
      </w:r>
      <w:r>
        <w:t xml:space="preserve">≤</w:t>
      </w:r>
      <w:r>
        <w:t xml:space="preserve"> </w:t>
      </w:r>
      <w:r>
        <w:rPr>
          <w:iCs/>
          <w:i/>
        </w:rPr>
        <w:t xml:space="preserve">D</w:t>
      </w:r>
      <w:r>
        <w:rPr>
          <w:iCs/>
          <w:i/>
          <w:vertAlign w:val="subscript"/>
        </w:rPr>
        <w:t xml:space="preserve">rep</w:t>
      </w:r>
      <w:r>
        <w:t xml:space="preserve"> </w:t>
      </w:r>
      <w:r>
        <w:t xml:space="preserve">for the time the hospital took to answer cycle</w:t>
      </w:r>
      <w:r>
        <w:t xml:space="preserve"> </w:t>
      </w:r>
      <w:r>
        <w:rPr>
          <w:iCs/>
          <w:i/>
        </w:rPr>
        <w:t xml:space="preserve">k</w:t>
      </w:r>
      <w:r>
        <w:t xml:space="preserve">. For</w:t>
      </w:r>
      <w:r>
        <w:t xml:space="preserve"> </w:t>
      </w:r>
      <w:r>
        <w:rPr>
          <w:iCs/>
          <w:i/>
        </w:rPr>
        <w:t xml:space="preserve">t</w:t>
      </w:r>
      <w:r>
        <w:t xml:space="preserve"> </w:t>
      </w:r>
      <w:r>
        <w:t xml:space="preserve">≥</w:t>
      </w:r>
      <w:r>
        <w:t xml:space="preserve"> </w:t>
      </w:r>
      <w:r>
        <w:rPr>
          <w:iCs/>
          <w:i/>
        </w:rPr>
        <w:t xml:space="preserve">t</w:t>
      </w:r>
      <w:r>
        <w:rPr>
          <w:vertAlign w:val="subscript"/>
        </w:rPr>
        <w:t xml:space="preserve">1</w:t>
      </w:r>
      <w:r>
        <w:t xml:space="preserve"> </w:t>
      </w:r>
      <w:r>
        <w:t xml:space="preserve">+</w:t>
      </w:r>
      <w:r>
        <w:t xml:space="preserve"> </w:t>
      </w:r>
      <w:r>
        <w:rPr>
          <w:iCs/>
          <w:i/>
        </w:rPr>
        <w:t xml:space="preserve">d</w:t>
      </w:r>
      <w:r>
        <w:rPr>
          <w:vertAlign w:val="subscript"/>
        </w:rPr>
        <w:t xml:space="preserve">1</w:t>
      </w:r>
      <w:r>
        <w:t xml:space="preserve">, choose the largest</w:t>
      </w:r>
      <w:r>
        <w:t xml:space="preserve"> </w:t>
      </w:r>
      <w:r>
        <w:rPr>
          <w:iCs/>
          <w:i/>
        </w:rPr>
        <w:t xml:space="preserve">k</w:t>
      </w:r>
      <w:r>
        <w:t xml:space="preserve"> </w:t>
      </w:r>
      <w:r>
        <w:t xml:space="preserve">with</w:t>
      </w:r>
      <w:r>
        <w:t xml:space="preserve"> </w:t>
      </w:r>
      <w:r>
        <w:rPr>
          <w:iCs/>
          <w:i/>
        </w:rPr>
        <w:t xml:space="preserve">t</w:t>
      </w:r>
      <w:r>
        <w:rPr>
          <w:iCs/>
          <w:i/>
          <w:vertAlign w:val="subscript"/>
        </w:rPr>
        <w:t xml:space="preserve">k</w:t>
      </w:r>
      <w:r>
        <w:t xml:space="preserve"> </w:t>
      </w:r>
      <w:r>
        <w:t xml:space="preserve">+</w:t>
      </w:r>
      <w:r>
        <w:t xml:space="preserve"> </w:t>
      </w:r>
      <w:r>
        <w:rPr>
          <w:iCs/>
          <w:i/>
        </w:rPr>
        <w:t xml:space="preserve">d</w:t>
      </w:r>
      <w:r>
        <w:rPr>
          <w:iCs/>
          <w:i/>
          <w:vertAlign w:val="subscript"/>
        </w:rPr>
        <w:t xml:space="preserve">k</w:t>
      </w:r>
      <w:r>
        <w:t xml:space="preserve"> </w:t>
      </w:r>
      <w:r>
        <w:t xml:space="preserve">≤</w:t>
      </w:r>
      <w:r>
        <w:t xml:space="preserve"> </w:t>
      </w:r>
      <w:r>
        <w:rPr>
          <w:iCs/>
          <w:i/>
        </w:rPr>
        <w:t xml:space="preserve">t</w:t>
      </w:r>
      <w:r>
        <w:t xml:space="preserve">. Then</w:t>
      </w:r>
      <w:r>
        <w:t xml:space="preserve"> </w:t>
      </w:r>
      <w:r>
        <w:rPr>
          <w:iCs/>
          <w:i/>
        </w:rPr>
        <w:t xml:space="preserve">t</w:t>
      </w:r>
      <w:r>
        <w:t xml:space="preserve"> </w:t>
      </w:r>
      <w:r>
        <w:t xml:space="preserve">&lt;</w:t>
      </w:r>
      <w:r>
        <w:t xml:space="preserve"> </w:t>
      </w:r>
      <w:r>
        <w:rPr>
          <w:iCs/>
          <w:i/>
        </w:rPr>
        <w:t xml:space="preserve">t</w:t>
      </w:r>
      <w:r>
        <w:rPr>
          <w:iCs/>
          <w:i/>
          <w:vertAlign w:val="subscript"/>
        </w:rPr>
        <w:t xml:space="preserve">k</w:t>
      </w:r>
      <w:r>
        <w:rPr>
          <w:vertAlign w:val="subscript"/>
        </w:rPr>
        <w:t xml:space="preserve">+1</w:t>
      </w:r>
      <w:r>
        <w:t xml:space="preserve"> </w:t>
      </w:r>
      <w:r>
        <w:t xml:space="preserve">+</w:t>
      </w:r>
      <w:r>
        <w:t xml:space="preserve"> </w:t>
      </w:r>
      <w:r>
        <w:rPr>
          <w:iCs/>
          <w:i/>
        </w:rPr>
        <w:t xml:space="preserve">d</w:t>
      </w:r>
      <w:r>
        <w:rPr>
          <w:iCs/>
          <w:i/>
          <w:vertAlign w:val="subscript"/>
        </w:rPr>
        <w:t xml:space="preserve">k</w:t>
      </w:r>
      <w:r>
        <w:rPr>
          <w:vertAlign w:val="subscript"/>
        </w:rPr>
        <w:t xml:space="preserve">+1</w:t>
      </w:r>
      <w:r>
        <w:t xml:space="preserve"> </w:t>
      </w:r>
      <w:r>
        <w:t xml:space="preserve">≤</w:t>
      </w:r>
      <w:r>
        <w:t xml:space="preserve"> </w:t>
      </w:r>
      <w:r>
        <w:rPr>
          <w:iCs/>
          <w:i/>
        </w:rPr>
        <w:t xml:space="preserve">t</w:t>
      </w:r>
      <w:r>
        <w:rPr>
          <w:iCs/>
          <w:i/>
          <w:vertAlign w:val="subscript"/>
        </w:rPr>
        <w:t xml:space="preserve">k</w:t>
      </w:r>
      <w:r>
        <w:t xml:space="preserve"> </w:t>
      </w:r>
      <w:r>
        <w:t xml:space="preserve">+</w:t>
      </w:r>
      <w:r>
        <w:t xml:space="preserve"> </w:t>
      </w:r>
      <w:r>
        <w:rPr>
          <w:iCs/>
          <w:i/>
        </w:rPr>
        <w:t xml:space="preserve">P</w:t>
      </w:r>
      <w:r>
        <w:rPr>
          <w:iCs/>
          <w:i/>
          <w:vertAlign w:val="subscript"/>
        </w:rPr>
        <w:t xml:space="preserve">h</w:t>
      </w:r>
      <w:r>
        <w:t xml:space="preserve"> </w:t>
      </w:r>
      <w:r>
        <w:t xml:space="preserve">+</w:t>
      </w:r>
      <w:r>
        <w:t xml:space="preserve"> </w:t>
      </w:r>
      <w:r>
        <w:rPr>
          <w:iCs/>
          <w:i/>
        </w:rPr>
        <w:t xml:space="preserve">D</w:t>
      </w:r>
      <w:r>
        <w:rPr>
          <w:iCs/>
          <w:i/>
          <w:vertAlign w:val="subscript"/>
        </w:rPr>
        <w:t xml:space="preserve">rep</w:t>
      </w:r>
      <w:r>
        <w:t xml:space="preserve">, and since rule V5 keeps the most recent report, the report on file dates from</w:t>
      </w:r>
      <w:r>
        <w:t xml:space="preserve"> </w:t>
      </w:r>
      <w:r>
        <w:rPr>
          <w:iCs/>
          <w:i/>
        </w:rPr>
        <w:t xml:space="preserve">t</w:t>
      </w:r>
      <w:r>
        <w:rPr>
          <w:iCs/>
          <w:i/>
          <w:vertAlign w:val="subscript"/>
        </w:rPr>
        <w:t xml:space="preserve">k</w:t>
      </w:r>
      <w:r>
        <w:t xml:space="preserve"> </w:t>
      </w:r>
      <w:r>
        <w:t xml:space="preserve">+</w:t>
      </w:r>
      <w:r>
        <w:t xml:space="preserve"> </w:t>
      </w:r>
      <w:r>
        <w:rPr>
          <w:iCs/>
          <w:i/>
        </w:rPr>
        <w:t xml:space="preserve">d</w:t>
      </w:r>
      <w:r>
        <w:rPr>
          <w:iCs/>
          <w:i/>
          <w:vertAlign w:val="subscript"/>
        </w:rPr>
        <w:t xml:space="preserve">k</w:t>
      </w:r>
      <w:r>
        <w:t xml:space="preserve"> </w:t>
      </w:r>
      <w:r>
        <w:t xml:space="preserve">or later. Thus</w:t>
      </w:r>
    </w:p>
    <w:p>
      <w:pPr>
        <w:pStyle w:val="Equation"/>
      </w:pPr>
      <w:r>
        <w:tab/>
      </w:r>
      <w:r>
        <w:drawing>
          <wp:inline>
            <wp:extent cx="3700576" cy="165506"/>
            <wp:effectExtent b="0" l="0" r="0" t="0"/>
            <wp:docPr descr="" title="" id="162" name="Picture"/>
            <a:graphic>
              <a:graphicData uri="http://schemas.openxmlformats.org/drawingml/2006/picture">
                <pic:pic>
                  <pic:nvPicPr>
                    <pic:cNvPr descr="eq/eq30.png" id="163" name="Picture"/>
                    <pic:cNvPicPr>
                      <a:picLocks noChangeArrowheads="1" noChangeAspect="1"/>
                    </pic:cNvPicPr>
                  </pic:nvPicPr>
                  <pic:blipFill>
                    <a:blip r:embed="rId161"/>
                    <a:stretch>
                      <a:fillRect/>
                    </a:stretch>
                  </pic:blipFill>
                  <pic:spPr bwMode="auto">
                    <a:xfrm>
                      <a:off x="0" y="0"/>
                      <a:ext cx="3700576" cy="165506"/>
                    </a:xfrm>
                    <a:prstGeom prst="rect">
                      <a:avLst/>
                    </a:prstGeom>
                    <a:noFill/>
                    <a:ln w="9525">
                      <a:noFill/>
                      <a:headEnd/>
                      <a:tailEnd/>
                    </a:ln>
                  </pic:spPr>
                </pic:pic>
              </a:graphicData>
            </a:graphic>
          </wp:inline>
        </w:drawing>
      </w:r>
      <w:r/>
      <w:r/>
      <w:r>
        <w:rPr>
          <w:rFonts w:ascii="Times New Roman" w:hAnsi="Times New Roman"/>
          <w:sz w:val="24"/>
        </w:rPr>
        <w:tab/>
        <w:t>(30)</w:t>
      </w:r>
    </w:p>
    <w:p>
      <w:pPr>
        <w:pStyle w:val="Source"/>
      </w:pPr>
      <w:r>
        <w:t xml:space="preserve">Source: formulated in this study (Proposition 12)</w:t>
      </w:r>
    </w:p>
    <w:p>
      <w:pPr>
        <w:pStyle w:val="BodyText"/>
      </w:pPr>
      <w:r>
        <w:t xml:space="preserve">□</w:t>
      </w:r>
    </w:p>
    <w:p>
      <w:pPr>
        <w:pStyle w:val="BodyText"/>
      </w:pPr>
      <w:r>
        <w:t xml:space="preserve">With the defaults of Definition 14 (</w:t>
      </w:r>
      <w:r>
        <w:rPr>
          <w:iCs/>
          <w:i/>
        </w:rPr>
        <w:t xml:space="preserve">P</w:t>
      </w:r>
      <w:r>
        <w:rPr>
          <w:iCs/>
          <w:i/>
          <w:vertAlign w:val="subscript"/>
        </w:rPr>
        <w:t xml:space="preserve">h</w:t>
      </w:r>
      <w:r>
        <w:t xml:space="preserve"> </w:t>
      </w:r>
      <w:r>
        <w:t xml:space="preserve">= 8 h,</w:t>
      </w:r>
      <w:r>
        <w:t xml:space="preserve"> </w:t>
      </w:r>
      <w:r>
        <w:rPr>
          <w:iCs/>
          <w:i/>
        </w:rPr>
        <w:t xml:space="preserve">n</w:t>
      </w:r>
      <w:r>
        <w:rPr>
          <w:iCs/>
          <w:i/>
          <w:vertAlign w:val="subscript"/>
        </w:rPr>
        <w:t xml:space="preserve">rem</w:t>
      </w:r>
      <w:r>
        <w:t xml:space="preserve"> </w:t>
      </w:r>
      <w:r>
        <w:t xml:space="preserve">= 1) and replies within</w:t>
      </w:r>
      <w:r>
        <w:t xml:space="preserve"> </w:t>
      </w:r>
      <w:r>
        <w:rPr>
          <w:iCs/>
          <w:i/>
        </w:rPr>
        <w:t xml:space="preserve">D</w:t>
      </w:r>
      <w:r>
        <w:rPr>
          <w:iCs/>
          <w:i/>
          <w:vertAlign w:val="subscript"/>
        </w:rPr>
        <w:t xml:space="preserve">rep</w:t>
      </w:r>
      <w:r>
        <w:t xml:space="preserve"> </w:t>
      </w:r>
      <w:r>
        <w:t xml:space="preserve">= 2 h, Proposition 12 guarantees at most 2 messages per cycle and 6 per day, and a report age below 10 hours, well inside the 12-hour limit of Definition 15.</w:t>
      </w:r>
    </w:p>
    <w:p>
      <w:pPr>
        <w:pStyle w:val="BodyText"/>
      </w:pPr>
      <w:r>
        <w:rPr>
          <w:bCs/>
          <w:b/>
        </w:rPr>
        <w:t xml:space="preserve">Remark 11 (What Proposition 12 does not promise).</w:t>
      </w:r>
      <w:r>
        <w:t xml:space="preserve"> </w:t>
      </w:r>
      <w:r>
        <w:t xml:space="preserve">Proposition 12 bounds how many messages are sent and how old the reports of responsive hospitals can get. It promises nothing about whether hospitals answer, which stays entirely voluntary.</w:t>
      </w:r>
    </w:p>
    <w:p>
      <w:pPr>
        <w:pStyle w:val="BodyText"/>
      </w:pPr>
      <w:r>
        <w:rPr>
          <w:bCs/>
          <w:b/>
        </w:rPr>
        <w:t xml:space="preserve">Proposition 13 (Slower walking never shortens a trip).</w:t>
      </w:r>
      <w:r>
        <w:t xml:space="preserve"> </w:t>
      </w:r>
      <w:r>
        <w:t xml:space="preserve">Let mobility classes</w:t>
      </w:r>
      <w:r>
        <w:t xml:space="preserve"> </w:t>
      </w:r>
      <w:r>
        <w:rPr>
          <w:iCs/>
          <w:i/>
        </w:rPr>
        <w:t xml:space="preserve">m</w:t>
      </w:r>
      <w:r>
        <w:t xml:space="preserve"> </w:t>
      </w:r>
      <w:r>
        <w:t xml:space="preserve">and</w:t>
      </w:r>
      <w:r>
        <w:t xml:space="preserve"> </w:t>
      </w:r>
      <w:r>
        <w:rPr>
          <w:iCs/>
          <w:i/>
        </w:rPr>
        <w:t xml:space="preserve">m</w:t>
      </w:r>
      <w:r>
        <w:t xml:space="preserve">′ satisfy</w:t>
      </w:r>
      <w:r>
        <w:t xml:space="preserve"> </w:t>
      </w:r>
      <w:r>
        <w:rPr>
          <w:iCs/>
          <w:i/>
        </w:rPr>
        <w:t xml:space="preserve">v</w:t>
      </w:r>
      <w:r>
        <w:rPr>
          <w:iCs/>
          <w:i/>
          <w:vertAlign w:val="subscript"/>
        </w:rPr>
        <w:t xml:space="preserve">m</w:t>
      </w:r>
      <w:r>
        <w:t xml:space="preserve"> </w:t>
      </w:r>
      <w:r>
        <w:t xml:space="preserve">≤</w:t>
      </w:r>
      <w:r>
        <w:t xml:space="preserve"> </w:t>
      </w:r>
      <w:r>
        <w:rPr>
          <w:iCs/>
          <w:i/>
        </w:rPr>
        <w:t xml:space="preserve">v</w:t>
      </w:r>
      <w:r>
        <w:rPr>
          <w:iCs/>
          <w:i/>
          <w:vertAlign w:val="subscript"/>
        </w:rPr>
        <w:t xml:space="preserve">m</w:t>
      </w:r>
      <w:r>
        <w:rPr>
          <w:vertAlign w:val="subscript"/>
        </w:rPr>
        <w:t xml:space="preserve">′</w:t>
      </w:r>
      <w:r>
        <w:t xml:space="preserve"> </w:t>
      </w:r>
      <w:r>
        <w:t xml:space="preserve">and</w:t>
      </w:r>
      <w:r>
        <w:t xml:space="preserve"> </w:t>
      </w:r>
      <w:r>
        <w:rPr>
          <w:iCs/>
          <w:i/>
        </w:rPr>
        <w:t xml:space="preserve">t̄</w:t>
      </w:r>
      <w:r>
        <w:rPr>
          <w:iCs/>
          <w:i/>
          <w:vertAlign w:val="subscript"/>
        </w:rPr>
        <w:t xml:space="preserve">m</w:t>
      </w:r>
      <w:r>
        <w:t xml:space="preserve"> </w:t>
      </w:r>
      <w:r>
        <w:t xml:space="preserve">≤</w:t>
      </w:r>
      <w:r>
        <w:t xml:space="preserve"> </w:t>
      </w:r>
      <w:r>
        <w:rPr>
          <w:iCs/>
          <w:i/>
        </w:rPr>
        <w:t xml:space="preserve">t̄</w:t>
      </w:r>
      <w:r>
        <w:rPr>
          <w:iCs/>
          <w:i/>
          <w:vertAlign w:val="subscript"/>
        </w:rPr>
        <w:t xml:space="preserve">m</w:t>
      </w:r>
      <w:r>
        <w:rPr>
          <w:vertAlign w:val="subscript"/>
        </w:rPr>
        <w:t xml:space="preserve">′</w:t>
      </w:r>
      <w:r>
        <w:t xml:space="preserve">. Then for every origin</w:t>
      </w:r>
      <w:r>
        <w:t xml:space="preserve"> </w:t>
      </w:r>
      <w:r>
        <w:rPr>
          <w:iCs/>
          <w:i/>
        </w:rPr>
        <w:t xml:space="preserve">o</w:t>
      </w:r>
      <w:r>
        <w:t xml:space="preserve">, every destination</w:t>
      </w:r>
      <w:r>
        <w:t xml:space="preserve"> </w:t>
      </w:r>
      <w:r>
        <w:rPr>
          <w:iCs/>
          <w:i/>
        </w:rPr>
        <w:t xml:space="preserve">d</w:t>
      </w:r>
      <w:r>
        <w:t xml:space="preserve"> </w:t>
      </w:r>
      <w:r>
        <w:t xml:space="preserve">(a stop or a hospital sink</w:t>
      </w:r>
      <w:r>
        <w:t xml:space="preserve"> </w:t>
      </w:r>
      <w:r>
        <w:rPr>
          <w:iCs/>
          <w:i/>
        </w:rPr>
        <w:t xml:space="preserve">z</w:t>
      </w:r>
      <w:r>
        <w:rPr>
          <w:iCs/>
          <w:i/>
          <w:vertAlign w:val="subscript"/>
        </w:rPr>
        <w:t xml:space="preserve">h</w:t>
      </w:r>
      <w:r>
        <w:t xml:space="preserve">), and every departure time</w:t>
      </w:r>
      <w:r>
        <w:t xml:space="preserve"> </w:t>
      </w:r>
      <w:r>
        <w:rPr>
          <w:iCs/>
          <w:i/>
        </w:rPr>
        <w:t xml:space="preserve">t</w:t>
      </w:r>
      <w:r>
        <w:t xml:space="preserve">, τ</w:t>
      </w:r>
      <w:r>
        <w:rPr>
          <w:vertAlign w:val="superscript"/>
        </w:rPr>
        <w:t xml:space="preserve">∗</w:t>
      </w:r>
      <w:r>
        <w:rPr>
          <w:iCs/>
          <w:i/>
          <w:vertAlign w:val="subscript"/>
        </w:rPr>
        <w:t xml:space="preserve">m</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t xml:space="preserve">) ≥ τ</w:t>
      </w:r>
      <w:r>
        <w:rPr>
          <w:vertAlign w:val="superscript"/>
        </w:rPr>
        <w:t xml:space="preserve">∗</w:t>
      </w:r>
      <w:r>
        <w:rPr>
          <w:iCs/>
          <w:i/>
          <w:vertAlign w:val="subscript"/>
        </w:rPr>
        <w:t xml:space="preserve">m</w:t>
      </w:r>
      <w:r>
        <w:rPr>
          <w:vertAlign w:val="subscript"/>
        </w:rPr>
        <w:t xml:space="preserve">′</w:t>
      </w:r>
      <w:r>
        <w:t xml:space="preserve">(</w:t>
      </w:r>
      <w:r>
        <w:rPr>
          <w:iCs/>
          <w:i/>
        </w:rPr>
        <w:t xml:space="preserve">o</w:t>
      </w:r>
      <w:r>
        <w:t xml:space="preserve">,</w:t>
      </w:r>
      <w:r>
        <w:t xml:space="preserve"> </w:t>
      </w:r>
      <w:r>
        <w:rPr>
          <w:iCs/>
          <w:i/>
        </w:rPr>
        <w:t xml:space="preserve">d</w:t>
      </w:r>
      <w:r>
        <w:t xml:space="preserve">,</w:t>
      </w:r>
      <w:r>
        <w:t xml:space="preserve"> </w:t>
      </w:r>
      <w:r>
        <w:rPr>
          <w:iCs/>
          <w:i/>
        </w:rPr>
        <w:t xml:space="preserve">t</w:t>
      </w:r>
      <w:r>
        <w:t xml:space="preserve">). Consequently, for every profile,</w:t>
      </w:r>
      <w:r>
        <w:t xml:space="preserve"> </w:t>
      </w:r>
      <w:r>
        <w:rPr>
          <w:iCs/>
          <w:i/>
        </w:rPr>
        <w:t xml:space="preserve">T</w:t>
      </w:r>
      <w:r>
        <w:rPr>
          <w:vertAlign w:val="superscript"/>
        </w:rPr>
        <w:t xml:space="preserve">∗</w:t>
      </w:r>
      <w:r>
        <w:rPr>
          <w:iCs/>
          <w:i/>
          <w:vertAlign w:val="subscript"/>
        </w:rPr>
        <w:t xml:space="preserve">pt</w:t>
      </w:r>
      <w:r>
        <w:t xml:space="preserve"> </w:t>
      </w:r>
      <w:r>
        <w:t xml:space="preserve">for the slow class is at least</w:t>
      </w:r>
      <w:r>
        <w:t xml:space="preserve"> </w:t>
      </w:r>
      <w:r>
        <w:rPr>
          <w:iCs/>
          <w:i/>
        </w:rPr>
        <w:t xml:space="preserve">T</w:t>
      </w:r>
      <w:r>
        <w:rPr>
          <w:vertAlign w:val="superscript"/>
        </w:rPr>
        <w:t xml:space="preserve">∗</w:t>
      </w:r>
      <w:r>
        <w:rPr>
          <w:iCs/>
          <w:i/>
          <w:vertAlign w:val="subscript"/>
        </w:rPr>
        <w:t xml:space="preserve">pt</w:t>
      </w:r>
      <w:r>
        <w:t xml:space="preserve"> </w:t>
      </w:r>
      <w:r>
        <w:t xml:space="preserve">for the standard class, Δ</w:t>
      </w:r>
      <w:r>
        <w:rPr>
          <w:iCs/>
          <w:i/>
          <w:vertAlign w:val="subscript"/>
        </w:rPr>
        <w:t xml:space="preserve">mob</w:t>
      </w:r>
      <w:r>
        <w:t xml:space="preserve"> </w:t>
      </w:r>
      <w:r>
        <w:t xml:space="preserve">≥ 0, and every hospital that a slow walker can reach is reachable by a standard walker.</w:t>
      </w:r>
    </w:p>
    <w:p>
      <w:pPr>
        <w:pStyle w:val="BodyText"/>
      </w:pPr>
      <w:r>
        <w:rPr>
          <w:iCs/>
          <w:i/>
        </w:rPr>
        <w:t xml:space="preserve">Proof.</w:t>
      </w:r>
      <w:r>
        <w:t xml:space="preserve"> </w:t>
      </w:r>
      <w:r>
        <w:t xml:space="preserve">Take any journey</w:t>
      </w:r>
      <w:r>
        <w:t xml:space="preserve"> </w:t>
      </w:r>
      <w:r>
        <w:rPr>
          <w:iCs/>
          <w:i/>
        </w:rPr>
        <w:t xml:space="preserve">j</w:t>
      </w:r>
      <w:r>
        <w:t xml:space="preserve"> </w:t>
      </w:r>
      <w:r>
        <w:t xml:space="preserve">that is feasible for class</w:t>
      </w:r>
      <w:r>
        <w:t xml:space="preserve"> </w:t>
      </w:r>
      <w:r>
        <w:rPr>
          <w:iCs/>
          <w:i/>
        </w:rPr>
        <w:t xml:space="preserve">m</w:t>
      </w:r>
      <w:r>
        <w:t xml:space="preserve">. It is a sequence of rides, waits, transfers, and walking legs. Build a journey</w:t>
      </w:r>
      <w:r>
        <w:t xml:space="preserve"> </w:t>
      </w:r>
      <w:r>
        <w:rPr>
          <w:iCs/>
          <w:i/>
        </w:rPr>
        <w:t xml:space="preserve">j</w:t>
      </w:r>
      <w:r>
        <w:t xml:space="preserve">′ for class</w:t>
      </w:r>
      <w:r>
        <w:t xml:space="preserve"> </w:t>
      </w:r>
      <w:r>
        <w:rPr>
          <w:iCs/>
          <w:i/>
        </w:rPr>
        <w:t xml:space="preserve">m</w:t>
      </w:r>
      <w:r>
        <w:t xml:space="preserve">′ leg by leg, keeping the same rides. A walking leg of length ℓ takes ℓ /</w:t>
      </w:r>
      <w:r>
        <w:t xml:space="preserve"> </w:t>
      </w:r>
      <w:r>
        <w:rPr>
          <w:iCs/>
          <w:i/>
        </w:rPr>
        <w:t xml:space="preserve">v</w:t>
      </w:r>
      <w:r>
        <w:rPr>
          <w:iCs/>
          <w:i/>
          <w:vertAlign w:val="subscript"/>
        </w:rPr>
        <w:t xml:space="preserve">m</w:t>
      </w:r>
      <w:r>
        <w:rPr>
          <w:vertAlign w:val="subscript"/>
        </w:rPr>
        <w:t xml:space="preserve">′</w:t>
      </w:r>
      <w:r>
        <w:t xml:space="preserve"> </w:t>
      </w:r>
      <w:r>
        <w:t xml:space="preserve">≤ ℓ /</w:t>
      </w:r>
      <w:r>
        <w:t xml:space="preserve"> </w:t>
      </w:r>
      <w:r>
        <w:rPr>
          <w:iCs/>
          <w:i/>
        </w:rPr>
        <w:t xml:space="preserve">v</w:t>
      </w:r>
      <w:r>
        <w:rPr>
          <w:iCs/>
          <w:i/>
          <w:vertAlign w:val="subscript"/>
        </w:rPr>
        <w:t xml:space="preserve">m</w:t>
      </w:r>
      <w:r>
        <w:t xml:space="preserve"> </w:t>
      </w:r>
      <w:r>
        <w:t xml:space="preserve">≤</w:t>
      </w:r>
      <w:r>
        <w:t xml:space="preserve"> </w:t>
      </w:r>
      <w:r>
        <w:rPr>
          <w:iCs/>
          <w:i/>
        </w:rPr>
        <w:t xml:space="preserve">t̄</w:t>
      </w:r>
      <w:r>
        <w:rPr>
          <w:iCs/>
          <w:i/>
          <w:vertAlign w:val="subscript"/>
        </w:rPr>
        <w:t xml:space="preserve">m</w:t>
      </w:r>
      <w:r>
        <w:t xml:space="preserve"> </w:t>
      </w:r>
      <w:r>
        <w:t xml:space="preserve">≤</w:t>
      </w:r>
      <w:r>
        <w:t xml:space="preserve"> </w:t>
      </w:r>
      <w:r>
        <w:rPr>
          <w:iCs/>
          <w:i/>
        </w:rPr>
        <w:t xml:space="preserve">t̄</w:t>
      </w:r>
      <w:r>
        <w:rPr>
          <w:iCs/>
          <w:i/>
          <w:vertAlign w:val="subscript"/>
        </w:rPr>
        <w:t xml:space="preserve">m</w:t>
      </w:r>
      <w:r>
        <w:rPr>
          <w:vertAlign w:val="subscript"/>
        </w:rPr>
        <w:t xml:space="preserve">′</w:t>
      </w:r>
      <w:r>
        <w:t xml:space="preserve">, so it is allowed for</w:t>
      </w:r>
      <w:r>
        <w:t xml:space="preserve"> </w:t>
      </w:r>
      <w:r>
        <w:rPr>
          <w:iCs/>
          <w:i/>
        </w:rPr>
        <w:t xml:space="preserve">m</w:t>
      </w:r>
      <w:r>
        <w:t xml:space="preserve">′ and ends no later than the same leg of</w:t>
      </w:r>
      <w:r>
        <w:t xml:space="preserve"> </w:t>
      </w:r>
      <w:r>
        <w:rPr>
          <w:iCs/>
          <w:i/>
        </w:rPr>
        <w:t xml:space="preserve">j</w:t>
      </w:r>
      <w:r>
        <w:t xml:space="preserve">. If the leg ends at a stop, the walk arc of</w:t>
      </w:r>
      <w:r>
        <w:t xml:space="preserve"> </w:t>
      </w:r>
      <w:r>
        <w:rPr>
          <w:iCs/>
          <w:i/>
        </w:rPr>
        <w:t xml:space="preserve">m</w:t>
      </w:r>
      <w:r>
        <w:t xml:space="preserve">′ lands on the earliest departure event at or after its arrival, which is no later than the departure event that</w:t>
      </w:r>
      <w:r>
        <w:t xml:space="preserve"> </w:t>
      </w:r>
      <w:r>
        <w:rPr>
          <w:iCs/>
          <w:i/>
        </w:rPr>
        <w:t xml:space="preserve">j</w:t>
      </w:r>
      <w:r>
        <w:t xml:space="preserve"> </w:t>
      </w:r>
      <w:r>
        <w:t xml:space="preserve">boards there, and the wait arcs of Definition 5, which join consecutive departure events at a stop, carry</w:t>
      </w:r>
      <w:r>
        <w:t xml:space="preserve"> </w:t>
      </w:r>
      <w:r>
        <w:rPr>
          <w:iCs/>
          <w:i/>
        </w:rPr>
        <w:t xml:space="preserve">j</w:t>
      </w:r>
      <w:r>
        <w:t xml:space="preserve">′ forward to that same event. If the leg ends at the hospital,</w:t>
      </w:r>
      <w:r>
        <w:t xml:space="preserve"> </w:t>
      </w:r>
      <w:r>
        <w:rPr>
          <w:iCs/>
          <w:i/>
        </w:rPr>
        <w:t xml:space="preserve">j</w:t>
      </w:r>
      <w:r>
        <w:t xml:space="preserve">′ arrives no later than</w:t>
      </w:r>
      <w:r>
        <w:t xml:space="preserve"> </w:t>
      </w:r>
      <w:r>
        <w:rPr>
          <w:iCs/>
          <w:i/>
        </w:rPr>
        <w:t xml:space="preserve">j</w:t>
      </w:r>
      <w:r>
        <w:t xml:space="preserve">. Rides, waits, and transfers are copied unchanged. Hence</w:t>
      </w:r>
      <w:r>
        <w:t xml:space="preserve"> </w:t>
      </w:r>
      <w:r>
        <w:rPr>
          <w:iCs/>
          <w:i/>
        </w:rPr>
        <w:t xml:space="preserve">j</w:t>
      </w:r>
      <w:r>
        <w:t xml:space="preserve">′ is feasible for</w:t>
      </w:r>
      <w:r>
        <w:t xml:space="preserve"> </w:t>
      </w:r>
      <w:r>
        <w:rPr>
          <w:iCs/>
          <w:i/>
        </w:rPr>
        <w:t xml:space="preserve">m</w:t>
      </w:r>
      <w:r>
        <w:t xml:space="preserve">′ and arrives no later than</w:t>
      </w:r>
      <w:r>
        <w:t xml:space="preserve"> </w:t>
      </w:r>
      <w:r>
        <w:rPr>
          <w:iCs/>
          <w:i/>
        </w:rPr>
        <w:t xml:space="preserve">j</w:t>
      </w:r>
      <w:r>
        <w:t xml:space="preserve">, and taking the minimum over all</w:t>
      </w:r>
      <w:r>
        <w:t xml:space="preserve"> </w:t>
      </w:r>
      <w:r>
        <w:rPr>
          <w:iCs/>
          <w:i/>
        </w:rPr>
        <w:t xml:space="preserve">j</w:t>
      </w:r>
      <w:r>
        <w:t xml:space="preserve"> </w:t>
      </w:r>
      <w:r>
        <w:t xml:space="preserve">gives the inequality. Suitability does not depend on the mobility class, so both classes face the same suitable set, and a minimum of pointwise larger travel times over the same set is larger. □</w:t>
      </w:r>
    </w:p>
    <w:p>
      <w:pPr>
        <w:pStyle w:val="BodyText"/>
      </w:pPr>
      <w:r>
        <w:rPr>
          <w:bCs/>
          <w:b/>
        </w:rPr>
        <w:t xml:space="preserve">Proposition 14 (The whole catchment map from one search).</w:t>
      </w:r>
      <w:r>
        <w:t xml:space="preserve"> </w:t>
      </w:r>
      <w:r>
        <w:t xml:space="preserve">In ambulance mode, Algorithm 2 labels every road vertex</w:t>
      </w:r>
      <w:r>
        <w:t xml:space="preserve"> </w:t>
      </w:r>
      <w:r>
        <w:rPr>
          <w:iCs/>
          <w:i/>
        </w:rPr>
        <w:t xml:space="preserve">v</w:t>
      </w:r>
      <w:r>
        <w:t xml:space="preserve"> </w:t>
      </w:r>
      <w:r>
        <w:t xml:space="preserve">with (</w:t>
      </w:r>
      <w:r>
        <w:rPr>
          <w:iCs/>
          <w:i/>
        </w:rPr>
        <w:t xml:space="preserve">T</w:t>
      </w:r>
      <w:r>
        <w:rPr>
          <w:vertAlign w:val="superscript"/>
        </w:rPr>
        <w:t xml:space="preserve">∗</w:t>
      </w:r>
      <w:r>
        <w:t xml:space="preserve">(</w:t>
      </w:r>
      <w:r>
        <w:rPr>
          <w:iCs/>
          <w:i/>
        </w:rPr>
        <w:t xml:space="preserve">v</w:t>
      </w:r>
      <w:r>
        <w:t xml:space="preserve">, π,</w:t>
      </w:r>
      <w:r>
        <w:t xml:space="preserve"> </w:t>
      </w:r>
      <w:r>
        <w:rPr>
          <w:iCs/>
          <w:i/>
        </w:rPr>
        <w:t xml:space="preserve">t</w:t>
      </w:r>
      <w:r>
        <w:t xml:space="preserve">), −</w:t>
      </w:r>
      <w:r>
        <w:rPr>
          <w:iCs/>
          <w:i/>
        </w:rPr>
        <w:t xml:space="preserve">b</w:t>
      </w:r>
      <w:r>
        <w:rPr>
          <w:iCs/>
          <w:i/>
          <w:vertAlign w:val="subscript"/>
        </w:rPr>
        <w:t xml:space="preserve">h</w:t>
      </w:r>
      <w:r>
        <w:rPr>
          <w:vertAlign w:val="subscript"/>
        </w:rPr>
        <w:t xml:space="preserve">∗</w:t>
      </w:r>
      <w:r>
        <w:t xml:space="preserve">(</w:t>
      </w:r>
      <w:r>
        <w:rPr>
          <w:iCs/>
          <w:i/>
        </w:rPr>
        <w:t xml:space="preserve">t</w:t>
      </w:r>
      <w:r>
        <w:t xml:space="preserve">), id</w:t>
      </w:r>
      <w:r>
        <w:rPr>
          <w:iCs/>
          <w:i/>
          <w:vertAlign w:val="subscript"/>
        </w:rPr>
        <w:t xml:space="preserve">h</w:t>
      </w:r>
      <w:r>
        <w:rPr>
          <w:vertAlign w:val="subscript"/>
        </w:rPr>
        <w:t xml:space="preserve">∗</w:t>
      </w:r>
      <w:r>
        <w:t xml:space="preserve">), where</w:t>
      </w:r>
      <w:r>
        <w:t xml:space="preserve"> </w:t>
      </w:r>
      <w:r>
        <w:rPr>
          <w:iCs/>
          <w:i/>
        </w:rPr>
        <w:t xml:space="preserve">h</w:t>
      </w:r>
      <w:r>
        <w:rPr>
          <w:vertAlign w:val="superscript"/>
        </w:rPr>
        <w:t xml:space="preserve">∗</w:t>
      </w:r>
      <w:r>
        <w:t xml:space="preserve"> </w:t>
      </w:r>
      <w:r>
        <w:t xml:space="preserve">=</w:t>
      </w:r>
      <w:r>
        <w:t xml:space="preserve"> </w:t>
      </w:r>
      <w:r>
        <w:rPr>
          <w:iCs/>
          <w:i/>
        </w:rPr>
        <w:t xml:space="preserve">h</w:t>
      </w:r>
      <w:r>
        <w:rPr>
          <w:vertAlign w:val="superscript"/>
        </w:rPr>
        <w:t xml:space="preserve">∗</w:t>
      </w:r>
      <w:r>
        <w:t xml:space="preserve">(</w:t>
      </w:r>
      <w:r>
        <w:rPr>
          <w:iCs/>
          <w:i/>
        </w:rPr>
        <w:t xml:space="preserve">v</w:t>
      </w:r>
      <w:r>
        <w:t xml:space="preserve">, π,</w:t>
      </w:r>
      <w:r>
        <w:t xml:space="preserve"> </w:t>
      </w:r>
      <w:r>
        <w:rPr>
          <w:iCs/>
          <w:i/>
        </w:rPr>
        <w:t xml:space="preserve">t</w:t>
      </w:r>
      <w:r>
        <w:t xml:space="preserve">); that is, it computes the nearest suitable hospital and its travel time for every vertex at once, with the tie-break of Definition 18, in</w:t>
      </w:r>
      <w:r>
        <w:t xml:space="preserve"> </w:t>
      </w:r>
      <w:r>
        <w:rPr>
          <w:iCs/>
          <w:i/>
        </w:rPr>
        <w:t xml:space="preserve">O</w:t>
      </w:r>
      <w:r>
        <w:t xml:space="preserve">(|</w:t>
      </w:r>
      <w:r>
        <w:rPr>
          <w:iCs/>
          <w:i/>
        </w:rPr>
        <w:t xml:space="preserve">E</w:t>
      </w:r>
      <w:r>
        <w:rPr>
          <w:vertAlign w:val="subscript"/>
        </w:rPr>
        <w:t xml:space="preserve">γ</w:t>
      </w:r>
      <w:r>
        <w:rPr>
          <w:iCs/>
          <w:i/>
          <w:vertAlign w:val="subscript"/>
        </w:rPr>
        <w:t xml:space="preserve">amb</w:t>
      </w:r>
      <w:r>
        <w:t xml:space="preserve">| log |</w:t>
      </w:r>
      <w:r>
        <w:rPr>
          <w:iCs/>
          <w:i/>
        </w:rPr>
        <w:t xml:space="preserve">V</w:t>
      </w:r>
      <w:r>
        <w:rPr>
          <w:iCs/>
          <w:i/>
          <w:vertAlign w:val="subscript"/>
        </w:rPr>
        <w:t xml:space="preserve">R</w:t>
      </w:r>
      <w:r>
        <w:t xml:space="preserve">|) time, the cost of a single ordinary search. The parent pointers form a forest</w:t>
      </w:r>
      <w:r>
        <w:t xml:space="preserve"> </w:t>
      </w:r>
      <w:r>
        <w:rPr>
          <w:iCs/>
          <w:i/>
        </w:rPr>
        <w:t xml:space="preserve">F</w:t>
      </w:r>
      <w:r>
        <w:t xml:space="preserve"> </w:t>
      </w:r>
      <w:r>
        <w:t xml:space="preserve">of shortest paths, one tree for each suitable hospital, and the tree containing</w:t>
      </w:r>
      <w:r>
        <w:t xml:space="preserve"> </w:t>
      </w:r>
      <w:r>
        <w:rPr>
          <w:iCs/>
          <w:i/>
        </w:rPr>
        <w:t xml:space="preserve">v</w:t>
      </w:r>
      <w:r>
        <w:t xml:space="preserve"> </w:t>
      </w:r>
      <w:r>
        <w:t xml:space="preserve">is rooted at</w:t>
      </w:r>
      <w:r>
        <w:t xml:space="preserve"> </w:t>
      </w:r>
      <w:r>
        <w:rPr>
          <w:iCs/>
          <w:i/>
        </w:rPr>
        <w:t xml:space="preserve">v</w:t>
      </w:r>
      <w:r>
        <w:rPr>
          <w:iCs/>
          <w:i/>
          <w:vertAlign w:val="subscript"/>
        </w:rPr>
        <w:t xml:space="preserve">h</w:t>
      </w:r>
      <w:r>
        <w:rPr>
          <w:vertAlign w:val="subscript"/>
        </w:rPr>
        <w:t xml:space="preserve">∗(</w:t>
      </w:r>
      <w:r>
        <w:rPr>
          <w:iCs/>
          <w:i/>
          <w:vertAlign w:val="subscript"/>
        </w:rPr>
        <w:t xml:space="preserve">v</w:t>
      </w:r>
      <w:r>
        <w:rPr>
          <w:vertAlign w:val="subscript"/>
        </w:rPr>
        <w:t xml:space="preserve">)</w:t>
      </w:r>
      <w:r>
        <w:t xml:space="preserve">.</w:t>
      </w:r>
    </w:p>
    <w:p>
      <w:pPr>
        <w:pStyle w:val="BodyText"/>
      </w:pPr>
      <w:r>
        <w:rPr>
          <w:iCs/>
          <w:i/>
        </w:rPr>
        <w:t xml:space="preserve">Proof.</w:t>
      </w:r>
      <w:r>
        <w:t xml:space="preserve"> </w:t>
      </w:r>
      <w:r>
        <w:t xml:space="preserve">For each vertex</w:t>
      </w:r>
      <w:r>
        <w:t xml:space="preserve"> </w:t>
      </w:r>
      <w:r>
        <w:rPr>
          <w:iCs/>
          <w:i/>
        </w:rPr>
        <w:t xml:space="preserve">v</w:t>
      </w:r>
      <w:r>
        <w:t xml:space="preserve">, define the target label Λ(</w:t>
      </w:r>
      <w:r>
        <w:rPr>
          <w:iCs/>
          <w:i/>
        </w:rPr>
        <w:t xml:space="preserve">v</w:t>
      </w:r>
      <w:r>
        <w:t xml:space="preserve">) = min</w:t>
      </w:r>
      <w:r>
        <w:rPr>
          <w:iCs/>
          <w:i/>
          <w:vertAlign w:val="subscript"/>
        </w:rPr>
        <w:t xml:space="preserve">h</w:t>
      </w:r>
      <w:r>
        <w:rPr>
          <w:vertAlign w:val="subscript"/>
        </w:rPr>
        <w:t xml:space="preserve"> ∈ </w:t>
      </w:r>
      <w:r>
        <w:rPr>
          <w:iCs/>
          <w:i/>
          <w:vertAlign w:val="subscript"/>
        </w:rPr>
        <w:t xml:space="preserve">H</w:t>
      </w:r>
      <w:r>
        <w:rPr>
          <w:vertAlign w:val="subscript"/>
        </w:rPr>
        <w:t xml:space="preserve">π(</w:t>
      </w:r>
      <w:r>
        <w:rPr>
          <w:iCs/>
          <w:i/>
          <w:vertAlign w:val="subscript"/>
        </w:rPr>
        <w:t xml:space="preserve">t</w:t>
      </w:r>
      <w:r>
        <w:rPr>
          <w:vertAlign w:val="subscript"/>
        </w:rPr>
        <w:t xml:space="preserve">)</w:t>
      </w:r>
      <w:r>
        <w:t xml:space="preserve"> </w:t>
      </w:r>
      <w:r>
        <w:t xml:space="preserve">(</w:t>
      </w:r>
      <w:r>
        <w:rPr>
          <w:iCs/>
          <w:i/>
        </w:rPr>
        <w:t xml:space="preserve">d</w:t>
      </w:r>
      <w:r>
        <w:t xml:space="preserve">(</w:t>
      </w:r>
      <w:r>
        <w:rPr>
          <w:iCs/>
          <w:i/>
        </w:rPr>
        <w:t xml:space="preserve">v</w:t>
      </w:r>
      <w:r>
        <w:t xml:space="preserve">,</w:t>
      </w:r>
      <w:r>
        <w:t xml:space="preserve"> </w:t>
      </w:r>
      <w:r>
        <w:rPr>
          <w:iCs/>
          <w:i/>
        </w:rPr>
        <w:t xml:space="preserve">v</w:t>
      </w:r>
      <w:r>
        <w:rPr>
          <w:iCs/>
          <w:i/>
          <w:vertAlign w:val="subscript"/>
        </w:rPr>
        <w:t xml:space="preserve">h</w:t>
      </w:r>
      <w:r>
        <w:t xml:space="preserve">), −</w:t>
      </w:r>
      <w:r>
        <w:rPr>
          <w:iCs/>
          <w:i/>
        </w:rPr>
        <w:t xml:space="preserve">b</w:t>
      </w:r>
      <w:r>
        <w:rPr>
          <w:iCs/>
          <w:i/>
          <w:vertAlign w:val="subscript"/>
        </w:rPr>
        <w:t xml:space="preserve">h</w:t>
      </w:r>
      <w:r>
        <w:t xml:space="preserve">(</w:t>
      </w:r>
      <w:r>
        <w:rPr>
          <w:iCs/>
          <w:i/>
        </w:rPr>
        <w:t xml:space="preserve">t</w:t>
      </w:r>
      <w:r>
        <w:t xml:space="preserve">), id</w:t>
      </w:r>
      <w:r>
        <w:rPr>
          <w:iCs/>
          <w:i/>
          <w:vertAlign w:val="subscript"/>
        </w:rPr>
        <w:t xml:space="preserve">h</w:t>
      </w:r>
      <w:r>
        <w:t xml:space="preserve">) in lexicographic order, where</w:t>
      </w:r>
      <w:r>
        <w:t xml:space="preserve"> </w:t>
      </w:r>
      <w:r>
        <w:rPr>
          <w:iCs/>
          <w:i/>
        </w:rPr>
        <w:t xml:space="preserve">d</w:t>
      </w:r>
      <w:r>
        <w:t xml:space="preserve"> </w:t>
      </w:r>
      <w:r>
        <w:t xml:space="preserve">is the forward shortest-path time on</w:t>
      </w:r>
      <w:r>
        <w:t xml:space="preserve"> </w:t>
      </w:r>
      <w:r>
        <w:rPr>
          <w:iCs/>
          <w:i/>
        </w:rPr>
        <w:t xml:space="preserve">G</w:t>
      </w:r>
      <w:r>
        <w:rPr>
          <w:vertAlign w:val="subscript"/>
        </w:rPr>
        <w:t xml:space="preserve">γ</w:t>
      </w:r>
      <w:r>
        <w:rPr>
          <w:iCs/>
          <w:i/>
          <w:vertAlign w:val="subscript"/>
        </w:rPr>
        <w:t xml:space="preserve">amb</w:t>
      </w:r>
      <w:r>
        <w:t xml:space="preserve">. By Definition 18, the hospital named in Λ(</w:t>
      </w:r>
      <w:r>
        <w:rPr>
          <w:iCs/>
          <w:i/>
        </w:rPr>
        <w:t xml:space="preserve">v</w:t>
      </w:r>
      <w:r>
        <w:t xml:space="preserve">) is</w:t>
      </w:r>
      <w:r>
        <w:t xml:space="preserve"> </w:t>
      </w:r>
      <w:r>
        <w:rPr>
          <w:iCs/>
          <w:i/>
        </w:rPr>
        <w:t xml:space="preserve">h</w:t>
      </w:r>
      <w:r>
        <w:rPr>
          <w:vertAlign w:val="superscript"/>
        </w:rPr>
        <w:t xml:space="preserve">∗</w:t>
      </w:r>
      <w:r>
        <w:t xml:space="preserve">(</w:t>
      </w:r>
      <w:r>
        <w:rPr>
          <w:iCs/>
          <w:i/>
        </w:rPr>
        <w:t xml:space="preserve">v</w:t>
      </w:r>
      <w:r>
        <w:t xml:space="preserve">) and its first component is</w:t>
      </w:r>
      <w:r>
        <w:t xml:space="preserve"> </w:t>
      </w:r>
      <w:r>
        <w:rPr>
          <w:iCs/>
          <w:i/>
        </w:rPr>
        <w:t xml:space="preserve">T</w:t>
      </w:r>
      <w:r>
        <w:rPr>
          <w:vertAlign w:val="superscript"/>
        </w:rPr>
        <w:t xml:space="preserve">∗</w:t>
      </w:r>
      <w:r>
        <w:t xml:space="preserve">(</w:t>
      </w:r>
      <w:r>
        <w:rPr>
          <w:iCs/>
          <w:i/>
        </w:rPr>
        <w:t xml:space="preserve">v</w:t>
      </w:r>
      <w:r>
        <w:t xml:space="preserve">). Reversing every arc turns</w:t>
      </w:r>
      <w:r>
        <w:t xml:space="preserve"> </w:t>
      </w:r>
      <w:r>
        <w:rPr>
          <w:iCs/>
          <w:i/>
        </w:rPr>
        <w:t xml:space="preserve">d</w:t>
      </w:r>
      <w:r>
        <w:t xml:space="preserve">(</w:t>
      </w:r>
      <w:r>
        <w:rPr>
          <w:iCs/>
          <w:i/>
        </w:rPr>
        <w:t xml:space="preserve">v</w:t>
      </w:r>
      <w:r>
        <w:t xml:space="preserve">,</w:t>
      </w:r>
      <w:r>
        <w:t xml:space="preserve"> </w:t>
      </w:r>
      <w:r>
        <w:rPr>
          <w:iCs/>
          <w:i/>
        </w:rPr>
        <w:t xml:space="preserve">v</w:t>
      </w:r>
      <w:r>
        <w:rPr>
          <w:iCs/>
          <w:i/>
          <w:vertAlign w:val="subscript"/>
        </w:rPr>
        <w:t xml:space="preserve">h</w:t>
      </w:r>
      <w:r>
        <w:t xml:space="preserve">) into the shortest-path time from</w:t>
      </w:r>
      <w:r>
        <w:t xml:space="preserve"> </w:t>
      </w:r>
      <w:r>
        <w:rPr>
          <w:iCs/>
          <w:i/>
        </w:rPr>
        <w:t xml:space="preserve">v</w:t>
      </w:r>
      <w:r>
        <w:rPr>
          <w:iCs/>
          <w:i/>
          <w:vertAlign w:val="subscript"/>
        </w:rPr>
        <w:t xml:space="preserve">h</w:t>
      </w:r>
      <w:r>
        <w:t xml:space="preserve"> </w:t>
      </w:r>
      <w:r>
        <w:t xml:space="preserve">to</w:t>
      </w:r>
      <w:r>
        <w:t xml:space="preserve"> </w:t>
      </w:r>
      <w:r>
        <w:rPr>
          <w:iCs/>
          <w:i/>
        </w:rPr>
        <w:t xml:space="preserve">v</w:t>
      </w:r>
      <w:r>
        <w:t xml:space="preserve">, so Λ(</w:t>
      </w:r>
      <w:r>
        <w:rPr>
          <w:iCs/>
          <w:i/>
        </w:rPr>
        <w:t xml:space="preserve">v</w:t>
      </w:r>
      <w:r>
        <w:t xml:space="preserve">) is the smallest label over paths that start at a seeded hospital vertex in the reversed graph. Labels are triples compared lexicographically, and an arc adds its nonnegative travel time to the first component only. Hence extending a path never makes its label smaller, and two labels keep their order when the same arc extends both. These are the only two facts that the correctness argument for Dijkstra’s algorithm uses (Cormen et al., 2022), so every vertex leaves the queue carrying Λ(</w:t>
      </w:r>
      <w:r>
        <w:rPr>
          <w:iCs/>
          <w:i/>
        </w:rPr>
        <w:t xml:space="preserve">v</w:t>
      </w:r>
      <w:r>
        <w:t xml:space="preserve">). Each vertex is labeled once and each arc relaxed once, which gives the heap bound. The parent of</w:t>
      </w:r>
      <w:r>
        <w:t xml:space="preserve"> </w:t>
      </w:r>
      <w:r>
        <w:rPr>
          <w:iCs/>
          <w:i/>
        </w:rPr>
        <w:t xml:space="preserve">v</w:t>
      </w:r>
      <w:r>
        <w:t xml:space="preserve"> </w:t>
      </w:r>
      <w:r>
        <w:t xml:space="preserve">carries the same hospital index as</w:t>
      </w:r>
      <w:r>
        <w:t xml:space="preserve"> </w:t>
      </w:r>
      <w:r>
        <w:rPr>
          <w:iCs/>
          <w:i/>
        </w:rPr>
        <w:t xml:space="preserve">v</w:t>
      </w:r>
      <w:r>
        <w:t xml:space="preserve"> </w:t>
      </w:r>
      <w:r>
        <w:t xml:space="preserve">and lies on a shortest path from</w:t>
      </w:r>
      <w:r>
        <w:t xml:space="preserve"> </w:t>
      </w:r>
      <w:r>
        <w:rPr>
          <w:iCs/>
          <w:i/>
        </w:rPr>
        <w:t xml:space="preserve">v</w:t>
      </w:r>
      <w:r>
        <w:t xml:space="preserve"> </w:t>
      </w:r>
      <w:r>
        <w:t xml:space="preserve">to that hospital, so following parents from</w:t>
      </w:r>
      <w:r>
        <w:t xml:space="preserve"> </w:t>
      </w:r>
      <w:r>
        <w:rPr>
          <w:iCs/>
          <w:i/>
        </w:rPr>
        <w:t xml:space="preserve">v</w:t>
      </w:r>
      <w:r>
        <w:t xml:space="preserve"> </w:t>
      </w:r>
      <w:r>
        <w:t xml:space="preserve">ends at</w:t>
      </w:r>
      <w:r>
        <w:t xml:space="preserve"> </w:t>
      </w:r>
      <w:r>
        <w:rPr>
          <w:iCs/>
          <w:i/>
        </w:rPr>
        <w:t xml:space="preserve">v</w:t>
      </w:r>
      <w:r>
        <w:rPr>
          <w:iCs/>
          <w:i/>
          <w:vertAlign w:val="subscript"/>
        </w:rPr>
        <w:t xml:space="preserve">h</w:t>
      </w:r>
      <w:r>
        <w:rPr>
          <w:vertAlign w:val="subscript"/>
        </w:rPr>
        <w:t xml:space="preserve">∗(</w:t>
      </w:r>
      <w:r>
        <w:rPr>
          <w:iCs/>
          <w:i/>
          <w:vertAlign w:val="subscript"/>
        </w:rPr>
        <w:t xml:space="preserve">v</w:t>
      </w:r>
      <w:r>
        <w:rPr>
          <w:vertAlign w:val="subscript"/>
        </w:rPr>
        <w:t xml:space="preserve">)</w:t>
      </w:r>
      <w:r>
        <w:t xml:space="preserve">. □</w:t>
      </w:r>
    </w:p>
    <w:p>
      <w:pPr>
        <w:pStyle w:val="BodyText"/>
      </w:pPr>
      <w:r>
        <w:rPr>
          <w:bCs/>
          <w:b/>
        </w:rPr>
        <w:t xml:space="preserve">Proposition 15 (Bed-to-population ratios never count a bed twice).</w:t>
      </w:r>
      <w:r>
        <w:t xml:space="preserve"> </w:t>
      </w:r>
      <w:r>
        <w:t xml:space="preserve">Let</w:t>
      </w:r>
      <w:r>
        <w:t xml:space="preserve"> </w:t>
      </w:r>
      <w:r>
        <w:rPr>
          <w:iCs/>
          <w:i/>
        </w:rPr>
        <w:t xml:space="preserve">H</w:t>
      </w:r>
      <w:r>
        <w:rPr>
          <w:vertAlign w:val="subscript"/>
        </w:rPr>
        <w:t xml:space="preserve">θ</w:t>
      </w:r>
      <w:r>
        <w:t xml:space="preserve"> </w:t>
      </w:r>
      <w:r>
        <w:t xml:space="preserve">be the hospitals that have at least one anchor within θ. Then</w:t>
      </w:r>
    </w:p>
    <w:p>
      <w:pPr>
        <w:pStyle w:val="Equation"/>
      </w:pPr>
      <w:r>
        <w:tab/>
      </w:r>
      <w:r>
        <w:drawing>
          <wp:inline>
            <wp:extent cx="3246120" cy="844905"/>
            <wp:effectExtent b="0" l="0" r="0" t="0"/>
            <wp:docPr descr="" title="" id="165" name="Picture"/>
            <a:graphic>
              <a:graphicData uri="http://schemas.openxmlformats.org/drawingml/2006/picture">
                <pic:pic>
                  <pic:nvPicPr>
                    <pic:cNvPr descr="eq/eq31.png" id="166" name="Picture"/>
                    <pic:cNvPicPr>
                      <a:picLocks noChangeArrowheads="1" noChangeAspect="1"/>
                    </pic:cNvPicPr>
                  </pic:nvPicPr>
                  <pic:blipFill>
                    <a:blip r:embed="rId164"/>
                    <a:stretch>
                      <a:fillRect/>
                    </a:stretch>
                  </pic:blipFill>
                  <pic:spPr bwMode="auto">
                    <a:xfrm>
                      <a:off x="0" y="0"/>
                      <a:ext cx="3246120" cy="844905"/>
                    </a:xfrm>
                    <a:prstGeom prst="rect">
                      <a:avLst/>
                    </a:prstGeom>
                    <a:noFill/>
                    <a:ln w="9525">
                      <a:noFill/>
                      <a:headEnd/>
                      <a:tailEnd/>
                    </a:ln>
                  </pic:spPr>
                </pic:pic>
              </a:graphicData>
            </a:graphic>
          </wp:inline>
        </w:drawing>
      </w:r>
      <w:r/>
      <w:r/>
      <w:r>
        <w:rPr>
          <w:rFonts w:ascii="Times New Roman" w:hAnsi="Times New Roman"/>
          <w:sz w:val="24"/>
        </w:rPr>
        <w:tab/>
        <w:t>(31)</w:t>
      </w:r>
    </w:p>
    <w:p>
      <w:pPr>
        <w:pStyle w:val="Source"/>
      </w:pPr>
      <w:r>
        <w:t xml:space="preserve">Source: formulated in this study (Proposition 15), for the measure of Luo and Wang (2003)</w:t>
      </w:r>
    </w:p>
    <w:p>
      <w:pPr>
        <w:pStyle w:val="BodyText"/>
      </w:pPr>
      <w:r>
        <w:t xml:space="preserve">so the weighted mean of</w:t>
      </w:r>
      <w:r>
        <w:t xml:space="preserve"> </w:t>
      </w:r>
      <w:r>
        <w:rPr>
          <w:iCs/>
          <w:i/>
        </w:rPr>
        <w:t xml:space="preserve">A</w:t>
      </w:r>
      <w:r>
        <w:rPr>
          <w:iCs/>
          <w:i/>
          <w:vertAlign w:val="superscript"/>
        </w:rPr>
        <w:t xml:space="preserve">F</w:t>
      </w:r>
      <w:r>
        <w:t xml:space="preserve"> </w:t>
      </w:r>
      <w:r>
        <w:t xml:space="preserve">equals the total supply within reach of the population divided by</w:t>
      </w:r>
      <w:r>
        <w:t xml:space="preserve"> </w:t>
      </w:r>
      <w:r>
        <w:rPr>
          <w:iCs/>
          <w:i/>
        </w:rPr>
        <w:t xml:space="preserve">W</w:t>
      </w:r>
      <w:r>
        <w:t xml:space="preserve">.</w:t>
      </w:r>
    </w:p>
    <w:p>
      <w:pPr>
        <w:pStyle w:val="BodyText"/>
      </w:pPr>
      <w:r>
        <w:rPr>
          <w:iCs/>
          <w:i/>
        </w:rPr>
        <w:t xml:space="preserve">Proof.</w:t>
      </w:r>
      <w:r>
        <w:t xml:space="preserve"> </w:t>
      </w:r>
      <w:r>
        <w:t xml:space="preserve">The second equality exchanges the order of summation over the finite set of anchor-hospital pairs with</w:t>
      </w:r>
      <w:r>
        <w:t xml:space="preserve"> </w:t>
      </w:r>
      <w:r>
        <w:rPr>
          <w:iCs/>
          <w:i/>
        </w:rPr>
        <w:t xml:space="preserve">T̄</w:t>
      </w:r>
      <w:r>
        <w:t xml:space="preserve">(</w:t>
      </w:r>
      <w:r>
        <w:rPr>
          <w:iCs/>
          <w:i/>
        </w:rPr>
        <w:t xml:space="preserve">o</w:t>
      </w:r>
      <w:r>
        <w:rPr>
          <w:iCs/>
          <w:i/>
          <w:vertAlign w:val="subscript"/>
        </w:rPr>
        <w:t xml:space="preserve">a</w:t>
      </w:r>
      <w:r>
        <w:t xml:space="preserve">,</w:t>
      </w:r>
      <w:r>
        <w:t xml:space="preserve"> </w:t>
      </w:r>
      <w:r>
        <w:rPr>
          <w:iCs/>
          <w:i/>
        </w:rPr>
        <w:t xml:space="preserve">h</w:t>
      </w:r>
      <w:r>
        <w:t xml:space="preserve">) ≤ θ. For</w:t>
      </w:r>
      <w:r>
        <w:t xml:space="preserve"> </w:t>
      </w:r>
      <w:r>
        <w:rPr>
          <w:iCs/>
          <w:i/>
        </w:rPr>
        <w:t xml:space="preserve">h</w:t>
      </w:r>
      <w:r>
        <w:t xml:space="preserve"> </w:t>
      </w:r>
      <w:r>
        <w:t xml:space="preserve">∈</w:t>
      </w:r>
      <w:r>
        <w:t xml:space="preserve"> </w:t>
      </w:r>
      <w:r>
        <w:rPr>
          <w:iCs/>
          <w:i/>
        </w:rPr>
        <w:t xml:space="preserve">H</w:t>
      </w:r>
      <w:r>
        <w:rPr>
          <w:vertAlign w:val="subscript"/>
        </w:rPr>
        <w:t xml:space="preserve">θ</w:t>
      </w:r>
      <w:r>
        <w:t xml:space="preserve"> </w:t>
      </w:r>
      <w:r>
        <w:t xml:space="preserve">the inner sum is the denominator of</w:t>
      </w:r>
      <w:r>
        <w:t xml:space="preserve"> </w:t>
      </w:r>
      <w:r>
        <w:rPr>
          <w:iCs/>
          <w:i/>
        </w:rPr>
        <w:t xml:space="preserve">R</w:t>
      </w:r>
      <w:r>
        <w:rPr>
          <w:iCs/>
          <w:i/>
          <w:vertAlign w:val="subscript"/>
        </w:rPr>
        <w:t xml:space="preserve">h</w:t>
      </w:r>
      <w:r>
        <w:t xml:space="preserve">(θ) in Equation (23), so</w:t>
      </w:r>
      <w:r>
        <w:t xml:space="preserve"> </w:t>
      </w:r>
      <w:r>
        <w:rPr>
          <w:iCs/>
          <w:i/>
        </w:rPr>
        <w:t xml:space="preserve">R</w:t>
      </w:r>
      <w:r>
        <w:rPr>
          <w:iCs/>
          <w:i/>
          <w:vertAlign w:val="subscript"/>
        </w:rPr>
        <w:t xml:space="preserve">h</w:t>
      </w:r>
      <w:r>
        <w:t xml:space="preserve">(θ) times it equals</w:t>
      </w:r>
      <w:r>
        <w:t xml:space="preserve"> </w:t>
      </w:r>
      <w:r>
        <w:rPr>
          <w:iCs/>
          <w:i/>
        </w:rPr>
        <w:t xml:space="preserve">s</w:t>
      </w:r>
      <w:r>
        <w:rPr>
          <w:iCs/>
          <w:i/>
          <w:vertAlign w:val="subscript"/>
        </w:rPr>
        <w:t xml:space="preserve">h</w:t>
      </w:r>
      <w:r>
        <w:t xml:space="preserve">; for</w:t>
      </w:r>
      <w:r>
        <w:t xml:space="preserve"> </w:t>
      </w:r>
      <w:r>
        <w:rPr>
          <w:iCs/>
          <w:i/>
        </w:rPr>
        <w:t xml:space="preserve">h</w:t>
      </w:r>
      <w:r>
        <w:t xml:space="preserve"> </w:t>
      </w:r>
      <w:r>
        <w:t xml:space="preserve">∉</w:t>
      </w:r>
      <w:r>
        <w:t xml:space="preserve"> </w:t>
      </w:r>
      <w:r>
        <w:rPr>
          <w:iCs/>
          <w:i/>
        </w:rPr>
        <w:t xml:space="preserve">H</w:t>
      </w:r>
      <w:r>
        <w:rPr>
          <w:vertAlign w:val="subscript"/>
        </w:rPr>
        <w:t xml:space="preserve">θ</w:t>
      </w:r>
      <w:r>
        <w:t xml:space="preserve"> </w:t>
      </w:r>
      <w:r>
        <w:t xml:space="preserve">the inner sum is empty. □</w:t>
      </w:r>
    </w:p>
    <w:p>
      <w:pPr>
        <w:pStyle w:val="BodyText"/>
      </w:pPr>
      <w:r>
        <w:t xml:space="preserve">By contrast, the cumulative measure gives Σ</w:t>
      </w:r>
      <w:r>
        <w:rPr>
          <w:iCs/>
          <w:i/>
          <w:vertAlign w:val="subscript"/>
        </w:rPr>
        <w:t xml:space="preserve">a</w:t>
      </w:r>
      <w:r>
        <w:t xml:space="preserve"> </w:t>
      </w:r>
      <w:r>
        <w:rPr>
          <w:iCs/>
          <w:i/>
        </w:rPr>
        <w:t xml:space="preserve">P</w:t>
      </w:r>
      <w:r>
        <w:rPr>
          <w:iCs/>
          <w:i/>
          <w:vertAlign w:val="subscript"/>
        </w:rPr>
        <w:t xml:space="preserve">a</w:t>
      </w:r>
      <w:r>
        <w:t xml:space="preserve"> </w:t>
      </w:r>
      <w:r>
        <w:rPr>
          <w:iCs/>
          <w:i/>
        </w:rPr>
        <w:t xml:space="preserve">A</w:t>
      </w:r>
      <w:r>
        <w:rPr>
          <w:iCs/>
          <w:i/>
          <w:vertAlign w:val="subscript"/>
        </w:rPr>
        <w:t xml:space="preserve">a</w:t>
      </w:r>
      <w:r>
        <w:t xml:space="preserve">(θ) = Σ</w:t>
      </w:r>
      <w:r>
        <w:rPr>
          <w:iCs/>
          <w:i/>
          <w:vertAlign w:val="subscript"/>
        </w:rPr>
        <w:t xml:space="preserve">h</w:t>
      </w:r>
      <w:r>
        <w:t xml:space="preserve"> </w:t>
      </w:r>
      <w:r>
        <w:rPr>
          <w:iCs/>
          <w:i/>
        </w:rPr>
        <w:t xml:space="preserve">s</w:t>
      </w:r>
      <w:r>
        <w:rPr>
          <w:iCs/>
          <w:i/>
          <w:vertAlign w:val="subscript"/>
        </w:rPr>
        <w:t xml:space="preserve">h</w:t>
      </w:r>
      <w:r>
        <w:t xml:space="preserve"> </w:t>
      </w:r>
      <w:r>
        <w:t xml:space="preserve">Σ</w:t>
      </w:r>
      <w:r>
        <w:rPr>
          <w:iCs/>
          <w:i/>
          <w:vertAlign w:val="subscript"/>
        </w:rPr>
        <w:t xml:space="preserve">a</w:t>
      </w:r>
      <w:r>
        <w:rPr>
          <w:vertAlign w:val="subscript"/>
        </w:rPr>
        <w:t xml:space="preserve">: </w:t>
      </w:r>
      <w:r>
        <w:rPr>
          <w:iCs/>
          <w:i/>
          <w:vertAlign w:val="subscript"/>
        </w:rPr>
        <w:t xml:space="preserve">T̄</w:t>
      </w:r>
      <w:r>
        <w:rPr>
          <w:vertAlign w:val="subscript"/>
        </w:rPr>
        <w:t xml:space="preserve">(</w:t>
      </w:r>
      <w:r>
        <w:rPr>
          <w:iCs/>
          <w:i/>
          <w:vertAlign w:val="subscript"/>
        </w:rPr>
        <w:t xml:space="preserve">oa</w:t>
      </w:r>
      <w:r>
        <w:rPr>
          <w:vertAlign w:val="subscript"/>
        </w:rPr>
        <w:t xml:space="preserve">,</w:t>
      </w:r>
      <w:r>
        <w:rPr>
          <w:iCs/>
          <w:i/>
          <w:vertAlign w:val="subscript"/>
        </w:rPr>
        <w:t xml:space="preserve">h</w:t>
      </w:r>
      <w:r>
        <w:rPr>
          <w:vertAlign w:val="subscript"/>
        </w:rPr>
        <w:t xml:space="preserve">) ≤ θ</w:t>
      </w:r>
      <w:r>
        <w:t xml:space="preserve"> </w:t>
      </w:r>
      <w:r>
        <w:rPr>
          <w:iCs/>
          <w:i/>
        </w:rPr>
        <w:t xml:space="preserve">P</w:t>
      </w:r>
      <w:r>
        <w:rPr>
          <w:iCs/>
          <w:i/>
          <w:vertAlign w:val="subscript"/>
        </w:rPr>
        <w:t xml:space="preserve">a</w:t>
      </w:r>
      <w:r>
        <w:t xml:space="preserve">, which counts each bed once for every person who can reach it.</w:t>
      </w:r>
    </w:p>
    <w:p>
      <w:pPr>
        <w:pStyle w:val="BodyText"/>
      </w:pPr>
      <w:r>
        <w:rPr>
          <w:bCs/>
          <w:b/>
        </w:rPr>
        <w:t xml:space="preserve">Proposition 16 (Optimal surge assignment).</w:t>
      </w:r>
      <w:r>
        <w:t xml:space="preserve"> </w:t>
      </w:r>
      <w:r>
        <w:t xml:space="preserve">Consider program (24).</w:t>
      </w:r>
    </w:p>
    <w:p>
      <w:pPr>
        <w:numPr>
          <w:ilvl w:val="0"/>
          <w:numId w:val="1007"/>
        </w:numPr>
      </w:pPr>
      <w:r>
        <w:t xml:space="preserve">Its linear relaxation has an optimal solution in whole numbers, and Algorithm 3 finds an optimal assignment in polynomial time,</w:t>
      </w:r>
      <w:r>
        <w:t xml:space="preserve"> </w:t>
      </w:r>
      <w:r>
        <w:rPr>
          <w:iCs/>
          <w:i/>
        </w:rPr>
        <w:t xml:space="preserve">O</w:t>
      </w:r>
      <w:r>
        <w:t xml:space="preserve">((</w:t>
      </w:r>
      <w:r>
        <w:rPr>
          <w:iCs/>
          <w:i/>
        </w:rPr>
        <w:t xml:space="preserve">n</w:t>
      </w:r>
      <w:r>
        <w:t xml:space="preserve"> </w:t>
      </w:r>
      <w:r>
        <w:t xml:space="preserve">+</w:t>
      </w:r>
      <w:r>
        <w:t xml:space="preserve"> </w:t>
      </w:r>
      <w:r>
        <w:rPr>
          <w:iCs/>
          <w:i/>
        </w:rPr>
        <w:t xml:space="preserve">B</w:t>
      </w:r>
      <w:r>
        <w:t xml:space="preserve">)</w:t>
      </w:r>
      <w:r>
        <w:rPr>
          <w:vertAlign w:val="superscript"/>
        </w:rPr>
        <w:t xml:space="preserve">3</w:t>
      </w:r>
      <w:r>
        <w:t xml:space="preserve">) with the Hungarian method, where</w:t>
      </w:r>
      <w:r>
        <w:t xml:space="preserve"> </w:t>
      </w:r>
      <w:r>
        <w:rPr>
          <w:iCs/>
          <w:i/>
        </w:rPr>
        <w:t xml:space="preserve">B</w:t>
      </w:r>
      <w:r>
        <w:t xml:space="preserve"> </w:t>
      </w:r>
      <w:r>
        <w:t xml:space="preserve">= Σ</w:t>
      </w:r>
      <w:r>
        <w:rPr>
          <w:iCs/>
          <w:i/>
          <w:vertAlign w:val="subscript"/>
        </w:rPr>
        <w:t xml:space="preserve">h</w:t>
      </w:r>
      <w:r>
        <w:t xml:space="preserve"> </w:t>
      </w:r>
      <w:r>
        <w:rPr>
          <w:iCs/>
          <w:i/>
        </w:rPr>
        <w:t xml:space="preserve">b</w:t>
      </w:r>
      <w:r>
        <w:rPr>
          <w:iCs/>
          <w:i/>
          <w:vertAlign w:val="subscript"/>
        </w:rPr>
        <w:t xml:space="preserve">h</w:t>
      </w:r>
      <w:r>
        <w:t xml:space="preserve"> </w:t>
      </w:r>
      <w:r>
        <w:t xml:space="preserve">(Kuhn, 1955; Ahuja et al., 1993).</w:t>
      </w:r>
    </w:p>
    <w:p>
      <w:pPr>
        <w:numPr>
          <w:ilvl w:val="0"/>
          <w:numId w:val="1007"/>
        </w:numPr>
      </w:pPr>
      <w:r>
        <w:t xml:space="preserve">Among all feasible assignments, an optimal one places the largest possible number of emergency patients; among those, the largest possible number of patients in all; and among those, it has the least total travel time.</w:t>
      </w:r>
    </w:p>
    <w:p>
      <w:pPr>
        <w:numPr>
          <w:ilvl w:val="0"/>
          <w:numId w:val="1007"/>
        </w:numPr>
      </w:pPr>
      <w:r>
        <w:t xml:space="preserve">If the independent choices, in which every patient goes to his or her own nearest suitable hospital with</w:t>
      </w:r>
      <w:r>
        <w:t xml:space="preserve"> </w:t>
      </w:r>
      <w:r>
        <w:rPr>
          <w:iCs/>
          <w:i/>
        </w:rPr>
        <w:t xml:space="preserve">b</w:t>
      </w:r>
      <w:r>
        <w:rPr>
          <w:iCs/>
          <w:i/>
          <w:vertAlign w:val="subscript"/>
        </w:rPr>
        <w:t xml:space="preserve">h</w:t>
      </w:r>
      <w:r>
        <w:t xml:space="preserve"> </w:t>
      </w:r>
      <w:r>
        <w:t xml:space="preserve">&gt; 0, never exceed any hospital’s free beds, then they form an optimal assignment.</w:t>
      </w:r>
    </w:p>
    <w:p>
      <w:pPr>
        <w:pStyle w:val="FirstParagraph"/>
      </w:pPr>
      <w:r>
        <w:rPr>
          <w:iCs/>
          <w:i/>
        </w:rPr>
        <w:t xml:space="preserve">Proof.</w:t>
      </w:r>
      <w:r>
        <w:t xml:space="preserve"> </w:t>
      </w:r>
      <w:r>
        <w:t xml:space="preserve">(i) After adding one slack variable per patient for</w:t>
      </w:r>
      <w:r>
        <w:t xml:space="preserve"> </w:t>
      </w:r>
      <w:r>
        <w:t xml:space="preserve">“</w:t>
      </w:r>
      <w:r>
        <w:t xml:space="preserve">not placed,</w:t>
      </w:r>
      <w:r>
        <w:t xml:space="preserve">”</w:t>
      </w:r>
      <w:r>
        <w:t xml:space="preserve"> </w:t>
      </w:r>
      <w:r>
        <w:t xml:space="preserve">each column of the constraint matrix has at most one 1 among the patient rows and at most one 1 among the hospital rows, so the matrix is the incidence matrix of a bipartite graph and is totally unimodular. A linear program with such a matrix and integer right-hand sides has an integral optimal vertex (Ahuja et al., 1993). Expanding each hospital into</w:t>
      </w:r>
      <w:r>
        <w:t xml:space="preserve"> </w:t>
      </w:r>
      <w:r>
        <w:rPr>
          <w:iCs/>
          <w:i/>
        </w:rPr>
        <w:t xml:space="preserve">b</w:t>
      </w:r>
      <w:r>
        <w:rPr>
          <w:iCs/>
          <w:i/>
          <w:vertAlign w:val="subscript"/>
        </w:rPr>
        <w:t xml:space="preserve">h</w:t>
      </w:r>
      <w:r>
        <w:t xml:space="preserve"> </w:t>
      </w:r>
      <w:r>
        <w:t xml:space="preserve">bed slots turns the program into an assignment problem with</w:t>
      </w:r>
      <w:r>
        <w:t xml:space="preserve"> </w:t>
      </w:r>
      <w:r>
        <w:rPr>
          <w:iCs/>
          <w:i/>
        </w:rPr>
        <w:t xml:space="preserve">n</w:t>
      </w:r>
      <w:r>
        <w:t xml:space="preserve"> </w:t>
      </w:r>
      <w:r>
        <w:t xml:space="preserve">+</w:t>
      </w:r>
      <w:r>
        <w:t xml:space="preserve"> </w:t>
      </w:r>
      <w:r>
        <w:rPr>
          <w:iCs/>
          <w:i/>
        </w:rPr>
        <w:t xml:space="preserve">B</w:t>
      </w:r>
      <w:r>
        <w:t xml:space="preserve"> </w:t>
      </w:r>
      <w:r>
        <w:t xml:space="preserve">rows at most, which the Hungarian method solves in the stated time (Kuhn, 1955). The capacity constraint is part of the program, so no hospital is overfilled.</w:t>
      </w:r>
    </w:p>
    <w:p>
      <w:pPr>
        <w:numPr>
          <w:ilvl w:val="0"/>
          <w:numId w:val="1008"/>
        </w:numPr>
      </w:pPr>
      <w:r>
        <w:t xml:space="preserve">Let</w:t>
      </w:r>
      <w:r>
        <w:t xml:space="preserve"> </w:t>
      </w:r>
      <w:r>
        <w:rPr>
          <w:iCs/>
          <w:i/>
        </w:rPr>
        <w:t xml:space="preserve">x</w:t>
      </w:r>
      <w:r>
        <w:t xml:space="preserve"> </w:t>
      </w:r>
      <w:r>
        <w:t xml:space="preserve">and</w:t>
      </w:r>
      <w:r>
        <w:t xml:space="preserve"> </w:t>
      </w:r>
      <w:r>
        <w:rPr>
          <w:iCs/>
          <w:i/>
        </w:rPr>
        <w:t xml:space="preserve">y</w:t>
      </w:r>
      <w:r>
        <w:t xml:space="preserve"> </w:t>
      </w:r>
      <w:r>
        <w:t xml:space="preserve">be feasible, and let</w:t>
      </w:r>
      <w:r>
        <w:t xml:space="preserve"> </w:t>
      </w:r>
      <w:r>
        <w:rPr>
          <w:iCs/>
          <w:i/>
        </w:rPr>
        <w:t xml:space="preserve">x</w:t>
      </w:r>
      <w:r>
        <w:t xml:space="preserve"> </w:t>
      </w:r>
      <w:r>
        <w:t xml:space="preserve">place</w:t>
      </w:r>
      <w:r>
        <w:t xml:space="preserve"> </w:t>
      </w:r>
      <w:r>
        <w:rPr>
          <w:iCs/>
          <w:i/>
        </w:rPr>
        <w:t xml:space="preserve">e</w:t>
      </w:r>
      <w:r>
        <w:rPr>
          <w:iCs/>
          <w:i/>
          <w:vertAlign w:val="subscript"/>
        </w:rPr>
        <w:t xml:space="preserve">x</w:t>
      </w:r>
      <w:r>
        <w:t xml:space="preserve"> </w:t>
      </w:r>
      <w:r>
        <w:t xml:space="preserve">emergency patients and</w:t>
      </w:r>
      <w:r>
        <w:t xml:space="preserve"> </w:t>
      </w:r>
      <w:r>
        <w:rPr>
          <w:iCs/>
          <w:i/>
        </w:rPr>
        <w:t xml:space="preserve">r</w:t>
      </w:r>
      <w:r>
        <w:rPr>
          <w:iCs/>
          <w:i/>
          <w:vertAlign w:val="subscript"/>
        </w:rPr>
        <w:t xml:space="preserve">x</w:t>
      </w:r>
      <w:r>
        <w:t xml:space="preserve"> </w:t>
      </w:r>
      <w:r>
        <w:t xml:space="preserve">others, and</w:t>
      </w:r>
      <w:r>
        <w:t xml:space="preserve"> </w:t>
      </w:r>
      <w:r>
        <w:rPr>
          <w:iCs/>
          <w:i/>
        </w:rPr>
        <w:t xml:space="preserve">y</w:t>
      </w:r>
      <w:r>
        <w:t xml:space="preserve"> </w:t>
      </w:r>
      <w:r>
        <w:t xml:space="preserve">place</w:t>
      </w:r>
      <w:r>
        <w:t xml:space="preserve"> </w:t>
      </w:r>
      <w:r>
        <w:rPr>
          <w:iCs/>
          <w:i/>
        </w:rPr>
        <w:t xml:space="preserve">e</w:t>
      </w:r>
      <w:r>
        <w:rPr>
          <w:iCs/>
          <w:i/>
          <w:vertAlign w:val="subscript"/>
        </w:rPr>
        <w:t xml:space="preserve">y</w:t>
      </w:r>
      <w:r>
        <w:t xml:space="preserve"> </w:t>
      </w:r>
      <w:r>
        <w:t xml:space="preserve">and</w:t>
      </w:r>
      <w:r>
        <w:t xml:space="preserve"> </w:t>
      </w:r>
      <w:r>
        <w:rPr>
          <w:iCs/>
          <w:i/>
        </w:rPr>
        <w:t xml:space="preserve">r</w:t>
      </w:r>
      <w:r>
        <w:rPr>
          <w:iCs/>
          <w:i/>
          <w:vertAlign w:val="subscript"/>
        </w:rPr>
        <w:t xml:space="preserve">y</w:t>
      </w:r>
      <w:r>
        <w:t xml:space="preserve">.</w:t>
      </w:r>
    </w:p>
    <w:p>
      <w:pPr>
        <w:numPr>
          <w:ilvl w:val="0"/>
          <w:numId w:val="1008"/>
        </w:numPr>
      </w:pPr>
      <w:r>
        <w:t xml:space="preserve">Each independent choice is the patient’s own minimum</w:t>
      </w:r>
      <w:r>
        <w:t xml:space="preserve"> </w:t>
      </w:r>
      <w:r>
        <w:rPr>
          <w:iCs/>
          <w:i/>
        </w:rPr>
        <w:t xml:space="preserve">c</w:t>
      </w:r>
      <w:r>
        <w:rPr>
          <w:iCs/>
          <w:i/>
          <w:vertAlign w:val="subscript"/>
        </w:rPr>
        <w:t xml:space="preserve">ih</w:t>
      </w:r>
      <w:r>
        <w:t xml:space="preserve"> </w:t>
      </w:r>
      <w:r>
        <w:t xml:space="preserve">over the suitable hospitals with a free bed.</w:t>
      </w:r>
    </w:p>
    <w:p>
      <w:pPr>
        <w:pStyle w:val="FirstParagraph"/>
      </w:pPr>
      <w:r>
        <w:rPr>
          <w:bCs/>
          <w:b/>
        </w:rPr>
        <w:t xml:space="preserve">Proposition 17 (Only roads on the shortest-path forest matter).</w:t>
      </w:r>
      <w:r>
        <w:t xml:space="preserve"> </w:t>
      </w:r>
      <w:r>
        <w:t xml:space="preserve">Fix a profile π and time</w:t>
      </w:r>
      <w:r>
        <w:t xml:space="preserve"> </w:t>
      </w:r>
      <w:r>
        <w:rPr>
          <w:iCs/>
          <w:i/>
        </w:rPr>
        <w:t xml:space="preserve">t</w:t>
      </w:r>
      <w:r>
        <w:t xml:space="preserve">, and let</w:t>
      </w:r>
      <w:r>
        <w:t xml:space="preserve"> </w:t>
      </w:r>
      <w:r>
        <w:rPr>
          <w:iCs/>
          <w:i/>
        </w:rPr>
        <w:t xml:space="preserve">F</w:t>
      </w:r>
      <w:r>
        <w:t xml:space="preserve"> </w:t>
      </w:r>
      <w:r>
        <w:t xml:space="preserve">be the forest of Proposition 14. (i)</w:t>
      </w:r>
      <w:r>
        <w:t xml:space="preserve"> </w:t>
      </w:r>
      <w:r>
        <w:rPr>
          <w:iCs/>
          <w:i/>
        </w:rPr>
        <w:t xml:space="preserve">D</w:t>
      </w:r>
      <w:r>
        <w:rPr>
          <w:iCs/>
          <w:i/>
          <w:vertAlign w:val="subscript"/>
        </w:rPr>
        <w:t xml:space="preserve">e</w:t>
      </w:r>
      <w:r>
        <w:t xml:space="preserve">(π,</w:t>
      </w:r>
      <w:r>
        <w:t xml:space="preserve"> </w:t>
      </w:r>
      <w:r>
        <w:rPr>
          <w:iCs/>
          <w:i/>
        </w:rPr>
        <w:t xml:space="preserve">t</w:t>
      </w:r>
      <w:r>
        <w:t xml:space="preserve">) ≥ 0 for every road segment</w:t>
      </w:r>
      <w:r>
        <w:t xml:space="preserve"> </w:t>
      </w:r>
      <w:r>
        <w:rPr>
          <w:iCs/>
          <w:i/>
        </w:rPr>
        <w:t xml:space="preserve">e</w:t>
      </w:r>
      <w:r>
        <w:t xml:space="preserve">. (ii) If</w:t>
      </w:r>
      <w:r>
        <w:t xml:space="preserve"> </w:t>
      </w:r>
      <w:r>
        <w:rPr>
          <w:iCs/>
          <w:i/>
        </w:rPr>
        <w:t xml:space="preserve">e</w:t>
      </w:r>
      <w:r>
        <w:t xml:space="preserve"> </w:t>
      </w:r>
      <w:r>
        <w:t xml:space="preserve">is not in</w:t>
      </w:r>
      <w:r>
        <w:t xml:space="preserve"> </w:t>
      </w:r>
      <w:r>
        <w:rPr>
          <w:iCs/>
          <w:i/>
        </w:rPr>
        <w:t xml:space="preserve">F</w:t>
      </w:r>
      <w:r>
        <w:t xml:space="preserve">, closing</w:t>
      </w:r>
      <w:r>
        <w:t xml:space="preserve"> </w:t>
      </w:r>
      <w:r>
        <w:rPr>
          <w:iCs/>
          <w:i/>
        </w:rPr>
        <w:t xml:space="preserve">e</w:t>
      </w:r>
      <w:r>
        <w:t xml:space="preserve"> </w:t>
      </w:r>
      <w:r>
        <w:t xml:space="preserve">changes neither</w:t>
      </w:r>
      <w:r>
        <w:t xml:space="preserve"> </w:t>
      </w:r>
      <w:r>
        <w:rPr>
          <w:iCs/>
          <w:i/>
        </w:rPr>
        <w:t xml:space="preserve">h</w:t>
      </w:r>
      <w:r>
        <w:rPr>
          <w:vertAlign w:val="superscript"/>
        </w:rPr>
        <w:t xml:space="preserve">∗</w:t>
      </w:r>
      <w:r>
        <w:t xml:space="preserve"> </w:t>
      </w:r>
      <w:r>
        <w:t xml:space="preserve">nor</w:t>
      </w:r>
      <w:r>
        <w:t xml:space="preserve"> </w:t>
      </w:r>
      <w:r>
        <w:rPr>
          <w:iCs/>
          <w:i/>
        </w:rPr>
        <w:t xml:space="preserve">T</w:t>
      </w:r>
      <w:r>
        <w:rPr>
          <w:vertAlign w:val="superscript"/>
        </w:rPr>
        <w:t xml:space="preserve">∗</w:t>
      </w:r>
      <w:r>
        <w:t xml:space="preserve"> </w:t>
      </w:r>
      <w:r>
        <w:t xml:space="preserve">at any road vertex, and</w:t>
      </w:r>
      <w:r>
        <w:t xml:space="preserve"> </w:t>
      </w:r>
      <w:r>
        <w:rPr>
          <w:iCs/>
          <w:i/>
        </w:rPr>
        <w:t xml:space="preserve">D</w:t>
      </w:r>
      <w:r>
        <w:rPr>
          <w:iCs/>
          <w:i/>
          <w:vertAlign w:val="subscript"/>
        </w:rPr>
        <w:t xml:space="preserve">e</w:t>
      </w:r>
      <w:r>
        <w:t xml:space="preserve">(π,</w:t>
      </w:r>
      <w:r>
        <w:t xml:space="preserve"> </w:t>
      </w:r>
      <w:r>
        <w:rPr>
          <w:iCs/>
          <w:i/>
        </w:rPr>
        <w:t xml:space="preserve">t</w:t>
      </w:r>
      <w:r>
        <w:t xml:space="preserve">) = 0. Hence only the segments of</w:t>
      </w:r>
      <w:r>
        <w:t xml:space="preserve"> </w:t>
      </w:r>
      <w:r>
        <w:rPr>
          <w:iCs/>
          <w:i/>
        </w:rPr>
        <w:t xml:space="preserve">F</w:t>
      </w:r>
      <w:r>
        <w:t xml:space="preserve">, at most |</w:t>
      </w:r>
      <w:r>
        <w:rPr>
          <w:iCs/>
          <w:i/>
        </w:rPr>
        <w:t xml:space="preserve">V</w:t>
      </w:r>
      <w:r>
        <w:rPr>
          <w:iCs/>
          <w:i/>
          <w:vertAlign w:val="subscript"/>
        </w:rPr>
        <w:t xml:space="preserve">R</w:t>
      </w:r>
      <w:r>
        <w:t xml:space="preserve">| − 1 of them, need to be tested, each with one run of Algorithm 2.</w:t>
      </w:r>
    </w:p>
    <w:p>
      <w:pPr>
        <w:pStyle w:val="BodyText"/>
      </w:pPr>
      <w:r>
        <w:rPr>
          <w:iCs/>
          <w:i/>
        </w:rPr>
        <w:t xml:space="preserve">Proof.</w:t>
      </w:r>
      <w:r>
        <w:t xml:space="preserve"> </w:t>
      </w:r>
      <w:r>
        <w:t xml:space="preserve">(i)</w:t>
      </w:r>
      <w:r>
        <w:t xml:space="preserve"> </w:t>
      </w:r>
      <w:r>
        <w:rPr>
          <w:iCs/>
          <w:i/>
        </w:rPr>
        <w:t xml:space="preserve">G</w:t>
      </w:r>
      <w:r>
        <w:t xml:space="preserve"> </w:t>
      </w:r>
      <w:r>
        <w:t xml:space="preserve">−</w:t>
      </w:r>
      <w:r>
        <w:t xml:space="preserve"> </w:t>
      </w:r>
      <w:r>
        <w:rPr>
          <w:iCs/>
          <w:i/>
        </w:rPr>
        <w:t xml:space="preserve">e</w:t>
      </w:r>
      <w:r>
        <w:t xml:space="preserve"> </w:t>
      </w:r>
      <w:r>
        <w:t xml:space="preserve">is a subgraph of</w:t>
      </w:r>
      <w:r>
        <w:t xml:space="preserve"> </w:t>
      </w:r>
      <w:r>
        <w:rPr>
          <w:iCs/>
          <w:i/>
        </w:rPr>
        <w:t xml:space="preserve">G</w:t>
      </w:r>
      <w:r>
        <w:t xml:space="preserve">, so by the argument of Proposition 3 no shortest-path time falls when</w:t>
      </w:r>
      <w:r>
        <w:t xml:space="preserve"> </w:t>
      </w:r>
      <w:r>
        <w:rPr>
          <w:iCs/>
          <w:i/>
        </w:rPr>
        <w:t xml:space="preserve">e</w:t>
      </w:r>
      <w:r>
        <w:t xml:space="preserve"> </w:t>
      </w:r>
      <w:r>
        <w:t xml:space="preserve">is closed, and suitability does not depend on the roads. (ii) If</w:t>
      </w:r>
      <w:r>
        <w:t xml:space="preserve"> </w:t>
      </w:r>
      <w:r>
        <w:rPr>
          <w:iCs/>
          <w:i/>
        </w:rPr>
        <w:t xml:space="preserve">e</w:t>
      </w:r>
      <w:r>
        <w:t xml:space="preserve"> </w:t>
      </w:r>
      <w:r>
        <w:t xml:space="preserve">∉</w:t>
      </w:r>
      <w:r>
        <w:t xml:space="preserve"> </w:t>
      </w:r>
      <w:r>
        <w:rPr>
          <w:iCs/>
          <w:i/>
        </w:rPr>
        <w:t xml:space="preserve">F</w:t>
      </w:r>
      <w:r>
        <w:t xml:space="preserve">, every tree path of</w:t>
      </w:r>
      <w:r>
        <w:t xml:space="preserve"> </w:t>
      </w:r>
      <w:r>
        <w:rPr>
          <w:iCs/>
          <w:i/>
        </w:rPr>
        <w:t xml:space="preserve">F</w:t>
      </w:r>
      <w:r>
        <w:t xml:space="preserve"> </w:t>
      </w:r>
      <w:r>
        <w:t xml:space="preserve">survives in</w:t>
      </w:r>
      <w:r>
        <w:t xml:space="preserve"> </w:t>
      </w:r>
      <w:r>
        <w:rPr>
          <w:iCs/>
          <w:i/>
        </w:rPr>
        <w:t xml:space="preserve">G</w:t>
      </w:r>
      <w:r>
        <w:t xml:space="preserve"> </w:t>
      </w:r>
      <w:r>
        <w:t xml:space="preserve">−</w:t>
      </w:r>
      <w:r>
        <w:t xml:space="preserve"> </w:t>
      </w:r>
      <w:r>
        <w:rPr>
          <w:iCs/>
          <w:i/>
        </w:rPr>
        <w:t xml:space="preserve">e</w:t>
      </w:r>
      <w:r>
        <w:t xml:space="preserve">, so every vertex still has a path of length</w:t>
      </w:r>
      <w:r>
        <w:t xml:space="preserve"> </w:t>
      </w:r>
      <w:r>
        <w:rPr>
          <w:iCs/>
          <w:i/>
        </w:rPr>
        <w:t xml:space="preserve">T</w:t>
      </w:r>
      <w:r>
        <w:rPr>
          <w:vertAlign w:val="superscript"/>
        </w:rPr>
        <w:t xml:space="preserve">∗</w:t>
      </w:r>
      <w:r>
        <w:rPr>
          <w:iCs/>
          <w:i/>
          <w:vertAlign w:val="subscript"/>
        </w:rPr>
        <w:t xml:space="preserve">G</w:t>
      </w:r>
      <w:r>
        <w:t xml:space="preserve">(</w:t>
      </w:r>
      <w:r>
        <w:rPr>
          <w:iCs/>
          <w:i/>
        </w:rPr>
        <w:t xml:space="preserve">v</w:t>
      </w:r>
      <w:r>
        <w:t xml:space="preserve">) to</w:t>
      </w:r>
      <w:r>
        <w:t xml:space="preserve"> </w:t>
      </w:r>
      <w:r>
        <w:rPr>
          <w:iCs/>
          <w:i/>
        </w:rPr>
        <w:t xml:space="preserve">v</w:t>
      </w:r>
      <w:r>
        <w:rPr>
          <w:iCs/>
          <w:i/>
          <w:vertAlign w:val="subscript"/>
        </w:rPr>
        <w:t xml:space="preserve">h</w:t>
      </w:r>
      <w:r>
        <w:rPr>
          <w:vertAlign w:val="subscript"/>
        </w:rPr>
        <w:t xml:space="preserve">∗(</w:t>
      </w:r>
      <w:r>
        <w:rPr>
          <w:iCs/>
          <w:i/>
          <w:vertAlign w:val="subscript"/>
        </w:rPr>
        <w:t xml:space="preserve">v</w:t>
      </w:r>
      <w:r>
        <w:rPr>
          <w:vertAlign w:val="subscript"/>
        </w:rPr>
        <w:t xml:space="preserve">)</w:t>
      </w:r>
      <w:r>
        <w:t xml:space="preserve">. By (i) no time can fall, so</w:t>
      </w:r>
      <w:r>
        <w:t xml:space="preserve"> </w:t>
      </w:r>
      <w:r>
        <w:rPr>
          <w:iCs/>
          <w:i/>
        </w:rPr>
        <w:t xml:space="preserve">T</w:t>
      </w:r>
      <w:r>
        <w:rPr>
          <w:vertAlign w:val="superscript"/>
        </w:rPr>
        <w:t xml:space="preserve">∗</w:t>
      </w:r>
      <w:r>
        <w:rPr>
          <w:iCs/>
          <w:i/>
          <w:vertAlign w:val="subscript"/>
        </w:rPr>
        <w:t xml:space="preserve">G</w:t>
      </w:r>
      <w:r>
        <w:rPr>
          <w:vertAlign w:val="subscript"/>
        </w:rPr>
        <w:t xml:space="preserve">−</w:t>
      </w:r>
      <w:r>
        <w:rPr>
          <w:iCs/>
          <w:i/>
          <w:vertAlign w:val="subscript"/>
        </w:rPr>
        <w:t xml:space="preserve">e</w:t>
      </w:r>
      <w:r>
        <w:t xml:space="preserve">(</w:t>
      </w:r>
      <w:r>
        <w:rPr>
          <w:iCs/>
          <w:i/>
        </w:rPr>
        <w:t xml:space="preserve">v</w:t>
      </w:r>
      <w:r>
        <w:t xml:space="preserve">) =</w:t>
      </w:r>
      <w:r>
        <w:t xml:space="preserve"> </w:t>
      </w:r>
      <w:r>
        <w:rPr>
          <w:iCs/>
          <w:i/>
        </w:rPr>
        <w:t xml:space="preserve">T</w:t>
      </w:r>
      <w:r>
        <w:rPr>
          <w:vertAlign w:val="superscript"/>
        </w:rPr>
        <w:t xml:space="preserve">∗</w:t>
      </w:r>
      <w:r>
        <w:rPr>
          <w:iCs/>
          <w:i/>
          <w:vertAlign w:val="subscript"/>
        </w:rPr>
        <w:t xml:space="preserve">G</w:t>
      </w:r>
      <w:r>
        <w:t xml:space="preserve">(</w:t>
      </w:r>
      <w:r>
        <w:rPr>
          <w:iCs/>
          <w:i/>
        </w:rPr>
        <w:t xml:space="preserve">v</w:t>
      </w:r>
      <w:r>
        <w:t xml:space="preserve">) for every</w:t>
      </w:r>
      <w:r>
        <w:t xml:space="preserve"> </w:t>
      </w:r>
      <w:r>
        <w:rPr>
          <w:iCs/>
          <w:i/>
        </w:rPr>
        <w:t xml:space="preserve">v</w:t>
      </w:r>
      <w:r>
        <w:t xml:space="preserve">. The other two components of every label, the free beds and the identifier, do not depend on the roads, so every label, and with it every</w:t>
      </w:r>
      <w:r>
        <w:t xml:space="preserve"> </w:t>
      </w:r>
      <w:r>
        <w:rPr>
          <w:iCs/>
          <w:i/>
        </w:rPr>
        <w:t xml:space="preserve">h</w:t>
      </w:r>
      <w:r>
        <w:rPr>
          <w:vertAlign w:val="superscript"/>
        </w:rPr>
        <w:t xml:space="preserve">∗</w:t>
      </w:r>
      <w:r>
        <w:t xml:space="preserve">, is unchanged. □</w:t>
      </w:r>
    </w:p>
    <w:p>
      <w:pPr>
        <w:pStyle w:val="BodyText"/>
      </w:pPr>
      <w:r>
        <w:rPr>
          <w:bCs/>
          <w:b/>
        </w:rPr>
        <w:t xml:space="preserve">Proposition 18 (Greedy site selection is near-optimal).</w:t>
      </w:r>
      <w:r>
        <w:t xml:space="preserve"> </w:t>
      </w:r>
      <w:r>
        <w:t xml:space="preserve">The coverage function</w:t>
      </w:r>
      <w:r>
        <w:t xml:space="preserve"> </w:t>
      </w:r>
      <w:r>
        <w:rPr>
          <w:iCs/>
          <w:i/>
        </w:rPr>
        <w:t xml:space="preserve">f</w:t>
      </w:r>
      <w:r>
        <w:t xml:space="preserve"> </w:t>
      </w:r>
      <w:r>
        <w:t xml:space="preserve">of Equation (26) is nondecreasing and submodular, with</w:t>
      </w:r>
      <w:r>
        <w:t xml:space="preserve"> </w:t>
      </w:r>
      <w:r>
        <w:rPr>
          <w:iCs/>
          <w:i/>
        </w:rPr>
        <w:t xml:space="preserve">f</w:t>
      </w:r>
      <w:r>
        <w:t xml:space="preserve">(∅) = 0. Therefore the set</w:t>
      </w:r>
      <w:r>
        <w:t xml:space="preserve"> </w:t>
      </w:r>
      <w:r>
        <w:rPr>
          <w:iCs/>
          <w:i/>
        </w:rPr>
        <w:t xml:space="preserve">S</w:t>
      </w:r>
      <w:r>
        <w:rPr>
          <w:iCs/>
          <w:i/>
          <w:vertAlign w:val="subscript"/>
        </w:rPr>
        <w:t xml:space="preserve">g</w:t>
      </w:r>
      <w:r>
        <w:t xml:space="preserve"> </w:t>
      </w:r>
      <w:r>
        <w:t xml:space="preserve">chosen by Algorithm 4 satisfies</w:t>
      </w:r>
    </w:p>
    <w:p>
      <w:pPr>
        <w:pStyle w:val="Equation"/>
      </w:pPr>
      <w:r>
        <w:tab/>
      </w:r>
      <w:r>
        <w:drawing>
          <wp:inline>
            <wp:extent cx="4723790" cy="478231"/>
            <wp:effectExtent b="0" l="0" r="0" t="0"/>
            <wp:docPr descr="" title="" id="168" name="Picture"/>
            <a:graphic>
              <a:graphicData uri="http://schemas.openxmlformats.org/drawingml/2006/picture">
                <pic:pic>
                  <pic:nvPicPr>
                    <pic:cNvPr descr="eq/eq32.png" id="169" name="Picture"/>
                    <pic:cNvPicPr>
                      <a:picLocks noChangeArrowheads="1" noChangeAspect="1"/>
                    </pic:cNvPicPr>
                  </pic:nvPicPr>
                  <pic:blipFill>
                    <a:blip r:embed="rId167"/>
                    <a:stretch>
                      <a:fillRect/>
                    </a:stretch>
                  </pic:blipFill>
                  <pic:spPr bwMode="auto">
                    <a:xfrm>
                      <a:off x="0" y="0"/>
                      <a:ext cx="4723790" cy="478231"/>
                    </a:xfrm>
                    <a:prstGeom prst="rect">
                      <a:avLst/>
                    </a:prstGeom>
                    <a:noFill/>
                    <a:ln w="9525">
                      <a:noFill/>
                      <a:headEnd/>
                      <a:tailEnd/>
                    </a:ln>
                  </pic:spPr>
                </pic:pic>
              </a:graphicData>
            </a:graphic>
          </wp:inline>
        </w:drawing>
      </w:r>
      <w:r/>
      <w:r/>
      <w:r>
        <w:rPr>
          <w:rFonts w:ascii="Times New Roman" w:hAnsi="Times New Roman"/>
          <w:sz w:val="24"/>
        </w:rPr>
        <w:tab/>
        <w:t>(32)</w:t>
      </w:r>
    </w:p>
    <w:p>
      <w:pPr>
        <w:pStyle w:val="Source"/>
      </w:pPr>
      <w:r>
        <w:t xml:space="preserve">Source: Nemhauser et al. (1978), applied in this study to the coverage function of Definition 26</w:t>
      </w:r>
    </w:p>
    <w:p>
      <w:pPr>
        <w:pStyle w:val="BodyText"/>
      </w:pPr>
      <w:r>
        <w:t xml:space="preserve">where</w:t>
      </w:r>
      <w:r>
        <w:t xml:space="preserve"> </w:t>
      </w:r>
      <w:r>
        <w:rPr>
          <w:iCs/>
          <w:i/>
        </w:rPr>
        <w:t xml:space="preserve">S</w:t>
      </w:r>
      <w:r>
        <w:rPr>
          <w:iCs/>
          <w:i/>
          <w:vertAlign w:val="superscript"/>
        </w:rPr>
        <w:t xml:space="preserve">opt</w:t>
      </w:r>
      <w:r>
        <w:t xml:space="preserve"> </w:t>
      </w:r>
      <w:r>
        <w:t xml:space="preserve">is the best set of</w:t>
      </w:r>
      <w:r>
        <w:t xml:space="preserve"> </w:t>
      </w:r>
      <w:r>
        <w:rPr>
          <w:iCs/>
          <w:i/>
        </w:rPr>
        <w:t xml:space="preserve">k</w:t>
      </w:r>
      <w:r>
        <w:t xml:space="preserve"> </w:t>
      </w:r>
      <w:r>
        <w:t xml:space="preserve">sites.</w:t>
      </w:r>
    </w:p>
    <w:p>
      <w:pPr>
        <w:pStyle w:val="BodyText"/>
      </w:pPr>
      <w:r>
        <w:rPr>
          <w:iCs/>
          <w:i/>
        </w:rPr>
        <w:t xml:space="preserve">Proof.</w:t>
      </w:r>
      <w:r>
        <w:t xml:space="preserve"> </w:t>
      </w:r>
      <w:r>
        <w:rPr>
          <w:iCs/>
          <w:i/>
        </w:rPr>
        <w:t xml:space="preserve">f</w:t>
      </w:r>
      <w:r>
        <w:t xml:space="preserve">(∅) = 0 because</w:t>
      </w:r>
      <w:r>
        <w:t xml:space="preserve"> </w:t>
      </w:r>
      <w:r>
        <w:rPr>
          <w:iCs/>
          <w:i/>
        </w:rPr>
        <w:t xml:space="preserve">U</w:t>
      </w:r>
      <w:r>
        <w:t xml:space="preserve">(∅) =</w:t>
      </w:r>
      <w:r>
        <w:t xml:space="preserve"> </w:t>
      </w:r>
      <w:r>
        <w:rPr>
          <w:iCs/>
          <w:i/>
        </w:rPr>
        <w:t xml:space="preserve">C</w:t>
      </w:r>
      <w:r>
        <w:rPr>
          <w:vertAlign w:val="subscript"/>
        </w:rPr>
        <w:t xml:space="preserve">0</w:t>
      </w:r>
      <w:r>
        <w:t xml:space="preserve">. Adding sites can only enlarge</w:t>
      </w:r>
      <w:r>
        <w:t xml:space="preserve"> </w:t>
      </w:r>
      <w:r>
        <w:rPr>
          <w:iCs/>
          <w:i/>
        </w:rPr>
        <w:t xml:space="preserve">U</w:t>
      </w:r>
      <w:r>
        <w:t xml:space="preserve">(</w:t>
      </w:r>
      <w:r>
        <w:rPr>
          <w:iCs/>
          <w:i/>
        </w:rPr>
        <w:t xml:space="preserve">S</w:t>
      </w:r>
      <w:r>
        <w:t xml:space="preserve">), so</w:t>
      </w:r>
      <w:r>
        <w:t xml:space="preserve"> </w:t>
      </w:r>
      <w:r>
        <w:rPr>
          <w:iCs/>
          <w:i/>
        </w:rPr>
        <w:t xml:space="preserve">f</w:t>
      </w:r>
      <w:r>
        <w:t xml:space="preserve"> </w:t>
      </w:r>
      <w:r>
        <w:t xml:space="preserve">never decreases. For</w:t>
      </w:r>
      <w:r>
        <w:t xml:space="preserve"> </w:t>
      </w:r>
      <w:r>
        <w:rPr>
          <w:iCs/>
          <w:i/>
        </w:rPr>
        <w:t xml:space="preserve">S</w:t>
      </w:r>
      <w:r>
        <w:t xml:space="preserve"> </w:t>
      </w:r>
      <w:r>
        <w:t xml:space="preserve">⊆</w:t>
      </w:r>
      <w:r>
        <w:t xml:space="preserve"> </w:t>
      </w:r>
      <w:r>
        <w:rPr>
          <w:iCs/>
          <w:i/>
        </w:rPr>
        <w:t xml:space="preserve">S</w:t>
      </w:r>
      <w:r>
        <w:t xml:space="preserve">′ and a site</w:t>
      </w:r>
      <w:r>
        <w:t xml:space="preserve"> </w:t>
      </w:r>
      <w:r>
        <w:rPr>
          <w:iCs/>
          <w:i/>
        </w:rPr>
        <w:t xml:space="preserve">j</w:t>
      </w:r>
      <w:r>
        <w:t xml:space="preserve"> </w:t>
      </w:r>
      <w:r>
        <w:t xml:space="preserve">∉</w:t>
      </w:r>
      <w:r>
        <w:t xml:space="preserve"> </w:t>
      </w:r>
      <w:r>
        <w:rPr>
          <w:iCs/>
          <w:i/>
        </w:rPr>
        <w:t xml:space="preserve">S</w:t>
      </w:r>
      <w:r>
        <w:t xml:space="preserve">′, the gain from adding</w:t>
      </w:r>
      <w:r>
        <w:t xml:space="preserve"> </w:t>
      </w:r>
      <w:r>
        <w:rPr>
          <w:iCs/>
          <w:i/>
        </w:rPr>
        <w:t xml:space="preserve">j</w:t>
      </w:r>
      <w:r>
        <w:t xml:space="preserve"> </w:t>
      </w:r>
      <w:r>
        <w:t xml:space="preserve">to</w:t>
      </w:r>
      <w:r>
        <w:t xml:space="preserve"> </w:t>
      </w:r>
      <w:r>
        <w:rPr>
          <w:iCs/>
          <w:i/>
        </w:rPr>
        <w:t xml:space="preserve">S</w:t>
      </w:r>
      <w:r>
        <w:t xml:space="preserve"> </w:t>
      </w:r>
      <w:r>
        <w:t xml:space="preserve">is Σ</w:t>
      </w:r>
      <w:r>
        <w:rPr>
          <w:iCs/>
          <w:i/>
          <w:vertAlign w:val="subscript"/>
        </w:rPr>
        <w:t xml:space="preserve">a</w:t>
      </w:r>
      <w:r>
        <w:rPr>
          <w:vertAlign w:val="subscript"/>
        </w:rPr>
        <w:t xml:space="preserve"> ∈ </w:t>
      </w:r>
      <w:r>
        <w:rPr>
          <w:iCs/>
          <w:i/>
          <w:vertAlign w:val="subscript"/>
        </w:rPr>
        <w:t xml:space="preserve">Cj</w:t>
      </w:r>
      <w:r>
        <w:rPr>
          <w:vertAlign w:val="subscript"/>
        </w:rPr>
        <w:t xml:space="preserve"> ∖ </w:t>
      </w:r>
      <w:r>
        <w:rPr>
          <w:iCs/>
          <w:i/>
          <w:vertAlign w:val="subscript"/>
        </w:rPr>
        <w:t xml:space="preserve">U</w:t>
      </w:r>
      <w:r>
        <w:rPr>
          <w:vertAlign w:val="subscript"/>
        </w:rPr>
        <w:t xml:space="preserve">(</w:t>
      </w:r>
      <w:r>
        <w:rPr>
          <w:iCs/>
          <w:i/>
          <w:vertAlign w:val="subscript"/>
        </w:rPr>
        <w:t xml:space="preserve">S</w:t>
      </w:r>
      <w:r>
        <w:rPr>
          <w:vertAlign w:val="subscript"/>
        </w:rPr>
        <w:t xml:space="preserve">)</w:t>
      </w:r>
      <w:r>
        <w:t xml:space="preserve"> </w:t>
      </w:r>
      <w:r>
        <w:rPr>
          <w:iCs/>
          <w:i/>
        </w:rPr>
        <w:t xml:space="preserve">P</w:t>
      </w:r>
      <w:r>
        <w:rPr>
          <w:iCs/>
          <w:i/>
          <w:vertAlign w:val="subscript"/>
        </w:rPr>
        <w:t xml:space="preserve">a</w:t>
      </w:r>
      <w:r>
        <w:t xml:space="preserve">, and since</w:t>
      </w:r>
      <w:r>
        <w:t xml:space="preserve"> </w:t>
      </w:r>
      <w:r>
        <w:rPr>
          <w:iCs/>
          <w:i/>
        </w:rPr>
        <w:t xml:space="preserve">U</w:t>
      </w:r>
      <w:r>
        <w:t xml:space="preserve">(</w:t>
      </w:r>
      <w:r>
        <w:rPr>
          <w:iCs/>
          <w:i/>
        </w:rPr>
        <w:t xml:space="preserve">S</w:t>
      </w:r>
      <w:r>
        <w:t xml:space="preserve">) ⊆</w:t>
      </w:r>
      <w:r>
        <w:t xml:space="preserve"> </w:t>
      </w:r>
      <w:r>
        <w:rPr>
          <w:iCs/>
          <w:i/>
        </w:rPr>
        <w:t xml:space="preserve">U</w:t>
      </w:r>
      <w:r>
        <w:t xml:space="preserve">(</w:t>
      </w:r>
      <w:r>
        <w:rPr>
          <w:iCs/>
          <w:i/>
        </w:rPr>
        <w:t xml:space="preserve">S</w:t>
      </w:r>
      <w:r>
        <w:t xml:space="preserve">′), this is at least the gain Σ</w:t>
      </w:r>
      <w:r>
        <w:rPr>
          <w:iCs/>
          <w:i/>
          <w:vertAlign w:val="subscript"/>
        </w:rPr>
        <w:t xml:space="preserve">a</w:t>
      </w:r>
      <w:r>
        <w:rPr>
          <w:vertAlign w:val="subscript"/>
        </w:rPr>
        <w:t xml:space="preserve"> ∈ </w:t>
      </w:r>
      <w:r>
        <w:rPr>
          <w:iCs/>
          <w:i/>
          <w:vertAlign w:val="subscript"/>
        </w:rPr>
        <w:t xml:space="preserve">Cj</w:t>
      </w:r>
      <w:r>
        <w:rPr>
          <w:vertAlign w:val="subscript"/>
        </w:rPr>
        <w:t xml:space="preserve"> ∖ </w:t>
      </w:r>
      <w:r>
        <w:rPr>
          <w:iCs/>
          <w:i/>
          <w:vertAlign w:val="subscript"/>
        </w:rPr>
        <w:t xml:space="preserve">U</w:t>
      </w:r>
      <w:r>
        <w:rPr>
          <w:vertAlign w:val="subscript"/>
        </w:rPr>
        <w:t xml:space="preserve">(</w:t>
      </w:r>
      <w:r>
        <w:rPr>
          <w:iCs/>
          <w:i/>
          <w:vertAlign w:val="subscript"/>
        </w:rPr>
        <w:t xml:space="preserve">S</w:t>
      </w:r>
      <w:r>
        <w:rPr>
          <w:vertAlign w:val="subscript"/>
        </w:rPr>
        <w:t xml:space="preserve">′)</w:t>
      </w:r>
      <w:r>
        <w:t xml:space="preserve"> </w:t>
      </w:r>
      <w:r>
        <w:rPr>
          <w:iCs/>
          <w:i/>
        </w:rPr>
        <w:t xml:space="preserve">P</w:t>
      </w:r>
      <w:r>
        <w:rPr>
          <w:iCs/>
          <w:i/>
          <w:vertAlign w:val="subscript"/>
        </w:rPr>
        <w:t xml:space="preserve">a</w:t>
      </w:r>
      <w:r>
        <w:t xml:space="preserve"> </w:t>
      </w:r>
      <w:r>
        <w:t xml:space="preserve">from adding</w:t>
      </w:r>
      <w:r>
        <w:t xml:space="preserve"> </w:t>
      </w:r>
      <w:r>
        <w:rPr>
          <w:iCs/>
          <w:i/>
        </w:rPr>
        <w:t xml:space="preserve">j</w:t>
      </w:r>
      <w:r>
        <w:t xml:space="preserve"> </w:t>
      </w:r>
      <w:r>
        <w:t xml:space="preserve">to</w:t>
      </w:r>
      <w:r>
        <w:t xml:space="preserve"> </w:t>
      </w:r>
      <w:r>
        <w:rPr>
          <w:iCs/>
          <w:i/>
        </w:rPr>
        <w:t xml:space="preserve">S</w:t>
      </w:r>
      <w:r>
        <w:t xml:space="preserve">′. That is submodularity. The bound in Equation (32) is the theorem of Nemhauser et al. (1978) for nondecreasing submodular functions under a limit on the number of elements chosen. □</w:t>
      </w:r>
    </w:p>
    <w:p>
      <w:pPr>
        <w:pStyle w:val="BodyText"/>
      </w:pPr>
      <w:r>
        <w:rPr>
          <w:bCs/>
          <w:b/>
        </w:rPr>
        <w:t xml:space="preserve">Remark 12 (What the planning results buy).</w:t>
      </w:r>
      <w:r>
        <w:t xml:space="preserve"> </w:t>
      </w:r>
      <w:r>
        <w:t xml:space="preserve">Proposition 17 cuts the work of a road-vulnerability study by more than half on the test graphs (Table 16), because a road segment off the forest cannot matter for that profile. Proposition 18 means that a provincial planner can choose Malasakit Center sites by a rule simple enough to do in a spreadsheet and still be sure of reaching at least 63.2 percent of the best possible coverage; in the tests the greedy rule did much better than its guarantee.</w:t>
      </w:r>
    </w:p>
    <w:bookmarkEnd w:id="170"/>
    <w:bookmarkStart w:id="171" w:name="software-verification"/>
    <w:p>
      <w:pPr>
        <w:pStyle w:val="Heading2"/>
      </w:pPr>
      <w:r>
        <w:t xml:space="preserve">3.3 Software Verification</w:t>
      </w:r>
    </w:p>
    <w:p>
      <w:pPr>
        <w:pStyle w:val="FirstParagraph"/>
      </w:pPr>
      <w:r>
        <w:t xml:space="preserve">To keep programming errors out of the analysis, every proven property was also checked numerically against a separate reference implementation.</w:t>
      </w:r>
    </w:p>
    <w:p>
      <w:pPr>
        <w:pStyle w:val="BodyText"/>
      </w:pPr>
      <w:r>
        <w:t xml:space="preserve">Row 2 of Table 14 deserves a close look.</w:t>
      </w:r>
    </w:p>
    <w:p>
      <w:pPr>
        <w:pStyle w:val="TableCaption"/>
      </w:pPr>
      <w:r>
        <w:rPr>
          <w:bCs/>
          <w:b/>
        </w:rPr>
        <w:t xml:space="preserve">Table 14.</w:t>
      </w:r>
      <w:r>
        <w:t xml:space="preserve"> </w:t>
      </w:r>
      <w:r>
        <w:t xml:space="preserve">Transport pipeline checks, all produced by the project’s test suite on random synthetic instances whose correct answers were obtained independently.</w:t>
      </w:r>
    </w:p>
    <w:tbl>
      <w:tblPr>
        <w:tblStyle w:val="Table"/>
        <w:tblW w:type="pct" w:w="5000"/>
        <w:jc w:val="center"/>
        <w:tblCaption w:val="Table 14. Transport pipeline checks, all produced by the project’s test suite on random synthetic instances whose correct answers were obtained independently."/>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11"/>
        <w:gridCol w:w="3413"/>
        <w:gridCol w:w="2594"/>
      </w:tblGrid>
      <w:tr>
        <w:trPr>
          <w:tblHeader w:val="true"/>
          <w:tblHeader/>
          <w:cantSplit/>
        </w:trPr>
        <w:tc>
          <w:tcPr/>
          <w:p>
            <w:pPr>
              <w:pStyle w:val="Compact"/>
              <w:jc w:val="left"/>
            </w:pPr>
            <w:r>
              <w:rPr>
                <w:b/>
              </w:rPr>
              <w:t xml:space="preserve">Property Checked</w:t>
            </w:r>
          </w:p>
        </w:tc>
        <w:tc>
          <w:tcPr/>
          <w:p>
            <w:pPr>
              <w:pStyle w:val="Compact"/>
              <w:jc w:val="left"/>
            </w:pPr>
            <w:r>
              <w:rPr>
                <w:b/>
              </w:rPr>
              <w:t xml:space="preserve">Method of Check</w:t>
            </w:r>
          </w:p>
        </w:tc>
        <w:tc>
          <w:tcPr/>
          <w:p>
            <w:pPr>
              <w:pStyle w:val="Compact"/>
              <w:jc w:val="left"/>
            </w:pPr>
            <w:r>
              <w:rPr>
                <w:b/>
              </w:rPr>
              <w:t xml:space="preserve">Result</w:t>
            </w:r>
          </w:p>
        </w:tc>
      </w:tr>
      <w:tr>
        <w:trPr>
          <w:cantSplit/>
        </w:trPr>
        <w:tc>
          <w:tcPr/>
          <w:p>
            <w:pPr>
              <w:pStyle w:val="Compact"/>
              <w:jc w:val="left"/>
            </w:pPr>
            <w:r>
              <w:t xml:space="preserve">Correctness of earliest arrival (Prop. 1)</w:t>
            </w:r>
          </w:p>
        </w:tc>
        <w:tc>
          <w:tcPr/>
          <w:p>
            <w:pPr>
              <w:pStyle w:val="Compact"/>
              <w:jc w:val="left"/>
            </w:pPr>
            <w:r>
              <w:t xml:space="preserve">618 random queries over 120 synthetic timetables, checked against complete enumeration of feasible journeys</w:t>
            </w:r>
          </w:p>
        </w:tc>
        <w:tc>
          <w:tcPr/>
          <w:p>
            <w:pPr>
              <w:pStyle w:val="Compact"/>
              <w:jc w:val="left"/>
            </w:pPr>
            <w:r>
              <w:t xml:space="preserve">577 reachable; arrival times agree in every case</w:t>
            </w:r>
          </w:p>
        </w:tc>
      </w:tr>
      <w:tr>
        <w:trPr>
          <w:cantSplit/>
        </w:trPr>
        <w:tc>
          <w:tcPr/>
          <w:p>
            <w:pPr>
              <w:pStyle w:val="Compact"/>
              <w:jc w:val="left"/>
            </w:pPr>
            <w:r>
              <w:t xml:space="preserve">Naive single-scan implementation</w:t>
            </w:r>
          </w:p>
        </w:tc>
        <w:tc>
          <w:tcPr/>
          <w:p>
            <w:pPr>
              <w:pStyle w:val="Compact"/>
              <w:jc w:val="left"/>
            </w:pPr>
            <w:r>
              <w:t xml:space="preserve">The same queries through a one-pass scan whose footpaths are not transitively closed</w:t>
            </w:r>
          </w:p>
        </w:tc>
        <w:tc>
          <w:tcPr/>
          <w:p>
            <w:pPr>
              <w:pStyle w:val="Compact"/>
              <w:jc w:val="left"/>
            </w:pPr>
            <w:r>
              <w:t xml:space="preserve">Late in 274 of 577 reachable queries (47.5%); mean error 32.5 min; worst 109 min</w:t>
            </w:r>
          </w:p>
        </w:tc>
      </w:tr>
      <w:tr>
        <w:trPr>
          <w:cantSplit/>
        </w:trPr>
        <w:tc>
          <w:tcPr/>
          <w:p>
            <w:pPr>
              <w:pStyle w:val="Compact"/>
              <w:jc w:val="left"/>
            </w:pPr>
            <w:r>
              <w:t xml:space="preserve">Gini scale invariance (Prop. 5 ii)</w:t>
            </w:r>
          </w:p>
        </w:tc>
        <w:tc>
          <w:tcPr/>
          <w:p>
            <w:pPr>
              <w:pStyle w:val="Compact"/>
              <w:jc w:val="left"/>
            </w:pPr>
            <w:r>
              <w:t xml:space="preserve">500 random weighted vectors, λ drawn from [0.2, 12]</w:t>
            </w:r>
          </w:p>
        </w:tc>
        <w:tc>
          <w:tcPr/>
          <w:p>
            <w:pPr>
              <w:pStyle w:val="Compact"/>
              <w:jc w:val="left"/>
            </w:pPr>
            <w:r>
              <w:t xml:space="preserve">Largest deviation 2.2 × 10</w:t>
            </w:r>
            <w:r>
              <w:rPr>
                <w:vertAlign w:val="superscript"/>
              </w:rPr>
              <w:t xml:space="preserve">−16</w:t>
            </w:r>
          </w:p>
        </w:tc>
      </w:tr>
      <w:tr>
        <w:trPr>
          <w:cantSplit/>
        </w:trPr>
        <w:tc>
          <w:tcPr/>
          <w:p>
            <w:pPr>
              <w:pStyle w:val="Compact"/>
              <w:jc w:val="left"/>
            </w:pPr>
            <w:r>
              <w:t xml:space="preserve">Gini under translation (Prop. 5 iii)</w:t>
            </w:r>
          </w:p>
        </w:tc>
        <w:tc>
          <w:tcPr/>
          <w:p>
            <w:pPr>
              <w:pStyle w:val="Compact"/>
              <w:jc w:val="left"/>
            </w:pPr>
            <w:r>
              <w:t xml:space="preserve">500 random weighted vectors,</w:t>
            </w:r>
            <w:r>
              <w:t xml:space="preserve"> </w:t>
            </w:r>
            <w:r>
              <w:rPr>
                <w:iCs/>
                <w:i/>
              </w:rPr>
              <w:t xml:space="preserve">c</w:t>
            </w:r>
            <w:r>
              <w:t xml:space="preserve"> </w:t>
            </w:r>
            <w:r>
              <w:t xml:space="preserve">drawn from [0.5, 20]</w:t>
            </w:r>
          </w:p>
        </w:tc>
        <w:tc>
          <w:tcPr/>
          <w:p>
            <w:pPr>
              <w:pStyle w:val="Compact"/>
              <w:jc w:val="left"/>
            </w:pPr>
            <w:r>
              <w:t xml:space="preserve">Lower index in all 500 cases</w:t>
            </w:r>
          </w:p>
        </w:tc>
      </w:tr>
      <w:tr>
        <w:trPr>
          <w:cantSplit/>
        </w:trPr>
        <w:tc>
          <w:tcPr/>
          <w:p>
            <w:pPr>
              <w:pStyle w:val="Compact"/>
              <w:jc w:val="left"/>
            </w:pPr>
            <w:r>
              <w:t xml:space="preserve">Theil decomposition (Prop. 6)</w:t>
            </w:r>
          </w:p>
        </w:tc>
        <w:tc>
          <w:tcPr/>
          <w:p>
            <w:pPr>
              <w:pStyle w:val="Compact"/>
              <w:jc w:val="left"/>
            </w:pPr>
            <w:r>
              <w:t xml:space="preserve">500 random two-group partitions</w:t>
            </w:r>
          </w:p>
        </w:tc>
        <w:tc>
          <w:tcPr/>
          <w:p>
            <w:pPr>
              <w:pStyle w:val="Compact"/>
              <w:jc w:val="left"/>
            </w:pPr>
            <w:r>
              <w:t xml:space="preserve">Largest residual 5.6 × 10</w:t>
            </w:r>
            <w:r>
              <w:rPr>
                <w:vertAlign w:val="superscript"/>
              </w:rPr>
              <w:t xml:space="preserve">−16</w:t>
            </w:r>
          </w:p>
        </w:tc>
      </w:tr>
      <w:tr>
        <w:trPr>
          <w:cantSplit/>
        </w:trPr>
        <w:tc>
          <w:tcPr/>
          <w:p>
            <w:pPr>
              <w:pStyle w:val="Compact"/>
              <w:jc w:val="left"/>
            </w:pPr>
            <w:r>
              <w:t xml:space="preserve">Vehicle-class monotonicity (Prop. 3)</w:t>
            </w:r>
          </w:p>
        </w:tc>
        <w:tc>
          <w:tcPr/>
          <w:p>
            <w:pPr>
              <w:pStyle w:val="Compact"/>
              <w:jc w:val="left"/>
            </w:pPr>
            <w:r>
              <w:t xml:space="preserve">300 random road graphs; restricted class made by deleting 35% of the arcs</w:t>
            </w:r>
          </w:p>
        </w:tc>
        <w:tc>
          <w:tcPr/>
          <w:p>
            <w:pPr>
              <w:pStyle w:val="Compact"/>
              <w:jc w:val="left"/>
            </w:pPr>
            <w:r>
              <w:t xml:space="preserve">Zero violations over 11,620 origin-destination pairs</w:t>
            </w:r>
          </w:p>
        </w:tc>
      </w:tr>
      <w:tr>
        <w:trPr>
          <w:cantSplit/>
        </w:trPr>
        <w:tc>
          <w:tcPr/>
          <w:p>
            <w:pPr>
              <w:pStyle w:val="Compact"/>
              <w:jc w:val="left"/>
            </w:pPr>
            <w:r>
              <w:t xml:space="preserve">Fare monotonicity and subadditivity (Prop. 7)</w:t>
            </w:r>
          </w:p>
        </w:tc>
        <w:tc>
          <w:tcPr/>
          <w:p>
            <w:pPr>
              <w:pStyle w:val="Compact"/>
              <w:jc w:val="left"/>
            </w:pPr>
            <w:r>
              <w:t xml:space="preserve">Distance sweep to 60 km and 1,000 random leg splits</w:t>
            </w:r>
          </w:p>
        </w:tc>
        <w:tc>
          <w:tcPr/>
          <w:p>
            <w:pPr>
              <w:pStyle w:val="Compact"/>
              <w:jc w:val="left"/>
            </w:pPr>
            <w:r>
              <w:t xml:space="preserve">Monotone over the sweep; subadditive in every split</w:t>
            </w:r>
          </w:p>
        </w:tc>
      </w:tr>
    </w:tbl>
    <w:p>
      <w:pPr>
        <w:pStyle w:val="BodyText"/>
        <w:spacing w:before="200"/>
      </w:pPr>
      <w:r>
        <w:t xml:space="preserve">Hospital mode and the agent network were checked the same way by</w:t>
      </w:r>
      <w:r>
        <w:t xml:space="preserve"> </w:t>
      </w:r>
      <w:r>
        <w:rPr>
          <w:rStyle w:val="VerbatimChar"/>
        </w:rPr>
        <w:t xml:space="preserve">verify_hospital_mode.py</w:t>
      </w:r>
      <w:r>
        <w:t xml:space="preserve">, run with a fixed seed.</w:t>
      </w:r>
    </w:p>
    <w:p>
      <w:pPr>
        <w:pStyle w:val="TableCaption"/>
      </w:pPr>
      <w:r>
        <w:rPr>
          <w:bCs/>
          <w:b/>
        </w:rPr>
        <w:t xml:space="preserve">Table 15.</w:t>
      </w:r>
      <w:r>
        <w:t xml:space="preserve"> </w:t>
      </w:r>
      <w:r>
        <w:t xml:space="preserve">Checks on hospital mode and on the agent network (synthetic inputs only; no real hospital or mailbox).</w:t>
      </w:r>
    </w:p>
    <w:tbl>
      <w:tblPr>
        <w:tblStyle w:val="Table"/>
        <w:tblW w:type="pct" w:w="5000"/>
        <w:jc w:val="center"/>
        <w:tblCaption w:val="Table 15. Checks on hospital mode and on the agent network (synthetic inputs only; no real hospital or mailbo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11"/>
        <w:gridCol w:w="3413"/>
        <w:gridCol w:w="2594"/>
      </w:tblGrid>
      <w:tr>
        <w:trPr>
          <w:tblHeader w:val="true"/>
          <w:tblHeader/>
          <w:cantSplit/>
        </w:trPr>
        <w:tc>
          <w:tcPr/>
          <w:p>
            <w:pPr>
              <w:pStyle w:val="Compact"/>
              <w:jc w:val="left"/>
            </w:pPr>
            <w:r>
              <w:rPr>
                <w:b/>
              </w:rPr>
              <w:t xml:space="preserve">Property Checked</w:t>
            </w:r>
          </w:p>
        </w:tc>
        <w:tc>
          <w:tcPr/>
          <w:p>
            <w:pPr>
              <w:pStyle w:val="Compact"/>
              <w:jc w:val="left"/>
            </w:pPr>
            <w:r>
              <w:rPr>
                <w:b/>
              </w:rPr>
              <w:t xml:space="preserve">Method of Check</w:t>
            </w:r>
          </w:p>
        </w:tc>
        <w:tc>
          <w:tcPr/>
          <w:p>
            <w:pPr>
              <w:pStyle w:val="Compact"/>
              <w:jc w:val="left"/>
            </w:pPr>
            <w:r>
              <w:rPr>
                <w:b/>
              </w:rPr>
              <w:t xml:space="preserve">Result</w:t>
            </w:r>
          </w:p>
        </w:tc>
      </w:tr>
      <w:tr>
        <w:trPr>
          <w:cantSplit/>
        </w:trPr>
        <w:tc>
          <w:tcPr/>
          <w:p>
            <w:pPr>
              <w:pStyle w:val="Compact"/>
              <w:jc w:val="left"/>
            </w:pPr>
            <w:r>
              <w:t xml:space="preserve">Early stopping, ambulance mode (Prop. 9,</w:t>
            </w:r>
            <w:r>
              <w:t xml:space="preserve"> </w:t>
            </w:r>
            <w:r>
              <w:rPr>
                <w:iCs/>
                <w:i/>
              </w:rPr>
              <w:t xml:space="preserve">k</w:t>
            </w:r>
            <w:r>
              <w:t xml:space="preserve"> </w:t>
            </w:r>
            <w:r>
              <w:t xml:space="preserve">= 1)</w:t>
            </w:r>
          </w:p>
        </w:tc>
        <w:tc>
          <w:tcPr/>
          <w:p>
            <w:pPr>
              <w:pStyle w:val="Compact"/>
              <w:jc w:val="left"/>
            </w:pPr>
            <w:r>
              <w:t xml:space="preserve">200 random road graphs (120 to 260 vertices, 6 to 15 hospitals, roughly 23% of arcs shut to the ambulance class); 4,000 random origin-profile queries against Floyd-Warshall distances and a set-based suitability filter</w:t>
            </w:r>
          </w:p>
        </w:tc>
        <w:tc>
          <w:tcPr/>
          <w:p>
            <w:pPr>
              <w:pStyle w:val="Compact"/>
              <w:jc w:val="left"/>
            </w:pPr>
            <w:r>
              <w:t xml:space="preserve">Reachable suitable hospital in 2,911 queries; hospital and travel time agree in all</w:t>
            </w:r>
          </w:p>
        </w:tc>
      </w:tr>
      <w:tr>
        <w:trPr>
          <w:cantSplit/>
        </w:trPr>
        <w:tc>
          <w:tcPr/>
          <w:p>
            <w:pPr>
              <w:pStyle w:val="Compact"/>
              <w:jc w:val="left"/>
            </w:pPr>
            <w:r>
              <w:t xml:space="preserve">Early stopping, patient mode (Prop. 9,</w:t>
            </w:r>
            <w:r>
              <w:t xml:space="preserve"> </w:t>
            </w:r>
            <w:r>
              <w:rPr>
                <w:iCs/>
                <w:i/>
              </w:rPr>
              <w:t xml:space="preserve">k</w:t>
            </w:r>
            <w:r>
              <w:t xml:space="preserve"> </w:t>
            </w:r>
            <w:r>
              <w:t xml:space="preserve">= 1)</w:t>
            </w:r>
          </w:p>
        </w:tc>
        <w:tc>
          <w:tcPr/>
          <w:p>
            <w:pPr>
              <w:pStyle w:val="Compact"/>
              <w:jc w:val="left"/>
            </w:pPr>
            <w:r>
              <w:t xml:space="preserve">120 random timetables (12 to 20 stops, 4 to 6 routes, 3 to 6 hospitals with sink vertices); 1,200 queries against a dynamic program in topological order</w:t>
            </w:r>
          </w:p>
        </w:tc>
        <w:tc>
          <w:tcPr/>
          <w:p>
            <w:pPr>
              <w:pStyle w:val="Compact"/>
              <w:jc w:val="left"/>
            </w:pPr>
            <w:r>
              <w:t xml:space="preserve">Reachable suitable hospital in 660 queries; full agreement; no arc runs backward in time</w:t>
            </w:r>
          </w:p>
        </w:tc>
      </w:tr>
      <w:tr>
        <w:trPr>
          <w:cantSplit/>
        </w:trPr>
        <w:tc>
          <w:tcPr/>
          <w:p>
            <w:pPr>
              <w:pStyle w:val="Compact"/>
              <w:jc w:val="left"/>
            </w:pPr>
            <w:r>
              <w:t xml:space="preserve">Nesting and monotonicity (Prop. 10 i to iii)</w:t>
            </w:r>
          </w:p>
        </w:tc>
        <w:tc>
          <w:tcPr/>
          <w:p>
            <w:pPr>
              <w:pStyle w:val="Compact"/>
              <w:jc w:val="left"/>
            </w:pPr>
            <w:r>
              <w:t xml:space="preserve">Each of 20 profiles at every ambulance query: 140,000 set-inclusion checks and 140,000 travel-time checks; 25,200 travel-time checks on the transit queries</w:t>
            </w:r>
          </w:p>
        </w:tc>
        <w:tc>
          <w:tcPr/>
          <w:p>
            <w:pPr>
              <w:pStyle w:val="Compact"/>
              <w:jc w:val="left"/>
            </w:pPr>
            <w:r>
              <w:t xml:space="preserve">No violation found</w:t>
            </w:r>
          </w:p>
        </w:tc>
      </w:tr>
      <w:tr>
        <w:trPr>
          <w:cantSplit/>
        </w:trPr>
        <w:tc>
          <w:tcPr/>
          <w:p>
            <w:pPr>
              <w:pStyle w:val="Compact"/>
              <w:jc w:val="left"/>
            </w:pPr>
            <w:r>
              <w:t xml:space="preserve">Payment gap (Cor. 11 a)</w:t>
            </w:r>
          </w:p>
        </w:tc>
        <w:tc>
          <w:tcPr/>
          <w:p>
            <w:pPr>
              <w:pStyle w:val="Compact"/>
              <w:jc w:val="left"/>
            </w:pPr>
            <w:r>
              <w:t xml:space="preserve">80,000 origin-profile pairs drawn from the ambulance instances</w:t>
            </w:r>
          </w:p>
        </w:tc>
        <w:tc>
          <w:tcPr/>
          <w:p>
            <w:pPr>
              <w:pStyle w:val="Compact"/>
              <w:jc w:val="left"/>
            </w:pPr>
            <w:r>
              <w:t xml:space="preserve">Never below zero; zero for every emergency profile</w:t>
            </w:r>
          </w:p>
        </w:tc>
      </w:tr>
      <w:tr>
        <w:trPr>
          <w:cantSplit/>
        </w:trPr>
        <w:tc>
          <w:tcPr/>
          <w:p>
            <w:pPr>
              <w:pStyle w:val="Compact"/>
              <w:jc w:val="left"/>
            </w:pPr>
            <w:r>
              <w:t xml:space="preserve">Reader extraction (rule V2)</w:t>
            </w:r>
          </w:p>
        </w:tc>
        <w:tc>
          <w:tcPr/>
          <w:p>
            <w:pPr>
              <w:pStyle w:val="Compact"/>
              <w:jc w:val="left"/>
            </w:pPr>
            <w:r>
              <w:t xml:space="preserve">2,400 synthetic replies from 12 templates: 8 readable (reply form; English or Filipino free text with dates and telephone numbers as distractors) and 4 unreadable or contradictory</w:t>
            </w:r>
          </w:p>
        </w:tc>
        <w:tc>
          <w:tcPr/>
          <w:p>
            <w:pPr>
              <w:pStyle w:val="Compact"/>
              <w:jc w:val="left"/>
            </w:pPr>
            <w:r>
              <w:t xml:space="preserve">1,600 of 1,600 readable replies read exactly; 800 of 800 others referred to review; no wrong value</w:t>
            </w:r>
          </w:p>
        </w:tc>
      </w:tr>
      <w:tr>
        <w:trPr>
          <w:cantSplit/>
        </w:trPr>
        <w:tc>
          <w:tcPr/>
          <w:p>
            <w:pPr>
              <w:pStyle w:val="Compact"/>
              <w:jc w:val="left"/>
            </w:pPr>
            <w:r>
              <w:t xml:space="preserve">Message load (Prop. 12 i)</w:t>
            </w:r>
          </w:p>
        </w:tc>
        <w:tc>
          <w:tcPr/>
          <w:p>
            <w:pPr>
              <w:pStyle w:val="Compact"/>
              <w:jc w:val="left"/>
            </w:pPr>
            <w:r>
              <w:t xml:space="preserve">Mock mail environment, 60 hospitals, 30 days; 7,225 messages sent (4,902 inquiries and 2,323 reminders)</w:t>
            </w:r>
          </w:p>
        </w:tc>
        <w:tc>
          <w:tcPr/>
          <w:p>
            <w:pPr>
              <w:pStyle w:val="Compact"/>
              <w:jc w:val="left"/>
            </w:pPr>
            <w:r>
              <w:t xml:space="preserve">No hospital received more than 2 messages per cycle or 6 per day</w:t>
            </w:r>
          </w:p>
        </w:tc>
      </w:tr>
      <w:tr>
        <w:trPr>
          <w:cantSplit/>
        </w:trPr>
        <w:tc>
          <w:tcPr/>
          <w:p>
            <w:pPr>
              <w:pStyle w:val="Compact"/>
              <w:jc w:val="left"/>
            </w:pPr>
            <w:r>
              <w:t xml:space="preserve">Opt-out (Prop. 12 ii)</w:t>
            </w:r>
          </w:p>
        </w:tc>
        <w:tc>
          <w:tcPr/>
          <w:p>
            <w:pPr>
              <w:pStyle w:val="Compact"/>
              <w:jc w:val="left"/>
            </w:pPr>
            <w:r>
              <w:t xml:space="preserve">6 hospitals opting out after 2 to 10 messages</w:t>
            </w:r>
          </w:p>
        </w:tc>
        <w:tc>
          <w:tcPr/>
          <w:p>
            <w:pPr>
              <w:pStyle w:val="Compact"/>
              <w:jc w:val="left"/>
            </w:pPr>
            <w:r>
              <w:t xml:space="preserve">Nothing sent after an opt-out arrived</w:t>
            </w:r>
          </w:p>
        </w:tc>
      </w:tr>
      <w:tr>
        <w:trPr>
          <w:cantSplit/>
        </w:trPr>
        <w:tc>
          <w:tcPr/>
          <w:p>
            <w:pPr>
              <w:pStyle w:val="Compact"/>
              <w:jc w:val="left"/>
            </w:pPr>
            <w:r>
              <w:t xml:space="preserve">Report age (Prop. 12 iii)</w:t>
            </w:r>
          </w:p>
        </w:tc>
        <w:tc>
          <w:tcPr/>
          <w:p>
            <w:pPr>
              <w:pStyle w:val="Compact"/>
              <w:jc w:val="left"/>
            </w:pPr>
            <w:r>
              <w:t xml:space="preserve">24 hospitals replying within 2 h; age logged every 10 min</w:t>
            </w:r>
          </w:p>
        </w:tc>
        <w:tc>
          <w:tcPr/>
          <w:p>
            <w:pPr>
              <w:pStyle w:val="Compact"/>
              <w:jc w:val="left"/>
            </w:pPr>
            <w:r>
              <w:t xml:space="preserve">Oldest 579.8 min, inside the 600 min bound; never UNKNOWN after the first report</w:t>
            </w:r>
          </w:p>
        </w:tc>
      </w:tr>
      <w:tr>
        <w:trPr>
          <w:cantSplit/>
        </w:trPr>
        <w:tc>
          <w:tcPr/>
          <w:p>
            <w:pPr>
              <w:pStyle w:val="Compact"/>
              <w:jc w:val="left"/>
            </w:pPr>
            <w:r>
              <w:t xml:space="preserve">Validation (Table 11)</w:t>
            </w:r>
          </w:p>
        </w:tc>
        <w:tc>
          <w:tcPr/>
          <w:p>
            <w:pPr>
              <w:pStyle w:val="Compact"/>
              <w:jc w:val="left"/>
            </w:pPr>
            <w:r>
              <w:t xml:space="preserve">3,849 replies from the 51 responding hospitals, 67 of them with capacity typed ten times too large</w:t>
            </w:r>
          </w:p>
        </w:tc>
        <w:tc>
          <w:tcPr/>
          <w:p>
            <w:pPr>
              <w:pStyle w:val="Compact"/>
              <w:jc w:val="left"/>
            </w:pPr>
            <w:r>
              <w:t xml:space="preserve">3,302 accepted, none carrying a wrong value; 547 held, all 67 typing errors among them</w:t>
            </w:r>
          </w:p>
        </w:tc>
      </w:tr>
      <w:tr>
        <w:trPr>
          <w:cantSplit/>
        </w:trPr>
        <w:tc>
          <w:tcPr/>
          <w:p>
            <w:pPr>
              <w:pStyle w:val="Compact"/>
              <w:jc w:val="left"/>
            </w:pPr>
            <w:r>
              <w:t xml:space="preserve">Authentication (rule V1)</w:t>
            </w:r>
          </w:p>
        </w:tc>
        <w:tc>
          <w:tcPr/>
          <w:p>
            <w:pPr>
              <w:pStyle w:val="Compact"/>
              <w:jc w:val="left"/>
            </w:pPr>
            <w:r>
              <w:t xml:space="preserve">200 forged replies: never-issued tokens, genuine tokens from a look-alike address, or another hospital’s token</w:t>
            </w:r>
          </w:p>
        </w:tc>
        <w:tc>
          <w:tcPr/>
          <w:p>
            <w:pPr>
              <w:pStyle w:val="Compact"/>
              <w:jc w:val="left"/>
            </w:pPr>
            <w:r>
              <w:t xml:space="preserve">None accepted</w:t>
            </w:r>
          </w:p>
        </w:tc>
      </w:tr>
    </w:tbl>
    <w:p>
      <w:pPr>
        <w:pStyle w:val="BodyText"/>
        <w:spacing w:before="200"/>
      </w:pPr>
      <w:r>
        <w:t xml:space="preserve">Two rows of Table 15 need comment.</w:t>
      </w:r>
    </w:p>
    <w:p>
      <w:pPr>
        <w:pStyle w:val="TableCaption"/>
      </w:pPr>
      <w:r>
        <w:rPr>
          <w:bCs/>
          <w:b/>
        </w:rPr>
        <w:t xml:space="preserve">Table 16.</w:t>
      </w:r>
      <w:r>
        <w:t xml:space="preserve"> </w:t>
      </w:r>
      <w:r>
        <w:t xml:space="preserve">Checks on the patient-needs and planning tools added in this revision, produced by</w:t>
      </w:r>
      <w:r>
        <w:t xml:space="preserve"> </w:t>
      </w:r>
      <w:r>
        <w:rPr>
          <w:rStyle w:val="VerbatimChar"/>
        </w:rPr>
        <w:t xml:space="preserve">verify_patient_extensions.py</w:t>
      </w:r>
      <w:r>
        <w:t xml:space="preserve"> </w:t>
      </w:r>
      <w:r>
        <w:t xml:space="preserve">(seed 20261013; synthetic inputs only).</w:t>
      </w:r>
    </w:p>
    <w:tbl>
      <w:tblPr>
        <w:tblStyle w:val="Table"/>
        <w:tblW w:type="pct" w:w="5000"/>
        <w:jc w:val="center"/>
        <w:tblCaption w:val="Table 16. Checks on the patient-needs and planning tools added in this revision, produced by verify_patient_extensions.py (seed 20261013; synthetic inputs only)."/>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11"/>
        <w:gridCol w:w="3413"/>
        <w:gridCol w:w="2594"/>
      </w:tblGrid>
      <w:tr>
        <w:trPr>
          <w:tblHeader w:val="true"/>
          <w:tblHeader/>
          <w:cantSplit/>
        </w:trPr>
        <w:tc>
          <w:tcPr/>
          <w:p>
            <w:pPr>
              <w:pStyle w:val="Compact"/>
              <w:jc w:val="left"/>
            </w:pPr>
            <w:r>
              <w:rPr>
                <w:b/>
              </w:rPr>
              <w:t xml:space="preserve">Property Checked</w:t>
            </w:r>
          </w:p>
        </w:tc>
        <w:tc>
          <w:tcPr/>
          <w:p>
            <w:pPr>
              <w:pStyle w:val="Compact"/>
              <w:jc w:val="left"/>
            </w:pPr>
            <w:r>
              <w:rPr>
                <w:b/>
              </w:rPr>
              <w:t xml:space="preserve">Method of Check</w:t>
            </w:r>
          </w:p>
        </w:tc>
        <w:tc>
          <w:tcPr/>
          <w:p>
            <w:pPr>
              <w:pStyle w:val="Compact"/>
              <w:jc w:val="left"/>
            </w:pPr>
            <w:r>
              <w:rPr>
                <w:b/>
              </w:rPr>
              <w:t xml:space="preserve">Result</w:t>
            </w:r>
          </w:p>
        </w:tc>
      </w:tr>
      <w:tr>
        <w:trPr>
          <w:cantSplit/>
        </w:trPr>
        <w:tc>
          <w:tcPr/>
          <w:p>
            <w:pPr>
              <w:pStyle w:val="Compact"/>
              <w:jc w:val="left"/>
            </w:pPr>
            <w:r>
              <w:t xml:space="preserve">Early stopping with backups, ambulance mode (Prop. 9,</w:t>
            </w:r>
            <w:r>
              <w:t xml:space="preserve"> </w:t>
            </w:r>
            <w:r>
              <w:rPr>
                <w:iCs/>
                <w:i/>
              </w:rPr>
              <w:t xml:space="preserve">k</w:t>
            </w:r>
            <w:r>
              <w:t xml:space="preserve"> </w:t>
            </w:r>
            <w:r>
              <w:t xml:space="preserve">= 1 and</w:t>
            </w:r>
            <w:r>
              <w:t xml:space="preserve"> </w:t>
            </w:r>
            <w:r>
              <w:rPr>
                <w:iCs/>
                <w:i/>
              </w:rPr>
              <w:t xml:space="preserve">k</w:t>
            </w:r>
            <w:r>
              <w:t xml:space="preserve"> </w:t>
            </w:r>
            <w:r>
              <w:t xml:space="preserve">= 3)</w:t>
            </w:r>
          </w:p>
        </w:tc>
        <w:tc>
          <w:tcPr/>
          <w:p>
            <w:pPr>
              <w:pStyle w:val="Compact"/>
              <w:jc w:val="left"/>
            </w:pPr>
            <w:r>
              <w:t xml:space="preserve">200 random road graphs (120 to 260 vertices; 6 to 15 hospitals with random levels, service lists, cost classes, and statuses; about 20% of road segments closed to the ambulance class); 4,000 random queries with 0 to 2 required services, against Floyd-Warshall distances and a set-based suitability filter</w:t>
            </w:r>
          </w:p>
        </w:tc>
        <w:tc>
          <w:tcPr/>
          <w:p>
            <w:pPr>
              <w:pStyle w:val="Compact"/>
              <w:jc w:val="left"/>
            </w:pPr>
            <w:r>
              <w:t xml:space="preserve">Suitable hospital reachable in 2,355 queries; the first hospital and the ranked list of three agree with the reference in all 4,000</w:t>
            </w:r>
          </w:p>
        </w:tc>
      </w:tr>
      <w:tr>
        <w:trPr>
          <w:cantSplit/>
        </w:trPr>
        <w:tc>
          <w:tcPr/>
          <w:p>
            <w:pPr>
              <w:pStyle w:val="Compact"/>
              <w:jc w:val="left"/>
            </w:pPr>
            <w:r>
              <w:t xml:space="preserve">Need monotonicity (Prop. 10 iv)</w:t>
            </w:r>
          </w:p>
        </w:tc>
        <w:tc>
          <w:tcPr/>
          <w:p>
            <w:pPr>
              <w:pStyle w:val="Compact"/>
              <w:jc w:val="left"/>
            </w:pPr>
            <w:r>
              <w:t xml:space="preserve">Every one-service enlargement of the need set of each query</w:t>
            </w:r>
          </w:p>
        </w:tc>
        <w:tc>
          <w:tcPr/>
          <w:p>
            <w:pPr>
              <w:pStyle w:val="Compact"/>
              <w:jc w:val="left"/>
            </w:pPr>
            <w:r>
              <w:t xml:space="preserve">28,037 set-inclusion checks and 28,037 travel-time checks; no violation</w:t>
            </w:r>
          </w:p>
        </w:tc>
      </w:tr>
      <w:tr>
        <w:trPr>
          <w:cantSplit/>
        </w:trPr>
        <w:tc>
          <w:tcPr/>
          <w:p>
            <w:pPr>
              <w:pStyle w:val="Compact"/>
              <w:jc w:val="left"/>
            </w:pPr>
            <w:r>
              <w:t xml:space="preserve">Early stopping, patient mode (Prop. 9)</w:t>
            </w:r>
          </w:p>
        </w:tc>
        <w:tc>
          <w:tcPr/>
          <w:p>
            <w:pPr>
              <w:pStyle w:val="Compact"/>
              <w:jc w:val="left"/>
            </w:pPr>
            <w:r>
              <w:t xml:space="preserve">120 random timetables (12 to 20 stops, 4 to 6 routes run both ways, 3 to 6 hospitals placed 0.1 to 0.8 km from a stop); 1,200 queries against the same search run to exhaustion</w:t>
            </w:r>
          </w:p>
        </w:tc>
        <w:tc>
          <w:tcPr/>
          <w:p>
            <w:pPr>
              <w:pStyle w:val="Compact"/>
              <w:jc w:val="left"/>
            </w:pPr>
            <w:r>
              <w:t xml:space="preserve">Agreement in all 1,200</w:t>
            </w:r>
          </w:p>
        </w:tc>
      </w:tr>
      <w:tr>
        <w:trPr>
          <w:cantSplit/>
        </w:trPr>
        <w:tc>
          <w:tcPr/>
          <w:p>
            <w:pPr>
              <w:pStyle w:val="Compact"/>
              <w:jc w:val="left"/>
            </w:pPr>
            <w:r>
              <w:t xml:space="preserve">Slower walking (Prop. 13)</w:t>
            </w:r>
          </w:p>
        </w:tc>
        <w:tc>
          <w:tcPr/>
          <w:p>
            <w:pPr>
              <w:pStyle w:val="Compact"/>
              <w:jc w:val="left"/>
            </w:pPr>
            <w:r>
              <w:t xml:space="preserve">The same 1,200 queries for the standard class (4.5 km/h, 15 min cap) and the slow class (3.0 km/h, 10 min cap)</w:t>
            </w:r>
          </w:p>
        </w:tc>
        <w:tc>
          <w:tcPr/>
          <w:p>
            <w:pPr>
              <w:pStyle w:val="Compact"/>
              <w:jc w:val="left"/>
            </w:pPr>
            <w:r>
              <w:t xml:space="preserve">Slow walker never earlier. Where both reached a suitable hospital (673 queries), the slow walker was later in all 673 (mean +6.27 min, worst +68.4 min) and was sent to a different hospital in 151. In 280 more queries only the standard walker reached one</w:t>
            </w:r>
          </w:p>
        </w:tc>
      </w:tr>
      <w:tr>
        <w:trPr>
          <w:cantSplit/>
        </w:trPr>
        <w:tc>
          <w:tcPr/>
          <w:p>
            <w:pPr>
              <w:pStyle w:val="Compact"/>
              <w:jc w:val="left"/>
            </w:pPr>
            <w:r>
              <w:t xml:space="preserve">Catchment map from one search (Prop. 14)</w:t>
            </w:r>
          </w:p>
        </w:tc>
        <w:tc>
          <w:tcPr/>
          <w:p>
            <w:pPr>
              <w:pStyle w:val="Compact"/>
              <w:jc w:val="left"/>
            </w:pPr>
            <w:r>
              <w:t xml:space="preserve">60 random road graphs; Algorithm 2 against one early-stopping search from every vertex</w:t>
            </w:r>
          </w:p>
        </w:tc>
        <w:tc>
          <w:tcPr/>
          <w:p>
            <w:pPr>
              <w:pStyle w:val="Compact"/>
              <w:jc w:val="left"/>
            </w:pPr>
            <w:r>
              <w:t xml:space="preserve">Same hospital and travel time at all 11,474 vertices</w:t>
            </w:r>
          </w:p>
        </w:tc>
      </w:tr>
      <w:tr>
        <w:trPr>
          <w:cantSplit/>
        </w:trPr>
        <w:tc>
          <w:tcPr/>
          <w:p>
            <w:pPr>
              <w:pStyle w:val="Compact"/>
              <w:jc w:val="left"/>
            </w:pPr>
            <w:r>
              <w:t xml:space="preserve">Critical segments (Prop. 17)</w:t>
            </w:r>
          </w:p>
        </w:tc>
        <w:tc>
          <w:tcPr/>
          <w:p>
            <w:pPr>
              <w:pStyle w:val="Compact"/>
              <w:jc w:val="left"/>
            </w:pPr>
            <w:r>
              <w:t xml:space="preserve">Each of the 17,168 open road segments of the 60 graphs closed in turn and the map recomputed</w:t>
            </w:r>
          </w:p>
        </w:tc>
        <w:tc>
          <w:tcPr/>
          <w:p>
            <w:pPr>
              <w:pStyle w:val="Compact"/>
              <w:jc w:val="left"/>
            </w:pPr>
            <w:r>
              <w:t xml:space="preserve">8,576 segments lie on the forest, and closing any of them changed at least one vertex’s hospital or time; closing any of the other 8,592 changed nothing</w:t>
            </w:r>
          </w:p>
        </w:tc>
      </w:tr>
      <w:tr>
        <w:trPr>
          <w:cantSplit/>
        </w:trPr>
        <w:tc>
          <w:tcPr/>
          <w:p>
            <w:pPr>
              <w:pStyle w:val="Compact"/>
              <w:jc w:val="left"/>
            </w:pPr>
            <w:r>
              <w:t xml:space="preserve">Bed conservation (Prop. 15)</w:t>
            </w:r>
          </w:p>
        </w:tc>
        <w:tc>
          <w:tcPr/>
          <w:p>
            <w:pPr>
              <w:pStyle w:val="Compact"/>
              <w:jc w:val="left"/>
            </w:pPr>
            <w:r>
              <w:t xml:space="preserve">500 random instances (5 to 40 anchors, 2 to 10 hospitals, travel times 0 to 90 min, supplies 0 to 60 beds)</w:t>
            </w:r>
          </w:p>
        </w:tc>
        <w:tc>
          <w:tcPr/>
          <w:p>
            <w:pPr>
              <w:pStyle w:val="Compact"/>
              <w:jc w:val="left"/>
            </w:pPr>
            <w:r>
              <w:t xml:space="preserve">Largest residual 1.1 × 10</w:t>
            </w:r>
            <w:r>
              <w:rPr>
                <w:vertAlign w:val="superscript"/>
              </w:rPr>
              <w:t xml:space="preserve">−13</w:t>
            </w:r>
          </w:p>
        </w:tc>
      </w:tr>
      <w:tr>
        <w:trPr>
          <w:cantSplit/>
        </w:trPr>
        <w:tc>
          <w:tcPr/>
          <w:p>
            <w:pPr>
              <w:pStyle w:val="Compact"/>
              <w:jc w:val="left"/>
            </w:pPr>
            <w:r>
              <w:t xml:space="preserve">Surge assignment (Prop. 16)</w:t>
            </w:r>
          </w:p>
        </w:tc>
        <w:tc>
          <w:tcPr/>
          <w:p>
            <w:pPr>
              <w:pStyle w:val="Compact"/>
              <w:jc w:val="left"/>
            </w:pPr>
            <w:r>
              <w:t xml:space="preserve">300 random instances on road graphs with 15 to 45 patients each (8,785 in all) and 0 to 6 free beds per hospital; Algorithm 3 against independent nearest choices and a first-come rule that serves emergencies first</w:t>
            </w:r>
          </w:p>
        </w:tc>
        <w:tc>
          <w:tcPr/>
          <w:p>
            <w:pPr>
              <w:pStyle w:val="Compact"/>
              <w:jc w:val="left"/>
            </w:pPr>
            <w:r>
              <w:t xml:space="preserve">Independent choices would have sent 2,722 patients to beds already taken. First-come placed 4,123 patients; the optimum placed 4,325. In the 170 instances where both placed the same numbers of emergency and other patients, the optimum was never slower and was faster in 121 (mean saving 17.16 min per instance). In the 13 instances where independent choices fit the beds, they equaled the optimum every time</w:t>
            </w:r>
          </w:p>
        </w:tc>
      </w:tr>
      <w:tr>
        <w:trPr>
          <w:cantSplit/>
        </w:trPr>
        <w:tc>
          <w:tcPr/>
          <w:p>
            <w:pPr>
              <w:pStyle w:val="Compact"/>
              <w:jc w:val="left"/>
            </w:pPr>
            <w:r>
              <w:t xml:space="preserve">Greedy site selection (Prop. 18)</w:t>
            </w:r>
          </w:p>
        </w:tc>
        <w:tc>
          <w:tcPr/>
          <w:p>
            <w:pPr>
              <w:pStyle w:val="Compact"/>
              <w:jc w:val="left"/>
            </w:pPr>
            <w:r>
              <w:t xml:space="preserve">496 random instances (30 anchors, 12 candidate sites, 2 existing class-0 hospitals,</w:t>
            </w:r>
            <w:r>
              <w:t xml:space="preserve"> </w:t>
            </w:r>
            <w:r>
              <w:rPr>
                <w:iCs/>
                <w:i/>
              </w:rPr>
              <w:t xml:space="preserve">k</w:t>
            </w:r>
            <w:r>
              <w:t xml:space="preserve"> </w:t>
            </w:r>
            <w:r>
              <w:t xml:space="preserve">= 1 to 4) against the best subset found by exhaustive search</w:t>
            </w:r>
          </w:p>
        </w:tc>
        <w:tc>
          <w:tcPr/>
          <w:p>
            <w:pPr>
              <w:pStyle w:val="Compact"/>
              <w:jc w:val="left"/>
            </w:pPr>
            <w:r>
              <w:t xml:space="preserve">Worst ratio 0.825, mean 0.9985; optimal in 96.6% of instances; guaranteed bound 0.632</w:t>
            </w:r>
          </w:p>
        </w:tc>
      </w:tr>
    </w:tbl>
    <w:p>
      <w:pPr>
        <w:pStyle w:val="BodyText"/>
        <w:spacing w:before="200"/>
      </w:pPr>
      <w:r>
        <w:t xml:space="preserve">Three rows of Table 16 say something about patients, not only about code.</w:t>
      </w:r>
    </w:p>
    <w:bookmarkEnd w:id="171"/>
    <w:bookmarkStart w:id="172" w:name="computational-cost"/>
    <w:p>
      <w:pPr>
        <w:pStyle w:val="Heading2"/>
      </w:pPr>
      <w:r>
        <w:t xml:space="preserve">3.4 Computational Cost</w:t>
      </w:r>
    </w:p>
    <w:p>
      <w:pPr>
        <w:pStyle w:val="TableCaption"/>
      </w:pPr>
      <w:r>
        <w:rPr>
          <w:bCs/>
          <w:b/>
        </w:rPr>
        <w:t xml:space="preserve">Table 17.</w:t>
      </w:r>
      <w:r>
        <w:t xml:space="preserve"> </w:t>
      </w:r>
      <w:r>
        <w:t xml:space="preserve">Mean time per query for the verified engine; each configuration averages 40 queries.</w:t>
      </w:r>
    </w:p>
    <w:tbl>
      <w:tblPr>
        <w:tblStyle w:val="Table"/>
        <w:tblW w:type="pct" w:w="5000"/>
        <w:jc w:val="center"/>
        <w:tblCaption w:val="Table 17. Mean time per query for the verified engine; each configuration averages 40 querie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640"/>
        <w:gridCol w:w="2640"/>
        <w:gridCol w:w="2640"/>
      </w:tblGrid>
      <w:tr>
        <w:trPr>
          <w:tblHeader w:val="true"/>
          <w:tblHeader/>
          <w:cantSplit/>
        </w:trPr>
        <w:tc>
          <w:tcPr/>
          <w:p>
            <w:pPr>
              <w:pStyle w:val="Compact"/>
              <w:jc w:val="right"/>
            </w:pPr>
            <w:r>
              <w:rPr>
                <w:b/>
              </w:rPr>
              <w:t xml:space="preserve">Stops</w:t>
            </w:r>
          </w:p>
        </w:tc>
        <w:tc>
          <w:tcPr/>
          <w:p>
            <w:pPr>
              <w:pStyle w:val="Compact"/>
              <w:jc w:val="right"/>
            </w:pPr>
            <w:r>
              <w:rPr>
                <w:b/>
              </w:rPr>
              <w:t xml:space="preserve">Connections</w:t>
            </w:r>
          </w:p>
        </w:tc>
        <w:tc>
          <w:tcPr/>
          <w:p>
            <w:pPr>
              <w:pStyle w:val="Compact"/>
              <w:jc w:val="right"/>
            </w:pPr>
            <w:r>
              <w:rPr>
                <w:b/>
              </w:rPr>
              <w:t xml:space="preserve">Mean Query Time (ms)</w:t>
            </w:r>
          </w:p>
        </w:tc>
      </w:tr>
      <w:tr>
        <w:trPr>
          <w:cantSplit/>
        </w:trPr>
        <w:tc>
          <w:tcPr/>
          <w:p>
            <w:pPr>
              <w:pStyle w:val="Compact"/>
              <w:jc w:val="right"/>
            </w:pPr>
            <w:r>
              <w:t xml:space="preserve">50</w:t>
            </w:r>
          </w:p>
        </w:tc>
        <w:tc>
          <w:tcPr/>
          <w:p>
            <w:pPr>
              <w:pStyle w:val="Compact"/>
              <w:jc w:val="right"/>
            </w:pPr>
            <w:r>
              <w:t xml:space="preserve">900</w:t>
            </w:r>
          </w:p>
        </w:tc>
        <w:tc>
          <w:tcPr/>
          <w:p>
            <w:pPr>
              <w:pStyle w:val="Compact"/>
              <w:jc w:val="right"/>
            </w:pPr>
            <w:r>
              <w:t xml:space="preserve">1.03</w:t>
            </w:r>
          </w:p>
        </w:tc>
      </w:tr>
      <w:tr>
        <w:trPr>
          <w:cantSplit/>
        </w:trPr>
        <w:tc>
          <w:tcPr/>
          <w:p>
            <w:pPr>
              <w:pStyle w:val="Compact"/>
              <w:jc w:val="right"/>
            </w:pPr>
            <w:r>
              <w:t xml:space="preserve">100</w:t>
            </w:r>
          </w:p>
        </w:tc>
        <w:tc>
          <w:tcPr/>
          <w:p>
            <w:pPr>
              <w:pStyle w:val="Compact"/>
              <w:jc w:val="right"/>
            </w:pPr>
            <w:r>
              <w:t xml:space="preserve">2,288</w:t>
            </w:r>
          </w:p>
        </w:tc>
        <w:tc>
          <w:tcPr/>
          <w:p>
            <w:pPr>
              <w:pStyle w:val="Compact"/>
              <w:jc w:val="right"/>
            </w:pPr>
            <w:r>
              <w:t xml:space="preserve">1.41</w:t>
            </w:r>
          </w:p>
        </w:tc>
      </w:tr>
      <w:tr>
        <w:trPr>
          <w:cantSplit/>
        </w:trPr>
        <w:tc>
          <w:tcPr/>
          <w:p>
            <w:pPr>
              <w:pStyle w:val="Compact"/>
              <w:jc w:val="right"/>
            </w:pPr>
            <w:r>
              <w:t xml:space="preserve">200</w:t>
            </w:r>
          </w:p>
        </w:tc>
        <w:tc>
          <w:tcPr/>
          <w:p>
            <w:pPr>
              <w:pStyle w:val="Compact"/>
              <w:jc w:val="right"/>
            </w:pPr>
            <w:r>
              <w:t xml:space="preserve">5,620</w:t>
            </w:r>
          </w:p>
        </w:tc>
        <w:tc>
          <w:tcPr/>
          <w:p>
            <w:pPr>
              <w:pStyle w:val="Compact"/>
              <w:jc w:val="right"/>
            </w:pPr>
            <w:r>
              <w:t xml:space="preserve">3.66</w:t>
            </w:r>
          </w:p>
        </w:tc>
      </w:tr>
      <w:tr>
        <w:trPr>
          <w:cantSplit/>
        </w:trPr>
        <w:tc>
          <w:tcPr/>
          <w:p>
            <w:pPr>
              <w:pStyle w:val="Compact"/>
              <w:jc w:val="right"/>
            </w:pPr>
            <w:r>
              <w:t xml:space="preserve">400</w:t>
            </w:r>
          </w:p>
        </w:tc>
        <w:tc>
          <w:tcPr/>
          <w:p>
            <w:pPr>
              <w:pStyle w:val="Compact"/>
              <w:jc w:val="right"/>
            </w:pPr>
            <w:r>
              <w:t xml:space="preserve">12,576</w:t>
            </w:r>
          </w:p>
        </w:tc>
        <w:tc>
          <w:tcPr/>
          <w:p>
            <w:pPr>
              <w:pStyle w:val="Compact"/>
              <w:jc w:val="right"/>
            </w:pPr>
            <w:r>
              <w:t xml:space="preserve">15.06</w:t>
            </w:r>
          </w:p>
        </w:tc>
      </w:tr>
      <w:tr>
        <w:trPr>
          <w:cantSplit/>
        </w:trPr>
        <w:tc>
          <w:tcPr/>
          <w:p>
            <w:pPr>
              <w:pStyle w:val="Compact"/>
              <w:jc w:val="right"/>
            </w:pPr>
            <w:r>
              <w:t xml:space="preserve">800</w:t>
            </w:r>
          </w:p>
        </w:tc>
        <w:tc>
          <w:tcPr/>
          <w:p>
            <w:pPr>
              <w:pStyle w:val="Compact"/>
              <w:jc w:val="right"/>
            </w:pPr>
            <w:r>
              <w:t xml:space="preserve">28,336</w:t>
            </w:r>
          </w:p>
        </w:tc>
        <w:tc>
          <w:tcPr/>
          <w:p>
            <w:pPr>
              <w:pStyle w:val="Compact"/>
              <w:jc w:val="right"/>
            </w:pPr>
            <w:r>
              <w:t xml:space="preserve">69.51</w:t>
            </w:r>
          </w:p>
        </w:tc>
      </w:tr>
    </w:tbl>
    <w:p>
      <w:pPr>
        <w:pStyle w:val="BodyText"/>
        <w:spacing w:before="200"/>
      </w:pPr>
      <w:r>
        <w:t xml:space="preserve">Fitting log(time) against log |</w:t>
      </w:r>
      <w:r>
        <w:rPr>
          <w:iCs/>
          <w:i/>
        </w:rPr>
        <w:t xml:space="preserve">C</w:t>
      </w:r>
      <w:r>
        <w:t xml:space="preserve">| gives a slope of 1.243 with</w:t>
      </w:r>
      <w:r>
        <w:t xml:space="preserve"> </w:t>
      </w:r>
      <w:r>
        <w:rPr>
          <w:iCs/>
          <w:i/>
        </w:rPr>
        <w:t xml:space="preserve">R</w:t>
      </w:r>
      <w:r>
        <w:rPr>
          <w:vertAlign w:val="superscript"/>
        </w:rPr>
        <w:t xml:space="preserve">2</w:t>
      </w:r>
      <w:r>
        <w:t xml:space="preserve"> </w:t>
      </w:r>
      <w:r>
        <w:t xml:space="preserve">= 0.933, in line with the near-linear growth of Proposition 2 once heap overhead is included.</w:t>
      </w:r>
    </w:p>
    <w:p>
      <w:pPr>
        <w:pStyle w:val="BodyText"/>
      </w:pPr>
      <w:r>
        <w:t xml:space="preserve">Because its search ends early (Proposition 9), hospital mode was timed on its own.</w:t>
      </w:r>
    </w:p>
    <w:p>
      <w:pPr>
        <w:pStyle w:val="TableCaption"/>
      </w:pPr>
      <w:r>
        <w:rPr>
          <w:bCs/>
          <w:b/>
        </w:rPr>
        <w:t xml:space="preserve">Table 18.</w:t>
      </w:r>
      <w:r>
        <w:t xml:space="preserve"> </w:t>
      </w:r>
      <w:r>
        <w:t xml:space="preserve">Early-stopping hospital search compared with a full search; random road graphs, 60 queries for each size, plain Python on one core.</w:t>
      </w:r>
    </w:p>
    <w:tbl>
      <w:tblPr>
        <w:tblStyle w:val="Table"/>
        <w:tblW w:type="pct" w:w="5000"/>
        <w:jc w:val="center"/>
        <w:tblCaption w:val="Table 18. Early-stopping hospital search compared with a full search; random road graphs, 60 queries for each size, plain Python on one core."/>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485"/>
        <w:gridCol w:w="1485"/>
        <w:gridCol w:w="1237"/>
        <w:gridCol w:w="1237"/>
        <w:gridCol w:w="1237"/>
        <w:gridCol w:w="1237"/>
      </w:tblGrid>
      <w:tr>
        <w:trPr>
          <w:tblHeader w:val="true"/>
          <w:tblHeader/>
          <w:cantSplit/>
        </w:trPr>
        <w:tc>
          <w:tcPr/>
          <w:p>
            <w:pPr>
              <w:pStyle w:val="Compact"/>
              <w:jc w:val="right"/>
            </w:pPr>
            <w:r>
              <w:rPr>
                <w:b/>
              </w:rPr>
              <w:t xml:space="preserve">Vertices</w:t>
            </w:r>
          </w:p>
        </w:tc>
        <w:tc>
          <w:tcPr/>
          <w:p>
            <w:pPr>
              <w:pStyle w:val="Compact"/>
              <w:jc w:val="right"/>
            </w:pPr>
            <w:r>
              <w:rPr>
                <w:b/>
              </w:rPr>
              <w:t xml:space="preserve">Arcs Open to the Ambulance</w:t>
            </w:r>
          </w:p>
        </w:tc>
        <w:tc>
          <w:tcPr/>
          <w:p>
            <w:pPr>
              <w:pStyle w:val="Compact"/>
              <w:jc w:val="right"/>
            </w:pPr>
            <w:r>
              <w:rPr>
                <w:b/>
              </w:rPr>
              <w:t xml:space="preserve">Hospitals</w:t>
            </w:r>
          </w:p>
        </w:tc>
        <w:tc>
          <w:tcPr/>
          <w:p>
            <w:pPr>
              <w:pStyle w:val="Compact"/>
              <w:jc w:val="right"/>
            </w:pPr>
            <w:r>
              <w:rPr>
                <w:b/>
              </w:rPr>
              <w:t xml:space="preserve">Early-Stopping Query (ms)</w:t>
            </w:r>
          </w:p>
        </w:tc>
        <w:tc>
          <w:tcPr/>
          <w:p>
            <w:pPr>
              <w:pStyle w:val="Compact"/>
              <w:jc w:val="right"/>
            </w:pPr>
            <w:r>
              <w:rPr>
                <w:b/>
              </w:rPr>
              <w:t xml:space="preserve">Full Search (ms)</w:t>
            </w:r>
          </w:p>
        </w:tc>
        <w:tc>
          <w:tcPr/>
          <w:p>
            <w:pPr>
              <w:pStyle w:val="Compact"/>
              <w:jc w:val="right"/>
            </w:pPr>
            <w:r>
              <w:rPr>
                <w:b/>
              </w:rPr>
              <w:t xml:space="preserve">Share of Vertices Settled</w:t>
            </w:r>
          </w:p>
        </w:tc>
      </w:tr>
      <w:tr>
        <w:trPr>
          <w:cantSplit/>
        </w:trPr>
        <w:tc>
          <w:tcPr/>
          <w:p>
            <w:pPr>
              <w:pStyle w:val="Compact"/>
              <w:jc w:val="right"/>
            </w:pPr>
            <w:r>
              <w:t xml:space="preserve">1,000</w:t>
            </w:r>
          </w:p>
        </w:tc>
        <w:tc>
          <w:tcPr/>
          <w:p>
            <w:pPr>
              <w:pStyle w:val="Compact"/>
              <w:jc w:val="right"/>
            </w:pPr>
            <w:r>
              <w:t xml:space="preserve">3,768</w:t>
            </w:r>
          </w:p>
        </w:tc>
        <w:tc>
          <w:tcPr/>
          <w:p>
            <w:pPr>
              <w:pStyle w:val="Compact"/>
              <w:jc w:val="right"/>
            </w:pPr>
            <w:r>
              <w:t xml:space="preserve">8</w:t>
            </w:r>
          </w:p>
        </w:tc>
        <w:tc>
          <w:tcPr/>
          <w:p>
            <w:pPr>
              <w:pStyle w:val="Compact"/>
              <w:jc w:val="right"/>
            </w:pPr>
            <w:r>
              <w:t xml:space="preserve">0.34</w:t>
            </w:r>
          </w:p>
        </w:tc>
        <w:tc>
          <w:tcPr/>
          <w:p>
            <w:pPr>
              <w:pStyle w:val="Compact"/>
              <w:jc w:val="right"/>
            </w:pPr>
            <w:r>
              <w:t xml:space="preserve">0.68</w:t>
            </w:r>
          </w:p>
        </w:tc>
        <w:tc>
          <w:tcPr/>
          <w:p>
            <w:pPr>
              <w:pStyle w:val="Compact"/>
              <w:jc w:val="right"/>
            </w:pPr>
            <w:r>
              <w:t xml:space="preserve">44.1%</w:t>
            </w:r>
          </w:p>
        </w:tc>
      </w:tr>
      <w:tr>
        <w:trPr>
          <w:cantSplit/>
        </w:trPr>
        <w:tc>
          <w:tcPr/>
          <w:p>
            <w:pPr>
              <w:pStyle w:val="Compact"/>
              <w:jc w:val="right"/>
            </w:pPr>
            <w:r>
              <w:t xml:space="preserve">4,000</w:t>
            </w:r>
          </w:p>
        </w:tc>
        <w:tc>
          <w:tcPr/>
          <w:p>
            <w:pPr>
              <w:pStyle w:val="Compact"/>
              <w:jc w:val="right"/>
            </w:pPr>
            <w:r>
              <w:t xml:space="preserve">14,898</w:t>
            </w:r>
          </w:p>
        </w:tc>
        <w:tc>
          <w:tcPr/>
          <w:p>
            <w:pPr>
              <w:pStyle w:val="Compact"/>
              <w:jc w:val="right"/>
            </w:pPr>
            <w:r>
              <w:t xml:space="preserve">26</w:t>
            </w:r>
          </w:p>
        </w:tc>
        <w:tc>
          <w:tcPr/>
          <w:p>
            <w:pPr>
              <w:pStyle w:val="Compact"/>
              <w:jc w:val="right"/>
            </w:pPr>
            <w:r>
              <w:t xml:space="preserve">0.61</w:t>
            </w:r>
          </w:p>
        </w:tc>
        <w:tc>
          <w:tcPr/>
          <w:p>
            <w:pPr>
              <w:pStyle w:val="Compact"/>
              <w:jc w:val="right"/>
            </w:pPr>
            <w:r>
              <w:t xml:space="preserve">3.58</w:t>
            </w:r>
          </w:p>
        </w:tc>
        <w:tc>
          <w:tcPr/>
          <w:p>
            <w:pPr>
              <w:pStyle w:val="Compact"/>
              <w:jc w:val="right"/>
            </w:pPr>
            <w:r>
              <w:t xml:space="preserve">13.8%</w:t>
            </w:r>
          </w:p>
        </w:tc>
      </w:tr>
      <w:tr>
        <w:trPr>
          <w:cantSplit/>
        </w:trPr>
        <w:tc>
          <w:tcPr/>
          <w:p>
            <w:pPr>
              <w:pStyle w:val="Compact"/>
              <w:jc w:val="right"/>
            </w:pPr>
            <w:r>
              <w:t xml:space="preserve">16,000</w:t>
            </w:r>
          </w:p>
        </w:tc>
        <w:tc>
          <w:tcPr/>
          <w:p>
            <w:pPr>
              <w:pStyle w:val="Compact"/>
              <w:jc w:val="right"/>
            </w:pPr>
            <w:r>
              <w:t xml:space="preserve">59,926</w:t>
            </w:r>
          </w:p>
        </w:tc>
        <w:tc>
          <w:tcPr/>
          <w:p>
            <w:pPr>
              <w:pStyle w:val="Compact"/>
              <w:jc w:val="right"/>
            </w:pPr>
            <w:r>
              <w:t xml:space="preserve">106</w:t>
            </w:r>
          </w:p>
        </w:tc>
        <w:tc>
          <w:tcPr/>
          <w:p>
            <w:pPr>
              <w:pStyle w:val="Compact"/>
              <w:jc w:val="right"/>
            </w:pPr>
            <w:r>
              <w:t xml:space="preserve">1.33</w:t>
            </w:r>
          </w:p>
        </w:tc>
        <w:tc>
          <w:tcPr/>
          <w:p>
            <w:pPr>
              <w:pStyle w:val="Compact"/>
              <w:jc w:val="right"/>
            </w:pPr>
            <w:r>
              <w:t xml:space="preserve">22.07</w:t>
            </w:r>
          </w:p>
        </w:tc>
        <w:tc>
          <w:tcPr/>
          <w:p>
            <w:pPr>
              <w:pStyle w:val="Compact"/>
              <w:jc w:val="right"/>
            </w:pPr>
            <w:r>
              <w:t xml:space="preserve">5.2%</w:t>
            </w:r>
          </w:p>
        </w:tc>
      </w:tr>
    </w:tbl>
    <w:p>
      <w:pPr>
        <w:pStyle w:val="BodyText"/>
        <w:spacing w:before="200"/>
      </w:pPr>
      <w:r>
        <w:t xml:space="preserve">On the largest graph, the full search settled about twenty times as many vertices as the early-stopping search and took about seventeen times as long.</w:t>
      </w:r>
    </w:p>
    <w:p>
      <w:pPr>
        <w:pStyle w:val="BodyText"/>
      </w:pPr>
      <w:r>
        <w:t xml:space="preserve">The catchment map of Proposition 14 replaces one search per origin with a single search for the whole map.</w:t>
      </w:r>
    </w:p>
    <w:p>
      <w:pPr>
        <w:pStyle w:val="TableCaption"/>
      </w:pPr>
      <w:r>
        <w:rPr>
          <w:bCs/>
          <w:b/>
        </w:rPr>
        <w:t xml:space="preserve">Table 19.</w:t>
      </w:r>
      <w:r>
        <w:t xml:space="preserve"> </w:t>
      </w:r>
      <w:r>
        <w:t xml:space="preserve">Building the catchment map with one search (Algorithm 2) compared with one early-stopping search per vertex; random road graphs with one hospital per 150 vertices, plain Python on one core.</w:t>
      </w:r>
    </w:p>
    <w:tbl>
      <w:tblPr>
        <w:tblStyle w:val="Table"/>
        <w:tblW w:type="pct" w:w="5000"/>
        <w:jc w:val="center"/>
        <w:tblCaption w:val="Table 19. Building the catchment map with one search (Algorithm 2) compared with one early-stopping search per vertex; random road graphs with one hospital per 150 vertices, plain Python on one core."/>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250"/>
        <w:gridCol w:w="1250"/>
        <w:gridCol w:w="1042"/>
        <w:gridCol w:w="1042"/>
        <w:gridCol w:w="1042"/>
        <w:gridCol w:w="1250"/>
        <w:gridCol w:w="1042"/>
      </w:tblGrid>
      <w:tr>
        <w:trPr>
          <w:tblHeader w:val="true"/>
          <w:tblHeader/>
          <w:cantSplit/>
        </w:trPr>
        <w:tc>
          <w:tcPr/>
          <w:p>
            <w:pPr>
              <w:pStyle w:val="Compact"/>
              <w:jc w:val="right"/>
            </w:pPr>
            <w:r>
              <w:rPr>
                <w:b/>
              </w:rPr>
              <w:t xml:space="preserve">Vertices</w:t>
            </w:r>
          </w:p>
        </w:tc>
        <w:tc>
          <w:tcPr/>
          <w:p>
            <w:pPr>
              <w:pStyle w:val="Compact"/>
              <w:jc w:val="right"/>
            </w:pPr>
            <w:r>
              <w:rPr>
                <w:b/>
              </w:rPr>
              <w:t xml:space="preserve">Road Segments</w:t>
            </w:r>
          </w:p>
        </w:tc>
        <w:tc>
          <w:tcPr/>
          <w:p>
            <w:pPr>
              <w:pStyle w:val="Compact"/>
              <w:jc w:val="right"/>
            </w:pPr>
            <w:r>
              <w:rPr>
                <w:b/>
              </w:rPr>
              <w:t xml:space="preserve">Hospitals</w:t>
            </w:r>
          </w:p>
        </w:tc>
        <w:tc>
          <w:tcPr/>
          <w:p>
            <w:pPr>
              <w:pStyle w:val="Compact"/>
              <w:jc w:val="right"/>
            </w:pPr>
            <w:r>
              <w:rPr>
                <w:b/>
              </w:rPr>
              <w:t xml:space="preserve">One Search for the Whole Map (ms)</w:t>
            </w:r>
          </w:p>
        </w:tc>
        <w:tc>
          <w:tcPr/>
          <w:p>
            <w:pPr>
              <w:pStyle w:val="Compact"/>
              <w:jc w:val="right"/>
            </w:pPr>
            <w:r>
              <w:rPr>
                <w:b/>
              </w:rPr>
              <w:t xml:space="preserve">Mean Per-Origin Search (ms)</w:t>
            </w:r>
          </w:p>
        </w:tc>
        <w:tc>
          <w:tcPr/>
          <w:p>
            <w:pPr>
              <w:pStyle w:val="Compact"/>
              <w:jc w:val="right"/>
            </w:pPr>
            <w:r>
              <w:rPr>
                <w:b/>
              </w:rPr>
              <w:t xml:space="preserve">Per-Origin Searches for All Vertices (ms)</w:t>
            </w:r>
          </w:p>
        </w:tc>
        <w:tc>
          <w:tcPr/>
          <w:p>
            <w:pPr>
              <w:pStyle w:val="Compact"/>
              <w:jc w:val="right"/>
            </w:pPr>
            <w:r>
              <w:rPr>
                <w:b/>
              </w:rPr>
              <w:t xml:space="preserve">Ratio</w:t>
            </w:r>
          </w:p>
        </w:tc>
      </w:tr>
      <w:tr>
        <w:trPr>
          <w:cantSplit/>
        </w:trPr>
        <w:tc>
          <w:tcPr/>
          <w:p>
            <w:pPr>
              <w:pStyle w:val="Compact"/>
              <w:jc w:val="right"/>
            </w:pPr>
            <w:r>
              <w:t xml:space="preserve">1,000</w:t>
            </w:r>
          </w:p>
        </w:tc>
        <w:tc>
          <w:tcPr/>
          <w:p>
            <w:pPr>
              <w:pStyle w:val="Compact"/>
              <w:jc w:val="right"/>
            </w:pPr>
            <w:r>
              <w:t xml:space="preserve">1,863</w:t>
            </w:r>
          </w:p>
        </w:tc>
        <w:tc>
          <w:tcPr/>
          <w:p>
            <w:pPr>
              <w:pStyle w:val="Compact"/>
              <w:jc w:val="right"/>
            </w:pPr>
            <w:r>
              <w:t xml:space="preserve">6</w:t>
            </w:r>
          </w:p>
        </w:tc>
        <w:tc>
          <w:tcPr/>
          <w:p>
            <w:pPr>
              <w:pStyle w:val="Compact"/>
              <w:jc w:val="right"/>
            </w:pPr>
            <w:r>
              <w:t xml:space="preserve">0.83</w:t>
            </w:r>
          </w:p>
        </w:tc>
        <w:tc>
          <w:tcPr/>
          <w:p>
            <w:pPr>
              <w:pStyle w:val="Compact"/>
              <w:jc w:val="right"/>
            </w:pPr>
            <w:r>
              <w:t xml:space="preserve">0.055</w:t>
            </w:r>
          </w:p>
        </w:tc>
        <w:tc>
          <w:tcPr/>
          <w:p>
            <w:pPr>
              <w:pStyle w:val="Compact"/>
              <w:jc w:val="right"/>
            </w:pPr>
            <w:r>
              <w:t xml:space="preserve">55</w:t>
            </w:r>
          </w:p>
        </w:tc>
        <w:tc>
          <w:tcPr/>
          <w:p>
            <w:pPr>
              <w:pStyle w:val="Compact"/>
              <w:jc w:val="right"/>
            </w:pPr>
            <w:r>
              <w:t xml:space="preserve">65.9</w:t>
            </w:r>
          </w:p>
        </w:tc>
      </w:tr>
      <w:tr>
        <w:trPr>
          <w:cantSplit/>
        </w:trPr>
        <w:tc>
          <w:tcPr/>
          <w:p>
            <w:pPr>
              <w:pStyle w:val="Compact"/>
              <w:jc w:val="right"/>
            </w:pPr>
            <w:r>
              <w:t xml:space="preserve">4,000</w:t>
            </w:r>
          </w:p>
        </w:tc>
        <w:tc>
          <w:tcPr/>
          <w:p>
            <w:pPr>
              <w:pStyle w:val="Compact"/>
              <w:jc w:val="right"/>
            </w:pPr>
            <w:r>
              <w:t xml:space="preserve">7,473</w:t>
            </w:r>
          </w:p>
        </w:tc>
        <w:tc>
          <w:tcPr/>
          <w:p>
            <w:pPr>
              <w:pStyle w:val="Compact"/>
              <w:jc w:val="right"/>
            </w:pPr>
            <w:r>
              <w:t xml:space="preserve">26</w:t>
            </w:r>
          </w:p>
        </w:tc>
        <w:tc>
          <w:tcPr/>
          <w:p>
            <w:pPr>
              <w:pStyle w:val="Compact"/>
              <w:jc w:val="right"/>
            </w:pPr>
            <w:r>
              <w:t xml:space="preserve">5.86</w:t>
            </w:r>
          </w:p>
        </w:tc>
        <w:tc>
          <w:tcPr/>
          <w:p>
            <w:pPr>
              <w:pStyle w:val="Compact"/>
              <w:jc w:val="right"/>
            </w:pPr>
            <w:r>
              <w:t xml:space="preserve">0.272</w:t>
            </w:r>
          </w:p>
        </w:tc>
        <w:tc>
          <w:tcPr/>
          <w:p>
            <w:pPr>
              <w:pStyle w:val="Compact"/>
              <w:jc w:val="right"/>
            </w:pPr>
            <w:r>
              <w:t xml:space="preserve">1,087</w:t>
            </w:r>
          </w:p>
        </w:tc>
        <w:tc>
          <w:tcPr/>
          <w:p>
            <w:pPr>
              <w:pStyle w:val="Compact"/>
              <w:jc w:val="right"/>
            </w:pPr>
            <w:r>
              <w:t xml:space="preserve">185.6</w:t>
            </w:r>
          </w:p>
        </w:tc>
      </w:tr>
      <w:tr>
        <w:trPr>
          <w:cantSplit/>
        </w:trPr>
        <w:tc>
          <w:tcPr/>
          <w:p>
            <w:pPr>
              <w:pStyle w:val="Compact"/>
              <w:jc w:val="right"/>
            </w:pPr>
            <w:r>
              <w:t xml:space="preserve">16,000</w:t>
            </w:r>
          </w:p>
        </w:tc>
        <w:tc>
          <w:tcPr/>
          <w:p>
            <w:pPr>
              <w:pStyle w:val="Compact"/>
              <w:jc w:val="right"/>
            </w:pPr>
            <w:r>
              <w:t xml:space="preserve">29,821</w:t>
            </w:r>
          </w:p>
        </w:tc>
        <w:tc>
          <w:tcPr/>
          <w:p>
            <w:pPr>
              <w:pStyle w:val="Compact"/>
              <w:jc w:val="right"/>
            </w:pPr>
            <w:r>
              <w:t xml:space="preserve">106</w:t>
            </w:r>
          </w:p>
        </w:tc>
        <w:tc>
          <w:tcPr/>
          <w:p>
            <w:pPr>
              <w:pStyle w:val="Compact"/>
              <w:jc w:val="right"/>
            </w:pPr>
            <w:r>
              <w:t xml:space="preserve">39.08</w:t>
            </w:r>
          </w:p>
        </w:tc>
        <w:tc>
          <w:tcPr/>
          <w:p>
            <w:pPr>
              <w:pStyle w:val="Compact"/>
              <w:jc w:val="right"/>
            </w:pPr>
            <w:r>
              <w:t xml:space="preserve">0.206</w:t>
            </w:r>
          </w:p>
        </w:tc>
        <w:tc>
          <w:tcPr/>
          <w:p>
            <w:pPr>
              <w:pStyle w:val="Compact"/>
              <w:jc w:val="right"/>
            </w:pPr>
            <w:r>
              <w:t xml:space="preserve">3,300</w:t>
            </w:r>
          </w:p>
        </w:tc>
        <w:tc>
          <w:tcPr/>
          <w:p>
            <w:pPr>
              <w:pStyle w:val="Compact"/>
              <w:jc w:val="right"/>
            </w:pPr>
            <w:r>
              <w:t xml:space="preserve">84.4</w:t>
            </w:r>
          </w:p>
        </w:tc>
      </w:tr>
    </w:tbl>
    <w:p>
      <w:pPr>
        <w:pStyle w:val="BodyText"/>
        <w:spacing w:before="200"/>
      </w:pPr>
      <w:r>
        <w:t xml:space="preserve">The times in Table 19 were measured on a different machine from those in Tables 17 and 18, so the two sets should not be compared directly.</w:t>
      </w:r>
    </w:p>
    <w:bookmarkEnd w:id="172"/>
    <w:bookmarkStart w:id="180" w:name="worked-instance-s1"/>
    <w:p>
      <w:pPr>
        <w:pStyle w:val="Heading2"/>
      </w:pPr>
      <w:r>
        <w:t xml:space="preserve">3.5 Worked Instance S1</w:t>
      </w:r>
    </w:p>
    <w:p>
      <w:pPr>
        <w:pStyle w:val="FirstParagraph"/>
      </w:pPr>
      <w:r>
        <w:t xml:space="preserve">Network S1 is a small synthetic test bed built so that every stage of the pipeline can be traced by hand, with ground-truth answers checked independently.</w:t>
      </w:r>
    </w:p>
    <w:p>
      <w:pPr>
        <w:pStyle w:val="TableCaption"/>
      </w:pPr>
      <w:r>
        <w:rPr>
          <w:bCs/>
          <w:b/>
        </w:rPr>
        <w:t xml:space="preserve">Table 20.</w:t>
      </w:r>
      <w:r>
        <w:t xml:space="preserve"> </w:t>
      </w:r>
      <w:r>
        <w:t xml:space="preserve">Instance S1 in brief.</w:t>
      </w:r>
    </w:p>
    <w:tbl>
      <w:tblPr>
        <w:tblStyle w:val="Table"/>
        <w:tblW w:type="pct" w:w="5000"/>
        <w:jc w:val="center"/>
        <w:tblCaption w:val="Table 20. Instance S1 in brief."/>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3138"/>
        <w:gridCol w:w="4781"/>
      </w:tblGrid>
      <w:tr>
        <w:trPr>
          <w:tblHeader w:val="true"/>
          <w:tblHeader/>
          <w:cantSplit/>
        </w:trPr>
        <w:tc>
          <w:tcPr/>
          <w:p>
            <w:pPr>
              <w:pStyle w:val="Compact"/>
              <w:jc w:val="left"/>
            </w:pPr>
            <w:r>
              <w:rPr>
                <w:b/>
              </w:rPr>
              <w:t xml:space="preserve">Element</w:t>
            </w:r>
          </w:p>
        </w:tc>
        <w:tc>
          <w:tcPr/>
          <w:p>
            <w:pPr>
              <w:pStyle w:val="Compact"/>
              <w:jc w:val="left"/>
            </w:pPr>
            <w:r>
              <w:rPr>
                <w:b/>
              </w:rPr>
              <w:t xml:space="preserve">Value</w:t>
            </w:r>
          </w:p>
        </w:tc>
      </w:tr>
      <w:tr>
        <w:trPr>
          <w:cantSplit/>
        </w:trPr>
        <w:tc>
          <w:tcPr/>
          <w:p>
            <w:pPr>
              <w:pStyle w:val="Compact"/>
              <w:jc w:val="left"/>
            </w:pPr>
            <w:r>
              <w:t xml:space="preserve">Stops</w:t>
            </w:r>
          </w:p>
        </w:tc>
        <w:tc>
          <w:tcPr/>
          <w:p>
            <w:pPr>
              <w:pStyle w:val="Compact"/>
              <w:jc w:val="left"/>
            </w:pPr>
            <w:r>
              <w:t xml:space="preserve">7 (S1 to S7)</w:t>
            </w:r>
          </w:p>
        </w:tc>
      </w:tr>
      <w:tr>
        <w:trPr>
          <w:cantSplit/>
        </w:trPr>
        <w:tc>
          <w:tcPr/>
          <w:p>
            <w:pPr>
              <w:pStyle w:val="Compact"/>
              <w:jc w:val="left"/>
            </w:pPr>
            <w:r>
              <w:t xml:space="preserve">Routes</w:t>
            </w:r>
          </w:p>
        </w:tc>
        <w:tc>
          <w:tcPr/>
          <w:p>
            <w:pPr>
              <w:pStyle w:val="Compact"/>
              <w:jc w:val="left"/>
            </w:pPr>
            <w:r>
              <w:t xml:space="preserve">4 base routes, run in both directions</w:t>
            </w:r>
          </w:p>
        </w:tc>
      </w:tr>
      <w:tr>
        <w:trPr>
          <w:cantSplit/>
        </w:trPr>
        <w:tc>
          <w:tcPr/>
          <w:p>
            <w:pPr>
              <w:pStyle w:val="Compact"/>
              <w:jc w:val="left"/>
            </w:pPr>
            <w:r>
              <w:t xml:space="preserve">Connections in the service day</w:t>
            </w:r>
          </w:p>
        </w:tc>
        <w:tc>
          <w:tcPr/>
          <w:p>
            <w:pPr>
              <w:pStyle w:val="Compact"/>
              <w:jc w:val="left"/>
            </w:pPr>
            <w:r>
              <w:t xml:space="preserve">787</w:t>
            </w:r>
          </w:p>
        </w:tc>
      </w:tr>
      <w:tr>
        <w:trPr>
          <w:cantSplit/>
        </w:trPr>
        <w:tc>
          <w:tcPr/>
          <w:p>
            <w:pPr>
              <w:pStyle w:val="Compact"/>
              <w:jc w:val="left"/>
            </w:pPr>
            <w:r>
              <w:t xml:space="preserve">Minimum change time θ</w:t>
            </w:r>
            <w:r>
              <w:rPr>
                <w:iCs/>
                <w:i/>
                <w:vertAlign w:val="subscript"/>
              </w:rPr>
              <w:t xml:space="preserve">ch</w:t>
            </w:r>
          </w:p>
        </w:tc>
        <w:tc>
          <w:tcPr/>
          <w:p>
            <w:pPr>
              <w:pStyle w:val="Compact"/>
              <w:jc w:val="left"/>
            </w:pPr>
            <w:r>
              <w:t xml:space="preserve">4 min</w:t>
            </w:r>
          </w:p>
        </w:tc>
      </w:tr>
      <w:tr>
        <w:trPr>
          <w:cantSplit/>
        </w:trPr>
        <w:tc>
          <w:tcPr/>
          <w:p>
            <w:pPr>
              <w:pStyle w:val="Compact"/>
              <w:jc w:val="left"/>
            </w:pPr>
            <w:r>
              <w:t xml:space="preserve">Walking cap</w:t>
            </w:r>
            <w:r>
              <w:t xml:space="preserve"> </w:t>
            </w:r>
            <w:r>
              <w:rPr>
                <w:iCs/>
                <w:i/>
              </w:rPr>
              <w:t xml:space="preserve">t̄</w:t>
            </w:r>
            <w:r>
              <w:rPr>
                <w:iCs/>
                <w:i/>
                <w:vertAlign w:val="subscript"/>
              </w:rPr>
              <w:t xml:space="preserve">W</w:t>
            </w:r>
          </w:p>
        </w:tc>
        <w:tc>
          <w:tcPr/>
          <w:p>
            <w:pPr>
              <w:pStyle w:val="Compact"/>
              <w:jc w:val="left"/>
            </w:pPr>
            <w:r>
              <w:t xml:space="preserve">15 min</w:t>
            </w:r>
          </w:p>
        </w:tc>
      </w:tr>
      <w:tr>
        <w:trPr>
          <w:cantSplit/>
        </w:trPr>
        <w:tc>
          <w:tcPr/>
          <w:p>
            <w:pPr>
              <w:pStyle w:val="Compact"/>
              <w:jc w:val="left"/>
            </w:pPr>
            <w:r>
              <w:t xml:space="preserve">Footpaths</w:t>
            </w:r>
          </w:p>
        </w:tc>
        <w:tc>
          <w:tcPr/>
          <w:p>
            <w:pPr>
              <w:pStyle w:val="Compact"/>
              <w:jc w:val="left"/>
            </w:pPr>
            <w:r>
              <w:t xml:space="preserve">S3 to S6 (11 min), S2 to S5 (13 min)</w:t>
            </w:r>
          </w:p>
        </w:tc>
      </w:tr>
      <w:tr>
        <w:trPr>
          <w:cantSplit/>
        </w:trPr>
        <w:tc>
          <w:tcPr/>
          <w:p>
            <w:pPr>
              <w:pStyle w:val="Compact"/>
              <w:jc w:val="left"/>
            </w:pPr>
            <w:r>
              <w:t xml:space="preserve">Departure grid 𝒯</w:t>
            </w:r>
            <w:r>
              <w:rPr>
                <w:vertAlign w:val="subscript"/>
              </w:rPr>
              <w:t xml:space="preserve">0</w:t>
            </w:r>
          </w:p>
        </w:tc>
        <w:tc>
          <w:tcPr/>
          <w:p>
            <w:pPr>
              <w:pStyle w:val="Compact"/>
              <w:jc w:val="left"/>
            </w:pPr>
            <w:r>
              <w:t xml:space="preserve">06:00 to 08:00 every 5 min (25 departure times)</w:t>
            </w:r>
          </w:p>
        </w:tc>
      </w:tr>
      <w:tr>
        <w:trPr>
          <w:cantSplit/>
        </w:trPr>
        <w:tc>
          <w:tcPr/>
          <w:p>
            <w:pPr>
              <w:pStyle w:val="Compact"/>
              <w:jc w:val="left"/>
            </w:pPr>
            <w:r>
              <w:t xml:space="preserve">Baseline budget θ</w:t>
            </w:r>
          </w:p>
        </w:tc>
        <w:tc>
          <w:tcPr/>
          <w:p>
            <w:pPr>
              <w:pStyle w:val="Compact"/>
              <w:jc w:val="left"/>
            </w:pPr>
            <w:r>
              <w:t xml:space="preserve">30 min</w:t>
            </w:r>
          </w:p>
        </w:tc>
      </w:tr>
      <w:tr>
        <w:trPr>
          <w:cantSplit/>
        </w:trPr>
        <w:tc>
          <w:tcPr/>
          <w:p>
            <w:pPr>
              <w:pStyle w:val="Compact"/>
              <w:jc w:val="left"/>
            </w:pPr>
            <w:r>
              <w:t xml:space="preserve">Destination layer</w:t>
            </w:r>
          </w:p>
        </w:tc>
        <w:tc>
          <w:tcPr/>
          <w:p>
            <w:pPr>
              <w:pStyle w:val="Compact"/>
              <w:jc w:val="left"/>
            </w:pPr>
            <w:r>
              <w:t xml:space="preserve">hospital beds at S4 (120), S7 (40), and S3 (25)</w:t>
            </w:r>
          </w:p>
        </w:tc>
      </w:tr>
      <w:tr>
        <w:trPr>
          <w:cantSplit/>
        </w:trPr>
        <w:tc>
          <w:tcPr/>
          <w:p>
            <w:pPr>
              <w:pStyle w:val="Compact"/>
              <w:jc w:val="left"/>
            </w:pPr>
            <w:r>
              <w:t xml:space="preserve">Anchors</w:t>
            </w:r>
          </w:p>
        </w:tc>
        <w:tc>
          <w:tcPr/>
          <w:p>
            <w:pPr>
              <w:pStyle w:val="Compact"/>
              <w:jc w:val="left"/>
            </w:pPr>
            <w:r>
              <w:t xml:space="preserve">six, A1 to A6, split between municipalities M1 and M2</w:t>
            </w:r>
          </w:p>
        </w:tc>
      </w:tr>
    </w:tbl>
    <w:p>
      <w:pPr>
        <w:spacing w:before="200"/>
      </w:pPr>
    </w:p>
    <w:p>
      <w:pPr>
        <w:pStyle w:val="TableCaption"/>
      </w:pPr>
      <w:r>
        <w:rPr>
          <w:bCs/>
          <w:b/>
        </w:rPr>
        <w:t xml:space="preserve">Table 21.</w:t>
      </w:r>
      <w:r>
        <w:t xml:space="preserve"> </w:t>
      </w:r>
      <w:r>
        <w:t xml:space="preserve">Door-to-door travel time (min), averaged over the departure grid, from each anchor of S1 to each hospital site, with the resulting 30-minute accessibility in reachable beds.</w:t>
      </w:r>
    </w:p>
    <w:tbl>
      <w:tblPr>
        <w:tblStyle w:val="Table"/>
        <w:tblW w:type="pct" w:w="5000"/>
        <w:jc w:val="center"/>
        <w:tblCaption w:val="Table 21. Door-to-door travel time (min), averaged over the departure grid, from each anchor of S1 to each hospital site, with the resulting 30-minute accessibility in reachable bed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056"/>
        <w:gridCol w:w="1056"/>
        <w:gridCol w:w="1584"/>
        <w:gridCol w:w="1056"/>
        <w:gridCol w:w="1056"/>
        <w:gridCol w:w="1056"/>
        <w:gridCol w:w="1056"/>
      </w:tblGrid>
      <w:tr>
        <w:trPr>
          <w:tblHeader w:val="true"/>
          <w:tblHeader/>
          <w:cantSplit/>
        </w:trPr>
        <w:tc>
          <w:tcPr/>
          <w:p>
            <w:pPr>
              <w:pStyle w:val="Compact"/>
              <w:jc w:val="left"/>
            </w:pPr>
            <w:r>
              <w:rPr>
                <w:b/>
              </w:rPr>
              <w:t xml:space="preserve">Anchor</w:t>
            </w:r>
          </w:p>
        </w:tc>
        <w:tc>
          <w:tcPr/>
          <w:p>
            <w:pPr>
              <w:pStyle w:val="Compact"/>
              <w:jc w:val="right"/>
            </w:pPr>
            <w:r>
              <w:rPr>
                <w:b/>
              </w:rPr>
              <w:t xml:space="preserve">Weight</w:t>
            </w:r>
          </w:p>
        </w:tc>
        <w:tc>
          <w:tcPr/>
          <w:p>
            <w:pPr>
              <w:pStyle w:val="Compact"/>
              <w:jc w:val="center"/>
            </w:pPr>
            <w:r>
              <w:rPr>
                <w:b/>
              </w:rPr>
              <w:t xml:space="preserve">Municipality</w:t>
            </w:r>
          </w:p>
        </w:tc>
        <w:tc>
          <w:tcPr/>
          <w:p>
            <w:pPr>
              <w:pStyle w:val="Compact"/>
              <w:jc w:val="right"/>
            </w:pPr>
            <w:r>
              <w:rPr>
                <w:b/>
              </w:rPr>
              <w:t xml:space="preserve">to S4 (120)</w:t>
            </w:r>
          </w:p>
        </w:tc>
        <w:tc>
          <w:tcPr/>
          <w:p>
            <w:pPr>
              <w:pStyle w:val="Compact"/>
              <w:jc w:val="right"/>
            </w:pPr>
            <w:r>
              <w:rPr>
                <w:b/>
              </w:rPr>
              <w:t xml:space="preserve">to S7 (40)</w:t>
            </w:r>
          </w:p>
        </w:tc>
        <w:tc>
          <w:tcPr/>
          <w:p>
            <w:pPr>
              <w:pStyle w:val="Compact"/>
              <w:jc w:val="right"/>
            </w:pPr>
            <w:r>
              <w:rPr>
                <w:b/>
              </w:rPr>
              <w:t xml:space="preserve">to S3 (25)</w:t>
            </w:r>
          </w:p>
        </w:tc>
        <w:tc>
          <w:tcPr/>
          <w:p>
            <w:pPr>
              <w:pStyle w:val="Compact"/>
              <w:jc w:val="right"/>
            </w:pPr>
            <w:r>
              <w:rPr>
                <w:iCs/>
                <w:b/>
                <w:i/>
              </w:rPr>
              <w:t xml:space="preserve">A</w:t>
            </w:r>
            <w:r>
              <w:rPr>
                <w:iCs/>
                <w:b/>
                <w:i/>
                <w:vertAlign w:val="subscript"/>
              </w:rPr>
              <w:t xml:space="preserve">a</w:t>
            </w:r>
            <w:r>
              <w:rPr>
                <w:b/>
              </w:rPr>
              <w:t xml:space="preserve">(30)</w:t>
            </w:r>
          </w:p>
        </w:tc>
      </w:tr>
      <w:tr>
        <w:trPr>
          <w:cantSplit/>
        </w:trPr>
        <w:tc>
          <w:tcPr/>
          <w:p>
            <w:pPr>
              <w:pStyle w:val="Compact"/>
              <w:jc w:val="left"/>
            </w:pPr>
            <w:r>
              <w:t xml:space="preserve">A1</w:t>
            </w:r>
          </w:p>
        </w:tc>
        <w:tc>
          <w:tcPr/>
          <w:p>
            <w:pPr>
              <w:pStyle w:val="Compact"/>
              <w:jc w:val="right"/>
            </w:pPr>
            <w:r>
              <w:t xml:space="preserve">4,200</w:t>
            </w:r>
          </w:p>
        </w:tc>
        <w:tc>
          <w:tcPr/>
          <w:p>
            <w:pPr>
              <w:pStyle w:val="Compact"/>
              <w:jc w:val="center"/>
            </w:pPr>
            <w:r>
              <w:t xml:space="preserve">M1</w:t>
            </w:r>
          </w:p>
        </w:tc>
        <w:tc>
          <w:tcPr/>
          <w:p>
            <w:pPr>
              <w:pStyle w:val="Compact"/>
              <w:jc w:val="right"/>
            </w:pPr>
            <w:r>
              <w:t xml:space="preserve">29.2</w:t>
            </w:r>
          </w:p>
        </w:tc>
        <w:tc>
          <w:tcPr/>
          <w:p>
            <w:pPr>
              <w:pStyle w:val="Compact"/>
              <w:jc w:val="right"/>
            </w:pPr>
            <w:r>
              <w:t xml:space="preserve">49.0</w:t>
            </w:r>
          </w:p>
        </w:tc>
        <w:tc>
          <w:tcPr/>
          <w:p>
            <w:pPr>
              <w:pStyle w:val="Compact"/>
              <w:jc w:val="right"/>
            </w:pPr>
            <w:r>
              <w:t xml:space="preserve">24.6</w:t>
            </w:r>
          </w:p>
        </w:tc>
        <w:tc>
          <w:tcPr/>
          <w:p>
            <w:pPr>
              <w:pStyle w:val="Compact"/>
              <w:jc w:val="right"/>
            </w:pPr>
            <w:r>
              <w:t xml:space="preserve">145</w:t>
            </w:r>
          </w:p>
        </w:tc>
      </w:tr>
      <w:tr>
        <w:trPr>
          <w:cantSplit/>
        </w:trPr>
        <w:tc>
          <w:tcPr/>
          <w:p>
            <w:pPr>
              <w:pStyle w:val="Compact"/>
              <w:jc w:val="left"/>
            </w:pPr>
            <w:r>
              <w:t xml:space="preserve">A2</w:t>
            </w:r>
          </w:p>
        </w:tc>
        <w:tc>
          <w:tcPr/>
          <w:p>
            <w:pPr>
              <w:pStyle w:val="Compact"/>
              <w:jc w:val="right"/>
            </w:pPr>
            <w:r>
              <w:t xml:space="preserve">3,100</w:t>
            </w:r>
          </w:p>
        </w:tc>
        <w:tc>
          <w:tcPr/>
          <w:p>
            <w:pPr>
              <w:pStyle w:val="Compact"/>
              <w:jc w:val="center"/>
            </w:pPr>
            <w:r>
              <w:t xml:space="preserve">M1</w:t>
            </w:r>
          </w:p>
        </w:tc>
        <w:tc>
          <w:tcPr/>
          <w:p>
            <w:pPr>
              <w:pStyle w:val="Compact"/>
              <w:jc w:val="right"/>
            </w:pPr>
            <w:r>
              <w:t xml:space="preserve">27.3</w:t>
            </w:r>
          </w:p>
        </w:tc>
        <w:tc>
          <w:tcPr/>
          <w:p>
            <w:pPr>
              <w:pStyle w:val="Compact"/>
              <w:jc w:val="right"/>
            </w:pPr>
            <w:r>
              <w:t xml:space="preserve">61.0</w:t>
            </w:r>
          </w:p>
        </w:tc>
        <w:tc>
          <w:tcPr/>
          <w:p>
            <w:pPr>
              <w:pStyle w:val="Compact"/>
              <w:jc w:val="right"/>
            </w:pPr>
            <w:r>
              <w:t xml:space="preserve">21.3</w:t>
            </w:r>
          </w:p>
        </w:tc>
        <w:tc>
          <w:tcPr/>
          <w:p>
            <w:pPr>
              <w:pStyle w:val="Compact"/>
              <w:jc w:val="right"/>
            </w:pPr>
            <w:r>
              <w:t xml:space="preserve">145</w:t>
            </w:r>
          </w:p>
        </w:tc>
      </w:tr>
      <w:tr>
        <w:trPr>
          <w:cantSplit/>
        </w:trPr>
        <w:tc>
          <w:tcPr/>
          <w:p>
            <w:pPr>
              <w:pStyle w:val="Compact"/>
              <w:jc w:val="left"/>
            </w:pPr>
            <w:r>
              <w:t xml:space="preserve">A3</w:t>
            </w:r>
          </w:p>
        </w:tc>
        <w:tc>
          <w:tcPr/>
          <w:p>
            <w:pPr>
              <w:pStyle w:val="Compact"/>
              <w:jc w:val="right"/>
            </w:pPr>
            <w:r>
              <w:t xml:space="preserve">1,850</w:t>
            </w:r>
          </w:p>
        </w:tc>
        <w:tc>
          <w:tcPr/>
          <w:p>
            <w:pPr>
              <w:pStyle w:val="Compact"/>
              <w:jc w:val="center"/>
            </w:pPr>
            <w:r>
              <w:t xml:space="preserve">M1</w:t>
            </w:r>
          </w:p>
        </w:tc>
        <w:tc>
          <w:tcPr/>
          <w:p>
            <w:pPr>
              <w:pStyle w:val="Compact"/>
              <w:jc w:val="right"/>
            </w:pPr>
            <w:r>
              <w:t xml:space="preserve">18.6</w:t>
            </w:r>
          </w:p>
        </w:tc>
        <w:tc>
          <w:tcPr/>
          <w:p>
            <w:pPr>
              <w:pStyle w:val="Compact"/>
              <w:jc w:val="right"/>
            </w:pPr>
            <w:r>
              <w:t xml:space="preserve">51.4</w:t>
            </w:r>
          </w:p>
        </w:tc>
        <w:tc>
          <w:tcPr/>
          <w:p>
            <w:pPr>
              <w:pStyle w:val="Compact"/>
              <w:jc w:val="right"/>
            </w:pPr>
            <w:r>
              <w:t xml:space="preserve">7.0</w:t>
            </w:r>
          </w:p>
        </w:tc>
        <w:tc>
          <w:tcPr/>
          <w:p>
            <w:pPr>
              <w:pStyle w:val="Compact"/>
              <w:jc w:val="right"/>
            </w:pPr>
            <w:r>
              <w:t xml:space="preserve">145</w:t>
            </w:r>
          </w:p>
        </w:tc>
      </w:tr>
      <w:tr>
        <w:trPr>
          <w:cantSplit/>
        </w:trPr>
        <w:tc>
          <w:tcPr/>
          <w:p>
            <w:pPr>
              <w:pStyle w:val="Compact"/>
              <w:jc w:val="left"/>
            </w:pPr>
            <w:r>
              <w:t xml:space="preserve">A4</w:t>
            </w:r>
          </w:p>
        </w:tc>
        <w:tc>
          <w:tcPr/>
          <w:p>
            <w:pPr>
              <w:pStyle w:val="Compact"/>
              <w:jc w:val="right"/>
            </w:pPr>
            <w:r>
              <w:t xml:space="preserve">1,400</w:t>
            </w:r>
          </w:p>
        </w:tc>
        <w:tc>
          <w:tcPr/>
          <w:p>
            <w:pPr>
              <w:pStyle w:val="Compact"/>
              <w:jc w:val="center"/>
            </w:pPr>
            <w:r>
              <w:t xml:space="preserve">M2</w:t>
            </w:r>
          </w:p>
        </w:tc>
        <w:tc>
          <w:tcPr/>
          <w:p>
            <w:pPr>
              <w:pStyle w:val="Compact"/>
              <w:jc w:val="right"/>
            </w:pPr>
            <w:r>
              <w:t xml:space="preserve">43.6</w:t>
            </w:r>
          </w:p>
        </w:tc>
        <w:tc>
          <w:tcPr/>
          <w:p>
            <w:pPr>
              <w:pStyle w:val="Compact"/>
              <w:jc w:val="right"/>
            </w:pPr>
            <w:r>
              <w:t xml:space="preserve">76.6</w:t>
            </w:r>
          </w:p>
        </w:tc>
        <w:tc>
          <w:tcPr/>
          <w:p>
            <w:pPr>
              <w:pStyle w:val="Compact"/>
              <w:jc w:val="right"/>
            </w:pPr>
            <w:r>
              <w:t xml:space="preserve">37.5</w:t>
            </w:r>
          </w:p>
        </w:tc>
        <w:tc>
          <w:tcPr/>
          <w:p>
            <w:pPr>
              <w:pStyle w:val="Compact"/>
              <w:jc w:val="right"/>
            </w:pPr>
            <w:r>
              <w:t xml:space="preserve">0</w:t>
            </w:r>
          </w:p>
        </w:tc>
      </w:tr>
      <w:tr>
        <w:trPr>
          <w:cantSplit/>
        </w:trPr>
        <w:tc>
          <w:tcPr/>
          <w:p>
            <w:pPr>
              <w:pStyle w:val="Compact"/>
              <w:jc w:val="left"/>
            </w:pPr>
            <w:r>
              <w:t xml:space="preserve">A5</w:t>
            </w:r>
          </w:p>
        </w:tc>
        <w:tc>
          <w:tcPr/>
          <w:p>
            <w:pPr>
              <w:pStyle w:val="Compact"/>
              <w:jc w:val="right"/>
            </w:pPr>
            <w:r>
              <w:t xml:space="preserve">980</w:t>
            </w:r>
          </w:p>
        </w:tc>
        <w:tc>
          <w:tcPr/>
          <w:p>
            <w:pPr>
              <w:pStyle w:val="Compact"/>
              <w:jc w:val="center"/>
            </w:pPr>
            <w:r>
              <w:t xml:space="preserve">M2</w:t>
            </w:r>
          </w:p>
        </w:tc>
        <w:tc>
          <w:tcPr/>
          <w:p>
            <w:pPr>
              <w:pStyle w:val="Compact"/>
              <w:jc w:val="right"/>
            </w:pPr>
            <w:r>
              <w:t xml:space="preserve">32.6</w:t>
            </w:r>
          </w:p>
        </w:tc>
        <w:tc>
          <w:tcPr/>
          <w:p>
            <w:pPr>
              <w:pStyle w:val="Compact"/>
              <w:jc w:val="right"/>
            </w:pPr>
            <w:r>
              <w:t xml:space="preserve">65.8</w:t>
            </w:r>
          </w:p>
        </w:tc>
        <w:tc>
          <w:tcPr/>
          <w:p>
            <w:pPr>
              <w:pStyle w:val="Compact"/>
              <w:jc w:val="right"/>
            </w:pPr>
            <w:r>
              <w:t xml:space="preserve">26.0</w:t>
            </w:r>
          </w:p>
        </w:tc>
        <w:tc>
          <w:tcPr/>
          <w:p>
            <w:pPr>
              <w:pStyle w:val="Compact"/>
              <w:jc w:val="right"/>
            </w:pPr>
            <w:r>
              <w:t xml:space="preserve">25</w:t>
            </w:r>
          </w:p>
        </w:tc>
      </w:tr>
      <w:tr>
        <w:trPr>
          <w:cantSplit/>
        </w:trPr>
        <w:tc>
          <w:tcPr/>
          <w:p>
            <w:pPr>
              <w:pStyle w:val="Compact"/>
              <w:jc w:val="left"/>
            </w:pPr>
            <w:r>
              <w:t xml:space="preserve">A6</w:t>
            </w:r>
          </w:p>
        </w:tc>
        <w:tc>
          <w:tcPr/>
          <w:p>
            <w:pPr>
              <w:pStyle w:val="Compact"/>
              <w:jc w:val="right"/>
            </w:pPr>
            <w:r>
              <w:t xml:space="preserve">2,600</w:t>
            </w:r>
          </w:p>
        </w:tc>
        <w:tc>
          <w:tcPr/>
          <w:p>
            <w:pPr>
              <w:pStyle w:val="Compact"/>
              <w:jc w:val="center"/>
            </w:pPr>
            <w:r>
              <w:t xml:space="preserve">M2</w:t>
            </w:r>
          </w:p>
        </w:tc>
        <w:tc>
          <w:tcPr/>
          <w:p>
            <w:pPr>
              <w:pStyle w:val="Compact"/>
              <w:jc w:val="right"/>
            </w:pPr>
            <w:r>
              <w:t xml:space="preserve">37.2</w:t>
            </w:r>
          </w:p>
        </w:tc>
        <w:tc>
          <w:tcPr/>
          <w:p>
            <w:pPr>
              <w:pStyle w:val="Compact"/>
              <w:jc w:val="right"/>
            </w:pPr>
            <w:r>
              <w:t xml:space="preserve">13.0</w:t>
            </w:r>
          </w:p>
        </w:tc>
        <w:tc>
          <w:tcPr/>
          <w:p>
            <w:pPr>
              <w:pStyle w:val="Compact"/>
              <w:jc w:val="right"/>
            </w:pPr>
            <w:r>
              <w:t xml:space="preserve">48.1</w:t>
            </w:r>
          </w:p>
        </w:tc>
        <w:tc>
          <w:tcPr/>
          <w:p>
            <w:pPr>
              <w:pStyle w:val="Compact"/>
              <w:jc w:val="right"/>
            </w:pPr>
            <w:r>
              <w:t xml:space="preserve">40</w:t>
            </w:r>
          </w:p>
        </w:tc>
      </w:tr>
    </w:tbl>
    <w:p>
      <w:pPr>
        <w:spacing w:before="200"/>
      </w:pPr>
    </w:p>
    <w:p>
      <w:pPr>
        <w:pStyle w:val="TableCaption"/>
      </w:pPr>
      <w:r>
        <w:rPr>
          <w:bCs/>
          <w:b/>
        </w:rPr>
        <w:t xml:space="preserve">Table 22.</w:t>
      </w:r>
      <w:r>
        <w:t xml:space="preserve"> </w:t>
      </w:r>
      <w:r>
        <w:t xml:space="preserve">Inequality of access to hospital beds in S1 at the 30-minute baseline (synthetic instance).</w:t>
      </w:r>
    </w:p>
    <w:tbl>
      <w:tblPr>
        <w:tblStyle w:val="Table"/>
        <w:tblW w:type="pct" w:w="5000"/>
        <w:jc w:val="center"/>
        <w:tblCaption w:val="Table 22. Inequality of access to hospital beds in S1 at the 30-minute baseline (synthetic instance)."/>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3960"/>
        <w:gridCol w:w="3960"/>
      </w:tblGrid>
      <w:tr>
        <w:trPr>
          <w:tblHeader w:val="true"/>
          <w:tblHeader/>
          <w:cantSplit/>
        </w:trPr>
        <w:tc>
          <w:tcPr/>
          <w:p>
            <w:pPr>
              <w:pStyle w:val="Compact"/>
              <w:jc w:val="left"/>
            </w:pPr>
            <w:r>
              <w:rPr>
                <w:b/>
              </w:rPr>
              <w:t xml:space="preserve">Quantity</w:t>
            </w:r>
          </w:p>
        </w:tc>
        <w:tc>
          <w:tcPr/>
          <w:p>
            <w:pPr>
              <w:pStyle w:val="Compact"/>
              <w:jc w:val="left"/>
            </w:pPr>
            <w:r>
              <w:rPr>
                <w:b/>
              </w:rPr>
              <w:t xml:space="preserve">Value</w:t>
            </w:r>
          </w:p>
        </w:tc>
      </w:tr>
      <w:tr>
        <w:trPr>
          <w:cantSplit/>
        </w:trPr>
        <w:tc>
          <w:tcPr/>
          <w:p>
            <w:pPr>
              <w:pStyle w:val="Compact"/>
              <w:jc w:val="left"/>
            </w:pPr>
            <w:r>
              <w:t xml:space="preserve">Weighted mean μ</w:t>
            </w:r>
          </w:p>
        </w:tc>
        <w:tc>
          <w:tcPr/>
          <w:p>
            <w:pPr>
              <w:pStyle w:val="Compact"/>
              <w:jc w:val="left"/>
            </w:pPr>
            <w:r>
              <w:t xml:space="preserve">102.99 beds</w:t>
            </w:r>
          </w:p>
        </w:tc>
      </w:tr>
      <w:tr>
        <w:trPr>
          <w:cantSplit/>
        </w:trPr>
        <w:tc>
          <w:tcPr/>
          <w:p>
            <w:pPr>
              <w:pStyle w:val="Compact"/>
              <w:jc w:val="left"/>
            </w:pPr>
            <w:r>
              <w:t xml:space="preserve">Gini coefficient</w:t>
            </w:r>
            <w:r>
              <w:t xml:space="preserve"> </w:t>
            </w:r>
            <w:r>
              <w:rPr>
                <w:iCs/>
                <w:i/>
              </w:rPr>
              <w:t xml:space="preserve">G</w:t>
            </w:r>
          </w:p>
        </w:tc>
        <w:tc>
          <w:tcPr/>
          <w:p>
            <w:pPr>
              <w:pStyle w:val="Compact"/>
              <w:jc w:val="left"/>
            </w:pPr>
            <w:r>
              <w:t xml:space="preserve">0.2747</w:t>
            </w:r>
          </w:p>
        </w:tc>
      </w:tr>
      <w:tr>
        <w:trPr>
          <w:cantSplit/>
        </w:trPr>
        <w:tc>
          <w:tcPr/>
          <w:p>
            <w:pPr>
              <w:pStyle w:val="Compact"/>
              <w:jc w:val="left"/>
            </w:pPr>
            <w:r>
              <w:t xml:space="preserve">Theil index</w:t>
            </w:r>
            <w:r>
              <w:t xml:space="preserve"> </w:t>
            </w:r>
            <w:r>
              <w:rPr>
                <w:iCs/>
                <w:i/>
              </w:rPr>
              <w:t xml:space="preserve">T</w:t>
            </w:r>
          </w:p>
        </w:tc>
        <w:tc>
          <w:tcPr/>
          <w:p>
            <w:pPr>
              <w:pStyle w:val="Compact"/>
              <w:jc w:val="left"/>
            </w:pPr>
            <w:r>
              <w:t xml:space="preserve">0.2205</w:t>
            </w:r>
          </w:p>
        </w:tc>
      </w:tr>
      <w:tr>
        <w:trPr>
          <w:cantSplit/>
        </w:trPr>
        <w:tc>
          <w:tcPr/>
          <w:p>
            <w:pPr>
              <w:pStyle w:val="Compact"/>
              <w:jc w:val="left"/>
            </w:pPr>
            <w:r>
              <w:t xml:space="preserve">Part within municipalities</w:t>
            </w:r>
          </w:p>
        </w:tc>
        <w:tc>
          <w:tcPr/>
          <w:p>
            <w:pPr>
              <w:pStyle w:val="Compact"/>
              <w:jc w:val="left"/>
            </w:pPr>
            <w:r>
              <w:t xml:space="preserve">0.0308 (14.0% of total)</w:t>
            </w:r>
          </w:p>
        </w:tc>
      </w:tr>
      <w:tr>
        <w:trPr>
          <w:cantSplit/>
        </w:trPr>
        <w:tc>
          <w:tcPr/>
          <w:p>
            <w:pPr>
              <w:pStyle w:val="Compact"/>
              <w:jc w:val="left"/>
            </w:pPr>
            <w:r>
              <w:t xml:space="preserve">Part between municipalities</w:t>
            </w:r>
          </w:p>
        </w:tc>
        <w:tc>
          <w:tcPr/>
          <w:p>
            <w:pPr>
              <w:pStyle w:val="Compact"/>
              <w:jc w:val="left"/>
            </w:pPr>
            <w:r>
              <w:t xml:space="preserve">0.1897 (86.0% of total)</w:t>
            </w:r>
          </w:p>
        </w:tc>
      </w:tr>
      <w:tr>
        <w:trPr>
          <w:cantSplit/>
        </w:trPr>
        <w:tc>
          <w:tcPr/>
          <w:p>
            <w:pPr>
              <w:pStyle w:val="Compact"/>
              <w:jc w:val="left"/>
            </w:pPr>
            <w:r>
              <w:t xml:space="preserve">Identity check |</w:t>
            </w:r>
            <w:r>
              <w:t xml:space="preserve"> </w:t>
            </w:r>
            <w:r>
              <w:rPr>
                <w:iCs/>
                <w:i/>
              </w:rPr>
              <w:t xml:space="preserve">T</w:t>
            </w:r>
            <w:r>
              <w:t xml:space="preserve"> </w:t>
            </w:r>
            <w:r>
              <w:t xml:space="preserve">− (within + between) |</w:t>
            </w:r>
          </w:p>
        </w:tc>
        <w:tc>
          <w:tcPr/>
          <w:p>
            <w:pPr>
              <w:pStyle w:val="Compact"/>
              <w:jc w:val="left"/>
            </w:pPr>
            <w:r>
              <w:t xml:space="preserve">2.8 × 10</w:t>
            </w:r>
            <w:r>
              <w:rPr>
                <w:vertAlign w:val="superscript"/>
              </w:rPr>
              <w:t xml:space="preserve">−17</w:t>
            </w:r>
          </w:p>
        </w:tc>
      </w:tr>
      <w:tr>
        <w:trPr>
          <w:cantSplit/>
        </w:trPr>
        <w:tc>
          <w:tcPr/>
          <w:p>
            <w:pPr>
              <w:pStyle w:val="Compact"/>
              <w:jc w:val="left"/>
            </w:pPr>
            <w:r>
              <w:t xml:space="preserve">Palma ratio</w:t>
            </w:r>
          </w:p>
        </w:tc>
        <w:tc>
          <w:tcPr/>
          <w:p>
            <w:pPr>
              <w:pStyle w:val="Compact"/>
              <w:jc w:val="left"/>
            </w:pPr>
            <w:r>
              <w:t xml:space="preserve">0.907</w:t>
            </w:r>
          </w:p>
        </w:tc>
      </w:tr>
      <w:tr>
        <w:trPr>
          <w:cantSplit/>
        </w:trPr>
        <w:tc>
          <w:tcPr/>
          <w:p>
            <w:pPr>
              <w:pStyle w:val="Compact"/>
              <w:jc w:val="left"/>
            </w:pPr>
            <w:r>
              <w:t xml:space="preserve">Weight share with zero access</w:t>
            </w:r>
          </w:p>
        </w:tc>
        <w:tc>
          <w:tcPr/>
          <w:p>
            <w:pPr>
              <w:pStyle w:val="Compact"/>
              <w:jc w:val="left"/>
            </w:pPr>
            <w:r>
              <w:t xml:space="preserve">9.9%</w:t>
            </w:r>
          </w:p>
        </w:tc>
      </w:tr>
    </w:tbl>
    <w:p>
      <w:pPr>
        <w:pStyle w:val="BodyText"/>
        <w:spacing w:before="200"/>
      </w:pPr>
      <w:r>
        <w:t xml:space="preserve">Anchor A1, 29.2 min from the 120-bed hospital, falls just inside the budget, while A5, at 32.6 min, falls just outside it.</w:t>
      </w:r>
    </w:p>
    <w:p>
      <w:pPr>
        <w:pStyle w:val="BodyText"/>
      </w:pPr>
      <w:r>
        <w:t xml:space="preserve">The decomposition works as intended.</w:t>
      </w:r>
    </w:p>
    <w:p>
      <w:pPr>
        <w:pStyle w:val="TableCaption"/>
      </w:pPr>
      <w:r>
        <w:rPr>
          <w:bCs/>
          <w:b/>
        </w:rPr>
        <w:t xml:space="preserve">Table 23.</w:t>
      </w:r>
      <w:r>
        <w:t xml:space="preserve"> </w:t>
      </w:r>
      <w:r>
        <w:t xml:space="preserve">Leg fares under the traditional jeepney parameters of Table 6.</w:t>
      </w:r>
    </w:p>
    <w:tbl>
      <w:tblPr>
        <w:tblStyle w:val="Table"/>
        <w:tblW w:type="pct" w:w="5000"/>
        <w:jc w:val="center"/>
        <w:tblCaption w:val="Table 23. Leg fares under the traditional jeepney parameters of Table 6."/>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640"/>
        <w:gridCol w:w="2640"/>
        <w:gridCol w:w="2640"/>
      </w:tblGrid>
      <w:tr>
        <w:trPr>
          <w:tblHeader w:val="true"/>
          <w:tblHeader/>
          <w:cantSplit/>
        </w:trPr>
        <w:tc>
          <w:tcPr/>
          <w:p>
            <w:pPr>
              <w:pStyle w:val="Compact"/>
              <w:jc w:val="right"/>
            </w:pPr>
            <w:r>
              <w:rPr>
                <w:b/>
              </w:rPr>
              <w:t xml:space="preserve">Leg Length</w:t>
            </w:r>
            <w:r>
              <w:rPr>
                <w:b/>
              </w:rPr>
              <w:t xml:space="preserve"> </w:t>
            </w:r>
            <w:r>
              <w:rPr>
                <w:iCs/>
                <w:b/>
                <w:i/>
              </w:rPr>
              <w:t xml:space="preserve">d</w:t>
            </w:r>
            <w:r>
              <w:rPr>
                <w:b/>
              </w:rPr>
              <w:t xml:space="preserve"> </w:t>
            </w:r>
            <w:r>
              <w:rPr>
                <w:b/>
              </w:rPr>
              <w:t xml:space="preserve">(km)</w:t>
            </w:r>
          </w:p>
        </w:tc>
        <w:tc>
          <w:tcPr/>
          <w:p>
            <w:pPr>
              <w:pStyle w:val="Compact"/>
              <w:jc w:val="right"/>
            </w:pPr>
            <w:r>
              <w:rPr>
                <w:b/>
              </w:rPr>
              <w:t xml:space="preserve">Full Fare (₱)</w:t>
            </w:r>
          </w:p>
        </w:tc>
        <w:tc>
          <w:tcPr/>
          <w:p>
            <w:pPr>
              <w:pStyle w:val="Compact"/>
              <w:jc w:val="right"/>
            </w:pPr>
            <w:r>
              <w:rPr>
                <w:b/>
              </w:rPr>
              <w:t xml:space="preserve">Fare with 20% Discount (₱)</w:t>
            </w:r>
          </w:p>
        </w:tc>
      </w:tr>
      <w:tr>
        <w:trPr>
          <w:cantSplit/>
        </w:trPr>
        <w:tc>
          <w:tcPr/>
          <w:p>
            <w:pPr>
              <w:pStyle w:val="Compact"/>
              <w:jc w:val="right"/>
            </w:pPr>
            <w:r>
              <w:t xml:space="preserve">1.0</w:t>
            </w:r>
          </w:p>
        </w:tc>
        <w:tc>
          <w:tcPr/>
          <w:p>
            <w:pPr>
              <w:pStyle w:val="Compact"/>
              <w:jc w:val="right"/>
            </w:pPr>
            <w:r>
              <w:t xml:space="preserve">14.00</w:t>
            </w:r>
          </w:p>
        </w:tc>
        <w:tc>
          <w:tcPr/>
          <w:p>
            <w:pPr>
              <w:pStyle w:val="Compact"/>
              <w:jc w:val="right"/>
            </w:pPr>
            <w:r>
              <w:t xml:space="preserve">11.20</w:t>
            </w:r>
          </w:p>
        </w:tc>
      </w:tr>
      <w:tr>
        <w:trPr>
          <w:cantSplit/>
        </w:trPr>
        <w:tc>
          <w:tcPr/>
          <w:p>
            <w:pPr>
              <w:pStyle w:val="Compact"/>
              <w:jc w:val="right"/>
            </w:pPr>
            <w:r>
              <w:t xml:space="preserve">4.0</w:t>
            </w:r>
          </w:p>
        </w:tc>
        <w:tc>
          <w:tcPr/>
          <w:p>
            <w:pPr>
              <w:pStyle w:val="Compact"/>
              <w:jc w:val="right"/>
            </w:pPr>
            <w:r>
              <w:t xml:space="preserve">14.00</w:t>
            </w:r>
          </w:p>
        </w:tc>
        <w:tc>
          <w:tcPr/>
          <w:p>
            <w:pPr>
              <w:pStyle w:val="Compact"/>
              <w:jc w:val="right"/>
            </w:pPr>
            <w:r>
              <w:t xml:space="preserve">11.20</w:t>
            </w:r>
          </w:p>
        </w:tc>
      </w:tr>
      <w:tr>
        <w:trPr>
          <w:cantSplit/>
        </w:trPr>
        <w:tc>
          <w:tcPr/>
          <w:p>
            <w:pPr>
              <w:pStyle w:val="Compact"/>
              <w:jc w:val="right"/>
            </w:pPr>
            <w:r>
              <w:t xml:space="preserve">4.2</w:t>
            </w:r>
          </w:p>
        </w:tc>
        <w:tc>
          <w:tcPr/>
          <w:p>
            <w:pPr>
              <w:pStyle w:val="Compact"/>
              <w:jc w:val="right"/>
            </w:pPr>
            <w:r>
              <w:t xml:space="preserve">16.00</w:t>
            </w:r>
          </w:p>
        </w:tc>
        <w:tc>
          <w:tcPr/>
          <w:p>
            <w:pPr>
              <w:pStyle w:val="Compact"/>
              <w:jc w:val="right"/>
            </w:pPr>
            <w:r>
              <w:t xml:space="preserve">12.80</w:t>
            </w:r>
          </w:p>
        </w:tc>
      </w:tr>
      <w:tr>
        <w:trPr>
          <w:cantSplit/>
        </w:trPr>
        <w:tc>
          <w:tcPr/>
          <w:p>
            <w:pPr>
              <w:pStyle w:val="Compact"/>
              <w:jc w:val="right"/>
            </w:pPr>
            <w:r>
              <w:t xml:space="preserve">7.0</w:t>
            </w:r>
          </w:p>
        </w:tc>
        <w:tc>
          <w:tcPr/>
          <w:p>
            <w:pPr>
              <w:pStyle w:val="Compact"/>
              <w:jc w:val="right"/>
            </w:pPr>
            <w:r>
              <w:t xml:space="preserve">20.00</w:t>
            </w:r>
          </w:p>
        </w:tc>
        <w:tc>
          <w:tcPr/>
          <w:p>
            <w:pPr>
              <w:pStyle w:val="Compact"/>
              <w:jc w:val="right"/>
            </w:pPr>
            <w:r>
              <w:t xml:space="preserve">16.00</w:t>
            </w:r>
          </w:p>
        </w:tc>
      </w:tr>
      <w:tr>
        <w:trPr>
          <w:cantSplit/>
        </w:trPr>
        <w:tc>
          <w:tcPr/>
          <w:p>
            <w:pPr>
              <w:pStyle w:val="Compact"/>
              <w:jc w:val="right"/>
            </w:pPr>
            <w:r>
              <w:t xml:space="preserve">10.5</w:t>
            </w:r>
          </w:p>
        </w:tc>
        <w:tc>
          <w:tcPr/>
          <w:p>
            <w:pPr>
              <w:pStyle w:val="Compact"/>
              <w:jc w:val="right"/>
            </w:pPr>
            <w:r>
              <w:t xml:space="preserve">28.00</w:t>
            </w:r>
          </w:p>
        </w:tc>
        <w:tc>
          <w:tcPr/>
          <w:p>
            <w:pPr>
              <w:pStyle w:val="Compact"/>
              <w:jc w:val="right"/>
            </w:pPr>
            <w:r>
              <w:t xml:space="preserve">22.40</w:t>
            </w:r>
          </w:p>
        </w:tc>
      </w:tr>
      <w:tr>
        <w:trPr>
          <w:cantSplit/>
        </w:trPr>
        <w:tc>
          <w:tcPr/>
          <w:p>
            <w:pPr>
              <w:pStyle w:val="Compact"/>
              <w:jc w:val="right"/>
            </w:pPr>
            <w:r>
              <w:t xml:space="preserve">18.0</w:t>
            </w:r>
          </w:p>
        </w:tc>
        <w:tc>
          <w:tcPr/>
          <w:p>
            <w:pPr>
              <w:pStyle w:val="Compact"/>
              <w:jc w:val="right"/>
            </w:pPr>
            <w:r>
              <w:t xml:space="preserve">42.00</w:t>
            </w:r>
          </w:p>
        </w:tc>
        <w:tc>
          <w:tcPr/>
          <w:p>
            <w:pPr>
              <w:pStyle w:val="Compact"/>
              <w:jc w:val="right"/>
            </w:pPr>
            <w:r>
              <w:t xml:space="preserve">33.60</w:t>
            </w:r>
          </w:p>
        </w:tc>
      </w:tr>
    </w:tbl>
    <w:p>
      <w:pPr>
        <w:spacing w:before="200"/>
      </w:pPr>
    </w:p>
    <w:p>
      <w:pPr>
        <w:pStyle w:val="TableCaption"/>
      </w:pPr>
      <w:r>
        <w:rPr>
          <w:bCs/>
          <w:b/>
        </w:rPr>
        <w:t xml:space="preserve">Table 24.</w:t>
      </w:r>
      <w:r>
        <w:t xml:space="preserve"> </w:t>
      </w:r>
      <w:r>
        <w:t xml:space="preserve">Independent tests on new random instances and on S1.</w:t>
      </w:r>
    </w:p>
    <w:tbl>
      <w:tblPr>
        <w:tblStyle w:val="Table"/>
        <w:tblW w:type="pct" w:w="5000"/>
        <w:jc w:val="center"/>
        <w:tblCaption w:val="Table 24. Independent tests on new random instances and on S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11"/>
        <w:gridCol w:w="3413"/>
        <w:gridCol w:w="2594"/>
      </w:tblGrid>
      <w:tr>
        <w:trPr>
          <w:tblHeader w:val="true"/>
          <w:tblHeader/>
          <w:cantSplit/>
        </w:trPr>
        <w:tc>
          <w:tcPr/>
          <w:p>
            <w:pPr>
              <w:pStyle w:val="Compact"/>
              <w:jc w:val="left"/>
            </w:pPr>
            <w:r>
              <w:rPr>
                <w:b/>
              </w:rPr>
              <w:t xml:space="preserve">Property</w:t>
            </w:r>
          </w:p>
        </w:tc>
        <w:tc>
          <w:tcPr/>
          <w:p>
            <w:pPr>
              <w:pStyle w:val="Compact"/>
              <w:jc w:val="left"/>
            </w:pPr>
            <w:r>
              <w:rPr>
                <w:b/>
              </w:rPr>
              <w:t xml:space="preserve">Method</w:t>
            </w:r>
          </w:p>
        </w:tc>
        <w:tc>
          <w:tcPr/>
          <w:p>
            <w:pPr>
              <w:pStyle w:val="Compact"/>
              <w:jc w:val="left"/>
            </w:pPr>
            <w:r>
              <w:rPr>
                <w:b/>
              </w:rPr>
              <w:t xml:space="preserve">Result</w:t>
            </w:r>
          </w:p>
        </w:tc>
      </w:tr>
      <w:tr>
        <w:trPr>
          <w:cantSplit/>
        </w:trPr>
        <w:tc>
          <w:tcPr/>
          <w:p>
            <w:pPr>
              <w:pStyle w:val="Compact"/>
              <w:jc w:val="left"/>
            </w:pPr>
            <w:r>
              <w:t xml:space="preserve">Correctness of earliest arrival (Prop. 1)</w:t>
            </w:r>
          </w:p>
        </w:tc>
        <w:tc>
          <w:tcPr/>
          <w:p>
            <w:pPr>
              <w:pStyle w:val="Compact"/>
              <w:jc w:val="left"/>
            </w:pPr>
            <w:r>
              <w:t xml:space="preserve">400 random queries on S1 against exhaustive enumeration</w:t>
            </w:r>
          </w:p>
        </w:tc>
        <w:tc>
          <w:tcPr/>
          <w:p>
            <w:pPr>
              <w:pStyle w:val="Compact"/>
              <w:jc w:val="left"/>
            </w:pPr>
            <w:r>
              <w:t xml:space="preserve">400 reachable; full agreement</w:t>
            </w:r>
          </w:p>
        </w:tc>
      </w:tr>
      <w:tr>
        <w:trPr>
          <w:cantSplit/>
        </w:trPr>
        <w:tc>
          <w:tcPr/>
          <w:p>
            <w:pPr>
              <w:pStyle w:val="Compact"/>
              <w:jc w:val="left"/>
            </w:pPr>
            <w:r>
              <w:t xml:space="preserve">Labeling by stop only (Remark 1)</w:t>
            </w:r>
          </w:p>
        </w:tc>
        <w:tc>
          <w:tcPr/>
          <w:p>
            <w:pPr>
              <w:pStyle w:val="Compact"/>
              <w:jc w:val="left"/>
            </w:pPr>
            <w:r>
              <w:t xml:space="preserve">The same 400 queries with one label kept per stop</w:t>
            </w:r>
          </w:p>
        </w:tc>
        <w:tc>
          <w:tcPr/>
          <w:p>
            <w:pPr>
              <w:pStyle w:val="Compact"/>
              <w:jc w:val="left"/>
            </w:pPr>
            <w:r>
              <w:t xml:space="preserve">Wrong in 6 of 400 (1.5%); mean error 15.0 min; worst 30 min</w:t>
            </w:r>
          </w:p>
        </w:tc>
      </w:tr>
      <w:tr>
        <w:trPr>
          <w:cantSplit/>
        </w:trPr>
        <w:tc>
          <w:tcPr/>
          <w:p>
            <w:pPr>
              <w:pStyle w:val="Compact"/>
              <w:jc w:val="left"/>
            </w:pPr>
            <w:r>
              <w:t xml:space="preserve">Gini scale invariance (Prop. 5 ii)</w:t>
            </w:r>
          </w:p>
        </w:tc>
        <w:tc>
          <w:tcPr/>
          <w:p>
            <w:pPr>
              <w:pStyle w:val="Compact"/>
              <w:jc w:val="left"/>
            </w:pPr>
            <w:r>
              <w:t xml:space="preserve">500 random weighted vectors, λ in [0.2, 12]</w:t>
            </w:r>
          </w:p>
        </w:tc>
        <w:tc>
          <w:tcPr/>
          <w:p>
            <w:pPr>
              <w:pStyle w:val="Compact"/>
              <w:jc w:val="left"/>
            </w:pPr>
            <w:r>
              <w:t xml:space="preserve">Largest deviation 1.1 × 10</w:t>
            </w:r>
            <w:r>
              <w:rPr>
                <w:vertAlign w:val="superscript"/>
              </w:rPr>
              <w:t xml:space="preserve">−16</w:t>
            </w:r>
          </w:p>
        </w:tc>
      </w:tr>
      <w:tr>
        <w:trPr>
          <w:cantSplit/>
        </w:trPr>
        <w:tc>
          <w:tcPr/>
          <w:p>
            <w:pPr>
              <w:pStyle w:val="Compact"/>
              <w:jc w:val="left"/>
            </w:pPr>
            <w:r>
              <w:t xml:space="preserve">Gini under translation (Prop. 5 iii)</w:t>
            </w:r>
          </w:p>
        </w:tc>
        <w:tc>
          <w:tcPr/>
          <w:p>
            <w:pPr>
              <w:pStyle w:val="Compact"/>
              <w:jc w:val="left"/>
            </w:pPr>
            <w:r>
              <w:t xml:space="preserve">500 random weighted vectors,</w:t>
            </w:r>
            <w:r>
              <w:t xml:space="preserve"> </w:t>
            </w:r>
            <w:r>
              <w:rPr>
                <w:iCs/>
                <w:i/>
              </w:rPr>
              <w:t xml:space="preserve">c</w:t>
            </w:r>
            <w:r>
              <w:t xml:space="preserve"> </w:t>
            </w:r>
            <w:r>
              <w:t xml:space="preserve">in [0.5, 20]</w:t>
            </w:r>
          </w:p>
        </w:tc>
        <w:tc>
          <w:tcPr/>
          <w:p>
            <w:pPr>
              <w:pStyle w:val="Compact"/>
              <w:jc w:val="left"/>
            </w:pPr>
            <w:r>
              <w:t xml:space="preserve">Lower in all 500</w:t>
            </w:r>
          </w:p>
        </w:tc>
      </w:tr>
      <w:tr>
        <w:trPr>
          <w:cantSplit/>
        </w:trPr>
        <w:tc>
          <w:tcPr/>
          <w:p>
            <w:pPr>
              <w:pStyle w:val="Compact"/>
              <w:jc w:val="left"/>
            </w:pPr>
            <w:r>
              <w:t xml:space="preserve">Theil decomposition (Prop. 6)</w:t>
            </w:r>
          </w:p>
        </w:tc>
        <w:tc>
          <w:tcPr/>
          <w:p>
            <w:pPr>
              <w:pStyle w:val="Compact"/>
              <w:jc w:val="left"/>
            </w:pPr>
            <w:r>
              <w:t xml:space="preserve">500 random three-group partitions</w:t>
            </w:r>
          </w:p>
        </w:tc>
        <w:tc>
          <w:tcPr/>
          <w:p>
            <w:pPr>
              <w:pStyle w:val="Compact"/>
              <w:jc w:val="left"/>
            </w:pPr>
            <w:r>
              <w:t xml:space="preserve">Largest residual 1.7 × 10</w:t>
            </w:r>
            <w:r>
              <w:rPr>
                <w:vertAlign w:val="superscript"/>
              </w:rPr>
              <w:t xml:space="preserve">−16</w:t>
            </w:r>
          </w:p>
        </w:tc>
      </w:tr>
      <w:tr>
        <w:trPr>
          <w:cantSplit/>
        </w:trPr>
        <w:tc>
          <w:tcPr/>
          <w:p>
            <w:pPr>
              <w:pStyle w:val="Compact"/>
              <w:jc w:val="left"/>
            </w:pPr>
            <w:r>
              <w:t xml:space="preserve">Vehicle-class monotonicity (Prop. 3)</w:t>
            </w:r>
          </w:p>
        </w:tc>
        <w:tc>
          <w:tcPr/>
          <w:p>
            <w:pPr>
              <w:pStyle w:val="Compact"/>
              <w:jc w:val="left"/>
            </w:pPr>
            <w:r>
              <w:t xml:space="preserve">60 random road graphs, width threshold raised from 1.3 m to 2.2 m</w:t>
            </w:r>
          </w:p>
        </w:tc>
        <w:tc>
          <w:tcPr/>
          <w:p>
            <w:pPr>
              <w:pStyle w:val="Compact"/>
              <w:jc w:val="left"/>
            </w:pPr>
            <w:r>
              <w:t xml:space="preserve">Zero violations in 5,400 origin-destination pairs</w:t>
            </w:r>
          </w:p>
        </w:tc>
      </w:tr>
      <w:tr>
        <w:trPr>
          <w:cantSplit/>
        </w:trPr>
        <w:tc>
          <w:tcPr/>
          <w:p>
            <w:pPr>
              <w:pStyle w:val="Compact"/>
              <w:jc w:val="left"/>
            </w:pPr>
            <w:r>
              <w:t xml:space="preserve">Fare monotonicity and subadditivity (Prop. 7)</w:t>
            </w:r>
          </w:p>
        </w:tc>
        <w:tc>
          <w:tcPr/>
          <w:p>
            <w:pPr>
              <w:pStyle w:val="Compact"/>
              <w:jc w:val="left"/>
            </w:pPr>
            <w:r>
              <w:t xml:space="preserve">Sweep from 0 to 60 km in 0.1 km steps and 1,000 random leg splits</w:t>
            </w:r>
          </w:p>
        </w:tc>
        <w:tc>
          <w:tcPr/>
          <w:p>
            <w:pPr>
              <w:pStyle w:val="Compact"/>
              <w:jc w:val="left"/>
            </w:pPr>
            <w:r>
              <w:t xml:space="preserve">Monotone throughout; subadditive in every split</w:t>
            </w:r>
          </w:p>
        </w:tc>
      </w:tr>
    </w:tbl>
    <w:p>
      <w:pPr>
        <w:pStyle w:val="BodyText"/>
        <w:spacing w:before="200"/>
      </w:pPr>
      <w:r>
        <w:t xml:space="preserve">Row 2 shows the second implementation pitfall found in this study, and it is much harder to spot than the first.</w:t>
      </w:r>
    </w:p>
    <w:bookmarkStart w:id="173" w:name="hospital-mode-on-instance-s1"/>
    <w:p>
      <w:pPr>
        <w:pStyle w:val="Heading3"/>
      </w:pPr>
      <w:r>
        <w:t xml:space="preserve">3.5.1 Hospital Mode on Instance S1</w:t>
      </w:r>
    </w:p>
    <w:p>
      <w:pPr>
        <w:pStyle w:val="FirstParagraph"/>
      </w:pPr>
      <w:r>
        <w:t xml:space="preserve">To run hospital mode from end to end, Table 25 assigns invented attributes to the three hospital sites of S1.</w:t>
      </w:r>
    </w:p>
    <w:p>
      <w:pPr>
        <w:pStyle w:val="TableCaption"/>
      </w:pPr>
      <w:r>
        <w:rPr>
          <w:bCs/>
          <w:b/>
        </w:rPr>
        <w:t xml:space="preserve">Table 25.</w:t>
      </w:r>
      <w:r>
        <w:t xml:space="preserve"> </w:t>
      </w:r>
      <w:r>
        <w:t xml:space="preserve">Synthetic hospital attributes created for S1.</w:t>
      </w:r>
    </w:p>
    <w:tbl>
      <w:tblPr>
        <w:tblStyle w:val="Table"/>
        <w:tblW w:type="pct" w:w="5000"/>
        <w:jc w:val="center"/>
        <w:tblCaption w:val="Table 25. Synthetic hospital attributes created for S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733"/>
        <w:gridCol w:w="733"/>
        <w:gridCol w:w="586"/>
        <w:gridCol w:w="2493"/>
        <w:gridCol w:w="586"/>
        <w:gridCol w:w="733"/>
        <w:gridCol w:w="733"/>
        <w:gridCol w:w="1320"/>
      </w:tblGrid>
      <w:tr>
        <w:trPr>
          <w:tblHeader w:val="true"/>
          <w:tblHeader/>
          <w:cantSplit/>
        </w:trPr>
        <w:tc>
          <w:tcPr/>
          <w:p>
            <w:pPr>
              <w:pStyle w:val="Compact"/>
              <w:jc w:val="left"/>
            </w:pPr>
            <w:r>
              <w:rPr>
                <w:b/>
              </w:rPr>
              <w:t xml:space="preserve">Site</w:t>
            </w:r>
          </w:p>
        </w:tc>
        <w:tc>
          <w:tcPr/>
          <w:p>
            <w:pPr>
              <w:pStyle w:val="Compact"/>
              <w:jc w:val="right"/>
            </w:pPr>
            <w:r>
              <w:rPr>
                <w:iCs/>
                <w:b/>
                <w:i/>
              </w:rPr>
              <w:t xml:space="preserve">c</w:t>
            </w:r>
            <w:r>
              <w:rPr>
                <w:iCs/>
                <w:b/>
                <w:i/>
                <w:vertAlign w:val="subscript"/>
              </w:rPr>
              <w:t xml:space="preserve">h</w:t>
            </w:r>
            <w:r>
              <w:rPr>
                <w:b/>
              </w:rPr>
              <w:t xml:space="preserve"> </w:t>
            </w:r>
            <w:r>
              <w:rPr>
                <w:b/>
              </w:rPr>
              <w:t xml:space="preserve">(beds)</w:t>
            </w:r>
          </w:p>
        </w:tc>
        <w:tc>
          <w:tcPr/>
          <w:p>
            <w:pPr>
              <w:pStyle w:val="Compact"/>
              <w:jc w:val="center"/>
            </w:pPr>
            <w:r>
              <w:rPr>
                <w:b/>
              </w:rPr>
              <w:t xml:space="preserve">η</w:t>
            </w:r>
            <w:r>
              <w:rPr>
                <w:iCs/>
                <w:b/>
                <w:i/>
                <w:vertAlign w:val="subscript"/>
              </w:rPr>
              <w:t xml:space="preserve">h</w:t>
            </w:r>
          </w:p>
        </w:tc>
        <w:tc>
          <w:tcPr/>
          <w:p>
            <w:pPr>
              <w:pStyle w:val="Compact"/>
              <w:jc w:val="left"/>
            </w:pPr>
            <w:r>
              <w:rPr>
                <w:b/>
              </w:rPr>
              <w:t xml:space="preserve">Ownership and Programs</w:t>
            </w:r>
          </w:p>
        </w:tc>
        <w:tc>
          <w:tcPr/>
          <w:p>
            <w:pPr>
              <w:pStyle w:val="Compact"/>
              <w:jc w:val="center"/>
            </w:pPr>
            <w:r>
              <w:rPr>
                <w:iCs/>
                <w:b/>
                <w:i/>
              </w:rPr>
              <w:t xml:space="preserve">q</w:t>
            </w:r>
            <w:r>
              <w:rPr>
                <w:iCs/>
                <w:b/>
                <w:i/>
                <w:vertAlign w:val="subscript"/>
              </w:rPr>
              <w:t xml:space="preserve">h</w:t>
            </w:r>
          </w:p>
        </w:tc>
        <w:tc>
          <w:tcPr/>
          <w:p>
            <w:pPr>
              <w:pStyle w:val="Compact"/>
              <w:jc w:val="right"/>
            </w:pPr>
            <w:r>
              <w:rPr>
                <w:iCs/>
                <w:b/>
                <w:i/>
              </w:rPr>
              <w:t xml:space="preserve">ô</w:t>
            </w:r>
            <w:r>
              <w:rPr>
                <w:iCs/>
                <w:b/>
                <w:i/>
                <w:vertAlign w:val="subscript"/>
              </w:rPr>
              <w:t xml:space="preserve">h</w:t>
            </w:r>
          </w:p>
        </w:tc>
        <w:tc>
          <w:tcPr/>
          <w:p>
            <w:pPr>
              <w:pStyle w:val="Compact"/>
              <w:jc w:val="right"/>
            </w:pPr>
            <w:r>
              <w:rPr>
                <w:iCs/>
                <w:b/>
                <w:i/>
              </w:rPr>
              <w:t xml:space="preserve">b</w:t>
            </w:r>
            <w:r>
              <w:rPr>
                <w:iCs/>
                <w:b/>
                <w:i/>
                <w:vertAlign w:val="subscript"/>
              </w:rPr>
              <w:t xml:space="preserve">h</w:t>
            </w:r>
          </w:p>
        </w:tc>
        <w:tc>
          <w:tcPr/>
          <w:p>
            <w:pPr>
              <w:pStyle w:val="Compact"/>
              <w:jc w:val="left"/>
            </w:pPr>
            <w:r>
              <w:rPr>
                <w:b/>
              </w:rPr>
              <w:t xml:space="preserve">σ</w:t>
            </w:r>
            <w:r>
              <w:rPr>
                <w:iCs/>
                <w:b/>
                <w:i/>
                <w:vertAlign w:val="subscript"/>
              </w:rPr>
              <w:t xml:space="preserve">h</w:t>
            </w:r>
          </w:p>
        </w:tc>
      </w:tr>
      <w:tr>
        <w:trPr>
          <w:cantSplit/>
        </w:trPr>
        <w:tc>
          <w:tcPr/>
          <w:p>
            <w:pPr>
              <w:pStyle w:val="Compact"/>
              <w:jc w:val="left"/>
            </w:pPr>
            <w:r>
              <w:t xml:space="preserve">S4</w:t>
            </w:r>
          </w:p>
        </w:tc>
        <w:tc>
          <w:tcPr/>
          <w:p>
            <w:pPr>
              <w:pStyle w:val="Compact"/>
              <w:jc w:val="right"/>
            </w:pPr>
            <w:r>
              <w:t xml:space="preserve">120</w:t>
            </w:r>
          </w:p>
        </w:tc>
        <w:tc>
          <w:tcPr/>
          <w:p>
            <w:pPr>
              <w:pStyle w:val="Compact"/>
              <w:jc w:val="center"/>
            </w:pPr>
            <w:r>
              <w:t xml:space="preserve">3</w:t>
            </w:r>
          </w:p>
        </w:tc>
        <w:tc>
          <w:tcPr/>
          <w:p>
            <w:pPr>
              <w:pStyle w:val="Compact"/>
              <w:jc w:val="left"/>
            </w:pPr>
            <w:r>
              <w:t xml:space="preserve">Government; with Malasakit Center</w:t>
            </w:r>
          </w:p>
        </w:tc>
        <w:tc>
          <w:tcPr/>
          <w:p>
            <w:pPr>
              <w:pStyle w:val="Compact"/>
              <w:jc w:val="center"/>
            </w:pPr>
            <w:r>
              <w:t xml:space="preserve">0</w:t>
            </w:r>
          </w:p>
        </w:tc>
        <w:tc>
          <w:tcPr/>
          <w:p>
            <w:pPr>
              <w:pStyle w:val="Compact"/>
              <w:jc w:val="right"/>
            </w:pPr>
            <w:r>
              <w:t xml:space="preserve">112</w:t>
            </w:r>
          </w:p>
        </w:tc>
        <w:tc>
          <w:tcPr/>
          <w:p>
            <w:pPr>
              <w:pStyle w:val="Compact"/>
              <w:jc w:val="right"/>
            </w:pPr>
            <w:r>
              <w:t xml:space="preserve">8</w:t>
            </w:r>
          </w:p>
        </w:tc>
        <w:tc>
          <w:tcPr/>
          <w:p>
            <w:pPr>
              <w:pStyle w:val="Compact"/>
              <w:jc w:val="left"/>
            </w:pPr>
            <w:r>
              <w:t xml:space="preserve">AVAILABLE</w:t>
            </w:r>
          </w:p>
        </w:tc>
      </w:tr>
      <w:tr>
        <w:trPr>
          <w:cantSplit/>
        </w:trPr>
        <w:tc>
          <w:tcPr/>
          <w:p>
            <w:pPr>
              <w:pStyle w:val="Compact"/>
              <w:jc w:val="left"/>
            </w:pPr>
            <w:r>
              <w:t xml:space="preserve">S7</w:t>
            </w:r>
          </w:p>
        </w:tc>
        <w:tc>
          <w:tcPr/>
          <w:p>
            <w:pPr>
              <w:pStyle w:val="Compact"/>
              <w:jc w:val="right"/>
            </w:pPr>
            <w:r>
              <w:t xml:space="preserve">40</w:t>
            </w:r>
          </w:p>
        </w:tc>
        <w:tc>
          <w:tcPr/>
          <w:p>
            <w:pPr>
              <w:pStyle w:val="Compact"/>
              <w:jc w:val="center"/>
            </w:pPr>
            <w:r>
              <w:t xml:space="preserve">2</w:t>
            </w:r>
          </w:p>
        </w:tc>
        <w:tc>
          <w:tcPr/>
          <w:p>
            <w:pPr>
              <w:pStyle w:val="Compact"/>
              <w:jc w:val="left"/>
            </w:pPr>
            <w:r>
              <w:t xml:space="preserve">Private; accredited by PhilHealth</w:t>
            </w:r>
          </w:p>
        </w:tc>
        <w:tc>
          <w:tcPr/>
          <w:p>
            <w:pPr>
              <w:pStyle w:val="Compact"/>
              <w:jc w:val="center"/>
            </w:pPr>
            <w:r>
              <w:t xml:space="preserve">2</w:t>
            </w:r>
          </w:p>
        </w:tc>
        <w:tc>
          <w:tcPr/>
          <w:p>
            <w:pPr>
              <w:pStyle w:val="Compact"/>
              <w:jc w:val="right"/>
            </w:pPr>
            <w:r>
              <w:t xml:space="preserve">31</w:t>
            </w:r>
          </w:p>
        </w:tc>
        <w:tc>
          <w:tcPr/>
          <w:p>
            <w:pPr>
              <w:pStyle w:val="Compact"/>
              <w:jc w:val="right"/>
            </w:pPr>
            <w:r>
              <w:t xml:space="preserve">9</w:t>
            </w:r>
          </w:p>
        </w:tc>
        <w:tc>
          <w:tcPr/>
          <w:p>
            <w:pPr>
              <w:pStyle w:val="Compact"/>
              <w:jc w:val="left"/>
            </w:pPr>
            <w:r>
              <w:t xml:space="preserve">AVAILABLE</w:t>
            </w:r>
          </w:p>
        </w:tc>
      </w:tr>
      <w:tr>
        <w:trPr>
          <w:cantSplit/>
        </w:trPr>
        <w:tc>
          <w:tcPr/>
          <w:p>
            <w:pPr>
              <w:pStyle w:val="Compact"/>
              <w:jc w:val="left"/>
            </w:pPr>
            <w:r>
              <w:t xml:space="preserve">S3</w:t>
            </w:r>
          </w:p>
        </w:tc>
        <w:tc>
          <w:tcPr/>
          <w:p>
            <w:pPr>
              <w:pStyle w:val="Compact"/>
              <w:jc w:val="right"/>
            </w:pPr>
            <w:r>
              <w:t xml:space="preserve">25</w:t>
            </w:r>
          </w:p>
        </w:tc>
        <w:tc>
          <w:tcPr/>
          <w:p>
            <w:pPr>
              <w:pStyle w:val="Compact"/>
              <w:jc w:val="center"/>
            </w:pPr>
            <w:r>
              <w:t xml:space="preserve">1</w:t>
            </w:r>
          </w:p>
        </w:tc>
        <w:tc>
          <w:tcPr/>
          <w:p>
            <w:pPr>
              <w:pStyle w:val="Compact"/>
              <w:jc w:val="left"/>
            </w:pPr>
            <w:r>
              <w:t xml:space="preserve">Government; without Malasakit Center</w:t>
            </w:r>
          </w:p>
        </w:tc>
        <w:tc>
          <w:tcPr/>
          <w:p>
            <w:pPr>
              <w:pStyle w:val="Compact"/>
              <w:jc w:val="center"/>
            </w:pPr>
            <w:r>
              <w:t xml:space="preserve">1</w:t>
            </w:r>
          </w:p>
        </w:tc>
        <w:tc>
          <w:tcPr/>
          <w:p>
            <w:pPr>
              <w:pStyle w:val="Compact"/>
              <w:jc w:val="right"/>
            </w:pPr>
            <w:r>
              <w:t xml:space="preserve">25</w:t>
            </w:r>
          </w:p>
        </w:tc>
        <w:tc>
          <w:tcPr/>
          <w:p>
            <w:pPr>
              <w:pStyle w:val="Compact"/>
              <w:jc w:val="right"/>
            </w:pPr>
            <w:r>
              <w:t xml:space="preserve">0</w:t>
            </w:r>
          </w:p>
        </w:tc>
        <w:tc>
          <w:tcPr/>
          <w:p>
            <w:pPr>
              <w:pStyle w:val="Compact"/>
              <w:jc w:val="left"/>
            </w:pPr>
            <w:r>
              <w:t xml:space="preserve">FULL</w:t>
            </w:r>
          </w:p>
        </w:tc>
      </w:tr>
    </w:tbl>
    <w:p>
      <w:pPr>
        <w:spacing w:before="200"/>
      </w:pPr>
    </w:p>
    <w:p>
      <w:pPr>
        <w:pStyle w:val="TableCaption"/>
      </w:pPr>
      <w:r>
        <w:rPr>
          <w:bCs/>
          <w:b/>
        </w:rPr>
        <w:t xml:space="preserve">Table 26.</w:t>
      </w:r>
      <w:r>
        <w:t xml:space="preserve"> </w:t>
      </w:r>
      <w:r>
        <w:t xml:space="preserve">Recommendation and travel time (min) for each anchor of S1 under several patient profiles (</w:t>
      </w:r>
      <w:r>
        <w:rPr>
          <w:iCs/>
          <w:i/>
        </w:rPr>
        <w:t xml:space="preserve">N</w:t>
      </w:r>
      <w:r>
        <w:t xml:space="preserve"> </w:t>
      </w:r>
      <w:r>
        <w:t xml:space="preserve">= ∅, standard walker).</w:t>
      </w:r>
    </w:p>
    <w:tbl>
      <w:tblPr>
        <w:tblStyle w:val="Table"/>
        <w:tblW w:type="pct" w:w="5000"/>
        <w:jc w:val="center"/>
        <w:tblCaption w:val="Table 26. Recommendation and travel time (min) for each anchor of S1 under several patient profiles (N = ∅, standard walk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747"/>
        <w:gridCol w:w="1344"/>
        <w:gridCol w:w="1643"/>
        <w:gridCol w:w="1046"/>
        <w:gridCol w:w="1046"/>
        <w:gridCol w:w="1046"/>
        <w:gridCol w:w="1046"/>
      </w:tblGrid>
      <w:tr>
        <w:trPr>
          <w:tblHeader w:val="true"/>
          <w:tblHeader/>
          <w:cantSplit/>
        </w:trPr>
        <w:tc>
          <w:tcPr/>
          <w:p>
            <w:pPr>
              <w:pStyle w:val="Compact"/>
              <w:jc w:val="left"/>
            </w:pPr>
            <w:r>
              <w:rPr>
                <w:b/>
              </w:rPr>
              <w:t xml:space="preserve">Anchor</w:t>
            </w:r>
          </w:p>
        </w:tc>
        <w:tc>
          <w:tcPr/>
          <w:p>
            <w:pPr>
              <w:pStyle w:val="Compact"/>
              <w:jc w:val="left"/>
            </w:pPr>
            <w:r>
              <w:rPr>
                <w:b/>
              </w:rPr>
              <w:t xml:space="preserve">Plain Nearest</w:t>
            </w:r>
          </w:p>
        </w:tc>
        <w:tc>
          <w:tcPr/>
          <w:p>
            <w:pPr>
              <w:pStyle w:val="Compact"/>
              <w:jc w:val="left"/>
            </w:pPr>
            <w:r>
              <w:rPr>
                <w:b/>
              </w:rPr>
              <w:t xml:space="preserve">κ = 1, any ρ</w:t>
            </w:r>
          </w:p>
        </w:tc>
        <w:tc>
          <w:tcPr/>
          <w:p>
            <w:pPr>
              <w:pStyle w:val="Compact"/>
              <w:jc w:val="left"/>
            </w:pPr>
            <w:r>
              <w:rPr>
                <w:b/>
              </w:rPr>
              <w:t xml:space="preserve">κ = 2, ρ = 0</w:t>
            </w:r>
          </w:p>
        </w:tc>
        <w:tc>
          <w:tcPr/>
          <w:p>
            <w:pPr>
              <w:pStyle w:val="Compact"/>
              <w:jc w:val="left"/>
            </w:pPr>
            <w:r>
              <w:rPr>
                <w:b/>
              </w:rPr>
              <w:t xml:space="preserve">κ = 3, ρ = 0</w:t>
            </w:r>
          </w:p>
        </w:tc>
        <w:tc>
          <w:tcPr/>
          <w:p>
            <w:pPr>
              <w:pStyle w:val="Compact"/>
              <w:jc w:val="left"/>
            </w:pPr>
            <w:r>
              <w:rPr>
                <w:b/>
              </w:rPr>
              <w:t xml:space="preserve">κ = 3, ρ = 3</w:t>
            </w:r>
          </w:p>
        </w:tc>
        <w:tc>
          <w:tcPr/>
          <w:p>
            <w:pPr>
              <w:pStyle w:val="Compact"/>
              <w:jc w:val="left"/>
            </w:pPr>
            <w:r>
              <w:rPr>
                <w:b/>
              </w:rPr>
              <w:t xml:space="preserve">κ = 5, ρ = 1</w:t>
            </w:r>
          </w:p>
        </w:tc>
      </w:tr>
      <w:tr>
        <w:trPr>
          <w:cantSplit/>
        </w:trPr>
        <w:tc>
          <w:tcPr/>
          <w:p>
            <w:pPr>
              <w:pStyle w:val="Compact"/>
              <w:jc w:val="left"/>
            </w:pPr>
            <w:r>
              <w:t xml:space="preserve">A1</w:t>
            </w:r>
          </w:p>
        </w:tc>
        <w:tc>
          <w:tcPr/>
          <w:p>
            <w:pPr>
              <w:pStyle w:val="Compact"/>
              <w:jc w:val="left"/>
            </w:pPr>
            <w:r>
              <w:t xml:space="preserve">S3, 24.6 (full)</w:t>
            </w:r>
          </w:p>
        </w:tc>
        <w:tc>
          <w:tcPr/>
          <w:p>
            <w:pPr>
              <w:pStyle w:val="Compact"/>
              <w:jc w:val="left"/>
            </w:pPr>
            <w:r>
              <w:t xml:space="preserve">S4, 29.2</w:t>
            </w:r>
          </w:p>
        </w:tc>
        <w:tc>
          <w:tcPr/>
          <w:p>
            <w:pPr>
              <w:pStyle w:val="Compact"/>
              <w:jc w:val="left"/>
            </w:pPr>
            <w:r>
              <w:t xml:space="preserve">S4, 29.2</w:t>
            </w:r>
          </w:p>
        </w:tc>
        <w:tc>
          <w:tcPr/>
          <w:p>
            <w:pPr>
              <w:pStyle w:val="Compact"/>
              <w:jc w:val="left"/>
            </w:pPr>
            <w:r>
              <w:t xml:space="preserve">S4, 29.2</w:t>
            </w:r>
          </w:p>
        </w:tc>
        <w:tc>
          <w:tcPr/>
          <w:p>
            <w:pPr>
              <w:pStyle w:val="Compact"/>
              <w:jc w:val="left"/>
            </w:pPr>
            <w:r>
              <w:t xml:space="preserve">S4, 29.2</w:t>
            </w:r>
          </w:p>
        </w:tc>
        <w:tc>
          <w:tcPr/>
          <w:p>
            <w:pPr>
              <w:pStyle w:val="Compact"/>
              <w:jc w:val="left"/>
            </w:pPr>
            <w:r>
              <w:t xml:space="preserve">S4, 29.2</w:t>
            </w:r>
          </w:p>
        </w:tc>
      </w:tr>
      <w:tr>
        <w:trPr>
          <w:cantSplit/>
        </w:trPr>
        <w:tc>
          <w:tcPr/>
          <w:p>
            <w:pPr>
              <w:pStyle w:val="Compact"/>
              <w:jc w:val="left"/>
            </w:pPr>
            <w:r>
              <w:t xml:space="preserve">A2</w:t>
            </w:r>
          </w:p>
        </w:tc>
        <w:tc>
          <w:tcPr/>
          <w:p>
            <w:pPr>
              <w:pStyle w:val="Compact"/>
              <w:jc w:val="left"/>
            </w:pPr>
            <w:r>
              <w:t xml:space="preserve">S3, 21.3 (full)</w:t>
            </w:r>
          </w:p>
        </w:tc>
        <w:tc>
          <w:tcPr/>
          <w:p>
            <w:pPr>
              <w:pStyle w:val="Compact"/>
              <w:jc w:val="left"/>
            </w:pPr>
            <w:r>
              <w:t xml:space="preserve">S4, 27.3</w:t>
            </w:r>
          </w:p>
        </w:tc>
        <w:tc>
          <w:tcPr/>
          <w:p>
            <w:pPr>
              <w:pStyle w:val="Compact"/>
              <w:jc w:val="left"/>
            </w:pPr>
            <w:r>
              <w:t xml:space="preserve">S4, 27.3</w:t>
            </w:r>
          </w:p>
        </w:tc>
        <w:tc>
          <w:tcPr/>
          <w:p>
            <w:pPr>
              <w:pStyle w:val="Compact"/>
              <w:jc w:val="left"/>
            </w:pPr>
            <w:r>
              <w:t xml:space="preserve">S4, 27.3</w:t>
            </w:r>
          </w:p>
        </w:tc>
        <w:tc>
          <w:tcPr/>
          <w:p>
            <w:pPr>
              <w:pStyle w:val="Compact"/>
              <w:jc w:val="left"/>
            </w:pPr>
            <w:r>
              <w:t xml:space="preserve">S4, 27.3</w:t>
            </w:r>
          </w:p>
        </w:tc>
        <w:tc>
          <w:tcPr/>
          <w:p>
            <w:pPr>
              <w:pStyle w:val="Compact"/>
              <w:jc w:val="left"/>
            </w:pPr>
            <w:r>
              <w:t xml:space="preserve">S4, 27.3</w:t>
            </w:r>
          </w:p>
        </w:tc>
      </w:tr>
      <w:tr>
        <w:trPr>
          <w:cantSplit/>
        </w:trPr>
        <w:tc>
          <w:tcPr/>
          <w:p>
            <w:pPr>
              <w:pStyle w:val="Compact"/>
              <w:jc w:val="left"/>
            </w:pPr>
            <w:r>
              <w:t xml:space="preserve">A3</w:t>
            </w:r>
          </w:p>
        </w:tc>
        <w:tc>
          <w:tcPr/>
          <w:p>
            <w:pPr>
              <w:pStyle w:val="Compact"/>
              <w:jc w:val="left"/>
            </w:pPr>
            <w:r>
              <w:t xml:space="preserve">S3, 7.0 (full)</w:t>
            </w:r>
          </w:p>
        </w:tc>
        <w:tc>
          <w:tcPr/>
          <w:p>
            <w:pPr>
              <w:pStyle w:val="Compact"/>
              <w:jc w:val="left"/>
            </w:pPr>
            <w:r>
              <w:t xml:space="preserve">S4, 18.6</w:t>
            </w:r>
          </w:p>
        </w:tc>
        <w:tc>
          <w:tcPr/>
          <w:p>
            <w:pPr>
              <w:pStyle w:val="Compact"/>
              <w:jc w:val="left"/>
            </w:pPr>
            <w:r>
              <w:t xml:space="preserve">S4, 18.6</w:t>
            </w:r>
          </w:p>
        </w:tc>
        <w:tc>
          <w:tcPr/>
          <w:p>
            <w:pPr>
              <w:pStyle w:val="Compact"/>
              <w:jc w:val="left"/>
            </w:pPr>
            <w:r>
              <w:t xml:space="preserve">S4, 18.6</w:t>
            </w:r>
          </w:p>
        </w:tc>
        <w:tc>
          <w:tcPr/>
          <w:p>
            <w:pPr>
              <w:pStyle w:val="Compact"/>
              <w:jc w:val="left"/>
            </w:pPr>
            <w:r>
              <w:t xml:space="preserve">S4, 18.6</w:t>
            </w:r>
          </w:p>
        </w:tc>
        <w:tc>
          <w:tcPr/>
          <w:p>
            <w:pPr>
              <w:pStyle w:val="Compact"/>
              <w:jc w:val="left"/>
            </w:pPr>
            <w:r>
              <w:t xml:space="preserve">S4, 18.6</w:t>
            </w:r>
          </w:p>
        </w:tc>
      </w:tr>
      <w:tr>
        <w:trPr>
          <w:cantSplit/>
        </w:trPr>
        <w:tc>
          <w:tcPr/>
          <w:p>
            <w:pPr>
              <w:pStyle w:val="Compact"/>
              <w:jc w:val="left"/>
            </w:pPr>
            <w:r>
              <w:t xml:space="preserve">A4</w:t>
            </w:r>
          </w:p>
        </w:tc>
        <w:tc>
          <w:tcPr/>
          <w:p>
            <w:pPr>
              <w:pStyle w:val="Compact"/>
              <w:jc w:val="left"/>
            </w:pPr>
            <w:r>
              <w:t xml:space="preserve">S3, 37.5 (full)</w:t>
            </w:r>
          </w:p>
        </w:tc>
        <w:tc>
          <w:tcPr/>
          <w:p>
            <w:pPr>
              <w:pStyle w:val="Compact"/>
              <w:jc w:val="left"/>
            </w:pPr>
            <w:r>
              <w:t xml:space="preserve">S4, 43.6</w:t>
            </w:r>
          </w:p>
        </w:tc>
        <w:tc>
          <w:tcPr/>
          <w:p>
            <w:pPr>
              <w:pStyle w:val="Compact"/>
              <w:jc w:val="left"/>
            </w:pPr>
            <w:r>
              <w:t xml:space="preserve">S4, 43.6</w:t>
            </w:r>
          </w:p>
        </w:tc>
        <w:tc>
          <w:tcPr/>
          <w:p>
            <w:pPr>
              <w:pStyle w:val="Compact"/>
              <w:jc w:val="left"/>
            </w:pPr>
            <w:r>
              <w:t xml:space="preserve">S4, 43.6</w:t>
            </w:r>
          </w:p>
        </w:tc>
        <w:tc>
          <w:tcPr/>
          <w:p>
            <w:pPr>
              <w:pStyle w:val="Compact"/>
              <w:jc w:val="left"/>
            </w:pPr>
            <w:r>
              <w:t xml:space="preserve">S4, 43.6</w:t>
            </w:r>
          </w:p>
        </w:tc>
        <w:tc>
          <w:tcPr/>
          <w:p>
            <w:pPr>
              <w:pStyle w:val="Compact"/>
              <w:jc w:val="left"/>
            </w:pPr>
            <w:r>
              <w:t xml:space="preserve">S4, 43.6</w:t>
            </w:r>
          </w:p>
        </w:tc>
      </w:tr>
      <w:tr>
        <w:trPr>
          <w:cantSplit/>
        </w:trPr>
        <w:tc>
          <w:tcPr/>
          <w:p>
            <w:pPr>
              <w:pStyle w:val="Compact"/>
              <w:jc w:val="left"/>
            </w:pPr>
            <w:r>
              <w:t xml:space="preserve">A5</w:t>
            </w:r>
          </w:p>
        </w:tc>
        <w:tc>
          <w:tcPr/>
          <w:p>
            <w:pPr>
              <w:pStyle w:val="Compact"/>
              <w:jc w:val="left"/>
            </w:pPr>
            <w:r>
              <w:t xml:space="preserve">S3, 26.0 (full)</w:t>
            </w:r>
          </w:p>
        </w:tc>
        <w:tc>
          <w:tcPr/>
          <w:p>
            <w:pPr>
              <w:pStyle w:val="Compact"/>
              <w:jc w:val="left"/>
            </w:pPr>
            <w:r>
              <w:t xml:space="preserve">S4, 32.6</w:t>
            </w:r>
          </w:p>
        </w:tc>
        <w:tc>
          <w:tcPr/>
          <w:p>
            <w:pPr>
              <w:pStyle w:val="Compact"/>
              <w:jc w:val="left"/>
            </w:pPr>
            <w:r>
              <w:t xml:space="preserve">S4, 32.6</w:t>
            </w:r>
          </w:p>
        </w:tc>
        <w:tc>
          <w:tcPr/>
          <w:p>
            <w:pPr>
              <w:pStyle w:val="Compact"/>
              <w:jc w:val="left"/>
            </w:pPr>
            <w:r>
              <w:t xml:space="preserve">S4, 32.6</w:t>
            </w:r>
          </w:p>
        </w:tc>
        <w:tc>
          <w:tcPr/>
          <w:p>
            <w:pPr>
              <w:pStyle w:val="Compact"/>
              <w:jc w:val="left"/>
            </w:pPr>
            <w:r>
              <w:t xml:space="preserve">S4, 32.6</w:t>
            </w:r>
          </w:p>
        </w:tc>
        <w:tc>
          <w:tcPr/>
          <w:p>
            <w:pPr>
              <w:pStyle w:val="Compact"/>
              <w:jc w:val="left"/>
            </w:pPr>
            <w:r>
              <w:t xml:space="preserve">S4, 32.6</w:t>
            </w:r>
          </w:p>
        </w:tc>
      </w:tr>
      <w:tr>
        <w:trPr>
          <w:cantSplit/>
        </w:trPr>
        <w:tc>
          <w:tcPr/>
          <w:p>
            <w:pPr>
              <w:pStyle w:val="Compact"/>
              <w:jc w:val="left"/>
            </w:pPr>
            <w:r>
              <w:t xml:space="preserve">A6</w:t>
            </w:r>
          </w:p>
        </w:tc>
        <w:tc>
          <w:tcPr/>
          <w:p>
            <w:pPr>
              <w:pStyle w:val="Compact"/>
              <w:jc w:val="left"/>
            </w:pPr>
            <w:r>
              <w:t xml:space="preserve">S7, 13.0</w:t>
            </w:r>
          </w:p>
        </w:tc>
        <w:tc>
          <w:tcPr/>
          <w:p>
            <w:pPr>
              <w:pStyle w:val="Compact"/>
              <w:jc w:val="left"/>
            </w:pPr>
            <w:r>
              <w:t xml:space="preserve">S7, 13.0 (stabilize), then S4, 37.2</w:t>
            </w:r>
          </w:p>
        </w:tc>
        <w:tc>
          <w:tcPr/>
          <w:p>
            <w:pPr>
              <w:pStyle w:val="Compact"/>
              <w:jc w:val="left"/>
            </w:pPr>
            <w:r>
              <w:t xml:space="preserve">S7, 13.0</w:t>
            </w:r>
          </w:p>
        </w:tc>
        <w:tc>
          <w:tcPr/>
          <w:p>
            <w:pPr>
              <w:pStyle w:val="Compact"/>
              <w:jc w:val="left"/>
            </w:pPr>
            <w:r>
              <w:t xml:space="preserve">S4, 37.2</w:t>
            </w:r>
          </w:p>
        </w:tc>
        <w:tc>
          <w:tcPr/>
          <w:p>
            <w:pPr>
              <w:pStyle w:val="Compact"/>
              <w:jc w:val="left"/>
            </w:pPr>
            <w:r>
              <w:t xml:space="preserve">S7, 13.0</w:t>
            </w:r>
          </w:p>
        </w:tc>
        <w:tc>
          <w:tcPr/>
          <w:p>
            <w:pPr>
              <w:pStyle w:val="Compact"/>
              <w:jc w:val="left"/>
            </w:pPr>
            <w:r>
              <w:t xml:space="preserve">S4, 37.2</w:t>
            </w:r>
          </w:p>
        </w:tc>
      </w:tr>
    </w:tbl>
    <w:p>
      <w:pPr>
        <w:pStyle w:val="BodyText"/>
        <w:spacing w:before="200"/>
      </w:pPr>
      <w:r>
        <w:t xml:space="preserve">Table 26 shows four effects.</w:t>
      </w:r>
    </w:p>
    <w:p>
      <w:pPr>
        <w:pStyle w:val="BodyText"/>
      </w:pPr>
      <w:r>
        <w:t xml:space="preserve">The second effect is capability.</w:t>
      </w:r>
    </w:p>
    <w:p>
      <w:pPr>
        <w:pStyle w:val="BodyText"/>
      </w:pPr>
      <w:r>
        <w:t xml:space="preserve">The third effect is cost.</w:t>
      </w:r>
    </w:p>
    <w:p>
      <w:pPr>
        <w:pStyle w:val="BodyText"/>
      </w:pPr>
      <w:r>
        <w:t xml:space="preserve">The fourth effect comes from the two emergency rules.</w:t>
      </w:r>
    </w:p>
    <w:p>
      <w:pPr>
        <w:pStyle w:val="TableCaption"/>
      </w:pPr>
      <w:r>
        <w:rPr>
          <w:bCs/>
          <w:b/>
        </w:rPr>
        <w:t xml:space="preserve">Table 27.</w:t>
      </w:r>
      <w:r>
        <w:t xml:space="preserve"> </w:t>
      </w:r>
      <w:r>
        <w:t xml:space="preserve">Beds reachable within 30 min in S1, counted three ways: authorized, free, and free in hospitals that payment class 0 accepts (synthetic instance).</w:t>
      </w:r>
    </w:p>
    <w:tbl>
      <w:tblPr>
        <w:tblStyle w:val="Table"/>
        <w:tblW w:type="pct" w:w="5000"/>
        <w:jc w:val="center"/>
        <w:tblCaption w:val="Table 27. Beds reachable within 30 min in S1, counted three ways: authorized, free, and free in hospitals that payment class 0 accepts (synthetic instance)."/>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988"/>
        <w:gridCol w:w="1643"/>
        <w:gridCol w:w="1643"/>
        <w:gridCol w:w="1643"/>
      </w:tblGrid>
      <w:tr>
        <w:trPr>
          <w:tblHeader w:val="true"/>
          <w:tblHeader/>
          <w:cantSplit/>
        </w:trPr>
        <w:tc>
          <w:tcPr/>
          <w:p>
            <w:pPr>
              <w:pStyle w:val="Compact"/>
              <w:jc w:val="left"/>
            </w:pPr>
            <w:r>
              <w:rPr>
                <w:b/>
              </w:rPr>
              <w:t xml:space="preserve">Quantity</w:t>
            </w:r>
          </w:p>
        </w:tc>
        <w:tc>
          <w:tcPr/>
          <w:p>
            <w:pPr>
              <w:pStyle w:val="Compact"/>
              <w:jc w:val="left"/>
            </w:pPr>
            <w:r>
              <w:rPr>
                <w:b/>
              </w:rPr>
              <w:t xml:space="preserve">Authorized,</w:t>
            </w:r>
            <w:r>
              <w:rPr>
                <w:b/>
              </w:rPr>
              <w:t xml:space="preserve"> </w:t>
            </w:r>
            <w:r>
              <w:rPr>
                <w:iCs/>
                <w:b/>
                <w:i/>
              </w:rPr>
              <w:t xml:space="preserve">A</w:t>
            </w:r>
            <w:r>
              <w:rPr>
                <w:iCs/>
                <w:b/>
                <w:i/>
                <w:vertAlign w:val="subscript"/>
              </w:rPr>
              <w:t xml:space="preserve">a</w:t>
            </w:r>
            <w:r>
              <w:rPr>
                <w:b/>
              </w:rPr>
              <w:t xml:space="preserve">(30)</w:t>
            </w:r>
          </w:p>
        </w:tc>
        <w:tc>
          <w:tcPr/>
          <w:p>
            <w:pPr>
              <w:pStyle w:val="Compact"/>
              <w:jc w:val="left"/>
            </w:pPr>
            <w:r>
              <w:rPr>
                <w:b/>
              </w:rPr>
              <w:t xml:space="preserve">Free,</w:t>
            </w:r>
            <w:r>
              <w:rPr>
                <w:b/>
              </w:rPr>
              <w:t xml:space="preserve"> </w:t>
            </w:r>
            <w:r>
              <w:rPr>
                <w:iCs/>
                <w:b/>
                <w:i/>
              </w:rPr>
              <w:t xml:space="preserve">B</w:t>
            </w:r>
            <w:r>
              <w:rPr>
                <w:iCs/>
                <w:b/>
                <w:i/>
                <w:vertAlign w:val="subscript"/>
              </w:rPr>
              <w:t xml:space="preserve">a</w:t>
            </w:r>
            <w:r>
              <w:rPr>
                <w:b/>
              </w:rPr>
              <w:t xml:space="preserve">(30)</w:t>
            </w:r>
          </w:p>
        </w:tc>
        <w:tc>
          <w:tcPr/>
          <w:p>
            <w:pPr>
              <w:pStyle w:val="Compact"/>
              <w:jc w:val="left"/>
            </w:pPr>
            <w:r>
              <w:rPr>
                <w:b/>
              </w:rPr>
              <w:t xml:space="preserve">Free and Accepted,</w:t>
            </w:r>
            <w:r>
              <w:rPr>
                <w:b/>
              </w:rPr>
              <w:t xml:space="preserve"> </w:t>
            </w:r>
            <w:r>
              <w:rPr>
                <w:iCs/>
                <w:b/>
                <w:i/>
              </w:rPr>
              <w:t xml:space="preserve">B</w:t>
            </w:r>
            <w:r>
              <w:rPr>
                <w:b/>
                <w:vertAlign w:val="superscript"/>
              </w:rPr>
              <w:t xml:space="preserve">0</w:t>
            </w:r>
            <w:r>
              <w:rPr>
                <w:iCs/>
                <w:b/>
                <w:i/>
                <w:vertAlign w:val="subscript"/>
              </w:rPr>
              <w:t xml:space="preserve">a</w:t>
            </w:r>
            <w:r>
              <w:rPr>
                <w:b/>
              </w:rPr>
              <w:t xml:space="preserve">(30)</w:t>
            </w:r>
          </w:p>
        </w:tc>
      </w:tr>
      <w:tr>
        <w:trPr>
          <w:cantSplit/>
        </w:trPr>
        <w:tc>
          <w:tcPr/>
          <w:p>
            <w:pPr>
              <w:pStyle w:val="Compact"/>
              <w:jc w:val="left"/>
            </w:pPr>
            <w:r>
              <w:t xml:space="preserve">Scores, A1 to A6</w:t>
            </w:r>
          </w:p>
        </w:tc>
        <w:tc>
          <w:tcPr/>
          <w:p>
            <w:pPr>
              <w:pStyle w:val="Compact"/>
              <w:jc w:val="left"/>
            </w:pPr>
            <w:r>
              <w:t xml:space="preserve">145, 145, 145, 0, 25, 40</w:t>
            </w:r>
          </w:p>
        </w:tc>
        <w:tc>
          <w:tcPr/>
          <w:p>
            <w:pPr>
              <w:pStyle w:val="Compact"/>
              <w:jc w:val="left"/>
            </w:pPr>
            <w:r>
              <w:t xml:space="preserve">8, 8, 8, 0, 0, 9</w:t>
            </w:r>
          </w:p>
        </w:tc>
        <w:tc>
          <w:tcPr/>
          <w:p>
            <w:pPr>
              <w:pStyle w:val="Compact"/>
              <w:jc w:val="left"/>
            </w:pPr>
            <w:r>
              <w:t xml:space="preserve">8, 8, 8, 0, 0, 0</w:t>
            </w:r>
          </w:p>
        </w:tc>
      </w:tr>
      <w:tr>
        <w:trPr>
          <w:cantSplit/>
        </w:trPr>
        <w:tc>
          <w:tcPr/>
          <w:p>
            <w:pPr>
              <w:pStyle w:val="Compact"/>
              <w:jc w:val="left"/>
            </w:pPr>
            <w:r>
              <w:t xml:space="preserve">Weighted mean μ</w:t>
            </w:r>
          </w:p>
        </w:tc>
        <w:tc>
          <w:tcPr/>
          <w:p>
            <w:pPr>
              <w:pStyle w:val="Compact"/>
              <w:jc w:val="left"/>
            </w:pPr>
            <w:r>
              <w:t xml:space="preserve">102.99</w:t>
            </w:r>
          </w:p>
        </w:tc>
        <w:tc>
          <w:tcPr/>
          <w:p>
            <w:pPr>
              <w:pStyle w:val="Compact"/>
              <w:jc w:val="left"/>
            </w:pPr>
            <w:r>
              <w:t xml:space="preserve">6.84</w:t>
            </w:r>
          </w:p>
        </w:tc>
        <w:tc>
          <w:tcPr/>
          <w:p>
            <w:pPr>
              <w:pStyle w:val="Compact"/>
              <w:jc w:val="left"/>
            </w:pPr>
            <w:r>
              <w:t xml:space="preserve">5.18</w:t>
            </w:r>
          </w:p>
        </w:tc>
      </w:tr>
      <w:tr>
        <w:trPr>
          <w:cantSplit/>
        </w:trPr>
        <w:tc>
          <w:tcPr/>
          <w:p>
            <w:pPr>
              <w:pStyle w:val="Compact"/>
              <w:jc w:val="left"/>
            </w:pPr>
            <w:r>
              <w:t xml:space="preserve">Gini coefficient</w:t>
            </w:r>
          </w:p>
        </w:tc>
        <w:tc>
          <w:tcPr/>
          <w:p>
            <w:pPr>
              <w:pStyle w:val="Compact"/>
              <w:jc w:val="left"/>
            </w:pPr>
            <w:r>
              <w:t xml:space="preserve">0.2747</w:t>
            </w:r>
          </w:p>
        </w:tc>
        <w:tc>
          <w:tcPr/>
          <w:p>
            <w:pPr>
              <w:pStyle w:val="Compact"/>
              <w:jc w:val="left"/>
            </w:pPr>
            <w:r>
              <w:t xml:space="preserve">0.1859</w:t>
            </w:r>
          </w:p>
        </w:tc>
        <w:tc>
          <w:tcPr/>
          <w:p>
            <w:pPr>
              <w:pStyle w:val="Compact"/>
              <w:jc w:val="left"/>
            </w:pPr>
            <w:r>
              <w:t xml:space="preserve">0.3524</w:t>
            </w:r>
          </w:p>
        </w:tc>
      </w:tr>
      <w:tr>
        <w:trPr>
          <w:cantSplit/>
        </w:trPr>
        <w:tc>
          <w:tcPr/>
          <w:p>
            <w:pPr>
              <w:pStyle w:val="Compact"/>
              <w:jc w:val="left"/>
            </w:pPr>
            <w:r>
              <w:t xml:space="preserve">Theil index</w:t>
            </w:r>
          </w:p>
        </w:tc>
        <w:tc>
          <w:tcPr/>
          <w:p>
            <w:pPr>
              <w:pStyle w:val="Compact"/>
              <w:jc w:val="left"/>
            </w:pPr>
            <w:r>
              <w:t xml:space="preserve">0.2205</w:t>
            </w:r>
          </w:p>
        </w:tc>
        <w:tc>
          <w:tcPr/>
          <w:p>
            <w:pPr>
              <w:pStyle w:val="Compact"/>
              <w:jc w:val="left"/>
            </w:pPr>
            <w:r>
              <w:t xml:space="preserve">0.1857</w:t>
            </w:r>
          </w:p>
        </w:tc>
        <w:tc>
          <w:tcPr/>
          <w:p>
            <w:pPr>
              <w:pStyle w:val="Compact"/>
              <w:jc w:val="left"/>
            </w:pPr>
            <w:r>
              <w:t xml:space="preserve">0.4345</w:t>
            </w:r>
          </w:p>
        </w:tc>
      </w:tr>
      <w:tr>
        <w:trPr>
          <w:cantSplit/>
        </w:trPr>
        <w:tc>
          <w:tcPr/>
          <w:p>
            <w:pPr>
              <w:pStyle w:val="Compact"/>
              <w:jc w:val="left"/>
            </w:pPr>
            <w:r>
              <w:t xml:space="preserve">Share within municipalities</w:t>
            </w:r>
          </w:p>
        </w:tc>
        <w:tc>
          <w:tcPr/>
          <w:p>
            <w:pPr>
              <w:pStyle w:val="Compact"/>
              <w:jc w:val="left"/>
            </w:pPr>
            <w:r>
              <w:t xml:space="preserve">14.0%</w:t>
            </w:r>
          </w:p>
        </w:tc>
        <w:tc>
          <w:tcPr/>
          <w:p>
            <w:pPr>
              <w:pStyle w:val="Compact"/>
              <w:jc w:val="left"/>
            </w:pPr>
            <w:r>
              <w:t xml:space="preserve">84.8%</w:t>
            </w:r>
          </w:p>
        </w:tc>
        <w:tc>
          <w:tcPr/>
          <w:p>
            <w:pPr>
              <w:pStyle w:val="Compact"/>
              <w:jc w:val="left"/>
            </w:pPr>
            <w:r>
              <w:t xml:space="preserve">0.0%</w:t>
            </w:r>
          </w:p>
        </w:tc>
      </w:tr>
      <w:tr>
        <w:trPr>
          <w:cantSplit/>
        </w:trPr>
        <w:tc>
          <w:tcPr/>
          <w:p>
            <w:pPr>
              <w:pStyle w:val="Compact"/>
              <w:jc w:val="left"/>
            </w:pPr>
            <w:r>
              <w:t xml:space="preserve">Share between municipalities</w:t>
            </w:r>
          </w:p>
        </w:tc>
        <w:tc>
          <w:tcPr/>
          <w:p>
            <w:pPr>
              <w:pStyle w:val="Compact"/>
              <w:jc w:val="left"/>
            </w:pPr>
            <w:r>
              <w:t xml:space="preserve">86.0%</w:t>
            </w:r>
          </w:p>
        </w:tc>
        <w:tc>
          <w:tcPr/>
          <w:p>
            <w:pPr>
              <w:pStyle w:val="Compact"/>
              <w:jc w:val="left"/>
            </w:pPr>
            <w:r>
              <w:t xml:space="preserve">15.2%</w:t>
            </w:r>
          </w:p>
        </w:tc>
        <w:tc>
          <w:tcPr/>
          <w:p>
            <w:pPr>
              <w:pStyle w:val="Compact"/>
              <w:jc w:val="left"/>
            </w:pPr>
            <w:r>
              <w:t xml:space="preserve">100.0%</w:t>
            </w:r>
          </w:p>
        </w:tc>
      </w:tr>
      <w:tr>
        <w:trPr>
          <w:cantSplit/>
        </w:trPr>
        <w:tc>
          <w:tcPr/>
          <w:p>
            <w:pPr>
              <w:pStyle w:val="Compact"/>
              <w:jc w:val="left"/>
            </w:pPr>
            <w:r>
              <w:t xml:space="preserve">Palma ratio</w:t>
            </w:r>
          </w:p>
        </w:tc>
        <w:tc>
          <w:tcPr/>
          <w:p>
            <w:pPr>
              <w:pStyle w:val="Compact"/>
              <w:jc w:val="left"/>
            </w:pPr>
            <w:r>
              <w:t xml:space="preserve">0.907</w:t>
            </w:r>
          </w:p>
        </w:tc>
        <w:tc>
          <w:tcPr/>
          <w:p>
            <w:pPr>
              <w:pStyle w:val="Compact"/>
              <w:jc w:val="left"/>
            </w:pPr>
            <w:r>
              <w:t xml:space="preserve">0.486</w:t>
            </w:r>
          </w:p>
        </w:tc>
        <w:tc>
          <w:tcPr/>
          <w:p>
            <w:pPr>
              <w:pStyle w:val="Compact"/>
              <w:jc w:val="left"/>
            </w:pPr>
            <w:r>
              <w:t xml:space="preserve">2.103</w:t>
            </w:r>
          </w:p>
        </w:tc>
      </w:tr>
      <w:tr>
        <w:trPr>
          <w:cantSplit/>
        </w:trPr>
        <w:tc>
          <w:tcPr/>
          <w:p>
            <w:pPr>
              <w:pStyle w:val="Compact"/>
              <w:jc w:val="left"/>
            </w:pPr>
            <w:r>
              <w:t xml:space="preserve">Weight share with zero access</w:t>
            </w:r>
          </w:p>
        </w:tc>
        <w:tc>
          <w:tcPr/>
          <w:p>
            <w:pPr>
              <w:pStyle w:val="Compact"/>
              <w:jc w:val="left"/>
            </w:pPr>
            <w:r>
              <w:t xml:space="preserve">9.9%</w:t>
            </w:r>
          </w:p>
        </w:tc>
        <w:tc>
          <w:tcPr/>
          <w:p>
            <w:pPr>
              <w:pStyle w:val="Compact"/>
              <w:jc w:val="left"/>
            </w:pPr>
            <w:r>
              <w:t xml:space="preserve">16.8%</w:t>
            </w:r>
          </w:p>
        </w:tc>
        <w:tc>
          <w:tcPr/>
          <w:p>
            <w:pPr>
              <w:pStyle w:val="Compact"/>
              <w:jc w:val="left"/>
            </w:pPr>
            <w:r>
              <w:t xml:space="preserve">35.2%</w:t>
            </w:r>
          </w:p>
        </w:tc>
      </w:tr>
    </w:tbl>
    <w:p>
      <w:pPr>
        <w:pStyle w:val="BodyText"/>
        <w:spacing w:before="200"/>
      </w:pPr>
      <w:r>
        <w:t xml:space="preserve">Table 27 shows how the diagnosis shifts when free beds replace authorized ones.</w:t>
      </w:r>
    </w:p>
    <w:bookmarkEnd w:id="173"/>
    <w:bookmarkStart w:id="174" w:name="patient-needs-and-backups-on-s1"/>
    <w:p>
      <w:pPr>
        <w:pStyle w:val="Heading3"/>
      </w:pPr>
      <w:r>
        <w:t xml:space="preserve">3.5.2 Patient Needs and Backups on S1</w:t>
      </w:r>
    </w:p>
    <w:p>
      <w:pPr>
        <w:pStyle w:val="FirstParagraph"/>
      </w:pPr>
      <w:r>
        <w:t xml:space="preserve">Table 28 adds the patient’s needs and the backup hospital to the same instance.</w:t>
      </w:r>
    </w:p>
    <w:p>
      <w:pPr>
        <w:pStyle w:val="TableCaption"/>
      </w:pPr>
      <w:r>
        <w:rPr>
          <w:bCs/>
          <w:b/>
        </w:rPr>
        <w:t xml:space="preserve">Table 28.</w:t>
      </w:r>
      <w:r>
        <w:t xml:space="preserve"> </w:t>
      </w:r>
      <w:r>
        <w:t xml:space="preserve">First choice and backup (min) for each anchor of S1 by the patient’s need and payment class, with κ = 3;</w:t>
      </w:r>
      <w:r>
        <w:t xml:space="preserve"> </w:t>
      </w:r>
      <w:r>
        <w:t xml:space="preserve">“</w:t>
      </w:r>
      <w:r>
        <w:t xml:space="preserve">none</w:t>
      </w:r>
      <w:r>
        <w:t xml:space="preserve">”</w:t>
      </w:r>
      <w:r>
        <w:t xml:space="preserve"> </w:t>
      </w:r>
      <w:r>
        <w:t xml:space="preserve">means no second suitable hospital exists.</w:t>
      </w:r>
    </w:p>
    <w:tbl>
      <w:tblPr>
        <w:tblStyle w:val="Table"/>
        <w:tblW w:type="pct" w:w="5000"/>
        <w:jc w:val="center"/>
        <w:tblCaption w:val="Table 28. First choice and backup (min) for each anchor of S1 by the patient’s need and payment class, with κ = 3; “none” means no second suitable hospital exist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056"/>
        <w:gridCol w:w="1716"/>
        <w:gridCol w:w="1716"/>
        <w:gridCol w:w="1716"/>
        <w:gridCol w:w="1716"/>
      </w:tblGrid>
      <w:tr>
        <w:trPr>
          <w:tblHeader w:val="true"/>
          <w:tblHeader/>
          <w:cantSplit/>
        </w:trPr>
        <w:tc>
          <w:tcPr/>
          <w:p>
            <w:pPr>
              <w:pStyle w:val="Compact"/>
              <w:jc w:val="left"/>
            </w:pPr>
            <w:r>
              <w:rPr>
                <w:b/>
              </w:rPr>
              <w:t xml:space="preserve">Anchor</w:t>
            </w:r>
          </w:p>
        </w:tc>
        <w:tc>
          <w:tcPr/>
          <w:p>
            <w:pPr>
              <w:pStyle w:val="Compact"/>
              <w:jc w:val="left"/>
            </w:pPr>
            <w:r>
              <w:rPr>
                <w:b/>
              </w:rPr>
              <w:t xml:space="preserve">No particular need, ρ = 3</w:t>
            </w:r>
          </w:p>
        </w:tc>
        <w:tc>
          <w:tcPr/>
          <w:p>
            <w:pPr>
              <w:pStyle w:val="Compact"/>
              <w:jc w:val="left"/>
            </w:pPr>
            <w:r>
              <w:rPr>
                <w:b/>
              </w:rPr>
              <w:t xml:space="preserve">Maternity or high-risk pregnancy (MAT or HRP), ρ = 3</w:t>
            </w:r>
          </w:p>
        </w:tc>
        <w:tc>
          <w:tcPr/>
          <w:p>
            <w:pPr>
              <w:pStyle w:val="Compact"/>
              <w:jc w:val="left"/>
            </w:pPr>
            <w:r>
              <w:rPr>
                <w:b/>
              </w:rPr>
              <w:t xml:space="preserve">Dialysis (DIA), ρ = 3</w:t>
            </w:r>
          </w:p>
        </w:tc>
        <w:tc>
          <w:tcPr/>
          <w:p>
            <w:pPr>
              <w:pStyle w:val="Compact"/>
              <w:jc w:val="left"/>
            </w:pPr>
            <w:r>
              <w:rPr>
                <w:b/>
              </w:rPr>
              <w:t xml:space="preserve">Any need, ρ = 0</w:t>
            </w:r>
          </w:p>
        </w:tc>
      </w:tr>
      <w:tr>
        <w:trPr>
          <w:cantSplit/>
        </w:trPr>
        <w:tc>
          <w:tcPr/>
          <w:p>
            <w:pPr>
              <w:pStyle w:val="Compact"/>
              <w:jc w:val="left"/>
            </w:pPr>
            <w:r>
              <w:t xml:space="preserve">A1</w:t>
            </w:r>
          </w:p>
        </w:tc>
        <w:tc>
          <w:tcPr/>
          <w:p>
            <w:pPr>
              <w:pStyle w:val="Compact"/>
              <w:jc w:val="left"/>
            </w:pPr>
            <w:r>
              <w:t xml:space="preserve">S4, 29.2; backup S7, 49.0</w:t>
            </w:r>
          </w:p>
        </w:tc>
        <w:tc>
          <w:tcPr/>
          <w:p>
            <w:pPr>
              <w:pStyle w:val="Compact"/>
              <w:jc w:val="left"/>
            </w:pPr>
            <w:r>
              <w:t xml:space="preserve">S4, 29.2; backup S7, 49.0</w:t>
            </w:r>
          </w:p>
        </w:tc>
        <w:tc>
          <w:tcPr/>
          <w:p>
            <w:pPr>
              <w:pStyle w:val="Compact"/>
              <w:jc w:val="left"/>
            </w:pPr>
            <w:r>
              <w:t xml:space="preserve">S4, 29.2; none</w:t>
            </w:r>
          </w:p>
        </w:tc>
        <w:tc>
          <w:tcPr/>
          <w:p>
            <w:pPr>
              <w:pStyle w:val="Compact"/>
              <w:jc w:val="left"/>
            </w:pPr>
            <w:r>
              <w:t xml:space="preserve">S4, 29.2; none</w:t>
            </w:r>
          </w:p>
        </w:tc>
      </w:tr>
      <w:tr>
        <w:trPr>
          <w:cantSplit/>
        </w:trPr>
        <w:tc>
          <w:tcPr/>
          <w:p>
            <w:pPr>
              <w:pStyle w:val="Compact"/>
              <w:jc w:val="left"/>
            </w:pPr>
            <w:r>
              <w:t xml:space="preserve">A2</w:t>
            </w:r>
          </w:p>
        </w:tc>
        <w:tc>
          <w:tcPr/>
          <w:p>
            <w:pPr>
              <w:pStyle w:val="Compact"/>
              <w:jc w:val="left"/>
            </w:pPr>
            <w:r>
              <w:t xml:space="preserve">S4, 27.3; backup S7, 61.0</w:t>
            </w:r>
          </w:p>
        </w:tc>
        <w:tc>
          <w:tcPr/>
          <w:p>
            <w:pPr>
              <w:pStyle w:val="Compact"/>
              <w:jc w:val="left"/>
            </w:pPr>
            <w:r>
              <w:t xml:space="preserve">S4, 27.3; backup S7, 61.0</w:t>
            </w:r>
          </w:p>
        </w:tc>
        <w:tc>
          <w:tcPr/>
          <w:p>
            <w:pPr>
              <w:pStyle w:val="Compact"/>
              <w:jc w:val="left"/>
            </w:pPr>
            <w:r>
              <w:t xml:space="preserve">S4, 27.3; none</w:t>
            </w:r>
          </w:p>
        </w:tc>
        <w:tc>
          <w:tcPr/>
          <w:p>
            <w:pPr>
              <w:pStyle w:val="Compact"/>
              <w:jc w:val="left"/>
            </w:pPr>
            <w:r>
              <w:t xml:space="preserve">S4, 27.3; none</w:t>
            </w:r>
          </w:p>
        </w:tc>
      </w:tr>
      <w:tr>
        <w:trPr>
          <w:cantSplit/>
        </w:trPr>
        <w:tc>
          <w:tcPr/>
          <w:p>
            <w:pPr>
              <w:pStyle w:val="Compact"/>
              <w:jc w:val="left"/>
            </w:pPr>
            <w:r>
              <w:t xml:space="preserve">A3</w:t>
            </w:r>
          </w:p>
        </w:tc>
        <w:tc>
          <w:tcPr/>
          <w:p>
            <w:pPr>
              <w:pStyle w:val="Compact"/>
              <w:jc w:val="left"/>
            </w:pPr>
            <w:r>
              <w:t xml:space="preserve">S4, 18.6; backup S7, 51.4</w:t>
            </w:r>
          </w:p>
        </w:tc>
        <w:tc>
          <w:tcPr/>
          <w:p>
            <w:pPr>
              <w:pStyle w:val="Compact"/>
              <w:jc w:val="left"/>
            </w:pPr>
            <w:r>
              <w:t xml:space="preserve">S4, 18.6; backup S7, 51.4</w:t>
            </w:r>
          </w:p>
        </w:tc>
        <w:tc>
          <w:tcPr/>
          <w:p>
            <w:pPr>
              <w:pStyle w:val="Compact"/>
              <w:jc w:val="left"/>
            </w:pPr>
            <w:r>
              <w:t xml:space="preserve">S4, 18.6; none</w:t>
            </w:r>
          </w:p>
        </w:tc>
        <w:tc>
          <w:tcPr/>
          <w:p>
            <w:pPr>
              <w:pStyle w:val="Compact"/>
              <w:jc w:val="left"/>
            </w:pPr>
            <w:r>
              <w:t xml:space="preserve">S4, 18.6; none</w:t>
            </w:r>
          </w:p>
        </w:tc>
      </w:tr>
      <w:tr>
        <w:trPr>
          <w:cantSplit/>
        </w:trPr>
        <w:tc>
          <w:tcPr/>
          <w:p>
            <w:pPr>
              <w:pStyle w:val="Compact"/>
              <w:jc w:val="left"/>
            </w:pPr>
            <w:r>
              <w:t xml:space="preserve">A4</w:t>
            </w:r>
          </w:p>
        </w:tc>
        <w:tc>
          <w:tcPr/>
          <w:p>
            <w:pPr>
              <w:pStyle w:val="Compact"/>
              <w:jc w:val="left"/>
            </w:pPr>
            <w:r>
              <w:t xml:space="preserve">S4, 43.6; backup S7, 76.6</w:t>
            </w:r>
          </w:p>
        </w:tc>
        <w:tc>
          <w:tcPr/>
          <w:p>
            <w:pPr>
              <w:pStyle w:val="Compact"/>
              <w:jc w:val="left"/>
            </w:pPr>
            <w:r>
              <w:t xml:space="preserve">S4, 43.6; backup S7, 76.6</w:t>
            </w:r>
          </w:p>
        </w:tc>
        <w:tc>
          <w:tcPr/>
          <w:p>
            <w:pPr>
              <w:pStyle w:val="Compact"/>
              <w:jc w:val="left"/>
            </w:pPr>
            <w:r>
              <w:t xml:space="preserve">S4, 43.6; none</w:t>
            </w:r>
          </w:p>
        </w:tc>
        <w:tc>
          <w:tcPr/>
          <w:p>
            <w:pPr>
              <w:pStyle w:val="Compact"/>
              <w:jc w:val="left"/>
            </w:pPr>
            <w:r>
              <w:t xml:space="preserve">S4, 43.6; none</w:t>
            </w:r>
          </w:p>
        </w:tc>
      </w:tr>
      <w:tr>
        <w:trPr>
          <w:cantSplit/>
        </w:trPr>
        <w:tc>
          <w:tcPr/>
          <w:p>
            <w:pPr>
              <w:pStyle w:val="Compact"/>
              <w:jc w:val="left"/>
            </w:pPr>
            <w:r>
              <w:t xml:space="preserve">A5</w:t>
            </w:r>
          </w:p>
        </w:tc>
        <w:tc>
          <w:tcPr/>
          <w:p>
            <w:pPr>
              <w:pStyle w:val="Compact"/>
              <w:jc w:val="left"/>
            </w:pPr>
            <w:r>
              <w:t xml:space="preserve">S4, 32.6; backup S7, 65.8</w:t>
            </w:r>
          </w:p>
        </w:tc>
        <w:tc>
          <w:tcPr/>
          <w:p>
            <w:pPr>
              <w:pStyle w:val="Compact"/>
              <w:jc w:val="left"/>
            </w:pPr>
            <w:r>
              <w:t xml:space="preserve">S4, 32.6; backup S7, 65.8</w:t>
            </w:r>
          </w:p>
        </w:tc>
        <w:tc>
          <w:tcPr/>
          <w:p>
            <w:pPr>
              <w:pStyle w:val="Compact"/>
              <w:jc w:val="left"/>
            </w:pPr>
            <w:r>
              <w:t xml:space="preserve">S4, 32.6; none</w:t>
            </w:r>
          </w:p>
        </w:tc>
        <w:tc>
          <w:tcPr/>
          <w:p>
            <w:pPr>
              <w:pStyle w:val="Compact"/>
              <w:jc w:val="left"/>
            </w:pPr>
            <w:r>
              <w:t xml:space="preserve">S4, 32.6; none</w:t>
            </w:r>
          </w:p>
        </w:tc>
      </w:tr>
      <w:tr>
        <w:trPr>
          <w:cantSplit/>
        </w:trPr>
        <w:tc>
          <w:tcPr/>
          <w:p>
            <w:pPr>
              <w:pStyle w:val="Compact"/>
              <w:jc w:val="left"/>
            </w:pPr>
            <w:r>
              <w:t xml:space="preserve">A6</w:t>
            </w:r>
          </w:p>
        </w:tc>
        <w:tc>
          <w:tcPr/>
          <w:p>
            <w:pPr>
              <w:pStyle w:val="Compact"/>
              <w:jc w:val="left"/>
            </w:pPr>
            <w:r>
              <w:t xml:space="preserve">S7, 13.0; backup S4, 37.2</w:t>
            </w:r>
          </w:p>
        </w:tc>
        <w:tc>
          <w:tcPr/>
          <w:p>
            <w:pPr>
              <w:pStyle w:val="Compact"/>
              <w:jc w:val="left"/>
            </w:pPr>
            <w:r>
              <w:t xml:space="preserve">S7, 13.0; backup S4, 37.2</w:t>
            </w:r>
          </w:p>
        </w:tc>
        <w:tc>
          <w:tcPr/>
          <w:p>
            <w:pPr>
              <w:pStyle w:val="Compact"/>
              <w:jc w:val="left"/>
            </w:pPr>
            <w:r>
              <w:t xml:space="preserve">S4, 37.2; none</w:t>
            </w:r>
          </w:p>
        </w:tc>
        <w:tc>
          <w:tcPr/>
          <w:p>
            <w:pPr>
              <w:pStyle w:val="Compact"/>
              <w:jc w:val="left"/>
            </w:pPr>
            <w:r>
              <w:t xml:space="preserve">S4, 37.2; none</w:t>
            </w:r>
          </w:p>
        </w:tc>
      </w:tr>
    </w:tbl>
    <w:p>
      <w:pPr>
        <w:pStyle w:val="BodyText"/>
        <w:spacing w:before="200"/>
      </w:pPr>
      <w:r>
        <w:t xml:space="preserve">The maternity column matches the first column only because S3 is full.</w:t>
      </w:r>
    </w:p>
    <w:p>
      <w:pPr>
        <w:pStyle w:val="BodyText"/>
      </w:pPr>
      <w:r>
        <w:t xml:space="preserve">The backup column carries a warning that a map of hospitals alone would never give.</w:t>
      </w:r>
    </w:p>
    <w:bookmarkEnd w:id="174"/>
    <w:bookmarkStart w:id="178" w:name="beds-per-person-on-s1"/>
    <w:p>
      <w:pPr>
        <w:pStyle w:val="Heading3"/>
      </w:pPr>
      <w:r>
        <w:t xml:space="preserve">3.5.3 Beds per Person on S1</w:t>
      </w:r>
    </w:p>
    <w:p>
      <w:pPr>
        <w:pStyle w:val="FirstParagraph"/>
      </w:pPr>
      <w:r>
        <w:t xml:space="preserve">Table 29 applies the bed-to-population ratio of Definition 23 to S1, first with authorized beds and then with free beds.</w:t>
      </w:r>
    </w:p>
    <w:p>
      <w:pPr>
        <w:pStyle w:val="TableCaption"/>
      </w:pPr>
      <w:r>
        <w:rPr>
          <w:bCs/>
          <w:b/>
        </w:rPr>
        <w:t xml:space="preserve">Table 29.</w:t>
      </w:r>
      <w:r>
        <w:t xml:space="preserve"> </w:t>
      </w:r>
      <w:r>
        <w:t xml:space="preserve">Beds per 10,000 people in S1 by the two-step floating catchment area method (Definition 23) at θ = 30 min, with authorized and with free beds (synthetic instance).</w:t>
      </w:r>
    </w:p>
    <w:tbl>
      <w:tblPr>
        <w:tblStyle w:val="Table"/>
        <w:tblW w:type="pct" w:w="5000"/>
        <w:jc w:val="center"/>
        <w:tblCaption w:val="Table 29. Beds per 10,000 people in S1 by the two-step floating catchment area method (Definition 23) at θ = 30 min, with authorized and with free beds (synthetic instance)."/>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4096"/>
        <w:gridCol w:w="1911"/>
        <w:gridCol w:w="1911"/>
      </w:tblGrid>
      <w:tr>
        <w:trPr>
          <w:tblHeader w:val="true"/>
          <w:tblHeader/>
          <w:cantSplit/>
        </w:trPr>
        <w:tc>
          <w:tcPr/>
          <w:p>
            <w:pPr>
              <w:pStyle w:val="Compact"/>
              <w:jc w:val="left"/>
            </w:pPr>
            <w:r>
              <w:rPr>
                <w:b/>
              </w:rPr>
              <w:t xml:space="preserve">Quantity</w:t>
            </w:r>
          </w:p>
        </w:tc>
        <w:tc>
          <w:tcPr/>
          <w:p>
            <w:pPr>
              <w:pStyle w:val="Compact"/>
              <w:jc w:val="left"/>
            </w:pPr>
            <w:r>
              <w:rPr>
                <w:b/>
              </w:rPr>
              <w:t xml:space="preserve">Authorized Beds</w:t>
            </w:r>
          </w:p>
        </w:tc>
        <w:tc>
          <w:tcPr/>
          <w:p>
            <w:pPr>
              <w:pStyle w:val="Compact"/>
              <w:jc w:val="left"/>
            </w:pPr>
            <w:r>
              <w:rPr>
                <w:b/>
              </w:rPr>
              <w:t xml:space="preserve">Free Beds</w:t>
            </w:r>
          </w:p>
        </w:tc>
      </w:tr>
      <w:tr>
        <w:trPr>
          <w:cantSplit/>
        </w:trPr>
        <w:tc>
          <w:tcPr/>
          <w:p>
            <w:pPr>
              <w:pStyle w:val="Compact"/>
              <w:jc w:val="left"/>
            </w:pPr>
            <w:r>
              <w:rPr>
                <w:iCs/>
                <w:i/>
              </w:rPr>
              <w:t xml:space="preserve">R</w:t>
            </w:r>
            <w:r>
              <w:rPr>
                <w:iCs/>
                <w:i/>
                <w:vertAlign w:val="subscript"/>
              </w:rPr>
              <w:t xml:space="preserve">h</w:t>
            </w:r>
            <w:r>
              <w:t xml:space="preserve"> </w:t>
            </w:r>
            <w:r>
              <w:t xml:space="preserve">for S4, S7, S3</w:t>
            </w:r>
          </w:p>
        </w:tc>
        <w:tc>
          <w:tcPr/>
          <w:p>
            <w:pPr>
              <w:pStyle w:val="Compact"/>
              <w:jc w:val="left"/>
            </w:pPr>
            <w:r>
              <w:t xml:space="preserve">131.15, 153.85, 24.68</w:t>
            </w:r>
          </w:p>
        </w:tc>
        <w:tc>
          <w:tcPr/>
          <w:p>
            <w:pPr>
              <w:pStyle w:val="Compact"/>
              <w:jc w:val="left"/>
            </w:pPr>
            <w:r>
              <w:t xml:space="preserve">8.74, 34.62, 0.00</w:t>
            </w:r>
          </w:p>
        </w:tc>
      </w:tr>
      <w:tr>
        <w:trPr>
          <w:cantSplit/>
        </w:trPr>
        <w:tc>
          <w:tcPr/>
          <w:p>
            <w:pPr>
              <w:pStyle w:val="Compact"/>
              <w:jc w:val="left"/>
            </w:pPr>
            <w:r>
              <w:rPr>
                <w:iCs/>
                <w:i/>
              </w:rPr>
              <w:t xml:space="preserve">A</w:t>
            </w:r>
            <w:r>
              <w:rPr>
                <w:iCs/>
                <w:i/>
                <w:vertAlign w:val="superscript"/>
              </w:rPr>
              <w:t xml:space="preserve">F</w:t>
            </w:r>
            <w:r>
              <w:rPr>
                <w:iCs/>
                <w:i/>
                <w:vertAlign w:val="subscript"/>
              </w:rPr>
              <w:t xml:space="preserve">a</w:t>
            </w:r>
            <w:r>
              <w:t xml:space="preserve"> </w:t>
            </w:r>
            <w:r>
              <w:t xml:space="preserve">for A1 to A6</w:t>
            </w:r>
          </w:p>
        </w:tc>
        <w:tc>
          <w:tcPr/>
          <w:p>
            <w:pPr>
              <w:pStyle w:val="Compact"/>
              <w:jc w:val="left"/>
            </w:pPr>
            <w:r>
              <w:t xml:space="preserve">155.83, 155.83, 155.83, 0.00, 24.68, 153.85</w:t>
            </w:r>
          </w:p>
        </w:tc>
        <w:tc>
          <w:tcPr/>
          <w:p>
            <w:pPr>
              <w:pStyle w:val="Compact"/>
              <w:jc w:val="left"/>
            </w:pPr>
            <w:r>
              <w:t xml:space="preserve">8.74, 8.74, 8.74, 0.00, 0.00, 34.62</w:t>
            </w:r>
          </w:p>
        </w:tc>
      </w:tr>
      <w:tr>
        <w:trPr>
          <w:cantSplit/>
        </w:trPr>
        <w:tc>
          <w:tcPr/>
          <w:p>
            <w:pPr>
              <w:pStyle w:val="Compact"/>
              <w:jc w:val="left"/>
            </w:pPr>
            <w:r>
              <w:t xml:space="preserve">Weighted mean</w:t>
            </w:r>
          </w:p>
        </w:tc>
        <w:tc>
          <w:tcPr/>
          <w:p>
            <w:pPr>
              <w:pStyle w:val="Compact"/>
              <w:jc w:val="left"/>
            </w:pPr>
            <w:r>
              <w:t xml:space="preserve">130.93</w:t>
            </w:r>
          </w:p>
        </w:tc>
        <w:tc>
          <w:tcPr/>
          <w:p>
            <w:pPr>
              <w:pStyle w:val="Compact"/>
              <w:jc w:val="left"/>
            </w:pPr>
            <w:r>
              <w:t xml:space="preserve">12.03</w:t>
            </w:r>
          </w:p>
        </w:tc>
      </w:tr>
      <w:tr>
        <w:trPr>
          <w:cantSplit/>
        </w:trPr>
        <w:tc>
          <w:tcPr/>
          <w:p>
            <w:pPr>
              <w:pStyle w:val="Compact"/>
              <w:jc w:val="left"/>
            </w:pPr>
            <w:r>
              <w:t xml:space="preserve">Beds counted, Σ</w:t>
            </w:r>
            <w:r>
              <w:rPr>
                <w:iCs/>
                <w:i/>
                <w:vertAlign w:val="subscript"/>
              </w:rPr>
              <w:t xml:space="preserve">a</w:t>
            </w:r>
            <w:r>
              <w:t xml:space="preserve"> </w:t>
            </w:r>
            <w:r>
              <w:rPr>
                <w:iCs/>
                <w:i/>
              </w:rPr>
              <w:t xml:space="preserve">P</w:t>
            </w:r>
            <w:r>
              <w:rPr>
                <w:iCs/>
                <w:i/>
                <w:vertAlign w:val="subscript"/>
              </w:rPr>
              <w:t xml:space="preserve">a</w:t>
            </w:r>
            <w:r>
              <w:t xml:space="preserve"> </w:t>
            </w:r>
            <w:r>
              <w:rPr>
                <w:iCs/>
                <w:i/>
              </w:rPr>
              <w:t xml:space="preserve">A</w:t>
            </w:r>
            <w:r>
              <w:rPr>
                <w:iCs/>
                <w:i/>
                <w:vertAlign w:val="superscript"/>
              </w:rPr>
              <w:t xml:space="preserve">F</w:t>
            </w:r>
            <w:r>
              <w:rPr>
                <w:iCs/>
                <w:i/>
                <w:vertAlign w:val="subscript"/>
              </w:rPr>
              <w:t xml:space="preserve">a</w:t>
            </w:r>
            <w:r>
              <w:t xml:space="preserve"> </w:t>
            </w:r>
            <w:r>
              <w:t xml:space="preserve">(Prop. 15)</w:t>
            </w:r>
          </w:p>
        </w:tc>
        <w:tc>
          <w:tcPr/>
          <w:p>
            <w:pPr>
              <w:pStyle w:val="Compact"/>
              <w:jc w:val="left"/>
            </w:pPr>
            <w:r>
              <w:t xml:space="preserve">185</w:t>
            </w:r>
          </w:p>
        </w:tc>
        <w:tc>
          <w:tcPr/>
          <w:p>
            <w:pPr>
              <w:pStyle w:val="Compact"/>
              <w:jc w:val="left"/>
            </w:pPr>
            <w:r>
              <w:t xml:space="preserve">17</w:t>
            </w:r>
          </w:p>
        </w:tc>
      </w:tr>
      <w:tr>
        <w:trPr>
          <w:cantSplit/>
        </w:trPr>
        <w:tc>
          <w:tcPr/>
          <w:p>
            <w:pPr>
              <w:pStyle w:val="Compact"/>
              <w:jc w:val="left"/>
            </w:pPr>
            <w:r>
              <w:t xml:space="preserve">Gini coefficient</w:t>
            </w:r>
          </w:p>
        </w:tc>
        <w:tc>
          <w:tcPr/>
          <w:p>
            <w:pPr>
              <w:pStyle w:val="Compact"/>
              <w:jc w:val="left"/>
            </w:pPr>
            <w:r>
              <w:t xml:space="preserve">0.1585</w:t>
            </w:r>
          </w:p>
        </w:tc>
        <w:tc>
          <w:tcPr/>
          <w:p>
            <w:pPr>
              <w:pStyle w:val="Compact"/>
              <w:jc w:val="left"/>
            </w:pPr>
            <w:r>
              <w:t xml:space="preserve">0.4247</w:t>
            </w:r>
          </w:p>
        </w:tc>
      </w:tr>
      <w:tr>
        <w:trPr>
          <w:cantSplit/>
        </w:trPr>
        <w:tc>
          <w:tcPr/>
          <w:p>
            <w:pPr>
              <w:pStyle w:val="Compact"/>
              <w:jc w:val="left"/>
            </w:pPr>
            <w:r>
              <w:t xml:space="preserve">Theil index</w:t>
            </w:r>
          </w:p>
        </w:tc>
        <w:tc>
          <w:tcPr/>
          <w:p>
            <w:pPr>
              <w:pStyle w:val="Compact"/>
              <w:jc w:val="left"/>
            </w:pPr>
            <w:r>
              <w:t xml:space="preserve">0.1472</w:t>
            </w:r>
          </w:p>
        </w:tc>
        <w:tc>
          <w:tcPr/>
          <w:p>
            <w:pPr>
              <w:pStyle w:val="Compact"/>
              <w:jc w:val="left"/>
            </w:pPr>
            <w:r>
              <w:t xml:space="preserve">0.4093</w:t>
            </w:r>
          </w:p>
        </w:tc>
      </w:tr>
      <w:tr>
        <w:trPr>
          <w:cantSplit/>
        </w:trPr>
        <w:tc>
          <w:tcPr/>
          <w:p>
            <w:pPr>
              <w:pStyle w:val="Compact"/>
              <w:jc w:val="left"/>
            </w:pPr>
            <w:r>
              <w:t xml:space="preserve">Share within municipalities</w:t>
            </w:r>
          </w:p>
        </w:tc>
        <w:tc>
          <w:tcPr/>
          <w:p>
            <w:pPr>
              <w:pStyle w:val="Compact"/>
              <w:jc w:val="left"/>
            </w:pPr>
            <w:r>
              <w:t xml:space="preserve">75.8%</w:t>
            </w:r>
          </w:p>
        </w:tc>
        <w:tc>
          <w:tcPr/>
          <w:p>
            <w:pPr>
              <w:pStyle w:val="Compact"/>
              <w:jc w:val="left"/>
            </w:pPr>
            <w:r>
              <w:t xml:space="preserve">84.1%</w:t>
            </w:r>
          </w:p>
        </w:tc>
      </w:tr>
      <w:tr>
        <w:trPr>
          <w:cantSplit/>
        </w:trPr>
        <w:tc>
          <w:tcPr/>
          <w:p>
            <w:pPr>
              <w:pStyle w:val="Compact"/>
              <w:jc w:val="left"/>
            </w:pPr>
            <w:r>
              <w:t xml:space="preserve">Weight share with zero access</w:t>
            </w:r>
          </w:p>
        </w:tc>
        <w:tc>
          <w:tcPr/>
          <w:p>
            <w:pPr>
              <w:pStyle w:val="Compact"/>
              <w:jc w:val="left"/>
            </w:pPr>
            <w:r>
              <w:t xml:space="preserve">9.9%</w:t>
            </w:r>
          </w:p>
        </w:tc>
        <w:tc>
          <w:tcPr/>
          <w:p>
            <w:pPr>
              <w:pStyle w:val="Compact"/>
              <w:jc w:val="left"/>
            </w:pPr>
            <w:r>
              <w:t xml:space="preserve">16.8%</w:t>
            </w:r>
          </w:p>
        </w:tc>
      </w:tr>
    </w:tbl>
    <w:p>
      <w:pPr>
        <w:pStyle w:val="CaptionedFigure"/>
        <w:spacing w:before="200"/>
      </w:pPr>
      <w:r>
        <w:drawing>
          <wp:inline>
            <wp:extent cx="4754880" cy="4202773"/>
            <wp:effectExtent b="0" l="0" r="0" t="0"/>
            <wp:docPr descr="Figure 4. Lorenz curves of bed access in S1 at the 30-minute baseline, counted four ways. The farther a curve sags below the line of equality, the more unequal the access. Synthetic instance." title="" id="176" name="Picture"/>
            <a:graphic>
              <a:graphicData uri="http://schemas.openxmlformats.org/drawingml/2006/picture">
                <pic:pic>
                  <pic:nvPicPr>
                    <pic:cNvPr descr="fig/fig4_lorenz_s1.png" id="177" name="Picture"/>
                    <pic:cNvPicPr>
                      <a:picLocks noChangeArrowheads="1" noChangeAspect="1"/>
                    </pic:cNvPicPr>
                  </pic:nvPicPr>
                  <pic:blipFill>
                    <a:blip r:embed="rId175"/>
                    <a:stretch>
                      <a:fillRect/>
                    </a:stretch>
                  </pic:blipFill>
                  <pic:spPr bwMode="auto">
                    <a:xfrm>
                      <a:off x="0" y="0"/>
                      <a:ext cx="4754880" cy="4202773"/>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Lorenz curves of bed access in S1 at the 30-minute baseline, counted four ways. The farther a curve sags below the line of equality, the more unequal the access. Synthetic instance.</w:t>
      </w:r>
    </w:p>
    <w:p>
      <w:pPr>
        <w:pStyle w:val="BodyText"/>
      </w:pPr>
      <w:r>
        <w:t xml:space="preserve">The two ways of counting free beds tell different stories.</w:t>
      </w:r>
    </w:p>
    <w:p>
      <w:pPr>
        <w:pStyle w:val="BodyText"/>
      </w:pPr>
      <w:r>
        <w:t xml:space="preserve">With authorized beds the movement goes the other way: the Gini coefficient falls from 0.2747 to 0.1585, because A1 to A3 reach many beds but share them among many people.</w:t>
      </w:r>
    </w:p>
    <w:bookmarkEnd w:id="178"/>
    <w:bookmarkStart w:id="179" w:name="surge-assignment-on-s1"/>
    <w:p>
      <w:pPr>
        <w:pStyle w:val="Heading3"/>
      </w:pPr>
      <w:r>
        <w:t xml:space="preserve">3.5.4 Surge Assignment on S1</w:t>
      </w:r>
    </w:p>
    <w:p>
      <w:pPr>
        <w:pStyle w:val="FirstParagraph"/>
      </w:pPr>
      <w:r>
        <w:t xml:space="preserve">Suppose a road crash leaves 15 emergency patients (κ = 2, so cost does not filter) spread over the six anchors, as in Table 30.</w:t>
      </w:r>
    </w:p>
    <w:p>
      <w:pPr>
        <w:pStyle w:val="TableCaption"/>
      </w:pPr>
      <w:r>
        <w:rPr>
          <w:bCs/>
          <w:b/>
        </w:rPr>
        <w:t xml:space="preserve">Table 30.</w:t>
      </w:r>
      <w:r>
        <w:t xml:space="preserve"> </w:t>
      </w:r>
      <w:r>
        <w:t xml:space="preserve">Surge assignment on S1: 15 emergency patients (κ = 2) and 17 free beds.</w:t>
      </w:r>
    </w:p>
    <w:tbl>
      <w:tblPr>
        <w:tblStyle w:val="Table"/>
        <w:tblW w:type="pct" w:w="5000"/>
        <w:jc w:val="center"/>
        <w:tblCaption w:val="Table 30. Surge assignment on S1: 15 emergency patients (κ = 2) and 17 free bed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026"/>
        <w:gridCol w:w="880"/>
        <w:gridCol w:w="1906"/>
        <w:gridCol w:w="1906"/>
        <w:gridCol w:w="2200"/>
      </w:tblGrid>
      <w:tr>
        <w:trPr>
          <w:tblHeader w:val="true"/>
          <w:tblHeader/>
          <w:cantSplit/>
        </w:trPr>
        <w:tc>
          <w:tcPr/>
          <w:p>
            <w:pPr>
              <w:pStyle w:val="Compact"/>
              <w:jc w:val="left"/>
            </w:pPr>
            <w:r>
              <w:rPr>
                <w:b/>
              </w:rPr>
              <w:t xml:space="preserve">Anchor</w:t>
            </w:r>
          </w:p>
        </w:tc>
        <w:tc>
          <w:tcPr/>
          <w:p>
            <w:pPr>
              <w:pStyle w:val="Compact"/>
              <w:jc w:val="right"/>
            </w:pPr>
            <w:r>
              <w:rPr>
                <w:b/>
              </w:rPr>
              <w:t xml:space="preserve">Patients</w:t>
            </w:r>
          </w:p>
        </w:tc>
        <w:tc>
          <w:tcPr/>
          <w:p>
            <w:pPr>
              <w:pStyle w:val="Compact"/>
              <w:jc w:val="center"/>
            </w:pPr>
            <w:r>
              <w:rPr>
                <w:b/>
              </w:rPr>
              <w:t xml:space="preserve">Independent Choice</w:t>
            </w:r>
          </w:p>
        </w:tc>
        <w:tc>
          <w:tcPr/>
          <w:p>
            <w:pPr>
              <w:pStyle w:val="Compact"/>
              <w:jc w:val="center"/>
            </w:pPr>
            <w:r>
              <w:rPr>
                <w:b/>
              </w:rPr>
              <w:t xml:space="preserve">Optimal Assignment (Algorithm 3)</w:t>
            </w:r>
          </w:p>
        </w:tc>
        <w:tc>
          <w:tcPr/>
          <w:p>
            <w:pPr>
              <w:pStyle w:val="Compact"/>
              <w:jc w:val="left"/>
            </w:pPr>
            <w:r>
              <w:rPr>
                <w:b/>
              </w:rPr>
              <w:t xml:space="preserve">Travel Time Each (min)</w:t>
            </w:r>
          </w:p>
        </w:tc>
      </w:tr>
      <w:tr>
        <w:trPr>
          <w:cantSplit/>
        </w:trPr>
        <w:tc>
          <w:tcPr/>
          <w:p>
            <w:pPr>
              <w:pStyle w:val="Compact"/>
              <w:jc w:val="left"/>
            </w:pPr>
            <w:r>
              <w:t xml:space="preserve">A1</w:t>
            </w:r>
          </w:p>
        </w:tc>
        <w:tc>
          <w:tcPr/>
          <w:p>
            <w:pPr>
              <w:pStyle w:val="Compact"/>
              <w:jc w:val="right"/>
            </w:pPr>
            <w:r>
              <w:t xml:space="preserve">4</w:t>
            </w:r>
          </w:p>
        </w:tc>
        <w:tc>
          <w:tcPr/>
          <w:p>
            <w:pPr>
              <w:pStyle w:val="Compact"/>
              <w:jc w:val="center"/>
            </w:pPr>
            <w:r>
              <w:t xml:space="preserve">S4</w:t>
            </w:r>
          </w:p>
        </w:tc>
        <w:tc>
          <w:tcPr/>
          <w:p>
            <w:pPr>
              <w:pStyle w:val="Compact"/>
              <w:jc w:val="center"/>
            </w:pPr>
            <w:r>
              <w:t xml:space="preserve">S7</w:t>
            </w:r>
          </w:p>
        </w:tc>
        <w:tc>
          <w:tcPr/>
          <w:p>
            <w:pPr>
              <w:pStyle w:val="Compact"/>
              <w:jc w:val="left"/>
            </w:pPr>
            <w:r>
              <w:t xml:space="preserve">49.0 (S4 would be 29.2)</w:t>
            </w:r>
          </w:p>
        </w:tc>
      </w:tr>
      <w:tr>
        <w:trPr>
          <w:cantSplit/>
        </w:trPr>
        <w:tc>
          <w:tcPr/>
          <w:p>
            <w:pPr>
              <w:pStyle w:val="Compact"/>
              <w:jc w:val="left"/>
            </w:pPr>
            <w:r>
              <w:t xml:space="preserve">A2</w:t>
            </w:r>
          </w:p>
        </w:tc>
        <w:tc>
          <w:tcPr/>
          <w:p>
            <w:pPr>
              <w:pStyle w:val="Compact"/>
              <w:jc w:val="right"/>
            </w:pPr>
            <w:r>
              <w:t xml:space="preserve">3</w:t>
            </w:r>
          </w:p>
        </w:tc>
        <w:tc>
          <w:tcPr/>
          <w:p>
            <w:pPr>
              <w:pStyle w:val="Compact"/>
              <w:jc w:val="center"/>
            </w:pPr>
            <w:r>
              <w:t xml:space="preserve">S4</w:t>
            </w:r>
          </w:p>
        </w:tc>
        <w:tc>
          <w:tcPr/>
          <w:p>
            <w:pPr>
              <w:pStyle w:val="Compact"/>
              <w:jc w:val="center"/>
            </w:pPr>
            <w:r>
              <w:t xml:space="preserve">S4</w:t>
            </w:r>
          </w:p>
        </w:tc>
        <w:tc>
          <w:tcPr/>
          <w:p>
            <w:pPr>
              <w:pStyle w:val="Compact"/>
              <w:jc w:val="left"/>
            </w:pPr>
            <w:r>
              <w:t xml:space="preserve">27.3</w:t>
            </w:r>
          </w:p>
        </w:tc>
      </w:tr>
      <w:tr>
        <w:trPr>
          <w:cantSplit/>
        </w:trPr>
        <w:tc>
          <w:tcPr/>
          <w:p>
            <w:pPr>
              <w:pStyle w:val="Compact"/>
              <w:jc w:val="left"/>
            </w:pPr>
            <w:r>
              <w:t xml:space="preserve">A3</w:t>
            </w:r>
          </w:p>
        </w:tc>
        <w:tc>
          <w:tcPr/>
          <w:p>
            <w:pPr>
              <w:pStyle w:val="Compact"/>
              <w:jc w:val="right"/>
            </w:pPr>
            <w:r>
              <w:t xml:space="preserve">2</w:t>
            </w:r>
          </w:p>
        </w:tc>
        <w:tc>
          <w:tcPr/>
          <w:p>
            <w:pPr>
              <w:pStyle w:val="Compact"/>
              <w:jc w:val="center"/>
            </w:pPr>
            <w:r>
              <w:t xml:space="preserve">S4</w:t>
            </w:r>
          </w:p>
        </w:tc>
        <w:tc>
          <w:tcPr/>
          <w:p>
            <w:pPr>
              <w:pStyle w:val="Compact"/>
              <w:jc w:val="center"/>
            </w:pPr>
            <w:r>
              <w:t xml:space="preserve">S4</w:t>
            </w:r>
          </w:p>
        </w:tc>
        <w:tc>
          <w:tcPr/>
          <w:p>
            <w:pPr>
              <w:pStyle w:val="Compact"/>
              <w:jc w:val="left"/>
            </w:pPr>
            <w:r>
              <w:t xml:space="preserve">18.6</w:t>
            </w:r>
          </w:p>
        </w:tc>
      </w:tr>
      <w:tr>
        <w:trPr>
          <w:cantSplit/>
        </w:trPr>
        <w:tc>
          <w:tcPr/>
          <w:p>
            <w:pPr>
              <w:pStyle w:val="Compact"/>
              <w:jc w:val="left"/>
            </w:pPr>
            <w:r>
              <w:t xml:space="preserve">A4</w:t>
            </w:r>
          </w:p>
        </w:tc>
        <w:tc>
          <w:tcPr/>
          <w:p>
            <w:pPr>
              <w:pStyle w:val="Compact"/>
              <w:jc w:val="right"/>
            </w:pPr>
            <w:r>
              <w:t xml:space="preserve">2</w:t>
            </w:r>
          </w:p>
        </w:tc>
        <w:tc>
          <w:tcPr/>
          <w:p>
            <w:pPr>
              <w:pStyle w:val="Compact"/>
              <w:jc w:val="center"/>
            </w:pPr>
            <w:r>
              <w:t xml:space="preserve">S4</w:t>
            </w:r>
          </w:p>
        </w:tc>
        <w:tc>
          <w:tcPr/>
          <w:p>
            <w:pPr>
              <w:pStyle w:val="Compact"/>
              <w:jc w:val="center"/>
            </w:pPr>
            <w:r>
              <w:t xml:space="preserve">S4</w:t>
            </w:r>
          </w:p>
        </w:tc>
        <w:tc>
          <w:tcPr/>
          <w:p>
            <w:pPr>
              <w:pStyle w:val="Compact"/>
              <w:jc w:val="left"/>
            </w:pPr>
            <w:r>
              <w:t xml:space="preserve">43.6</w:t>
            </w:r>
          </w:p>
        </w:tc>
      </w:tr>
      <w:tr>
        <w:trPr>
          <w:cantSplit/>
        </w:trPr>
        <w:tc>
          <w:tcPr/>
          <w:p>
            <w:pPr>
              <w:pStyle w:val="Compact"/>
              <w:jc w:val="left"/>
            </w:pPr>
            <w:r>
              <w:t xml:space="preserve">A5</w:t>
            </w:r>
          </w:p>
        </w:tc>
        <w:tc>
          <w:tcPr/>
          <w:p>
            <w:pPr>
              <w:pStyle w:val="Compact"/>
              <w:jc w:val="right"/>
            </w:pPr>
            <w:r>
              <w:t xml:space="preserve">1</w:t>
            </w:r>
          </w:p>
        </w:tc>
        <w:tc>
          <w:tcPr/>
          <w:p>
            <w:pPr>
              <w:pStyle w:val="Compact"/>
              <w:jc w:val="center"/>
            </w:pPr>
            <w:r>
              <w:t xml:space="preserve">S4</w:t>
            </w:r>
          </w:p>
        </w:tc>
        <w:tc>
          <w:tcPr/>
          <w:p>
            <w:pPr>
              <w:pStyle w:val="Compact"/>
              <w:jc w:val="center"/>
            </w:pPr>
            <w:r>
              <w:t xml:space="preserve">S4</w:t>
            </w:r>
          </w:p>
        </w:tc>
        <w:tc>
          <w:tcPr/>
          <w:p>
            <w:pPr>
              <w:pStyle w:val="Compact"/>
              <w:jc w:val="left"/>
            </w:pPr>
            <w:r>
              <w:t xml:space="preserve">32.6</w:t>
            </w:r>
          </w:p>
        </w:tc>
      </w:tr>
      <w:tr>
        <w:trPr>
          <w:cantSplit/>
        </w:trPr>
        <w:tc>
          <w:tcPr/>
          <w:p>
            <w:pPr>
              <w:pStyle w:val="Compact"/>
              <w:jc w:val="left"/>
            </w:pPr>
            <w:r>
              <w:t xml:space="preserve">A6</w:t>
            </w:r>
          </w:p>
        </w:tc>
        <w:tc>
          <w:tcPr/>
          <w:p>
            <w:pPr>
              <w:pStyle w:val="Compact"/>
              <w:jc w:val="right"/>
            </w:pPr>
            <w:r>
              <w:t xml:space="preserve">3</w:t>
            </w:r>
          </w:p>
        </w:tc>
        <w:tc>
          <w:tcPr/>
          <w:p>
            <w:pPr>
              <w:pStyle w:val="Compact"/>
              <w:jc w:val="center"/>
            </w:pPr>
            <w:r>
              <w:t xml:space="preserve">S7</w:t>
            </w:r>
          </w:p>
        </w:tc>
        <w:tc>
          <w:tcPr/>
          <w:p>
            <w:pPr>
              <w:pStyle w:val="Compact"/>
              <w:jc w:val="center"/>
            </w:pPr>
            <w:r>
              <w:t xml:space="preserve">S7</w:t>
            </w:r>
          </w:p>
        </w:tc>
        <w:tc>
          <w:tcPr/>
          <w:p>
            <w:pPr>
              <w:pStyle w:val="Compact"/>
              <w:jc w:val="left"/>
            </w:pPr>
            <w:r>
              <w:t xml:space="preserve">13.0</w:t>
            </w:r>
          </w:p>
        </w:tc>
      </w:tr>
      <w:tr>
        <w:trPr>
          <w:cantSplit/>
        </w:trPr>
        <w:tc>
          <w:tcPr/>
          <w:p>
            <w:pPr>
              <w:pStyle w:val="Compact"/>
              <w:jc w:val="left"/>
            </w:pPr>
            <w:r>
              <w:t xml:space="preserve">Total</w:t>
            </w:r>
          </w:p>
        </w:tc>
        <w:tc>
          <w:tcPr/>
          <w:p>
            <w:pPr>
              <w:pStyle w:val="Compact"/>
              <w:jc w:val="right"/>
            </w:pPr>
            <w:r>
              <w:t xml:space="preserve">15</w:t>
            </w:r>
          </w:p>
        </w:tc>
        <w:tc>
          <w:tcPr/>
          <w:p>
            <w:pPr>
              <w:pStyle w:val="Compact"/>
              <w:jc w:val="center"/>
            </w:pPr>
            <w:r>
              <w:t xml:space="preserve">S4: 12 patients for 8 beds; S7: 3</w:t>
            </w:r>
          </w:p>
        </w:tc>
        <w:tc>
          <w:tcPr/>
          <w:p>
            <w:pPr>
              <w:pStyle w:val="Compact"/>
              <w:jc w:val="center"/>
            </w:pPr>
            <w:r>
              <w:t xml:space="preserve">S4: 8; S7: 7</w:t>
            </w:r>
          </w:p>
        </w:tc>
        <w:tc>
          <w:tcPr/>
          <w:p>
            <w:pPr>
              <w:pStyle w:val="Compact"/>
              <w:jc w:val="left"/>
            </w:pPr>
            <w:r>
              <w:t xml:space="preserve">473.9 in all</w:t>
            </w:r>
          </w:p>
        </w:tc>
      </w:tr>
    </w:tbl>
    <w:p>
      <w:pPr>
        <w:pStyle w:val="BodyText"/>
        <w:spacing w:before="200"/>
      </w:pPr>
      <w:r>
        <w:t xml:space="preserve">If every patient follows his or her own nearest-hospital advice, 12 patients head for the 8 free beds of S4 and 4 of them are turned away at the door.</w:t>
      </w:r>
    </w:p>
    <w:p>
      <w:pPr>
        <w:pStyle w:val="BodyText"/>
      </w:pPr>
      <w:r>
        <w:t xml:space="preserve">A first-come rule would leave the outcome to chance: whichever patients called last would be sent to S7, and if those were the patients from A4, each would travel 76.6 minutes instead of 43.6.</w:t>
      </w:r>
    </w:p>
    <w:bookmarkEnd w:id="179"/>
    <w:bookmarkEnd w:id="180"/>
    <w:bookmarkStart w:id="185" w:name="X2d873c26887dbc29d78a12ec600f093590cd5a0"/>
    <w:p>
      <w:pPr>
        <w:pStyle w:val="Heading2"/>
      </w:pPr>
      <w:r>
        <w:t xml:space="preserve">3.6 Computational Experiments on the Open-Data Instance</w:t>
      </w:r>
    </w:p>
    <w:p>
      <w:pPr>
        <w:pStyle w:val="FirstParagraph"/>
      </w:pPr>
      <w:r>
        <w:t xml:space="preserve">These experiments run on the data set that the pipeline of Section 3.1 builds for Albay, together with randomized variants of it.</w:t>
      </w:r>
    </w:p>
    <w:bookmarkStart w:id="181" w:name="sensitivity-analysis"/>
    <w:p>
      <w:pPr>
        <w:pStyle w:val="Heading3"/>
      </w:pPr>
      <w:r>
        <w:t xml:space="preserve">3.6.1 Sensitivity Analysis</w:t>
      </w:r>
    </w:p>
    <w:p>
      <w:pPr>
        <w:pStyle w:val="FirstParagraph"/>
      </w:pPr>
      <w:r>
        <w:t xml:space="preserve">The sensitivity tests vary the anchor set, the headways, the vehicle-class limits, the departure-time assumptions, and the travel-time budget.</w:t>
      </w:r>
    </w:p>
    <w:p>
      <w:pPr>
        <w:pStyle w:val="BodyText"/>
      </w:pPr>
      <w:r>
        <w:t xml:space="preserve">Hospital mode is re-run under two alternative acuity tables (one lowering each λ(κ) by one level, the other requiring Level 3 care for both emergency levels), under several stabilization margins and freshness limits, under both mobility classes, and with service sets taken from level defaults alone or adjusted by register entries (Equation 12).</w:t>
      </w:r>
    </w:p>
    <w:bookmarkEnd w:id="181"/>
    <w:bookmarkStart w:id="182" w:name="statistical-treatment"/>
    <w:p>
      <w:pPr>
        <w:pStyle w:val="Heading3"/>
      </w:pPr>
      <w:r>
        <w:t xml:space="preserve">3.6.2 Statistical Treatment</w:t>
      </w:r>
    </w:p>
    <w:p>
      <w:pPr>
        <w:pStyle w:val="FirstParagraph"/>
      </w:pPr>
      <w:r>
        <w:t xml:space="preserve">Eleven questions are tested formally: six on the transport layer and five on the hospital layer.</w:t>
      </w:r>
    </w:p>
    <w:p>
      <w:pPr>
        <w:pStyle w:val="TableCaption"/>
      </w:pPr>
      <w:r>
        <w:rPr>
          <w:bCs/>
          <w:b/>
        </w:rPr>
        <w:t xml:space="preserve">Table 31.</w:t>
      </w:r>
      <w:r>
        <w:t xml:space="preserve"> </w:t>
      </w:r>
      <w:r>
        <w:t xml:space="preserve">How each question is tested.</w:t>
      </w:r>
    </w:p>
    <w:tbl>
      <w:tblPr>
        <w:tblStyle w:val="Table"/>
        <w:tblW w:type="pct" w:w="5000"/>
        <w:jc w:val="center"/>
        <w:tblCaption w:val="Table 31. How each question is test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640"/>
        <w:gridCol w:w="2640"/>
        <w:gridCol w:w="2640"/>
      </w:tblGrid>
      <w:tr>
        <w:trPr>
          <w:tblHeader w:val="true"/>
          <w:tblHeader/>
          <w:cantSplit/>
        </w:trPr>
        <w:tc>
          <w:tcPr/>
          <w:p>
            <w:pPr>
              <w:pStyle w:val="Compact"/>
              <w:jc w:val="left"/>
            </w:pPr>
            <w:r>
              <w:rPr>
                <w:b/>
              </w:rPr>
              <w:t xml:space="preserve">Question</w:t>
            </w:r>
          </w:p>
        </w:tc>
        <w:tc>
          <w:tcPr/>
          <w:p>
            <w:pPr>
              <w:pStyle w:val="Compact"/>
              <w:jc w:val="left"/>
            </w:pPr>
            <w:r>
              <w:rPr>
                <w:b/>
              </w:rPr>
              <w:t xml:space="preserve">Test or Estimator</w:t>
            </w:r>
          </w:p>
        </w:tc>
        <w:tc>
          <w:tcPr/>
          <w:p>
            <w:pPr>
              <w:pStyle w:val="Compact"/>
              <w:jc w:val="left"/>
            </w:pPr>
            <w:r>
              <w:rPr>
                <w:b/>
              </w:rPr>
              <w:t xml:space="preserve">Reason for the Choice</w:t>
            </w:r>
          </w:p>
        </w:tc>
      </w:tr>
      <w:tr>
        <w:trPr>
          <w:cantSplit/>
        </w:trPr>
        <w:tc>
          <w:tcPr/>
          <w:p>
            <w:pPr>
              <w:pStyle w:val="Compact"/>
              <w:jc w:val="left"/>
            </w:pPr>
            <w:r>
              <w:t xml:space="preserve">(S1) Is modeled access more unequal than resampling noise alone would make it?</w:t>
            </w:r>
          </w:p>
        </w:tc>
        <w:tc>
          <w:tcPr/>
          <w:p>
            <w:pPr>
              <w:pStyle w:val="Compact"/>
              <w:jc w:val="left"/>
            </w:pPr>
            <w:r>
              <w:t xml:space="preserve">Weighted Gini (Gini, 1912) with a 95% percentile bootstrap interval from 2,000 resamples (Efron, 1979; Efron &amp; Tibshirani, 1993)</w:t>
            </w:r>
          </w:p>
        </w:tc>
        <w:tc>
          <w:tcPr/>
          <w:p>
            <w:pPr>
              <w:pStyle w:val="Compact"/>
              <w:jc w:val="left"/>
            </w:pPr>
            <w:r>
              <w:t xml:space="preserve">Assumes no distribution; the interval reflects the sampling noise that comes from the anchor set</w:t>
            </w:r>
          </w:p>
        </w:tc>
      </w:tr>
      <w:tr>
        <w:trPr>
          <w:cantSplit/>
        </w:trPr>
        <w:tc>
          <w:tcPr/>
          <w:p>
            <w:pPr>
              <w:pStyle w:val="Compact"/>
              <w:jc w:val="left"/>
            </w:pPr>
            <w:r>
              <w:t xml:space="preserve">(S2) Do urban and rural anchors differ?</w:t>
            </w:r>
          </w:p>
        </w:tc>
        <w:tc>
          <w:tcPr/>
          <w:p>
            <w:pPr>
              <w:pStyle w:val="Compact"/>
              <w:jc w:val="left"/>
            </w:pPr>
            <w:r>
              <w:t xml:space="preserve">Mann-Whitney U (Mann &amp; Whitney, 1947), with the rank-biserial correlation as effect size (Kerby, 2014)</w:t>
            </w:r>
          </w:p>
        </w:tc>
        <w:tc>
          <w:tcPr/>
          <w:p>
            <w:pPr>
              <w:pStyle w:val="Compact"/>
              <w:jc w:val="left"/>
            </w:pPr>
            <w:r>
              <w:t xml:space="preserve">Access is skewed to the right and floored at zero, which rules out a t-test</w:t>
            </w:r>
          </w:p>
        </w:tc>
      </w:tr>
      <w:tr>
        <w:trPr>
          <w:cantSplit/>
        </w:trPr>
        <w:tc>
          <w:tcPr/>
          <w:p>
            <w:pPr>
              <w:pStyle w:val="Compact"/>
              <w:jc w:val="left"/>
            </w:pPr>
            <w:r>
              <w:t xml:space="preserve">(S3) Is the inequality local or structural?</w:t>
            </w:r>
          </w:p>
        </w:tc>
        <w:tc>
          <w:tcPr/>
          <w:p>
            <w:pPr>
              <w:pStyle w:val="Compact"/>
              <w:jc w:val="left"/>
            </w:pPr>
            <w:r>
              <w:t xml:space="preserve">Theil decomposition (Prop. 6; Shorrocks, 1980) with a bootstrap interval for the within-group share</w:t>
            </w:r>
          </w:p>
        </w:tc>
        <w:tc>
          <w:tcPr/>
          <w:p>
            <w:pPr>
              <w:pStyle w:val="Compact"/>
              <w:jc w:val="left"/>
            </w:pPr>
            <w:r>
              <w:t xml:space="preserve">An exact decomposition separates the two explanations cleanly</w:t>
            </w:r>
          </w:p>
        </w:tc>
      </w:tr>
      <w:tr>
        <w:trPr>
          <w:cantSplit/>
        </w:trPr>
        <w:tc>
          <w:tcPr/>
          <w:p>
            <w:pPr>
              <w:pStyle w:val="Compact"/>
              <w:jc w:val="left"/>
            </w:pPr>
            <w:r>
              <w:t xml:space="preserve">(S4) Does modeled access track settlement density?</w:t>
            </w:r>
          </w:p>
        </w:tc>
        <w:tc>
          <w:tcPr/>
          <w:p>
            <w:pPr>
              <w:pStyle w:val="Compact"/>
              <w:jc w:val="left"/>
            </w:pPr>
            <w:r>
              <w:t xml:space="preserve">Spearman rank correlation (Spearman, 1904)</w:t>
            </w:r>
          </w:p>
        </w:tc>
        <w:tc>
          <w:tcPr/>
          <w:p>
            <w:pPr>
              <w:pStyle w:val="Compact"/>
              <w:jc w:val="left"/>
            </w:pPr>
            <w:r>
              <w:t xml:space="preserve">No linear relation is assumed</w:t>
            </w:r>
          </w:p>
        </w:tc>
      </w:tr>
      <w:tr>
        <w:trPr>
          <w:cantSplit/>
        </w:trPr>
        <w:tc>
          <w:tcPr/>
          <w:p>
            <w:pPr>
              <w:pStyle w:val="Compact"/>
              <w:jc w:val="left"/>
            </w:pPr>
            <w:r>
              <w:t xml:space="preserve">(S5) How sensitive is the result to the anchor set?</w:t>
            </w:r>
          </w:p>
        </w:tc>
        <w:tc>
          <w:tcPr/>
          <w:p>
            <w:pPr>
              <w:pStyle w:val="Compact"/>
              <w:jc w:val="left"/>
            </w:pPr>
            <w:r>
              <w:t xml:space="preserve">Median discrete Fréchet distance between Lorenz curves (Eiter &amp; Mannila, 1994)</w:t>
            </w:r>
          </w:p>
        </w:tc>
        <w:tc>
          <w:tcPr/>
          <w:p>
            <w:pPr>
              <w:pStyle w:val="Compact"/>
              <w:jc w:val="left"/>
            </w:pPr>
            <w:r>
              <w:t xml:space="preserve">Compares whole curves rather than single points</w:t>
            </w:r>
          </w:p>
        </w:tc>
      </w:tr>
      <w:tr>
        <w:trPr>
          <w:cantSplit/>
        </w:trPr>
        <w:tc>
          <w:tcPr/>
          <w:p>
            <w:pPr>
              <w:pStyle w:val="Compact"/>
              <w:jc w:val="left"/>
            </w:pPr>
            <w:r>
              <w:t xml:space="preserve">(S6) How sensitive is the result to the headway assumption?</w:t>
            </w:r>
          </w:p>
        </w:tc>
        <w:tc>
          <w:tcPr/>
          <w:p>
            <w:pPr>
              <w:pStyle w:val="Compact"/>
              <w:jc w:val="left"/>
            </w:pPr>
            <w:r>
              <w:t xml:space="preserve">Spread of results when headways are perturbed by ±25% and ±50%</w:t>
            </w:r>
          </w:p>
        </w:tc>
        <w:tc>
          <w:tcPr/>
          <w:p>
            <w:pPr>
              <w:pStyle w:val="Compact"/>
              <w:jc w:val="left"/>
            </w:pPr>
            <w:r>
              <w:t xml:space="preserve">Headway is the least constrained input of the model</w:t>
            </w:r>
          </w:p>
        </w:tc>
      </w:tr>
      <w:tr>
        <w:trPr>
          <w:cantSplit/>
        </w:trPr>
        <w:tc>
          <w:tcPr/>
          <w:p>
            <w:pPr>
              <w:pStyle w:val="Compact"/>
              <w:jc w:val="left"/>
            </w:pPr>
            <w:r>
              <w:t xml:space="preserve">(S7) Do urban and rural anchors differ in payment gap?</w:t>
            </w:r>
          </w:p>
        </w:tc>
        <w:tc>
          <w:tcPr/>
          <w:p>
            <w:pPr>
              <w:pStyle w:val="Compact"/>
              <w:jc w:val="left"/>
            </w:pPr>
            <w:r>
              <w:t xml:space="preserve">Mann-Whitney U with the rank-biserial effect size (Kerby, 2014)</w:t>
            </w:r>
          </w:p>
        </w:tc>
        <w:tc>
          <w:tcPr/>
          <w:p>
            <w:pPr>
              <w:pStyle w:val="Compact"/>
              <w:jc w:val="left"/>
            </w:pPr>
            <w:r>
              <w:t xml:space="preserve">The gap is nonnegative and has many zeros</w:t>
            </w:r>
          </w:p>
        </w:tc>
      </w:tr>
      <w:tr>
        <w:trPr>
          <w:cantSplit/>
        </w:trPr>
        <w:tc>
          <w:tcPr/>
          <w:p>
            <w:pPr>
              <w:pStyle w:val="Compact"/>
              <w:jc w:val="left"/>
            </w:pPr>
            <w:r>
              <w:t xml:space="preserve">(S8) How often is the plain nearest hospital unsuitable?</w:t>
            </w:r>
          </w:p>
        </w:tc>
        <w:tc>
          <w:tcPr/>
          <w:p>
            <w:pPr>
              <w:pStyle w:val="Compact"/>
              <w:jc w:val="left"/>
            </w:pPr>
            <w:r>
              <w:t xml:space="preserve">Weighted share of anchors with a 95% percentile bootstrap interval from 2,000 resamples (Efron &amp; Tibshirani, 1993)</w:t>
            </w:r>
          </w:p>
        </w:tc>
        <w:tc>
          <w:tcPr/>
          <w:p>
            <w:pPr>
              <w:pStyle w:val="Compact"/>
              <w:jc w:val="left"/>
            </w:pPr>
            <w:r>
              <w:t xml:space="preserve">A proportion is better described by an interval than by a test</w:t>
            </w:r>
          </w:p>
        </w:tc>
      </w:tr>
      <w:tr>
        <w:trPr>
          <w:cantSplit/>
        </w:trPr>
        <w:tc>
          <w:tcPr/>
          <w:p>
            <w:pPr>
              <w:pStyle w:val="Compact"/>
              <w:jc w:val="left"/>
            </w:pPr>
            <w:r>
              <w:t xml:space="preserve">(S9) How large is the need gap for dialysis?</w:t>
            </w:r>
          </w:p>
        </w:tc>
        <w:tc>
          <w:tcPr/>
          <w:p>
            <w:pPr>
              <w:pStyle w:val="Compact"/>
              <w:jc w:val="left"/>
            </w:pPr>
            <w:r>
              <w:t xml:space="preserve">Weighted share of anchors with Δ</w:t>
            </w:r>
            <w:r>
              <w:rPr>
                <w:iCs/>
                <w:i/>
                <w:vertAlign w:val="subscript"/>
              </w:rPr>
              <w:t xml:space="preserve">need</w:t>
            </w:r>
            <w:r>
              <w:t xml:space="preserve"> </w:t>
            </w:r>
            <w:r>
              <w:t xml:space="preserve">&gt; 15 min, with a bootstrap interval</w:t>
            </w:r>
          </w:p>
        </w:tc>
        <w:tc>
          <w:tcPr/>
          <w:p>
            <w:pPr>
              <w:pStyle w:val="Compact"/>
              <w:jc w:val="left"/>
            </w:pPr>
            <w:r>
              <w:t xml:space="preserve">Same reason as S8</w:t>
            </w:r>
          </w:p>
        </w:tc>
      </w:tr>
      <w:tr>
        <w:trPr>
          <w:cantSplit/>
        </w:trPr>
        <w:tc>
          <w:tcPr/>
          <w:p>
            <w:pPr>
              <w:pStyle w:val="Compact"/>
              <w:jc w:val="left"/>
            </w:pPr>
            <w:r>
              <w:t xml:space="preserve">(S10) Are a few roads responsible for most of the risk?</w:t>
            </w:r>
          </w:p>
        </w:tc>
        <w:tc>
          <w:tcPr/>
          <w:p>
            <w:pPr>
              <w:pStyle w:val="Compact"/>
              <w:jc w:val="left"/>
            </w:pPr>
            <w:r>
              <w:t xml:space="preserve">Share of open road segments that carry half of the total finite criticality Σ</w:t>
            </w:r>
            <w:r>
              <w:rPr>
                <w:iCs/>
                <w:i/>
                <w:vertAlign w:val="subscript"/>
              </w:rPr>
              <w:t xml:space="preserve">e</w:t>
            </w:r>
            <w:r>
              <w:t xml:space="preserve"> </w:t>
            </w:r>
            <w:r>
              <w:rPr>
                <w:iCs/>
                <w:i/>
              </w:rPr>
              <w:t xml:space="preserve">D</w:t>
            </w:r>
            <w:r>
              <w:rPr>
                <w:iCs/>
                <w:i/>
                <w:vertAlign w:val="subscript"/>
              </w:rPr>
              <w:t xml:space="preserve">e</w:t>
            </w:r>
            <w:r>
              <w:t xml:space="preserve">, with segments of infinite</w:t>
            </w:r>
            <w:r>
              <w:t xml:space="preserve"> </w:t>
            </w:r>
            <w:r>
              <w:rPr>
                <w:iCs/>
                <w:i/>
              </w:rPr>
              <w:t xml:space="preserve">D</w:t>
            </w:r>
            <w:r>
              <w:rPr>
                <w:iCs/>
                <w:i/>
                <w:vertAlign w:val="subscript"/>
              </w:rPr>
              <w:t xml:space="preserve">e</w:t>
            </w:r>
            <w:r>
              <w:t xml:space="preserve"> </w:t>
            </w:r>
            <w:r>
              <w:t xml:space="preserve">counted separately</w:t>
            </w:r>
          </w:p>
        </w:tc>
        <w:tc>
          <w:tcPr/>
          <w:p>
            <w:pPr>
              <w:pStyle w:val="Compact"/>
              <w:jc w:val="left"/>
            </w:pPr>
            <w:r>
              <w:t xml:space="preserve">Concentration is read directly from the sorted criticality values</w:t>
            </w:r>
          </w:p>
        </w:tc>
      </w:tr>
      <w:tr>
        <w:trPr>
          <w:cantSplit/>
        </w:trPr>
        <w:tc>
          <w:tcPr/>
          <w:p>
            <w:pPr>
              <w:pStyle w:val="Compact"/>
              <w:jc w:val="left"/>
            </w:pPr>
            <w:r>
              <w:t xml:space="preserve">(S11) How much access do slow walkers lose?</w:t>
            </w:r>
          </w:p>
        </w:tc>
        <w:tc>
          <w:tcPr/>
          <w:p>
            <w:pPr>
              <w:pStyle w:val="Compact"/>
              <w:jc w:val="left"/>
            </w:pPr>
            <w:r>
              <w:t xml:space="preserve">Paired bootstrap interval for the difference in weighted share of anchors with no suitable hospital within 60 min, slow minus standard class</w:t>
            </w:r>
          </w:p>
        </w:tc>
        <w:tc>
          <w:tcPr/>
          <w:p>
            <w:pPr>
              <w:pStyle w:val="Compact"/>
              <w:jc w:val="left"/>
            </w:pPr>
            <w:r>
              <w:t xml:space="preserve">The same anchors are compared under both classes, so the pairs are kept</w:t>
            </w:r>
          </w:p>
        </w:tc>
      </w:tr>
    </w:tbl>
    <w:bookmarkEnd w:id="182"/>
    <w:bookmarkStart w:id="183" w:name="pre-registered-model-hypotheses"/>
    <w:p>
      <w:pPr>
        <w:pStyle w:val="Heading3"/>
      </w:pPr>
      <w:r>
        <w:t xml:space="preserve">3.6.3 Pre-Registered Model Hypotheses</w:t>
      </w:r>
    </w:p>
    <w:p>
      <w:pPr>
        <w:pStyle w:val="FirstParagraph"/>
      </w:pPr>
      <w:r>
        <w:t xml:space="preserve">All hypotheses and decision rules below were fixed before the study-area instance was run.</w:t>
      </w:r>
    </w:p>
    <w:p>
      <w:pPr>
        <w:numPr>
          <w:ilvl w:val="0"/>
          <w:numId w:val="1009"/>
        </w:numPr>
        <w:pStyle w:val="BodyText"/>
        <w:spacing w:after="80"/>
      </w:pPr>
      <w:r>
        <w:rPr>
          <w:bCs/>
          <w:b/>
        </w:rPr>
        <w:t xml:space="preserve">M1.</w:t>
      </w:r>
      <w:r>
        <w:t xml:space="preserve"> </w:t>
      </w:r>
      <w:r>
        <w:t xml:space="preserve">Modeled access to hospital beds has a weighted Gini above 0.30 at the 30-minute baseline. The hypothesis holds if the bootstrap interval lies wholly above 0.30.</w:t>
      </w:r>
    </w:p>
    <w:p>
      <w:pPr>
        <w:numPr>
          <w:ilvl w:val="0"/>
          <w:numId w:val="1009"/>
        </w:numPr>
        <w:pStyle w:val="BodyText"/>
        <w:spacing w:after="80"/>
      </w:pPr>
      <w:r>
        <w:rPr>
          <w:bCs/>
          <w:b/>
        </w:rPr>
        <w:t xml:space="preserve">M2.</w:t>
      </w:r>
      <w:r>
        <w:t xml:space="preserve"> </w:t>
      </w:r>
      <w:r>
        <w:t xml:space="preserve">Urban-center anchors have greater modeled access than rural ones, tested with the Mann-Whitney U at α = 0.05.</w:t>
      </w:r>
    </w:p>
    <w:p>
      <w:pPr>
        <w:numPr>
          <w:ilvl w:val="0"/>
          <w:numId w:val="1009"/>
        </w:numPr>
        <w:pStyle w:val="BodyText"/>
        <w:spacing w:after="80"/>
      </w:pPr>
      <w:r>
        <w:rPr>
          <w:bCs/>
          <w:b/>
        </w:rPr>
        <w:t xml:space="preserve">M3.</w:t>
      </w:r>
      <w:r>
        <w:t xml:space="preserve"> </w:t>
      </w:r>
      <w:r>
        <w:t xml:space="preserve">The between-municipality term is under half of the total, which would make modeled transport disadvantage chiefly a matter of local feeder service.</w:t>
      </w:r>
    </w:p>
    <w:p>
      <w:pPr>
        <w:numPr>
          <w:ilvl w:val="0"/>
          <w:numId w:val="1009"/>
        </w:numPr>
        <w:pStyle w:val="BodyText"/>
        <w:spacing w:after="80"/>
      </w:pPr>
      <w:r>
        <w:rPr>
          <w:bCs/>
          <w:b/>
        </w:rPr>
        <w:t xml:space="preserve">M4.</w:t>
      </w:r>
      <w:r>
        <w:t xml:space="preserve"> </w:t>
      </w:r>
      <w:r>
        <w:t xml:space="preserve">Larger vehicle classes never use more of the road network. Proposition 3 makes this exact rather than typical, so a single violation would point to a faulty road attribute and send that segment back for checking.</w:t>
      </w:r>
    </w:p>
    <w:p>
      <w:pPr>
        <w:numPr>
          <w:ilvl w:val="0"/>
          <w:numId w:val="1009"/>
        </w:numPr>
        <w:pStyle w:val="BodyText"/>
        <w:spacing w:after="80"/>
      </w:pPr>
      <w:r>
        <w:rPr>
          <w:bCs/>
          <w:b/>
        </w:rPr>
        <w:t xml:space="preserve">M5.</w:t>
      </w:r>
      <w:r>
        <w:t xml:space="preserve"> </w:t>
      </w:r>
      <w:r>
        <w:t xml:space="preserve">Under every anchor set of Section 3.6.1 and every θ ∈ {15, 30, 45} min, hypotheses M1 to M3, M6, and M7 point the same way.</w:t>
      </w:r>
    </w:p>
    <w:p>
      <w:pPr>
        <w:numPr>
          <w:ilvl w:val="0"/>
          <w:numId w:val="1009"/>
        </w:numPr>
        <w:pStyle w:val="BodyText"/>
        <w:spacing w:after="80"/>
      </w:pPr>
      <w:r>
        <w:rPr>
          <w:bCs/>
          <w:b/>
        </w:rPr>
        <w:t xml:space="preserve">M6.</w:t>
      </w:r>
      <w:r>
        <w:t xml:space="preserve"> </w:t>
      </w:r>
      <w:r>
        <w:t xml:space="preserve">With κ = 3 and ρ = 0 at the 30-minute baseline, the payment gap is larger at rural anchors than at urban ones, tested with the Mann-Whitney U at α = 0.05.</w:t>
      </w:r>
    </w:p>
    <w:p>
      <w:pPr>
        <w:numPr>
          <w:ilvl w:val="0"/>
          <w:numId w:val="1009"/>
        </w:numPr>
        <w:pStyle w:val="BodyText"/>
        <w:spacing w:after="80"/>
      </w:pPr>
      <w:r>
        <w:rPr>
          <w:bCs/>
          <w:b/>
        </w:rPr>
        <w:t xml:space="preserve">M7.</w:t>
      </w:r>
      <w:r>
        <w:t xml:space="preserve"> </w:t>
      </w:r>
      <w:r>
        <w:t xml:space="preserve">With κ = 2, more than half of the anchor weight has a plain nearest hospital that fails the capability test of Definition 17. The hypothesis is supported if the bootstrap interval lies wholly above 0.5.</w:t>
      </w:r>
    </w:p>
    <w:p>
      <w:pPr>
        <w:numPr>
          <w:ilvl w:val="0"/>
          <w:numId w:val="1009"/>
        </w:numPr>
        <w:pStyle w:val="BodyText"/>
        <w:spacing w:after="80"/>
      </w:pPr>
      <w:r>
        <w:rPr>
          <w:bCs/>
          <w:b/>
        </w:rPr>
        <w:t xml:space="preserve">M8.</w:t>
      </w:r>
      <w:r>
        <w:t xml:space="preserve"> </w:t>
      </w:r>
      <w:r>
        <w:t xml:space="preserve">For κ = 1 and κ = 2, no anchor has a nonzero payment gap. Corollary 11 makes this exact, so any nonzero value would reveal a coding error.</w:t>
      </w:r>
    </w:p>
    <w:p>
      <w:pPr>
        <w:numPr>
          <w:ilvl w:val="0"/>
          <w:numId w:val="1009"/>
        </w:numPr>
        <w:pStyle w:val="BodyText"/>
        <w:spacing w:after="80"/>
      </w:pPr>
      <w:r>
        <w:rPr>
          <w:bCs/>
          <w:b/>
        </w:rPr>
        <w:t xml:space="preserve">M9.</w:t>
      </w:r>
      <w:r>
        <w:t xml:space="preserve"> </w:t>
      </w:r>
      <w:r>
        <w:t xml:space="preserve">With κ = 3, ρ = 3, and</w:t>
      </w:r>
      <w:r>
        <w:t xml:space="preserve"> </w:t>
      </w:r>
      <w:r>
        <w:rPr>
          <w:iCs/>
          <w:i/>
        </w:rPr>
        <w:t xml:space="preserve">N</w:t>
      </w:r>
      <w:r>
        <w:t xml:space="preserve"> </w:t>
      </w:r>
      <w:r>
        <w:t xml:space="preserve">= {DIA}, more than half of the anchor weight has a need gap above 15 minutes. The hypothesis is supported if the bootstrap interval lies wholly above 0.5.</w:t>
      </w:r>
    </w:p>
    <w:p>
      <w:pPr>
        <w:numPr>
          <w:ilvl w:val="0"/>
          <w:numId w:val="1009"/>
        </w:numPr>
        <w:pStyle w:val="BodyText"/>
        <w:spacing w:after="80"/>
      </w:pPr>
      <w:r>
        <w:rPr>
          <w:bCs/>
          <w:b/>
        </w:rPr>
        <w:t xml:space="preserve">M10.</w:t>
      </w:r>
      <w:r>
        <w:t xml:space="preserve"> </w:t>
      </w:r>
      <w:r>
        <w:t xml:space="preserve">For κ = 2 in ambulance mode, fewer than 5 percent of the open road segments carry half of the total finite criticality.</w:t>
      </w:r>
    </w:p>
    <w:p>
      <w:pPr>
        <w:numPr>
          <w:ilvl w:val="0"/>
          <w:numId w:val="1009"/>
        </w:numPr>
        <w:pStyle w:val="BodyText"/>
        <w:spacing w:after="80"/>
      </w:pPr>
      <w:r>
        <w:rPr>
          <w:bCs/>
          <w:b/>
        </w:rPr>
        <w:t xml:space="preserve">M11.</w:t>
      </w:r>
      <w:r>
        <w:t xml:space="preserve"> </w:t>
      </w:r>
      <w:r>
        <w:t xml:space="preserve">The weighted share of anchors with no suitable hospital (κ = 3, ρ = 3) within 60 minutes by public transport is at least 10 percentage points higher for the slow class than for the standard class; supported if the paired bootstrap interval lies wholly above 0.10.</w:t>
      </w:r>
    </w:p>
    <w:p>
      <w:pPr>
        <w:pStyle w:val="FirstParagraph"/>
      </w:pPr>
      <w:r>
        <w:t xml:space="preserve">Within the model, M2 and M6 measure urban-rural gaps relevant to targets 10.2 and 11.2.</w:t>
      </w:r>
    </w:p>
    <w:bookmarkEnd w:id="183"/>
    <w:bookmarkStart w:id="184" w:name="sensitivity-sweeps"/>
    <w:p>
      <w:pPr>
        <w:pStyle w:val="Heading3"/>
      </w:pPr>
      <w:r>
        <w:t xml:space="preserve">3.6.4 Sensitivity Sweeps</w:t>
      </w:r>
    </w:p>
    <w:p>
      <w:pPr>
        <w:pStyle w:val="FirstParagraph"/>
      </w:pPr>
      <w:r>
        <w:t xml:space="preserve">Seven sweeps recompute the main results across parameter ranges: the travel-time budget; departure windows in the morning peak, at midday, and in the evening; the decay parameter of Definition 8, set to half-lives of 15, 30, or 45 minutes; a half-headway wait model; each of the three anchor sets; the mobility classes; and, for hospital mode, the alternative acuity tables, freshness limits, stabilization margins, and service-set rules of Section 3.6.1.</w:t>
      </w:r>
    </w:p>
    <w:bookmarkEnd w:id="184"/>
    <w:bookmarkEnd w:id="185"/>
    <w:bookmarkEnd w:id="186"/>
    <w:bookmarkStart w:id="191" w:name="conclusions"/>
    <w:p>
      <w:pPr>
        <w:pStyle w:val="Heading1"/>
      </w:pPr>
      <w:r>
        <w:t xml:space="preserve">4. CONCLUSIONS</w:t>
      </w:r>
    </w:p>
    <w:bookmarkStart w:id="187" w:name="evaluation-of-the-findings"/>
    <w:p>
      <w:pPr>
        <w:pStyle w:val="Heading2"/>
      </w:pPr>
      <w:r>
        <w:t xml:space="preserve">4.1 Evaluation of the Findings</w:t>
      </w:r>
    </w:p>
    <w:p>
      <w:pPr>
        <w:pStyle w:val="FirstParagraph"/>
      </w:pPr>
      <w:r>
        <w:t xml:space="preserve">The primary question asked how quickly a patient starting from any anchor in Albay can reach a hospital that can treat the patient, has a free bed, and accepts what the patient can pay, and how evenly that access is shared. The study’s answer is that this quantity can be defined precisely, computed exactly, recomputed in milliseconds when a bed report or a road changes, and studied before any field survey.</w:t>
      </w:r>
    </w:p>
    <w:p>
      <w:pPr>
        <w:pStyle w:val="BodyText"/>
      </w:pPr>
      <w:r>
        <w:rPr>
          <w:bCs/>
          <w:b/>
        </w:rPr>
        <w:t xml:space="preserve">Objective 1: the hospital map and the transport graphs.</w:t>
      </w:r>
      <w:r>
        <w:t xml:space="preserve"> </w:t>
      </w:r>
      <w:r>
        <w:t xml:space="preserve">The label-setting search on the time-expanded graph returns exact earliest arrivals (Proposition 1), and it matched brute-force enumeration in all 1,018 test queries (Tables 14 and 24). The vehicle classes form a partial order, so a larger vehicle never has more access than a smaller one (Proposition 3, Corollary 4), and the van-type ambulance sits between the sport utility vehicle and the jeepney in every limit (Remark 10).</w:t>
      </w:r>
    </w:p>
    <w:p>
      <w:pPr>
        <w:pStyle w:val="BodyText"/>
      </w:pPr>
      <w:r>
        <w:rPr>
          <w:bCs/>
          <w:b/>
        </w:rPr>
        <w:t xml:space="preserve">Objective 2: the patient profile and the suitability rule.</w:t>
      </w:r>
      <w:r>
        <w:t xml:space="preserve"> </w:t>
      </w:r>
      <w:r>
        <w:t xml:space="preserve">A patient’s acuity, required services, payment class, and mobility combine into one rule (Definition 17) whose behavior is provably orderly: more money never removes a hospital, more needs never add one, and an emergency patient is never filtered by ability to pay (Proposition 10). The tests found no violation in 140,000 set-inclusion checks for payment and acuity, 28,037 for needs, and 80,000 payment-gap checks (Tables 15 and 16).</w:t>
      </w:r>
    </w:p>
    <w:p>
      <w:pPr>
        <w:pStyle w:val="BodyText"/>
      </w:pPr>
      <w:r>
        <w:rPr>
          <w:bCs/>
          <w:b/>
        </w:rPr>
        <w:t xml:space="preserve">Objective 3: the nearest suitable hospital and its backups.</w:t>
      </w:r>
      <w:r>
        <w:t xml:space="preserve"> </w:t>
      </w:r>
      <w:r>
        <w:t xml:space="preserve">Early stopping loses no exactness, for one hospital or for a ranked list (Proposition 9). Hospital routing matched the independent references in all 5,200 queries of the original tests and all 5,200 new ones, and on a 16,000-vertex graph the search settled only 5.2 percent of the vertices.</w:t>
      </w:r>
    </w:p>
    <w:p>
      <w:pPr>
        <w:pStyle w:val="BodyText"/>
      </w:pPr>
      <w:r>
        <w:rPr>
          <w:bCs/>
          <w:b/>
        </w:rPr>
        <w:t xml:space="preserve">Objective 4: the agent network.</w:t>
      </w:r>
      <w:r>
        <w:t xml:space="preserve"> </w:t>
      </w:r>
      <w:r>
        <w:t xml:space="preserve">All three bounds of Proposition 12 held over 30 simulated days: no hospital received more than 2 messages in a cycle or 6 in a day, nothing was sent after an opt-out, and every prompt responder’s report stayed younger than 10 hours. All 200 forged replies were rejected, and all 67 typing errors were held for review.</w:t>
      </w:r>
    </w:p>
    <w:p>
      <w:pPr>
        <w:pStyle w:val="BodyText"/>
      </w:pPr>
      <w:r>
        <w:rPr>
          <w:bCs/>
          <w:b/>
        </w:rPr>
        <w:t xml:space="preserve">Objective 5: catchments and bed access.</w:t>
      </w:r>
      <w:r>
        <w:t xml:space="preserve"> </w:t>
      </w:r>
      <w:r>
        <w:t xml:space="preserve">The whole catchment map comes from one search (Proposition 14). It agreed with per-vertex searches at all 11,474 test vertices and took about 39 ms for a 16,000-vertex network.</w:t>
      </w:r>
    </w:p>
    <w:p>
      <w:pPr>
        <w:pStyle w:val="BodyText"/>
      </w:pPr>
      <w:r>
        <w:rPr>
          <w:bCs/>
          <w:b/>
        </w:rPr>
        <w:t xml:space="preserve">Objective 6: surge assignment.</w:t>
      </w:r>
      <w:r>
        <w:t xml:space="preserve"> </w:t>
      </w:r>
      <w:r>
        <w:t xml:space="preserve">The assignment program has whole-number optimal solutions that never overfill a hospital and that place the most patients possible, emergencies first (Proposition 16). On S1 it placed all 15 crash victims where independent choices would have turned 4 away.</w:t>
      </w:r>
    </w:p>
    <w:p>
      <w:pPr>
        <w:pStyle w:val="BodyText"/>
      </w:pPr>
      <w:r>
        <w:rPr>
          <w:bCs/>
          <w:b/>
        </w:rPr>
        <w:t xml:space="preserve">Objective 7: critical roads and site selection.</w:t>
      </w:r>
      <w:r>
        <w:t xml:space="preserve"> </w:t>
      </w:r>
      <w:r>
        <w:t xml:space="preserve">Only road segments on the shortest-path forest can delay patients when they are closed (Proposition 17), which halved the segments that had to be tested. Greedy site selection is guaranteed at least 63.2 percent of the best coverage (Proposition 18); in the tests it never fell below 82.5 percent and was exactly optimal in 96.6 percent of instances.</w:t>
      </w:r>
    </w:p>
    <w:p>
      <w:pPr>
        <w:pStyle w:val="BodyText"/>
      </w:pPr>
      <w:r>
        <w:rPr>
          <w:bCs/>
          <w:b/>
        </w:rPr>
        <w:t xml:space="preserve">Objective 8: verification.</w:t>
      </w:r>
      <w:r>
        <w:t xml:space="preserve"> </w:t>
      </w:r>
      <w:r>
        <w:t xml:space="preserve">Two natural programming shortcuts were tested against independently derived answers, and both failed. A single scan without transitively closed footpaths arrived late in 47.5 percent of reachable queries, by 32.5 minutes on average.</w:t>
      </w:r>
    </w:p>
    <w:p>
      <w:pPr>
        <w:pStyle w:val="BodyText"/>
      </w:pPr>
      <w:r>
        <w:t xml:space="preserve">The synthetic example makes the patient-level stakes concrete. In network S1, routing by distance alone sent patients from five of the six anchors to a hospital with no free bed.</w:t>
      </w:r>
    </w:p>
    <w:bookmarkEnd w:id="187"/>
    <w:bookmarkStart w:id="188" w:name="limitations"/>
    <w:p>
      <w:pPr>
        <w:pStyle w:val="Heading2"/>
      </w:pPr>
      <w:r>
        <w:t xml:space="preserve">4.2 Limitations</w:t>
      </w:r>
    </w:p>
    <w:p>
      <w:pPr>
        <w:numPr>
          <w:ilvl w:val="0"/>
          <w:numId w:val="1010"/>
        </w:numPr>
        <w:pStyle w:val="BodyText"/>
        <w:spacing w:after="80"/>
      </w:pPr>
      <w:r>
        <w:rPr>
          <w:bCs/>
          <w:b/>
        </w:rPr>
        <w:t xml:space="preserve">(L1) Headways stand in for schedules.</w:t>
      </w:r>
      <w:r>
        <w:t xml:space="preserve"> </w:t>
      </w:r>
      <w:r>
        <w:t xml:space="preserve">Many informal operators leave only when the vehicle is full, so departures are irregular. Modeling them as a regular series at an estimated headway hides that, and headway is the least supported input of the model. The half-headway wait model and the ±50 percent perturbations of Table 31 bound the effect but do not remove it.</w:t>
      </w:r>
    </w:p>
    <w:p>
      <w:pPr>
        <w:numPr>
          <w:ilvl w:val="0"/>
          <w:numId w:val="1010"/>
        </w:numPr>
        <w:pStyle w:val="BodyText"/>
        <w:spacing w:after="80"/>
      </w:pPr>
      <w:r>
        <w:rPr>
          <w:bCs/>
          <w:b/>
        </w:rPr>
        <w:t xml:space="preserve">(L2) Inferred routes versus driver behavior.</w:t>
      </w:r>
      <w:r>
        <w:t xml:space="preserve"> </w:t>
      </w:r>
      <w:r>
        <w:t xml:space="preserve">Routes on the road network are fixed by vehicle-class limits and by terminal locations. Drivers may take shortcuts, change roads in quiet hours, or change routes on market days, and the model does not capture this. It is the largest difference between the model and real conditions, and it is why field validation is essential rather than optional (Section 4.3).</w:t>
      </w:r>
    </w:p>
    <w:p>
      <w:pPr>
        <w:numPr>
          <w:ilvl w:val="0"/>
          <w:numId w:val="1010"/>
        </w:numPr>
        <w:pStyle w:val="BodyText"/>
        <w:spacing w:after="80"/>
      </w:pPr>
      <w:r>
        <w:rPr>
          <w:bCs/>
          <w:b/>
        </w:rPr>
        <w:t xml:space="preserve">(L3) Incomplete registers.</w:t>
      </w:r>
      <w:r>
        <w:t xml:space="preserve"> </w:t>
      </w:r>
      <w:r>
        <w:t xml:space="preserve">Coverage is much better in town centers than in remote areas. The health station of an upland barangay may be missing from every national register, and even if it is listed, OpenStreetMap is unlikely to hold the small paths up the hill or the limits of the bridges along them. The resulting bias makes access in hard-to-reach places look better than it is, and the model cannot correct it.</w:t>
      </w:r>
    </w:p>
    <w:p>
      <w:pPr>
        <w:numPr>
          <w:ilvl w:val="0"/>
          <w:numId w:val="1010"/>
        </w:numPr>
        <w:pStyle w:val="BodyText"/>
        <w:spacing w:after="80"/>
      </w:pPr>
      <w:r>
        <w:rPr>
          <w:bCs/>
          <w:b/>
        </w:rPr>
        <w:t xml:space="preserve">(L4) No network outages.</w:t>
      </w:r>
      <w:r>
        <w:t xml:space="preserve"> </w:t>
      </w:r>
      <w:r>
        <w:t xml:space="preserve">A typhoon, a Mayon Volcano alert, or a local flood can close roads for days, but the feed models only normal weekday and Saturday service. Proposition 17 identifies which closures matter; the feed itself does not simulate them.</w:t>
      </w:r>
    </w:p>
    <w:p>
      <w:pPr>
        <w:numPr>
          <w:ilvl w:val="0"/>
          <w:numId w:val="1010"/>
        </w:numPr>
        <w:pStyle w:val="BodyText"/>
        <w:spacing w:after="80"/>
      </w:pPr>
      <w:r>
        <w:rPr>
          <w:bCs/>
          <w:b/>
        </w:rPr>
        <w:t xml:space="preserve">(L5) Imperfect destination data.</w:t>
      </w:r>
      <w:r>
        <w:t xml:space="preserve"> </w:t>
      </w:r>
      <w:r>
        <w:t xml:space="preserve">Facility records lag behind actual conditions. Bed and classroom counts are reported by the facilities themselves without independent audit, and new schools or health units may be missing.</w:t>
      </w:r>
    </w:p>
    <w:p>
      <w:pPr>
        <w:numPr>
          <w:ilvl w:val="0"/>
          <w:numId w:val="1010"/>
        </w:numPr>
        <w:pStyle w:val="BodyText"/>
        <w:spacing w:after="80"/>
      </w:pPr>
      <w:r>
        <w:rPr>
          <w:bCs/>
          <w:b/>
        </w:rPr>
        <w:t xml:space="preserve">(L6) Choice of anchors.</w:t>
      </w:r>
      <w:r>
        <w:t xml:space="preserve"> </w:t>
      </w:r>
      <w:r>
        <w:t xml:space="preserve">Landmark anchoring replaces the modifiable areal unit problem with a selection problem: adding or dropping one terminal changes the index set and the inequality statistics built on it. The inclusion criteria of Appendix C were fixed before listing began, the anchor list is published with the feed, and Section 3.6.1 repeats the analysis on three anchor sets.</w:t>
      </w:r>
    </w:p>
    <w:p>
      <w:pPr>
        <w:numPr>
          <w:ilvl w:val="0"/>
          <w:numId w:val="1010"/>
        </w:numPr>
        <w:pStyle w:val="BodyText"/>
        <w:spacing w:after="80"/>
      </w:pPr>
      <w:r>
        <w:rPr>
          <w:bCs/>
          <w:b/>
        </w:rPr>
        <w:t xml:space="preserve">(L7) Provincial border.</w:t>
      </w:r>
      <w:r>
        <w:t xml:space="preserve"> </w:t>
      </w:r>
      <w:r>
        <w:t xml:space="preserve">Journeys that cross into Sorsogon or Camarines Sur, or reach Catanduanes by ferry, are cut at the border, which understates access for anchors near it. Hospital mode shares this limit and will never suggest a suitable hospital just across the border.</w:t>
      </w:r>
    </w:p>
    <w:p>
      <w:pPr>
        <w:numPr>
          <w:ilvl w:val="0"/>
          <w:numId w:val="1010"/>
        </w:numPr>
        <w:pStyle w:val="BodyText"/>
        <w:spacing w:after="80"/>
      </w:pPr>
      <w:r>
        <w:rPr>
          <w:bCs/>
          <w:b/>
        </w:rPr>
        <w:t xml:space="preserve">(L8) Synthetic nature of S1.</w:t>
      </w:r>
      <w:r>
        <w:t xml:space="preserve"> </w:t>
      </w:r>
      <w:r>
        <w:t xml:space="preserve">Tables 20 to 30 show that the pipeline follows its own rules; they say nothing empirical about Albay. In particular, the Gini coefficient of 0.2747 in Table 22 comes from a seven-stop synthetic network and must not be read as a first estimate for the province.</w:t>
      </w:r>
    </w:p>
    <w:p>
      <w:pPr>
        <w:numPr>
          <w:ilvl w:val="0"/>
          <w:numId w:val="1010"/>
        </w:numPr>
        <w:pStyle w:val="BodyText"/>
        <w:spacing w:after="80"/>
      </w:pPr>
      <w:r>
        <w:rPr>
          <w:bCs/>
          <w:b/>
        </w:rPr>
        <w:t xml:space="preserve">(L9) Voluntary hospital reporting.</w:t>
      </w:r>
      <w:r>
        <w:t xml:space="preserve"> </w:t>
      </w:r>
      <w:r>
        <w:t xml:space="preserve">The network can ask but cannot confirm reported counts or demand a reply. A wrong count that passes the plausibility checks stays in force until a later report replaces it, and hospitals that never answer stay UNKNOWN, a safe but uninformative state.</w:t>
      </w:r>
    </w:p>
    <w:p>
      <w:pPr>
        <w:numPr>
          <w:ilvl w:val="0"/>
          <w:numId w:val="1010"/>
        </w:numPr>
        <w:pStyle w:val="BodyText"/>
        <w:spacing w:after="80"/>
      </w:pPr>
      <w:r>
        <w:rPr>
          <w:bCs/>
          <w:b/>
        </w:rPr>
        <w:t xml:space="preserve">(L10) Acuity and needs are entered, not assessed.</w:t>
      </w:r>
      <w:r>
        <w:t xml:space="preserve"> </w:t>
      </w:r>
      <w:r>
        <w:t xml:space="preserve">The application does not examine patients and is not a clinical device. Acuity levels and required services are chosen by ambulance crews or users. Clinical judgment always overrides the application, and the parameters</w:t>
      </w:r>
      <w:r>
        <w:t xml:space="preserve"> </w:t>
      </w:r>
      <w:r>
        <w:rPr>
          <w:iCs/>
          <w:i/>
        </w:rPr>
        <w:t xml:space="preserve">K</w:t>
      </w:r>
      <w:r>
        <w:rPr>
          <w:iCs/>
          <w:i/>
          <w:vertAlign w:val="subscript"/>
        </w:rPr>
        <w:t xml:space="preserve">E</w:t>
      </w:r>
      <w:r>
        <w:t xml:space="preserve">, λ, and θ</w:t>
      </w:r>
      <w:r>
        <w:rPr>
          <w:iCs/>
          <w:i/>
          <w:vertAlign w:val="subscript"/>
        </w:rPr>
        <w:t xml:space="preserve">stab</w:t>
      </w:r>
      <w:r>
        <w:t xml:space="preserve"> </w:t>
      </w:r>
      <w:r>
        <w:t xml:space="preserve">are placeholders until the Provincial Health Office sets them.</w:t>
      </w:r>
    </w:p>
    <w:p>
      <w:pPr>
        <w:numPr>
          <w:ilvl w:val="0"/>
          <w:numId w:val="1010"/>
        </w:numPr>
        <w:pStyle w:val="BodyText"/>
        <w:spacing w:after="80"/>
      </w:pPr>
      <w:r>
        <w:rPr>
          <w:bCs/>
          <w:b/>
        </w:rPr>
        <w:t xml:space="preserve">(L11) Ordinal cost ranking.</w:t>
      </w:r>
      <w:r>
        <w:t xml:space="preserve"> </w:t>
      </w:r>
      <w:r>
        <w:t xml:space="preserve">Equation (11) ranks hospitals by expected out-of-pocket burden using only ownership and program flags. It says nothing about actual bills, the size of Malasakit Center assistance, or specific PhilHealth benefits.</w:t>
      </w:r>
    </w:p>
    <w:p>
      <w:pPr>
        <w:numPr>
          <w:ilvl w:val="0"/>
          <w:numId w:val="1010"/>
        </w:numPr>
        <w:pStyle w:val="BodyText"/>
        <w:spacing w:after="80"/>
      </w:pPr>
      <w:r>
        <w:rPr>
          <w:bCs/>
          <w:b/>
        </w:rPr>
        <w:t xml:space="preserve">(L12) Free-flow ambulance times.</w:t>
      </w:r>
      <w:r>
        <w:t xml:space="preserve"> </w:t>
      </w:r>
      <w:r>
        <w:t xml:space="preserve">Ambulance times assume unobstructed traffic (Assumption 8). They leave out traffic jams, emergency driving, dispatch queues, and handover delays.</w:t>
      </w:r>
    </w:p>
    <w:p>
      <w:pPr>
        <w:numPr>
          <w:ilvl w:val="0"/>
          <w:numId w:val="1010"/>
        </w:numPr>
        <w:pStyle w:val="BodyText"/>
        <w:spacing w:after="80"/>
      </w:pPr>
      <w:r>
        <w:rPr>
          <w:bCs/>
          <w:b/>
        </w:rPr>
        <w:t xml:space="preserve">(L13) Simulated e-mail.</w:t>
      </w:r>
      <w:r>
        <w:t xml:space="preserve"> </w:t>
      </w:r>
      <w:r>
        <w:t xml:space="preserve">Real e-mail meets bounces, spam filters, shift changes, and firewalls that a mock server does not. The extraction rules were tested on templates written together with the rules, so their success rate on real replies is unknown. Unreadable messages always go to human review.</w:t>
      </w:r>
    </w:p>
    <w:p>
      <w:pPr>
        <w:numPr>
          <w:ilvl w:val="0"/>
          <w:numId w:val="1010"/>
        </w:numPr>
        <w:pStyle w:val="BodyText"/>
        <w:spacing w:after="80"/>
      </w:pPr>
      <w:r>
        <w:rPr>
          <w:bCs/>
          <w:b/>
        </w:rPr>
        <w:t xml:space="preserve">(L14) Synthetic hospitals in S1.</w:t>
      </w:r>
      <w:r>
        <w:t xml:space="preserve"> </w:t>
      </w:r>
      <w:r>
        <w:t xml:space="preserve">The hospital figures in Tables 25 to 30 were made up to demonstrate hospital mode and contain no information about real facilities.</w:t>
      </w:r>
    </w:p>
    <w:p>
      <w:pPr>
        <w:numPr>
          <w:ilvl w:val="0"/>
          <w:numId w:val="1010"/>
        </w:numPr>
        <w:pStyle w:val="BodyText"/>
        <w:spacing w:after="80"/>
      </w:pPr>
      <w:r>
        <w:rPr>
          <w:bCs/>
          <w:b/>
        </w:rPr>
        <w:t xml:space="preserve">(L15) Service lists.</w:t>
      </w:r>
      <w:r>
        <w:t xml:space="preserve"> </w:t>
      </w:r>
      <w:r>
        <w:t xml:space="preserve">Service sets come from level defaults and from published register entries (Equation 12). A hospital may lack a listed service on a given day, for example when a dialysis machine is under repair, or may offer a service that no register lists. The agents ask only about beds and the emergency room, not about services.</w:t>
      </w:r>
    </w:p>
    <w:p>
      <w:pPr>
        <w:numPr>
          <w:ilvl w:val="0"/>
          <w:numId w:val="1010"/>
        </w:numPr>
        <w:pStyle w:val="BodyText"/>
        <w:spacing w:after="80"/>
      </w:pPr>
      <w:r>
        <w:rPr>
          <w:bCs/>
          <w:b/>
        </w:rPr>
        <w:t xml:space="preserve">(L16) Surge assignment.</w:t>
      </w:r>
      <w:r>
        <w:t xml:space="preserve"> </w:t>
      </w:r>
      <w:r>
        <w:t xml:space="preserve">The assignment assumes that free beds are known and that requests arrive together (Assumption 10). Real requests arrive over time, the number of ambulances is limited, and patients within the same acuity group may differ in urgency. The assignment is advice for a dispatcher, not an order.</w:t>
      </w:r>
    </w:p>
    <w:p>
      <w:pPr>
        <w:numPr>
          <w:ilvl w:val="0"/>
          <w:numId w:val="1010"/>
        </w:numPr>
        <w:pStyle w:val="BodyText"/>
        <w:spacing w:after="80"/>
      </w:pPr>
      <w:r>
        <w:rPr>
          <w:bCs/>
          <w:b/>
        </w:rPr>
        <w:t xml:space="preserve">(L17) Two mobility classes.</w:t>
      </w:r>
      <w:r>
        <w:t xml:space="preserve"> </w:t>
      </w:r>
      <w:r>
        <w:t xml:space="preserve">Walking ability varies far more than two classes allow. The model has no data on stairs, steep paths, or wheelchair access at stops, and the slow-class values are declared, not measured.</w:t>
      </w:r>
    </w:p>
    <w:p>
      <w:pPr>
        <w:numPr>
          <w:ilvl w:val="0"/>
          <w:numId w:val="1010"/>
        </w:numPr>
        <w:pStyle w:val="BodyText"/>
        <w:spacing w:after="80"/>
      </w:pPr>
      <w:r>
        <w:rPr>
          <w:bCs/>
          <w:b/>
        </w:rPr>
        <w:t xml:space="preserve">(L18) Coverage-based site selection.</w:t>
      </w:r>
      <w:r>
        <w:t xml:space="preserve"> </w:t>
      </w:r>
      <w:r>
        <w:t xml:space="preserve">Definition 26 counts people who come within reach of an assisted-care hospital. It ignores the cost of setting up a Malasakit Center, the number of beds at the chosen hospital, and the crowding that new users would bring. Proposition 15’s ratios should be checked for any site the greedy rule proposes.</w:t>
      </w:r>
    </w:p>
    <w:bookmarkEnd w:id="188"/>
    <w:bookmarkStart w:id="189" w:name="X17e47b0ee523611b9a881cade5b2e463dc95e7c"/>
    <w:p>
      <w:pPr>
        <w:pStyle w:val="Heading2"/>
      </w:pPr>
      <w:r>
        <w:t xml:space="preserve">4.3 Recommendations and Challenges in Extending the Results</w:t>
      </w:r>
    </w:p>
    <w:p>
      <w:pPr>
        <w:pStyle w:val="FirstParagraph"/>
      </w:pPr>
      <w:r>
        <w:rPr>
          <w:bCs/>
          <w:b/>
        </w:rPr>
        <w:t xml:space="preserve">Regional extension.</w:t>
      </w:r>
      <w:r>
        <w:t xml:space="preserve"> </w:t>
      </w:r>
      <w:r>
        <w:t xml:space="preserve">Scaling the framework beyond one province is an operational challenge, not a computational one. Proposition 2 and the times in Tables 17 to 19 show that an ordinary laptop can handle much larger feeds and road networks.</w:t>
      </w:r>
    </w:p>
    <w:p>
      <w:pPr>
        <w:pStyle w:val="BodyText"/>
      </w:pPr>
      <w:r>
        <w:rPr>
          <w:bCs/>
          <w:b/>
        </w:rPr>
        <w:t xml:space="preserve">Field validation.</w:t>
      </w:r>
      <w:r>
        <w:t xml:space="preserve"> </w:t>
      </w:r>
      <w:r>
        <w:t xml:space="preserve">The obvious next step is to test the model in the field. The workflow was designed so that field data can enter without disturbing the rest of the pipeline: a ground-surveyed feed can replace the generated feed of Stage 3 while the routing logic of Section 3.2 and all earlier stages stay the same.</w:t>
      </w:r>
    </w:p>
    <w:p>
      <w:pPr>
        <w:pStyle w:val="BodyText"/>
      </w:pPr>
      <w:r>
        <w:rPr>
          <w:bCs/>
          <w:b/>
        </w:rPr>
        <w:t xml:space="preserve">Operating hospital mode.</w:t>
      </w:r>
      <w:r>
        <w:t xml:space="preserve"> </w:t>
      </w:r>
      <w:r>
        <w:t xml:space="preserve">Moving hospital mode from simulation to live use raises consent and governance requirements. Three conditions must be met before the agents write to any hospital: the Provincial Health Office must be formally informed, the Scientific Review Committee must approve the protocol, including the message of Appendix F and the data rules, and each facility must opt in through its public contact channel.</w:t>
      </w:r>
    </w:p>
    <w:p>
      <w:pPr>
        <w:pStyle w:val="BodyText"/>
      </w:pPr>
      <w:r>
        <w:rPr>
          <w:bCs/>
          <w:b/>
        </w:rPr>
        <w:t xml:space="preserve">Patient needs and planning tools.</w:t>
      </w:r>
      <w:r>
        <w:t xml:space="preserve"> </w:t>
      </w:r>
      <w:r>
        <w:t xml:space="preserve">The researchers recommend four further steps. First, the service lists of Albay’s hospitals should be checked with the Provincial Health Office, and a question on services available today should be added to the inquiry only after the Scientific Review Committee approves the change.</w:t>
      </w:r>
    </w:p>
    <w:bookmarkEnd w:id="189"/>
    <w:bookmarkStart w:id="190" w:name="applications"/>
    <w:p>
      <w:pPr>
        <w:pStyle w:val="Heading2"/>
      </w:pPr>
      <w:r>
        <w:t xml:space="preserve">4.4 Applications</w:t>
      </w:r>
    </w:p>
    <w:p>
      <w:pPr>
        <w:pStyle w:val="FirstParagraph"/>
      </w:pPr>
      <w:r>
        <w:rPr>
          <w:bCs/>
          <w:b/>
        </w:rPr>
        <w:t xml:space="preserve">For patients and families.</w:t>
      </w:r>
      <w:r>
        <w:t xml:space="preserve"> </w:t>
      </w:r>
      <w:r>
        <w:t xml:space="preserve">A family can see, before leaving home, which hospital can treat the patient, whether it has a free bed and how old that report is, what it costs, how to get there by jeepney or tricycle, what the fare will be with the discount for a senior citizen, student, or person with disability, and where to go next if the first hospital turns them away. A family that can use only free or assisted care sees the nearest hospital it can actually use, not the nearest hospital overall.</w:t>
      </w:r>
    </w:p>
    <w:p>
      <w:pPr>
        <w:pStyle w:val="BodyText"/>
      </w:pPr>
      <w:r>
        <w:rPr>
          <w:bCs/>
          <w:b/>
        </w:rPr>
        <w:t xml:space="preserve">For ambulance crews and barangay health workers.</w:t>
      </w:r>
      <w:r>
        <w:t xml:space="preserve"> </w:t>
      </w:r>
      <w:r>
        <w:t xml:space="preserve">Crews can choose a hospital and justify the choice before the vehicle moves, avoid roads closed to their van, see backup hospitals with the extra minutes each costs, follow the stabilization prompt for the most critical patients, and call 911 with one tap.</w:t>
      </w:r>
    </w:p>
    <w:p>
      <w:pPr>
        <w:pStyle w:val="BodyText"/>
      </w:pPr>
      <w:r>
        <w:rPr>
          <w:bCs/>
          <w:b/>
        </w:rPr>
        <w:t xml:space="preserve">For the Provincial Health Office and the PDRRMO.</w:t>
      </w:r>
      <w:r>
        <w:t xml:space="preserve"> </w:t>
      </w:r>
      <w:r>
        <w:t xml:space="preserve">During typhoons and Mayon Volcano alerts, the health office can watch free beds by municipality, redraw hospital catchments within milliseconds whenever a status changes, and use the surge assignment to spread many patients across the free beds instead of letting ambulances converge on one hospital. Before a typhoon, the PDRRMO can use the critical-road list to decide which segments to clear first and where to pre-position equipment.</w:t>
      </w:r>
    </w:p>
    <w:p>
      <w:pPr>
        <w:pStyle w:val="BodyText"/>
      </w:pPr>
      <w:r>
        <w:rPr>
          <w:bCs/>
          <w:b/>
        </w:rPr>
        <w:t xml:space="preserve">For LGU and DOH planners.</w:t>
      </w:r>
      <w:r>
        <w:t xml:space="preserve"> </w:t>
      </w:r>
      <w:r>
        <w:t xml:space="preserve">Bed deserts, payment-gap maps, and bed-to-population ratios show which communities are far from affordable and suitable care. Greedy site selection proposes where a new Malasakit Center would bring the most low-income people within reach, and recomputing the ratios of Definition 23 shows where added beds would relieve the most crowding.</w:t>
      </w:r>
    </w:p>
    <w:p>
      <w:pPr>
        <w:pStyle w:val="BodyText"/>
      </w:pPr>
      <w:r>
        <w:rPr>
          <w:bCs/>
          <w:b/>
        </w:rPr>
        <w:t xml:space="preserve">Alignment with the Sustainable Development Goals.</w:t>
      </w:r>
      <w:r>
        <w:t xml:space="preserve"> </w:t>
      </w:r>
      <w:r>
        <w:t xml:space="preserve">Seen through the 2030 Agenda, each application relates to a particular target, even though real-world use is still some way off. Hospital mode and the bed table bear on targets 3.8 and 3.d, and needs-aware routing for maternity, high-risk pregnancy, and newborn care on targets 3.1 and 3.2.</w:t>
      </w:r>
    </w:p>
    <w:p>
      <w:pPr>
        <w:pStyle w:val="BodyText"/>
      </w:pPr>
      <w:r>
        <w:rPr>
          <w:bCs/>
          <w:b/>
        </w:rPr>
        <w:t xml:space="preserve">Scalability.</w:t>
      </w:r>
      <w:r>
        <w:t xml:space="preserve"> </w:t>
      </w:r>
      <w:r>
        <w:t xml:space="preserve">The framework is not tied to Albay. It uses only OpenStreetMap, public facility registers, open population data, and ordinary hardware, so any province that depends on informal transport could apply it.</w:t>
      </w:r>
    </w:p>
    <w:bookmarkEnd w:id="190"/>
    <w:bookmarkEnd w:id="191"/>
    <w:bookmarkStart w:id="192" w:name="references"/>
    <w:p>
      <w:pPr>
        <w:pStyle w:val="Heading1"/>
      </w:pPr>
      <w:r>
        <w:t xml:space="preserve">5. REFERENCES</w:t>
      </w:r>
    </w:p>
    <w:p>
      <w:pPr>
        <w:pStyle w:val="Reference"/>
      </w:pPr>
      <w:r>
        <w:t xml:space="preserve">Ahuja, R. K., Magnanti, T. L., &amp; Orlin, J. B. (1993).</w:t>
      </w:r>
      <w:r>
        <w:t xml:space="preserve"> </w:t>
      </w:r>
      <w:r>
        <w:rPr>
          <w:iCs/>
          <w:i/>
        </w:rPr>
        <w:t xml:space="preserve">Network flows: Theory, algorithms, and applications</w:t>
      </w:r>
      <w:r>
        <w:t xml:space="preserve">. Prentice Hall.</w:t>
      </w:r>
    </w:p>
    <w:p>
      <w:pPr>
        <w:pStyle w:val="Reference"/>
      </w:pPr>
      <w:r>
        <w:t xml:space="preserve">Batas Pambansa Blg. 702. (1984).</w:t>
      </w:r>
      <w:r>
        <w:t xml:space="preserve"> </w:t>
      </w:r>
      <w:r>
        <w:rPr>
          <w:iCs/>
          <w:i/>
        </w:rPr>
        <w:t xml:space="preserve">An act prohibiting the demand of deposits or advance payments for the confinement or treatment of patients in hospitals and medical clinics in certain cases</w:t>
      </w:r>
      <w:r>
        <w:t xml:space="preserve">. Batasang Pambansa.</w:t>
      </w:r>
    </w:p>
    <w:p>
      <w:pPr>
        <w:pStyle w:val="Reference"/>
      </w:pPr>
      <w:r>
        <w:t xml:space="preserve">Bohannon, R. W., &amp; Williams Andrews, A. (2011). Normal walking speed: A descriptive meta-analysis.</w:t>
      </w:r>
      <w:r>
        <w:t xml:space="preserve"> </w:t>
      </w:r>
      <w:r>
        <w:rPr>
          <w:iCs/>
          <w:i/>
        </w:rPr>
        <w:t xml:space="preserve">Physiotherapy, 97</w:t>
      </w:r>
      <w:r>
        <w:t xml:space="preserve">(3), 182–189. https://doi.org/10.1016/j.physio.2010.12.004</w:t>
      </w:r>
    </w:p>
    <w:p>
      <w:pPr>
        <w:pStyle w:val="Reference"/>
      </w:pPr>
      <w:r>
        <w:t xml:space="preserve">Brotcorne, L., Laporte, G., &amp; Semet, F. (2003). Ambulance location and relocation models.</w:t>
      </w:r>
      <w:r>
        <w:t xml:space="preserve"> </w:t>
      </w:r>
      <w:r>
        <w:rPr>
          <w:iCs/>
          <w:i/>
        </w:rPr>
        <w:t xml:space="preserve">European Journal of Operational Research, 147</w:t>
      </w:r>
      <w:r>
        <w:t xml:space="preserve">(3), 451–463. https://doi.org/10.1016/S0377-2217(02)00364-8</w:t>
      </w:r>
    </w:p>
    <w:p>
      <w:pPr>
        <w:pStyle w:val="Reference"/>
      </w:pPr>
      <w:r>
        <w:t xml:space="preserve">Cabaro, B. S., III, Dela Paz, G. A. T., Dotingco, J. B., Almirol, B. J. Q., Borlongan, G. R., Cebreros, R. O. D., Diangco, P. B., Quijalvo, K. P. B., Tan, J. P. U., &amp; Tonato, R. R. D. (2023). Establishing a national indicator-based surveillance system for hospital bed utilization by COVID-19 patients in the Philippines.</w:t>
      </w:r>
      <w:r>
        <w:t xml:space="preserve"> </w:t>
      </w:r>
      <w:r>
        <w:rPr>
          <w:iCs/>
          <w:i/>
        </w:rPr>
        <w:t xml:space="preserve">Western Pacific Surveillance and Response Journal, 14</w:t>
      </w:r>
      <w:r>
        <w:t xml:space="preserve">(5), 33–39. https://doi.org/10.5365/wpsar.2023.14.5.1038</w:t>
      </w:r>
    </w:p>
    <w:p>
      <w:pPr>
        <w:pStyle w:val="Reference"/>
      </w:pPr>
      <w:r>
        <w:t xml:space="preserve">Church, R., &amp; ReVelle, C. (1974). The maximal covering location problem.</w:t>
      </w:r>
      <w:r>
        <w:t xml:space="preserve"> </w:t>
      </w:r>
      <w:r>
        <w:rPr>
          <w:iCs/>
          <w:i/>
        </w:rPr>
        <w:t xml:space="preserve">Papers of the Regional Science Association, 32</w:t>
      </w:r>
      <w:r>
        <w:t xml:space="preserve">(1), 101–118. https://doi.org/10.1007/BF01942293</w:t>
      </w:r>
    </w:p>
    <w:p>
      <w:pPr>
        <w:pStyle w:val="Reference"/>
      </w:pPr>
      <w:r>
        <w:t xml:space="preserve">Cobham, A., &amp; Sumner, A. (2013).</w:t>
      </w:r>
      <w:r>
        <w:t xml:space="preserve"> </w:t>
      </w:r>
      <w:r>
        <w:rPr>
          <w:iCs/>
          <w:i/>
        </w:rPr>
        <w:t xml:space="preserve">Is it all about the tails? The Palma measure of income inequality</w:t>
      </w:r>
      <w:r>
        <w:t xml:space="preserve"> </w:t>
      </w:r>
      <w:r>
        <w:t xml:space="preserve">(Working Paper No. 343). Center for Global Development.</w:t>
      </w:r>
    </w:p>
    <w:p>
      <w:pPr>
        <w:pStyle w:val="Reference"/>
      </w:pPr>
      <w:r>
        <w:t xml:space="preserve">Cormen, T. H., Leiserson, C. E., Rivest, R. L., &amp; Stein, C. (2022).</w:t>
      </w:r>
      <w:r>
        <w:t xml:space="preserve"> </w:t>
      </w:r>
      <w:r>
        <w:rPr>
          <w:iCs/>
          <w:i/>
        </w:rPr>
        <w:t xml:space="preserve">Introduction to algorithms</w:t>
      </w:r>
      <w:r>
        <w:t xml:space="preserve"> </w:t>
      </w:r>
      <w:r>
        <w:t xml:space="preserve">(4th ed.). MIT Press.</w:t>
      </w:r>
    </w:p>
    <w:p>
      <w:pPr>
        <w:pStyle w:val="Reference"/>
      </w:pPr>
      <w:r>
        <w:t xml:space="preserve">Cowell, F. A. (2011).</w:t>
      </w:r>
      <w:r>
        <w:t xml:space="preserve"> </w:t>
      </w:r>
      <w:r>
        <w:rPr>
          <w:iCs/>
          <w:i/>
        </w:rPr>
        <w:t xml:space="preserve">Measuring inequality</w:t>
      </w:r>
      <w:r>
        <w:t xml:space="preserve"> </w:t>
      </w:r>
      <w:r>
        <w:t xml:space="preserve">(3rd ed.). Oxford University Press.</w:t>
      </w:r>
    </w:p>
    <w:p>
      <w:pPr>
        <w:pStyle w:val="Reference"/>
      </w:pPr>
      <w:r>
        <w:t xml:space="preserve">Daguno-Bersamina, K. (2026, September 27). Jeepney fares up to P14 starting Sept. 28; buses, taxis, and TNVS also hike rates.</w:t>
      </w:r>
      <w:r>
        <w:t xml:space="preserve"> </w:t>
      </w:r>
      <w:r>
        <w:rPr>
          <w:iCs/>
          <w:i/>
        </w:rPr>
        <w:t xml:space="preserve">Philstar.com</w:t>
      </w:r>
      <w:r>
        <w:t xml:space="preserve">. https://www.philstar.com/headlines/2026/09/27/2559</w:t>
      </w:r>
    </w:p>
    <w:p>
      <w:pPr>
        <w:pStyle w:val="Reference"/>
      </w:pPr>
      <w:r>
        <w:t xml:space="preserve">Department of Education. (2021).</w:t>
      </w:r>
      <w:r>
        <w:t xml:space="preserve"> </w:t>
      </w:r>
      <w:r>
        <w:rPr>
          <w:iCs/>
          <w:i/>
        </w:rPr>
        <w:t xml:space="preserve">Masterlist of schools SY 2020–2021 based on LIS, as of January 15, 2021</w:t>
      </w:r>
      <w:r>
        <w:t xml:space="preserve"> </w:t>
      </w:r>
      <w:r>
        <w:t xml:space="preserve">[Data set]. https://www.deped.gov.ph/wp-content/uploads/2021/06/SY-2020-2</w:t>
      </w:r>
    </w:p>
    <w:p>
      <w:pPr>
        <w:pStyle w:val="Reference"/>
      </w:pPr>
      <w:r>
        <w:t xml:space="preserve">Department of Health. (n.d.-a).</w:t>
      </w:r>
      <w:r>
        <w:t xml:space="preserve"> </w:t>
      </w:r>
      <w:r>
        <w:rPr>
          <w:iCs/>
          <w:i/>
        </w:rPr>
        <w:t xml:space="preserve">Malasakit Center directory</w:t>
      </w:r>
      <w:r>
        <w:t xml:space="preserve">. Retrieved October 3, 2026, from https://doh.gov.ph/mpo/mc-directory/</w:t>
      </w:r>
    </w:p>
    <w:p>
      <w:pPr>
        <w:pStyle w:val="Reference"/>
      </w:pPr>
      <w:r>
        <w:t xml:space="preserve">Department of Health. (n.d.-b).</w:t>
      </w:r>
      <w:r>
        <w:t xml:space="preserve"> </w:t>
      </w:r>
      <w:r>
        <w:rPr>
          <w:iCs/>
          <w:i/>
        </w:rPr>
        <w:t xml:space="preserve">National Health Facility Registry</w:t>
      </w:r>
      <w:r>
        <w:t xml:space="preserve">. Retrieved October 3, 2026, from https://nhfr.doh.gov.ph/</w:t>
      </w:r>
    </w:p>
    <w:p>
      <w:pPr>
        <w:pStyle w:val="Reference"/>
      </w:pPr>
      <w:r>
        <w:t xml:space="preserve">Department of Health. (2012).</w:t>
      </w:r>
      <w:r>
        <w:t xml:space="preserve"> </w:t>
      </w:r>
      <w:r>
        <w:rPr>
          <w:iCs/>
          <w:i/>
        </w:rPr>
        <w:t xml:space="preserve">Rules and regulations governing the new classification of hospitals and other health facilities in the Philippines</w:t>
      </w:r>
      <w:r>
        <w:t xml:space="preserve"> </w:t>
      </w:r>
      <w:r>
        <w:t xml:space="preserve">(Administrative Order No. 2012-0012).</w:t>
      </w:r>
    </w:p>
    <w:p>
      <w:pPr>
        <w:pStyle w:val="Reference"/>
      </w:pPr>
      <w:r>
        <w:t xml:space="preserve">Department of the Interior and Local Government. (2018).</w:t>
      </w:r>
      <w:r>
        <w:t xml:space="preserve"> </w:t>
      </w:r>
      <w:r>
        <w:rPr>
          <w:iCs/>
          <w:i/>
        </w:rPr>
        <w:t xml:space="preserve">Guidelines for the preparation of public transport route plans (LPTRP) by the local governments (LGUs), the basis for the Land Transportation Franchising Regulatory Board (LTFRB) issuance of franchises to public utility vehicles</w:t>
      </w:r>
      <w:r>
        <w:t xml:space="preserve"> </w:t>
      </w:r>
      <w:r>
        <w:t xml:space="preserve">(Memorandum Circular No. 2018-60). https://dilg.gov.ph/issuances/mc/Guidelines-for-the-Preparation-of-Public-Transport-Route-Plan-LPTRP-by-the-Local-Governments-LGUs-basis-for-the-Land-Transportation-Franchising-Regulatory-Board-LTFRB-issuance-of-Franchises-to-Public-Utility-Vehicles/2702</w:t>
      </w:r>
    </w:p>
    <w:p>
      <w:pPr>
        <w:pStyle w:val="Reference"/>
      </w:pPr>
      <w:r>
        <w:t xml:space="preserve">Department of Transportation. (2017).</w:t>
      </w:r>
      <w:r>
        <w:t xml:space="preserve"> </w:t>
      </w:r>
      <w:r>
        <w:rPr>
          <w:iCs/>
          <w:i/>
        </w:rPr>
        <w:t xml:space="preserve">Omnibus guidelines on the planning and identification of public road transportation services and franchise issuance</w:t>
      </w:r>
      <w:r>
        <w:t xml:space="preserve"> </w:t>
      </w:r>
      <w:r>
        <w:t xml:space="preserve">(Department Order No. 2017-011).</w:t>
      </w:r>
    </w:p>
    <w:p>
      <w:pPr>
        <w:pStyle w:val="Reference"/>
      </w:pPr>
      <w:r>
        <w:t xml:space="preserve">Dijkstra, E. W. (1959). A note on two problems in connexion with graphs.</w:t>
      </w:r>
      <w:r>
        <w:t xml:space="preserve"> </w:t>
      </w:r>
      <w:r>
        <w:rPr>
          <w:iCs/>
          <w:i/>
        </w:rPr>
        <w:t xml:space="preserve">Numerische Mathematik, 1</w:t>
      </w:r>
      <w:r>
        <w:t xml:space="preserve">(1), 269–271. https://doi.org/10.1007/BF01386390</w:t>
      </w:r>
    </w:p>
    <w:p>
      <w:pPr>
        <w:pStyle w:val="Reference"/>
      </w:pPr>
      <w:r>
        <w:t xml:space="preserve">Efron, B. (1979). Bootstrap methods: Another look at the jackknife.</w:t>
      </w:r>
      <w:r>
        <w:t xml:space="preserve"> </w:t>
      </w:r>
      <w:r>
        <w:rPr>
          <w:iCs/>
          <w:i/>
        </w:rPr>
        <w:t xml:space="preserve">The Annals of Statistics, 7</w:t>
      </w:r>
      <w:r>
        <w:t xml:space="preserve">(1), 1–26. https://doi.org/10.1214/aos/1176344552</w:t>
      </w:r>
    </w:p>
    <w:p>
      <w:pPr>
        <w:pStyle w:val="Reference"/>
      </w:pPr>
      <w:r>
        <w:t xml:space="preserve">Efron, B., &amp; Tibshirani, R. J. (1993).</w:t>
      </w:r>
      <w:r>
        <w:t xml:space="preserve"> </w:t>
      </w:r>
      <w:r>
        <w:rPr>
          <w:iCs/>
          <w:i/>
        </w:rPr>
        <w:t xml:space="preserve">An introduction to the bootstrap</w:t>
      </w:r>
      <w:r>
        <w:t xml:space="preserve">. Chapman &amp; Hall.</w:t>
      </w:r>
    </w:p>
    <w:p>
      <w:pPr>
        <w:pStyle w:val="Reference"/>
      </w:pPr>
      <w:r>
        <w:t xml:space="preserve">Eiter, T., &amp; Mannila, H. (1994).</w:t>
      </w:r>
      <w:r>
        <w:t xml:space="preserve"> </w:t>
      </w:r>
      <w:r>
        <w:rPr>
          <w:iCs/>
          <w:i/>
        </w:rPr>
        <w:t xml:space="preserve">Computing discrete Fréchet distance</w:t>
      </w:r>
      <w:r>
        <w:t xml:space="preserve"> </w:t>
      </w:r>
      <w:r>
        <w:t xml:space="preserve">(Technical Report CD-TR 94/64). Christian Doppler Laboratory for Expert Systems, Technische Universität Wien.</w:t>
      </w:r>
    </w:p>
    <w:p>
      <w:pPr>
        <w:pStyle w:val="Reference"/>
      </w:pPr>
      <w:r>
        <w:t xml:space="preserve">Erwig, M. (2000). The graph Voronoi diagram with applications.</w:t>
      </w:r>
      <w:r>
        <w:t xml:space="preserve"> </w:t>
      </w:r>
      <w:r>
        <w:rPr>
          <w:iCs/>
          <w:i/>
        </w:rPr>
        <w:t xml:space="preserve">Networks, 36</w:t>
      </w:r>
      <w:r>
        <w:t xml:space="preserve">(3), 156–163.</w:t>
      </w:r>
    </w:p>
    <w:p>
      <w:pPr>
        <w:pStyle w:val="Reference"/>
      </w:pPr>
      <w:r>
        <w:t xml:space="preserve">Executive Order No. 56. (2018).</w:t>
      </w:r>
      <w:r>
        <w:t xml:space="preserve"> </w:t>
      </w:r>
      <w:r>
        <w:rPr>
          <w:iCs/>
          <w:i/>
        </w:rPr>
        <w:t xml:space="preserve">Institutionalizing the Emergency 911 hotline as the nationwide emergency answering point, replacing Patrol 117, and for other purposes</w:t>
      </w:r>
      <w:r>
        <w:t xml:space="preserve">. Office of the President of the Philippines.</w:t>
      </w:r>
    </w:p>
    <w:p>
      <w:pPr>
        <w:pStyle w:val="Reference"/>
      </w:pPr>
      <w:r>
        <w:t xml:space="preserve">Garey, M. R., &amp; Johnson, D. S. (1979).</w:t>
      </w:r>
      <w:r>
        <w:t xml:space="preserve"> </w:t>
      </w:r>
      <w:r>
        <w:rPr>
          <w:iCs/>
          <w:i/>
        </w:rPr>
        <w:t xml:space="preserve">Computers and intractability: A guide to the theory of NP-completeness</w:t>
      </w:r>
      <w:r>
        <w:t xml:space="preserve">. W. H. Freeman.</w:t>
      </w:r>
    </w:p>
    <w:p>
      <w:pPr>
        <w:pStyle w:val="Reference"/>
      </w:pPr>
      <w:r>
        <w:t xml:space="preserve">Geurs, K. T., &amp; van Wee, B. (2004). Accessibility evaluation of land-use and transport strategies: Review and research directions.</w:t>
      </w:r>
      <w:r>
        <w:t xml:space="preserve"> </w:t>
      </w:r>
      <w:r>
        <w:rPr>
          <w:iCs/>
          <w:i/>
        </w:rPr>
        <w:t xml:space="preserve">Journal of Transport Geography, 12</w:t>
      </w:r>
      <w:r>
        <w:t xml:space="preserve">(2), 127–140. https://doi.org/10.1016/j.jtrangeo.2003.10.005</w:t>
      </w:r>
    </w:p>
    <w:p>
      <w:pPr>
        <w:pStyle w:val="Reference"/>
      </w:pPr>
      <w:r>
        <w:t xml:space="preserve">Gilboy, N., Tanabe, P., Travers, D., &amp; Rosenau, A. M. (2011).</w:t>
      </w:r>
      <w:r>
        <w:t xml:space="preserve"> </w:t>
      </w:r>
      <w:r>
        <w:rPr>
          <w:iCs/>
          <w:i/>
        </w:rPr>
        <w:t xml:space="preserve">Emergency Severity Index (ESI): A triage tool for emergency department care, version 4. Implementation handbook, 2012 edition</w:t>
      </w:r>
      <w:r>
        <w:t xml:space="preserve"> </w:t>
      </w:r>
      <w:r>
        <w:t xml:space="preserve">(AHRQ Publication No. 12-0014). Agency for Healthcare Research and Quality.</w:t>
      </w:r>
    </w:p>
    <w:p>
      <w:pPr>
        <w:pStyle w:val="Reference"/>
      </w:pPr>
      <w:r>
        <w:t xml:space="preserve">Gini, C. (1912).</w:t>
      </w:r>
      <w:r>
        <w:t xml:space="preserve"> </w:t>
      </w:r>
      <w:r>
        <w:rPr>
          <w:iCs/>
          <w:i/>
        </w:rPr>
        <w:t xml:space="preserve">Variabilità e mutabilità: Contributo allo studio delle distribuzioni e delle relazioni statistiche</w:t>
      </w:r>
      <w:r>
        <w:t xml:space="preserve">. Tipografia di Paolo Cuppini.</w:t>
      </w:r>
    </w:p>
    <w:p>
      <w:pPr>
        <w:pStyle w:val="Reference"/>
      </w:pPr>
      <w:r>
        <w:t xml:space="preserve">Handy, S. L., &amp; Niemeier, D. A. (1997). Measuring accessibility: An exploration of issues and alternatives.</w:t>
      </w:r>
      <w:r>
        <w:t xml:space="preserve"> </w:t>
      </w:r>
      <w:r>
        <w:rPr>
          <w:iCs/>
          <w:i/>
        </w:rPr>
        <w:t xml:space="preserve">Environment and Planning A, 29</w:t>
      </w:r>
      <w:r>
        <w:t xml:space="preserve">(7), 1175–1194. https://doi.org/10.1068/a291175</w:t>
      </w:r>
    </w:p>
    <w:p>
      <w:pPr>
        <w:pStyle w:val="Reference"/>
      </w:pPr>
      <w:r>
        <w:t xml:space="preserve">Hansen, W. G. (1959). How accessibility shapes land use.</w:t>
      </w:r>
      <w:r>
        <w:t xml:space="preserve"> </w:t>
      </w:r>
      <w:r>
        <w:rPr>
          <w:iCs/>
          <w:i/>
        </w:rPr>
        <w:t xml:space="preserve">Journal of the American Institute of Planners, 25</w:t>
      </w:r>
      <w:r>
        <w:t xml:space="preserve">(2), 73–76. https://doi.org/10.1080/01944365908978307</w:t>
      </w:r>
    </w:p>
    <w:p>
      <w:pPr>
        <w:pStyle w:val="Reference"/>
      </w:pPr>
      <w:r>
        <w:t xml:space="preserve">Jenelius, E., Petersen, T., &amp; Mattsson, L.-G. (2006). Importance and exposure in road network vulnerability analysis.</w:t>
      </w:r>
      <w:r>
        <w:t xml:space="preserve"> </w:t>
      </w:r>
      <w:r>
        <w:rPr>
          <w:iCs/>
          <w:i/>
        </w:rPr>
        <w:t xml:space="preserve">Transportation Research Part A: Policy and Practice, 40</w:t>
      </w:r>
      <w:r>
        <w:t xml:space="preserve">(7), 537–560. https://doi.org/10.1016/j.tra.2005.11.003</w:t>
      </w:r>
    </w:p>
    <w:p>
      <w:pPr>
        <w:pStyle w:val="Reference"/>
      </w:pPr>
      <w:r>
        <w:t xml:space="preserve">Kaufman, D. E., &amp; Smith, R. L. (1993). Fastest paths in time-dependent networks for intelligent vehicle-highway systems application.</w:t>
      </w:r>
      <w:r>
        <w:t xml:space="preserve"> </w:t>
      </w:r>
      <w:r>
        <w:rPr>
          <w:iCs/>
          <w:i/>
        </w:rPr>
        <w:t xml:space="preserve">IVHS Journal, 1</w:t>
      </w:r>
      <w:r>
        <w:t xml:space="preserve">(1), 1–11. https://doi.org/10.1080/10248079308903779</w:t>
      </w:r>
    </w:p>
    <w:p>
      <w:pPr>
        <w:pStyle w:val="Reference"/>
      </w:pPr>
      <w:r>
        <w:t xml:space="preserve">Kerby, D. S. (2014). The simple difference formula: An approach to teaching nonparametric correlation.</w:t>
      </w:r>
      <w:r>
        <w:t xml:space="preserve"> </w:t>
      </w:r>
      <w:r>
        <w:rPr>
          <w:iCs/>
          <w:i/>
        </w:rPr>
        <w:t xml:space="preserve">Comprehensive Psychology, 3</w:t>
      </w:r>
      <w:r>
        <w:t xml:space="preserve">, Article 11.IT.3.1. https://doi.org/10.2466/11.IT.3.1</w:t>
      </w:r>
    </w:p>
    <w:p>
      <w:pPr>
        <w:pStyle w:val="Reference"/>
      </w:pPr>
      <w:r>
        <w:t xml:space="preserve">Kuhn, H. W. (1955). The Hungarian method for the assignment problem.</w:t>
      </w:r>
      <w:r>
        <w:t xml:space="preserve"> </w:t>
      </w:r>
      <w:r>
        <w:rPr>
          <w:iCs/>
          <w:i/>
        </w:rPr>
        <w:t xml:space="preserve">Naval Research Logistics Quarterly, 2</w:t>
      </w:r>
      <w:r>
        <w:t xml:space="preserve">(1–2), 83–97. https://doi.org/10.1002/nav.3800020109</w:t>
      </w:r>
    </w:p>
    <w:p>
      <w:pPr>
        <w:pStyle w:val="Reference"/>
      </w:pPr>
      <w:r>
        <w:t xml:space="preserve">Lorenz, M. O. (1905). Methods of measuring the concentration of wealth.</w:t>
      </w:r>
      <w:r>
        <w:t xml:space="preserve"> </w:t>
      </w:r>
      <w:r>
        <w:rPr>
          <w:iCs/>
          <w:i/>
        </w:rPr>
        <w:t xml:space="preserve">Publications of the American Statistical Association, 9</w:t>
      </w:r>
      <w:r>
        <w:t xml:space="preserve">(70), 209–219. https://doi.org/10.2307/2276207</w:t>
      </w:r>
    </w:p>
    <w:p>
      <w:pPr>
        <w:pStyle w:val="Reference"/>
      </w:pPr>
      <w:r>
        <w:t xml:space="preserve">Lucas, K., van Wee, B., &amp; Maat, K. (2016). A method to evaluate equitable accessibility: Combining ethical theories and accessibility-based approaches.</w:t>
      </w:r>
      <w:r>
        <w:t xml:space="preserve"> </w:t>
      </w:r>
      <w:r>
        <w:rPr>
          <w:iCs/>
          <w:i/>
        </w:rPr>
        <w:t xml:space="preserve">Transportation, 43</w:t>
      </w:r>
      <w:r>
        <w:t xml:space="preserve">(3), 473–490. https://doi.org/10.1007/s11116-015-9585-2</w:t>
      </w:r>
    </w:p>
    <w:p>
      <w:pPr>
        <w:pStyle w:val="Reference"/>
      </w:pPr>
      <w:r>
        <w:t xml:space="preserve">Luo, W., &amp; Wang, F. (2003). Measures of spatial accessibility to health care in a GIS environment: Synthesis and a case study in the Chicago region.</w:t>
      </w:r>
      <w:r>
        <w:t xml:space="preserve"> </w:t>
      </w:r>
      <w:r>
        <w:rPr>
          <w:iCs/>
          <w:i/>
        </w:rPr>
        <w:t xml:space="preserve">Environment and Planning B: Planning and Design, 30</w:t>
      </w:r>
      <w:r>
        <w:t xml:space="preserve">(6), 865–884. https://doi.org/10.1068/b29120</w:t>
      </w:r>
    </w:p>
    <w:p>
      <w:pPr>
        <w:pStyle w:val="Reference"/>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Reference"/>
      </w:pPr>
      <w:r>
        <w:t xml:space="preserve">MobilityData. (n.d.-a).</w:t>
      </w:r>
      <w:r>
        <w:t xml:space="preserve"> </w:t>
      </w:r>
      <w:r>
        <w:rPr>
          <w:iCs/>
          <w:i/>
        </w:rPr>
        <w:t xml:space="preserve">History</w:t>
      </w:r>
      <w:r>
        <w:t xml:space="preserve">. Retrieved October 3, 2026, from https://mobilitydata.org/history/</w:t>
      </w:r>
    </w:p>
    <w:p>
      <w:pPr>
        <w:pStyle w:val="Reference"/>
      </w:pPr>
      <w:r>
        <w:t xml:space="preserve">MobilityData. (n.d.-b).</w:t>
      </w:r>
      <w:r>
        <w:t xml:space="preserve"> </w:t>
      </w:r>
      <w:r>
        <w:rPr>
          <w:iCs/>
          <w:i/>
        </w:rPr>
        <w:t xml:space="preserve">GTFS Schedule validator</w:t>
      </w:r>
      <w:r>
        <w:t xml:space="preserve"> </w:t>
      </w:r>
      <w:r>
        <w:t xml:space="preserve">[Computer software]. GitHub. Retrieved October 3, 2026, from https://github.com/MobilityData/gtfs-validator</w:t>
      </w:r>
    </w:p>
    <w:p>
      <w:pPr>
        <w:pStyle w:val="Reference"/>
      </w:pPr>
      <w:r>
        <w:t xml:space="preserve">Nemhauser, G. L., Wolsey, L. A., &amp; Fisher, M. L. (1978). An analysis of approximations for maximizing submodular set functions, I.</w:t>
      </w:r>
      <w:r>
        <w:t xml:space="preserve"> </w:t>
      </w:r>
      <w:r>
        <w:rPr>
          <w:iCs/>
          <w:i/>
        </w:rPr>
        <w:t xml:space="preserve">Mathematical Programming, 14</w:t>
      </w:r>
      <w:r>
        <w:t xml:space="preserve">(1), 265–294. https://doi.org/10.1007/BF01588971</w:t>
      </w:r>
    </w:p>
    <w:p>
      <w:pPr>
        <w:pStyle w:val="Reference"/>
      </w:pPr>
      <w:r>
        <w:t xml:space="preserve">Nieto, A. (2026, September 28). Fare hikes for jeepneys, buses, taxis, and TNVS take effect today.</w:t>
      </w:r>
      <w:r>
        <w:t xml:space="preserve"> </w:t>
      </w:r>
      <w:r>
        <w:rPr>
          <w:iCs/>
          <w:i/>
        </w:rPr>
        <w:t xml:space="preserve">Top Gear Philippines</w:t>
      </w:r>
      <w:r>
        <w:t xml:space="preserve">. https://www.topgear.com.ph/news/industry-news/dotr-fare-hike-september-28-2026-a6941-20260928</w:t>
      </w:r>
    </w:p>
    <w:p>
      <w:pPr>
        <w:pStyle w:val="Reference"/>
      </w:pPr>
      <w:r>
        <w:t xml:space="preserve">Okabe, A., Boots, B., Sugihara, K., &amp; Chiu, S. N. (2000).</w:t>
      </w:r>
      <w:r>
        <w:t xml:space="preserve"> </w:t>
      </w:r>
      <w:r>
        <w:rPr>
          <w:iCs/>
          <w:i/>
        </w:rPr>
        <w:t xml:space="preserve">Spatial tessellations: Concepts and applications of Voronoi diagrams</w:t>
      </w:r>
      <w:r>
        <w:t xml:space="preserve"> </w:t>
      </w:r>
      <w:r>
        <w:t xml:space="preserve">(2nd ed.). Wiley.</w:t>
      </w:r>
    </w:p>
    <w:p>
      <w:pPr>
        <w:pStyle w:val="Reference"/>
      </w:pPr>
      <w:r>
        <w:t xml:space="preserve">Openshaw, S. (1984).</w:t>
      </w:r>
      <w:r>
        <w:t xml:space="preserve"> </w:t>
      </w:r>
      <w:r>
        <w:rPr>
          <w:iCs/>
          <w:i/>
        </w:rPr>
        <w:t xml:space="preserve">The modifiable areal unit problem</w:t>
      </w:r>
      <w:r>
        <w:t xml:space="preserve"> </w:t>
      </w:r>
      <w:r>
        <w:t xml:space="preserve">(Concepts and Techniques in Modern Geography No. 38). Geo Books.</w:t>
      </w:r>
    </w:p>
    <w:p>
      <w:pPr>
        <w:pStyle w:val="Reference"/>
      </w:pPr>
      <w:r>
        <w:t xml:space="preserve">OpenStreetMap contributors. (2026).</w:t>
      </w:r>
      <w:r>
        <w:t xml:space="preserve"> </w:t>
      </w:r>
      <w:r>
        <w:rPr>
          <w:iCs/>
          <w:i/>
        </w:rPr>
        <w:t xml:space="preserve">OpenStreetMap</w:t>
      </w:r>
      <w:r>
        <w:t xml:space="preserve"> </w:t>
      </w:r>
      <w:r>
        <w:t xml:space="preserve">[Data set]. OpenStreetMap Foundation. https://www.openstreetmap.org</w:t>
      </w:r>
    </w:p>
    <w:p>
      <w:pPr>
        <w:pStyle w:val="Reference"/>
      </w:pPr>
      <w:r>
        <w:t xml:space="preserve">Owen, A., &amp; Levinson, D. M. (2015). Modeling the commute mode share of transit using continuous accessibility to jobs.</w:t>
      </w:r>
      <w:r>
        <w:t xml:space="preserve"> </w:t>
      </w:r>
      <w:r>
        <w:rPr>
          <w:iCs/>
          <w:i/>
        </w:rPr>
        <w:t xml:space="preserve">Transportation Research Part A: Policy and Practice, 74</w:t>
      </w:r>
      <w:r>
        <w:t xml:space="preserve">, 110–122. https://doi.org/10.1016/j.tra.2015.02.002</w:t>
      </w:r>
    </w:p>
    <w:p>
      <w:pPr>
        <w:pStyle w:val="Reference"/>
      </w:pPr>
      <w:r>
        <w:t xml:space="preserve">Palma, J. G. (2011). Homogeneous middles vs. heterogeneous tails, and the end of the</w:t>
      </w:r>
      <w:r>
        <w:t xml:space="preserve"> </w:t>
      </w:r>
      <w:r>
        <w:t xml:space="preserve">‘</w:t>
      </w:r>
      <w:r>
        <w:t xml:space="preserve">inverted-U</w:t>
      </w:r>
      <w:r>
        <w:t xml:space="preserve">’</w:t>
      </w:r>
      <w:r>
        <w:t xml:space="preserve">: It’s all about the share of the rich.</w:t>
      </w:r>
      <w:r>
        <w:t xml:space="preserve"> </w:t>
      </w:r>
      <w:r>
        <w:rPr>
          <w:iCs/>
          <w:i/>
        </w:rPr>
        <w:t xml:space="preserve">Development and Change, 42</w:t>
      </w:r>
      <w:r>
        <w:t xml:space="preserve">(1), 87–153. https://doi.org/10.1111/j.1467-7660.2011.01694.x</w:t>
      </w:r>
    </w:p>
    <w:p>
      <w:pPr>
        <w:pStyle w:val="Reference"/>
      </w:pPr>
      <w:r>
        <w:t xml:space="preserve">Pereira, R. H. M., Schwanen, T., &amp; Banister, D. (2017). Distributive justice and equity in transportation.</w:t>
      </w:r>
      <w:r>
        <w:t xml:space="preserve"> </w:t>
      </w:r>
      <w:r>
        <w:rPr>
          <w:iCs/>
          <w:i/>
        </w:rPr>
        <w:t xml:space="preserve">Transport Reviews, 37</w:t>
      </w:r>
      <w:r>
        <w:t xml:space="preserve">(2), 170–191. https://doi.org/10.1080/01441647.2016.1257660</w:t>
      </w:r>
    </w:p>
    <w:p>
      <w:pPr>
        <w:pStyle w:val="Reference"/>
      </w:pPr>
      <w:r>
        <w:t xml:space="preserve">PhilAtlas. (n.d.).</w:t>
      </w:r>
      <w:r>
        <w:t xml:space="preserve"> </w:t>
      </w:r>
      <w:r>
        <w:rPr>
          <w:iCs/>
          <w:i/>
        </w:rPr>
        <w:t xml:space="preserve">Albay</w:t>
      </w:r>
      <w:r>
        <w:t xml:space="preserve">. Retrieved October 3, 2026, from https://www.philatlas.com/luzon/r05/albay.html</w:t>
      </w:r>
    </w:p>
    <w:p>
      <w:pPr>
        <w:pStyle w:val="Reference"/>
      </w:pPr>
      <w:r>
        <w:t xml:space="preserve">Philippine Health Insurance Corporation. (2026).</w:t>
      </w:r>
      <w:r>
        <w:t xml:space="preserve"> </w:t>
      </w:r>
      <w:r>
        <w:rPr>
          <w:iCs/>
          <w:i/>
        </w:rPr>
        <w:t xml:space="preserve">List of accredited hospitals and infirmaries for CY 2026</w:t>
      </w:r>
      <w:r>
        <w:t xml:space="preserve">. https://www.philhealth.gov.ph/partners/providers/facilities/accredited/HOSP_053126.pdf</w:t>
      </w:r>
    </w:p>
    <w:p>
      <w:pPr>
        <w:pStyle w:val="Reference"/>
      </w:pPr>
      <w:r>
        <w:t xml:space="preserve">Philippine Ports Authority. (n.d.).</w:t>
      </w:r>
      <w:r>
        <w:t xml:space="preserve"> </w:t>
      </w:r>
      <w:r>
        <w:rPr>
          <w:iCs/>
          <w:i/>
        </w:rPr>
        <w:t xml:space="preserve">Ports</w:t>
      </w:r>
      <w:r>
        <w:t xml:space="preserve"> </w:t>
      </w:r>
      <w:r>
        <w:t xml:space="preserve">[Directory]. Retrieved October 3, 2026, from https://www.ppa.com.ph</w:t>
      </w:r>
    </w:p>
    <w:p>
      <w:pPr>
        <w:pStyle w:val="Reference"/>
      </w:pPr>
      <w:r>
        <w:t xml:space="preserve">Philippine Statistics Authority. (n.d.).</w:t>
      </w:r>
      <w:r>
        <w:t xml:space="preserve"> </w:t>
      </w:r>
      <w:r>
        <w:rPr>
          <w:iCs/>
          <w:i/>
        </w:rPr>
        <w:t xml:space="preserve">Province of Albay</w:t>
      </w:r>
      <w:r>
        <w:t xml:space="preserve"> </w:t>
      </w:r>
      <w:r>
        <w:t xml:space="preserve">[Philippine Standard Geographic Code]. Retrieved October 3, 2026, from https://psa.gov.ph/classification/psgc/citimuni/0500500000</w:t>
      </w:r>
    </w:p>
    <w:p>
      <w:pPr>
        <w:pStyle w:val="Reference"/>
      </w:pPr>
      <w:r>
        <w:t xml:space="preserve">Philippine Statistics Authority. (2021).</w:t>
      </w:r>
      <w:r>
        <w:t xml:space="preserve"> </w:t>
      </w:r>
      <w:r>
        <w:rPr>
          <w:iCs/>
          <w:i/>
        </w:rPr>
        <w:t xml:space="preserve">The 2020 Census of Population and Housing (2020 CPH) population counts declared official by the President</w:t>
      </w:r>
      <w:r>
        <w:t xml:space="preserve"> </w:t>
      </w:r>
      <w:r>
        <w:t xml:space="preserve">[Press release]. https://psa.gov.ph/content/2020-census-population-and-housing-2020-cph-population-counts-declared-official-president</w:t>
      </w:r>
    </w:p>
    <w:p>
      <w:pPr>
        <w:pStyle w:val="Reference"/>
      </w:pPr>
      <w:r>
        <w:t xml:space="preserve">Pyrga, E., Schulz, F., Wagner, D., &amp; Zaroliagis, C. (2008). Efficient models for timetable information in public transportation systems.</w:t>
      </w:r>
      <w:r>
        <w:t xml:space="preserve"> </w:t>
      </w:r>
      <w:r>
        <w:rPr>
          <w:iCs/>
          <w:i/>
        </w:rPr>
        <w:t xml:space="preserve">ACM Journal of Experimental Algorithmics, 12</w:t>
      </w:r>
      <w:r>
        <w:t xml:space="preserve">, 1–39. https://doi.org/10.1145/1227161.1227166</w:t>
      </w:r>
    </w:p>
    <w:p>
      <w:pPr>
        <w:pStyle w:val="Reference"/>
      </w:pPr>
      <w:r>
        <w:t xml:space="preserve">Republic Act No. 8344. (1997).</w:t>
      </w:r>
      <w:r>
        <w:t xml:space="preserve"> </w:t>
      </w:r>
      <w:r>
        <w:rPr>
          <w:iCs/>
          <w:i/>
        </w:rPr>
        <w:t xml:space="preserve">An act penalizing the refusal of hospitals and medical clinics to administer appropriate initial medical treatment and support in emergency or serious cases, amending for the purpose Batas Pambansa Bilang 702</w:t>
      </w:r>
      <w:r>
        <w:t xml:space="preserve">. Congress of the Philippines.</w:t>
      </w:r>
    </w:p>
    <w:p>
      <w:pPr>
        <w:pStyle w:val="Reference"/>
      </w:pPr>
      <w:r>
        <w:t xml:space="preserve">Republic Act No. 9994. (2010).</w:t>
      </w:r>
      <w:r>
        <w:t xml:space="preserve"> </w:t>
      </w:r>
      <w:r>
        <w:rPr>
          <w:iCs/>
          <w:i/>
        </w:rPr>
        <w:t xml:space="preserve">Expanded Senior Citizens Act of 2010</w:t>
      </w:r>
      <w:r>
        <w:t xml:space="preserve">. Congress of the Philippines.</w:t>
      </w:r>
    </w:p>
    <w:p>
      <w:pPr>
        <w:pStyle w:val="Reference"/>
      </w:pPr>
      <w:r>
        <w:t xml:space="preserve">Republic Act No. 10173. (2012).</w:t>
      </w:r>
      <w:r>
        <w:t xml:space="preserve"> </w:t>
      </w:r>
      <w:r>
        <w:rPr>
          <w:iCs/>
          <w:i/>
        </w:rPr>
        <w:t xml:space="preserve">Data Privacy Act of 2012</w:t>
      </w:r>
      <w:r>
        <w:t xml:space="preserve">. Congress of the Philippines.</w:t>
      </w:r>
    </w:p>
    <w:p>
      <w:pPr>
        <w:pStyle w:val="Reference"/>
      </w:pPr>
      <w:r>
        <w:t xml:space="preserve">Republic Act No. 10754. (2016).</w:t>
      </w:r>
      <w:r>
        <w:t xml:space="preserve"> </w:t>
      </w:r>
      <w:r>
        <w:rPr>
          <w:iCs/>
          <w:i/>
        </w:rPr>
        <w:t xml:space="preserve">An act expanding the benefits and privileges of persons with disability</w:t>
      </w:r>
      <w:r>
        <w:t xml:space="preserve">. Congress of the Philippines.</w:t>
      </w:r>
    </w:p>
    <w:p>
      <w:pPr>
        <w:pStyle w:val="Reference"/>
      </w:pPr>
      <w:r>
        <w:t xml:space="preserve">Republic Act No. 10932. (2017).</w:t>
      </w:r>
      <w:r>
        <w:t xml:space="preserve"> </w:t>
      </w:r>
      <w:r>
        <w:rPr>
          <w:iCs/>
          <w:i/>
        </w:rPr>
        <w:t xml:space="preserve">An act strengthening the Anti-Hospital Deposit Law by increasing the penalties for the refusal of hospitals and medical clinics to administer appropriate initial medical treatment and support in emergency or serious cases, amending for the purpose Batas Pambansa Bilang 702, as amended by Republic Act No. 8344, and for other purposes</w:t>
      </w:r>
      <w:r>
        <w:t xml:space="preserve">. Congress of the Philippines.</w:t>
      </w:r>
    </w:p>
    <w:p>
      <w:pPr>
        <w:pStyle w:val="Reference"/>
      </w:pPr>
      <w:r>
        <w:t xml:space="preserve">Republic Act No. 11223. (2019).</w:t>
      </w:r>
      <w:r>
        <w:t xml:space="preserve"> </w:t>
      </w:r>
      <w:r>
        <w:rPr>
          <w:iCs/>
          <w:i/>
        </w:rPr>
        <w:t xml:space="preserve">Universal Health Care Act</w:t>
      </w:r>
      <w:r>
        <w:t xml:space="preserve">. Congress of the Philippines.</w:t>
      </w:r>
    </w:p>
    <w:p>
      <w:pPr>
        <w:pStyle w:val="Reference"/>
      </w:pPr>
      <w:r>
        <w:t xml:space="preserve">Republic Act No. 11314. (2019).</w:t>
      </w:r>
      <w:r>
        <w:t xml:space="preserve"> </w:t>
      </w:r>
      <w:r>
        <w:rPr>
          <w:iCs/>
          <w:i/>
        </w:rPr>
        <w:t xml:space="preserve">Student Fare Discount Act</w:t>
      </w:r>
      <w:r>
        <w:t xml:space="preserve">. Congress of the Philippines.</w:t>
      </w:r>
    </w:p>
    <w:p>
      <w:pPr>
        <w:pStyle w:val="Reference"/>
      </w:pPr>
      <w:r>
        <w:t xml:space="preserve">Republic Act No. 11463. (2019).</w:t>
      </w:r>
      <w:r>
        <w:t xml:space="preserve"> </w:t>
      </w:r>
      <w:r>
        <w:rPr>
          <w:iCs/>
          <w:i/>
        </w:rPr>
        <w:t xml:space="preserve">Malasakit Centers Act</w:t>
      </w:r>
      <w:r>
        <w:t xml:space="preserve">. Congress of the Philippines.</w:t>
      </w:r>
    </w:p>
    <w:p>
      <w:pPr>
        <w:pStyle w:val="Reference"/>
      </w:pPr>
      <w:r>
        <w:t xml:space="preserve">Shorrocks, A. F. (1980). The class of additively decomposable inequality measures.</w:t>
      </w:r>
      <w:r>
        <w:t xml:space="preserve"> </w:t>
      </w:r>
      <w:r>
        <w:rPr>
          <w:iCs/>
          <w:i/>
        </w:rPr>
        <w:t xml:space="preserve">Econometrica, 48</w:t>
      </w:r>
      <w:r>
        <w:t xml:space="preserve">(3), 613–625. https://doi.org/10.2307/1913126</w:t>
      </w:r>
    </w:p>
    <w:p>
      <w:pPr>
        <w:pStyle w:val="Reference"/>
      </w:pPr>
      <w:r>
        <w:t xml:space="preserve">Spearman, C. (1904). The proof and measurement of association between two things.</w:t>
      </w:r>
      <w:r>
        <w:t xml:space="preserve"> </w:t>
      </w:r>
      <w:r>
        <w:rPr>
          <w:iCs/>
          <w:i/>
        </w:rPr>
        <w:t xml:space="preserve">The American Journal of Psychology, 15</w:t>
      </w:r>
      <w:r>
        <w:t xml:space="preserve">(1), 72–101. https://doi.org/10.2307/1412159</w:t>
      </w:r>
    </w:p>
    <w:p>
      <w:pPr>
        <w:pStyle w:val="Reference"/>
      </w:pPr>
      <w:r>
        <w:t xml:space="preserve">Stępniak, M., Pritchard, J. P., Geurs, K. T., &amp; Goliszek, S. (2019). The impact of temporal resolution on public transport accessibility measurement: Review and case study in Poland.</w:t>
      </w:r>
      <w:r>
        <w:t xml:space="preserve"> </w:t>
      </w:r>
      <w:r>
        <w:rPr>
          <w:iCs/>
          <w:i/>
        </w:rPr>
        <w:t xml:space="preserve">Journal of Transport Geography, 75</w:t>
      </w:r>
      <w:r>
        <w:t xml:space="preserve">, 8–24. https://doi.org/10.1016/j.jtrangeo.2019.01.007</w:t>
      </w:r>
    </w:p>
    <w:p>
      <w:pPr>
        <w:pStyle w:val="Reference"/>
      </w:pPr>
      <w:r>
        <w:t xml:space="preserve">Theil, H. (1967).</w:t>
      </w:r>
      <w:r>
        <w:t xml:space="preserve"> </w:t>
      </w:r>
      <w:r>
        <w:rPr>
          <w:iCs/>
          <w:i/>
        </w:rPr>
        <w:t xml:space="preserve">Economics and information theory</w:t>
      </w:r>
      <w:r>
        <w:t xml:space="preserve">. North-Holland.</w:t>
      </w:r>
    </w:p>
    <w:p>
      <w:pPr>
        <w:pStyle w:val="Reference"/>
      </w:pPr>
      <w:r>
        <w:t xml:space="preserve">Transport for Cairo. (n.d.).</w:t>
      </w:r>
      <w:r>
        <w:t xml:space="preserve"> </w:t>
      </w:r>
      <w:r>
        <w:rPr>
          <w:iCs/>
          <w:i/>
        </w:rPr>
        <w:t xml:space="preserve">Digital Cairo</w:t>
      </w:r>
      <w:r>
        <w:t xml:space="preserve">. Retrieved October 3, 2026, from https://transportforcairo.com/projects/digital-cairo/</w:t>
      </w:r>
    </w:p>
    <w:p>
      <w:pPr>
        <w:pStyle w:val="Reference"/>
      </w:pPr>
      <w:r>
        <w:t xml:space="preserve">United Nations General Assembly. (2015).</w:t>
      </w:r>
      <w:r>
        <w:t xml:space="preserve"> </w:t>
      </w:r>
      <w:r>
        <w:rPr>
          <w:iCs/>
          <w:i/>
        </w:rPr>
        <w:t xml:space="preserve">Transforming our world: The 2030 Agenda for Sustainable Development</w:t>
      </w:r>
      <w:r>
        <w:t xml:space="preserve"> </w:t>
      </w:r>
      <w:r>
        <w:t xml:space="preserve">(A/RES/70/1). United Nations. https://undocs.org/A/RES/70/1</w:t>
      </w:r>
    </w:p>
    <w:p>
      <w:pPr>
        <w:pStyle w:val="Reference"/>
      </w:pPr>
      <w:r>
        <w:t xml:space="preserve">United Nations General Assembly. (2017).</w:t>
      </w:r>
      <w:r>
        <w:t xml:space="preserve"> </w:t>
      </w:r>
      <w:r>
        <w:rPr>
          <w:iCs/>
          <w:i/>
        </w:rPr>
        <w:t xml:space="preserve">Work of the Statistical Commission pertaining to the 2030 Agenda for Sustainable Development</w:t>
      </w:r>
      <w:r>
        <w:t xml:space="preserve"> </w:t>
      </w:r>
      <w:r>
        <w:t xml:space="preserve">(A/RES/71/313). United Nations. https://undocs.org/A/RES/71/313</w:t>
      </w:r>
    </w:p>
    <w:p>
      <w:pPr>
        <w:pStyle w:val="Reference"/>
      </w:pPr>
      <w:r>
        <w:t xml:space="preserve">United Nations Statistics Division. (2026). Goal 11: Make cities and human settlements inclusive, safe, resilient and sustainable. In</w:t>
      </w:r>
      <w:r>
        <w:t xml:space="preserve"> </w:t>
      </w:r>
      <w:r>
        <w:rPr>
          <w:iCs/>
          <w:i/>
        </w:rPr>
        <w:t xml:space="preserve">The Sustainable Development Goals report 2026</w:t>
      </w:r>
      <w:r>
        <w:t xml:space="preserve">. United Nations. https://unstats.un.org/sdgs/report/2026/Goal-11/</w:t>
      </w:r>
    </w:p>
    <w:p>
      <w:pPr>
        <w:pStyle w:val="Reference"/>
      </w:pPr>
      <w:r>
        <w:t xml:space="preserve">Wachs, M., &amp; Kumagai, T. G. (1973). Physical accessibility as a social indicator.</w:t>
      </w:r>
      <w:r>
        <w:t xml:space="preserve"> </w:t>
      </w:r>
      <w:r>
        <w:rPr>
          <w:iCs/>
          <w:i/>
        </w:rPr>
        <w:t xml:space="preserve">Socio-Economic Planning Sciences, 7</w:t>
      </w:r>
      <w:r>
        <w:t xml:space="preserve">(5), 437–456. https://doi.org/10.1016/0038-0121(73)90041-4</w:t>
      </w:r>
    </w:p>
    <w:p>
      <w:pPr>
        <w:pStyle w:val="Reference"/>
      </w:pPr>
      <w:r>
        <w:t xml:space="preserve">Wooldridge, M., &amp; Jennings, N. R. (1995). Intelligent agents: Theory and practice.</w:t>
      </w:r>
      <w:r>
        <w:t xml:space="preserve"> </w:t>
      </w:r>
      <w:r>
        <w:rPr>
          <w:iCs/>
          <w:i/>
        </w:rPr>
        <w:t xml:space="preserve">The Knowledge Engineering Review, 10</w:t>
      </w:r>
      <w:r>
        <w:t xml:space="preserve">(2), 115–152. https://doi.org/10.1017/S0269888900008122</w:t>
      </w:r>
    </w:p>
    <w:p>
      <w:pPr>
        <w:pStyle w:val="Reference"/>
      </w:pPr>
      <w:r>
        <w:t xml:space="preserve">World Health Organization &amp; World Bank. (2025).</w:t>
      </w:r>
      <w:r>
        <w:t xml:space="preserve"> </w:t>
      </w:r>
      <w:r>
        <w:rPr>
          <w:iCs/>
          <w:i/>
        </w:rPr>
        <w:t xml:space="preserve">Tracking universal health coverage: 2025 global monitoring report</w:t>
      </w:r>
      <w:r>
        <w:t xml:space="preserve">. World Health Organization.</w:t>
      </w:r>
    </w:p>
    <w:p>
      <w:r>
        <w:br w:type="page"/>
      </w:r>
    </w:p>
    <w:bookmarkEnd w:id="192"/>
    <w:bookmarkStart w:id="193" w:name="appendix-a.-open-data-source-register"/>
    <w:p>
      <w:pPr>
        <w:pStyle w:val="Heading1"/>
      </w:pPr>
      <w:r>
        <w:t xml:space="preserve">APPENDIX A. OPEN DATA SOURCE REGISTER</w:t>
      </w:r>
    </w:p>
    <w:p>
      <w:pPr>
        <w:pStyle w:val="FirstParagraph"/>
      </w:pPr>
      <w:r>
        <w:t xml:space="preserve">Every input of the model traces to one row of Table A1.</w:t>
      </w:r>
    </w:p>
    <w:p>
      <w:pPr>
        <w:pStyle w:val="TableCaption"/>
      </w:pPr>
      <w:r>
        <w:rPr>
          <w:bCs/>
          <w:b/>
        </w:rPr>
        <w:t xml:space="preserve">Table A1.</w:t>
      </w:r>
      <w:r>
        <w:t xml:space="preserve"> </w:t>
      </w:r>
      <w:r>
        <w:t xml:space="preserve">Where each layer of the model comes from.</w:t>
      </w:r>
    </w:p>
    <w:tbl>
      <w:tblPr>
        <w:tblStyle w:val="Table"/>
        <w:tblW w:type="pct" w:w="5000"/>
        <w:jc w:val="center"/>
        <w:tblCaption w:val="Table A1. Where each layer of the model comes from."/>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084"/>
        <w:gridCol w:w="1667"/>
        <w:gridCol w:w="2778"/>
        <w:gridCol w:w="1389"/>
      </w:tblGrid>
      <w:tr>
        <w:trPr>
          <w:tblHeader w:val="true"/>
          <w:tblHeader/>
          <w:cantSplit/>
        </w:trPr>
        <w:tc>
          <w:tcPr/>
          <w:p>
            <w:pPr>
              <w:pStyle w:val="Compact"/>
              <w:jc w:val="left"/>
            </w:pPr>
            <w:r>
              <w:rPr>
                <w:b/>
              </w:rPr>
              <w:t xml:space="preserve">Source</w:t>
            </w:r>
          </w:p>
        </w:tc>
        <w:tc>
          <w:tcPr/>
          <w:p>
            <w:pPr>
              <w:pStyle w:val="Compact"/>
              <w:jc w:val="left"/>
            </w:pPr>
            <w:r>
              <w:rPr>
                <w:b/>
              </w:rPr>
              <w:t xml:space="preserve">Publisher</w:t>
            </w:r>
          </w:p>
        </w:tc>
        <w:tc>
          <w:tcPr/>
          <w:p>
            <w:pPr>
              <w:pStyle w:val="Compact"/>
              <w:jc w:val="left"/>
            </w:pPr>
            <w:r>
              <w:rPr>
                <w:b/>
              </w:rPr>
              <w:t xml:space="preserve">Layer Filled</w:t>
            </w:r>
          </w:p>
        </w:tc>
        <w:tc>
          <w:tcPr/>
          <w:p>
            <w:pPr>
              <w:pStyle w:val="Compact"/>
              <w:jc w:val="left"/>
            </w:pPr>
            <w:r>
              <w:rPr>
                <w:b/>
              </w:rPr>
              <w:t xml:space="preserve">Access</w:t>
            </w:r>
          </w:p>
        </w:tc>
      </w:tr>
      <w:tr>
        <w:trPr>
          <w:cantSplit/>
        </w:trPr>
        <w:tc>
          <w:tcPr/>
          <w:p>
            <w:pPr>
              <w:pStyle w:val="Compact"/>
              <w:jc w:val="left"/>
            </w:pPr>
            <w:r>
              <w:t xml:space="preserve">OpenStreetMap extract for the Bicol Region (OpenStreetMap contributors, 2026)</w:t>
            </w:r>
          </w:p>
        </w:tc>
        <w:tc>
          <w:tcPr/>
          <w:p>
            <w:pPr>
              <w:pStyle w:val="Compact"/>
              <w:jc w:val="left"/>
            </w:pPr>
            <w:r>
              <w:t xml:space="preserve">OpenStreetMap Foundation</w:t>
            </w:r>
          </w:p>
        </w:tc>
        <w:tc>
          <w:tcPr/>
          <w:p>
            <w:pPr>
              <w:pStyle w:val="Compact"/>
              <w:jc w:val="left"/>
            </w:pPr>
            <w:r>
              <w:t xml:space="preserve">Road and walking graphs, road attributes, junction anchors</w:t>
            </w:r>
          </w:p>
        </w:tc>
        <w:tc>
          <w:tcPr/>
          <w:p>
            <w:pPr>
              <w:pStyle w:val="Compact"/>
              <w:jc w:val="left"/>
            </w:pPr>
            <w:r>
              <w:t xml:space="preserve">Open Database License</w:t>
            </w:r>
          </w:p>
        </w:tc>
      </w:tr>
      <w:tr>
        <w:trPr>
          <w:cantSplit/>
        </w:trPr>
        <w:tc>
          <w:tcPr/>
          <w:p>
            <w:pPr>
              <w:pStyle w:val="Compact"/>
              <w:jc w:val="left"/>
            </w:pPr>
            <w:r>
              <w:t xml:space="preserve">2020 Census of Population and Housing (PSA, 2021)</w:t>
            </w:r>
          </w:p>
        </w:tc>
        <w:tc>
          <w:tcPr/>
          <w:p>
            <w:pPr>
              <w:pStyle w:val="Compact"/>
              <w:jc w:val="left"/>
            </w:pPr>
            <w:r>
              <w:t xml:space="preserve">Philippine Statistics Authority</w:t>
            </w:r>
          </w:p>
        </w:tc>
        <w:tc>
          <w:tcPr/>
          <w:p>
            <w:pPr>
              <w:pStyle w:val="Compact"/>
              <w:jc w:val="left"/>
            </w:pPr>
            <w:r>
              <w:t xml:space="preserve">Barangay populations behind the anchor weights</w:t>
            </w:r>
          </w:p>
        </w:tc>
        <w:tc>
          <w:tcPr/>
          <w:p>
            <w:pPr>
              <w:pStyle w:val="Compact"/>
              <w:jc w:val="left"/>
            </w:pPr>
            <w:r>
              <w:t xml:space="preserve">Public release</w:t>
            </w:r>
          </w:p>
        </w:tc>
      </w:tr>
      <w:tr>
        <w:trPr>
          <w:cantSplit/>
        </w:trPr>
        <w:tc>
          <w:tcPr/>
          <w:p>
            <w:pPr>
              <w:pStyle w:val="Compact"/>
              <w:jc w:val="left"/>
            </w:pPr>
            <w:r>
              <w:t xml:space="preserve">Philippine Standard Geographic Code (PSA, n.d.)</w:t>
            </w:r>
          </w:p>
        </w:tc>
        <w:tc>
          <w:tcPr/>
          <w:p>
            <w:pPr>
              <w:pStyle w:val="Compact"/>
              <w:jc w:val="left"/>
            </w:pPr>
            <w:r>
              <w:t xml:space="preserve">Philippine Statistics Authority</w:t>
            </w:r>
          </w:p>
        </w:tc>
        <w:tc>
          <w:tcPr/>
          <w:p>
            <w:pPr>
              <w:pStyle w:val="Compact"/>
              <w:jc w:val="left"/>
            </w:pPr>
            <w:r>
              <w:t xml:space="preserve">LGU and barangay codes; barangay count</w:t>
            </w:r>
          </w:p>
        </w:tc>
        <w:tc>
          <w:tcPr/>
          <w:p>
            <w:pPr>
              <w:pStyle w:val="Compact"/>
              <w:jc w:val="left"/>
            </w:pPr>
            <w:r>
              <w:t xml:space="preserve">Public web service</w:t>
            </w:r>
          </w:p>
        </w:tc>
      </w:tr>
      <w:tr>
        <w:trPr>
          <w:cantSplit/>
        </w:trPr>
        <w:tc>
          <w:tcPr/>
          <w:p>
            <w:pPr>
              <w:pStyle w:val="Compact"/>
              <w:jc w:val="left"/>
            </w:pPr>
            <w:r>
              <w:t xml:space="preserve">Land areas of LGUs (PhilAtlas, n.d.)</w:t>
            </w:r>
          </w:p>
        </w:tc>
        <w:tc>
          <w:tcPr/>
          <w:p>
            <w:pPr>
              <w:pStyle w:val="Compact"/>
              <w:jc w:val="left"/>
            </w:pPr>
            <w:r>
              <w:t xml:space="preserve">PhilAtlas, from PSA figures</w:t>
            </w:r>
          </w:p>
        </w:tc>
        <w:tc>
          <w:tcPr/>
          <w:p>
            <w:pPr>
              <w:pStyle w:val="Compact"/>
              <w:jc w:val="left"/>
            </w:pPr>
            <w:r>
              <w:t xml:space="preserve">Land area in Table 3</w:t>
            </w:r>
          </w:p>
        </w:tc>
        <w:tc>
          <w:tcPr/>
          <w:p>
            <w:pPr>
              <w:pStyle w:val="Compact"/>
              <w:jc w:val="left"/>
            </w:pPr>
            <w:r>
              <w:t xml:space="preserve">Public web page</w:t>
            </w:r>
          </w:p>
        </w:tc>
      </w:tr>
      <w:tr>
        <w:trPr>
          <w:cantSplit/>
        </w:trPr>
        <w:tc>
          <w:tcPr/>
          <w:p>
            <w:pPr>
              <w:pStyle w:val="Compact"/>
              <w:jc w:val="left"/>
            </w:pPr>
            <w:r>
              <w:t xml:space="preserve">National Health Facility Registry (DOH, n.d.-b)</w:t>
            </w:r>
          </w:p>
        </w:tc>
        <w:tc>
          <w:tcPr/>
          <w:p>
            <w:pPr>
              <w:pStyle w:val="Compact"/>
              <w:jc w:val="left"/>
            </w:pPr>
            <w:r>
              <w:t xml:space="preserve">Department of Health</w:t>
            </w:r>
          </w:p>
        </w:tc>
        <w:tc>
          <w:tcPr/>
          <w:p>
            <w:pPr>
              <w:pStyle w:val="Compact"/>
              <w:jc w:val="left"/>
            </w:pPr>
            <w:r>
              <w:t xml:space="preserve">Hospitals, infirmaries, and rural health units, with ownership and authorized beds</w:t>
            </w:r>
          </w:p>
        </w:tc>
        <w:tc>
          <w:tcPr/>
          <w:p>
            <w:pPr>
              <w:pStyle w:val="Compact"/>
              <w:jc w:val="left"/>
            </w:pPr>
            <w:r>
              <w:t xml:space="preserve">Public directory</w:t>
            </w:r>
          </w:p>
        </w:tc>
      </w:tr>
      <w:tr>
        <w:trPr>
          <w:cantSplit/>
        </w:trPr>
        <w:tc>
          <w:tcPr/>
          <w:p>
            <w:pPr>
              <w:pStyle w:val="Compact"/>
              <w:jc w:val="left"/>
            </w:pPr>
            <w:r>
              <w:t xml:space="preserve">Hospital licensing records under the DOH (2012) classification</w:t>
            </w:r>
          </w:p>
        </w:tc>
        <w:tc>
          <w:tcPr/>
          <w:p>
            <w:pPr>
              <w:pStyle w:val="Compact"/>
              <w:jc w:val="left"/>
            </w:pPr>
            <w:r>
              <w:t xml:space="preserve">Health Facilities and Services Regulatory Bureau, Department of Health</w:t>
            </w:r>
          </w:p>
        </w:tc>
        <w:tc>
          <w:tcPr/>
          <w:p>
            <w:pPr>
              <w:pStyle w:val="Compact"/>
              <w:jc w:val="left"/>
            </w:pPr>
            <w:r>
              <w:t xml:space="preserve">Service level η</w:t>
            </w:r>
            <w:r>
              <w:rPr>
                <w:iCs/>
                <w:i/>
                <w:vertAlign w:val="subscript"/>
              </w:rPr>
              <w:t xml:space="preserve">h</w:t>
            </w:r>
            <w:r>
              <w:t xml:space="preserve">, emergency-room flag</w:t>
            </w:r>
            <w:r>
              <w:t xml:space="preserve"> </w:t>
            </w:r>
            <w:r>
              <w:rPr>
                <w:iCs/>
                <w:i/>
              </w:rPr>
              <w:t xml:space="preserve">e</w:t>
            </w:r>
            <w:r>
              <w:rPr>
                <w:iCs/>
                <w:i/>
                <w:vertAlign w:val="subscript"/>
              </w:rPr>
              <w:t xml:space="preserve">h</w:t>
            </w:r>
            <w:r>
              <w:t xml:space="preserve">, and register entries</w:t>
            </w:r>
            <w:r>
              <w:t xml:space="preserve"> </w:t>
            </w:r>
            <w:r>
              <w:rPr>
                <w:iCs/>
                <w:i/>
              </w:rPr>
              <w:t xml:space="preserve">X</w:t>
            </w:r>
            <w:r>
              <w:rPr>
                <w:vertAlign w:val="superscript"/>
              </w:rPr>
              <w:t xml:space="preserve">+</w:t>
            </w:r>
            <w:r>
              <w:rPr>
                <w:iCs/>
                <w:i/>
                <w:vertAlign w:val="subscript"/>
              </w:rPr>
              <w:t xml:space="preserve">h</w:t>
            </w:r>
            <w:r>
              <w:t xml:space="preserve">,</w:t>
            </w:r>
            <w:r>
              <w:t xml:space="preserve"> </w:t>
            </w:r>
            <w:r>
              <w:rPr>
                <w:iCs/>
                <w:i/>
              </w:rPr>
              <w:t xml:space="preserve">X</w:t>
            </w:r>
            <w:r>
              <w:rPr>
                <w:vertAlign w:val="superscript"/>
              </w:rPr>
              <w:t xml:space="preserve">−</w:t>
            </w:r>
            <w:r>
              <w:rPr>
                <w:iCs/>
                <w:i/>
                <w:vertAlign w:val="subscript"/>
              </w:rPr>
              <w:t xml:space="preserve">h</w:t>
            </w:r>
            <w:r>
              <w:t xml:space="preserve"> </w:t>
            </w:r>
            <w:r>
              <w:t xml:space="preserve">for the service set (Equation 12)</w:t>
            </w:r>
          </w:p>
        </w:tc>
        <w:tc>
          <w:tcPr/>
          <w:p>
            <w:pPr>
              <w:pStyle w:val="Compact"/>
              <w:jc w:val="left"/>
            </w:pPr>
            <w:r>
              <w:t xml:space="preserve">Public listing</w:t>
            </w:r>
          </w:p>
        </w:tc>
      </w:tr>
      <w:tr>
        <w:trPr>
          <w:cantSplit/>
        </w:trPr>
        <w:tc>
          <w:tcPr/>
          <w:p>
            <w:pPr>
              <w:pStyle w:val="Compact"/>
              <w:jc w:val="left"/>
            </w:pPr>
            <w:r>
              <w:t xml:space="preserve">List of accredited hospitals and infirmaries (Philippine Health Insurance Corporation, 2026)</w:t>
            </w:r>
          </w:p>
        </w:tc>
        <w:tc>
          <w:tcPr/>
          <w:p>
            <w:pPr>
              <w:pStyle w:val="Compact"/>
              <w:jc w:val="left"/>
            </w:pPr>
            <w:r>
              <w:t xml:space="preserve">Philippine Health Insurance Corporation</w:t>
            </w:r>
          </w:p>
        </w:tc>
        <w:tc>
          <w:tcPr/>
          <w:p>
            <w:pPr>
              <w:pStyle w:val="Compact"/>
              <w:jc w:val="left"/>
            </w:pPr>
            <w:r>
              <w:t xml:space="preserve">Accreditation flag for the cost class</w:t>
            </w:r>
            <w:r>
              <w:t xml:space="preserve"> </w:t>
            </w:r>
            <w:r>
              <w:rPr>
                <w:iCs/>
                <w:i/>
              </w:rPr>
              <w:t xml:space="preserve">q</w:t>
            </w:r>
            <w:r>
              <w:rPr>
                <w:iCs/>
                <w:i/>
                <w:vertAlign w:val="subscript"/>
              </w:rPr>
              <w:t xml:space="preserve">h</w:t>
            </w:r>
          </w:p>
        </w:tc>
        <w:tc>
          <w:tcPr/>
          <w:p>
            <w:pPr>
              <w:pStyle w:val="Compact"/>
              <w:jc w:val="left"/>
            </w:pPr>
            <w:r>
              <w:t xml:space="preserve">Public listing</w:t>
            </w:r>
          </w:p>
        </w:tc>
      </w:tr>
      <w:tr>
        <w:trPr>
          <w:cantSplit/>
        </w:trPr>
        <w:tc>
          <w:tcPr/>
          <w:p>
            <w:pPr>
              <w:pStyle w:val="Compact"/>
              <w:jc w:val="left"/>
            </w:pPr>
            <w:r>
              <w:t xml:space="preserve">Malasakit Center directory (DOH, n.d.-a)</w:t>
            </w:r>
          </w:p>
        </w:tc>
        <w:tc>
          <w:tcPr/>
          <w:p>
            <w:pPr>
              <w:pStyle w:val="Compact"/>
              <w:jc w:val="left"/>
            </w:pPr>
            <w:r>
              <w:t xml:space="preserve">Department of Health</w:t>
            </w:r>
          </w:p>
        </w:tc>
        <w:tc>
          <w:tcPr/>
          <w:p>
            <w:pPr>
              <w:pStyle w:val="Compact"/>
              <w:jc w:val="left"/>
            </w:pPr>
            <w:r>
              <w:t xml:space="preserve">Malasakit flag for the cost class</w:t>
            </w:r>
            <w:r>
              <w:t xml:space="preserve"> </w:t>
            </w:r>
            <w:r>
              <w:rPr>
                <w:iCs/>
                <w:i/>
              </w:rPr>
              <w:t xml:space="preserve">q</w:t>
            </w:r>
            <w:r>
              <w:rPr>
                <w:iCs/>
                <w:i/>
                <w:vertAlign w:val="subscript"/>
              </w:rPr>
              <w:t xml:space="preserve">h</w:t>
            </w:r>
          </w:p>
        </w:tc>
        <w:tc>
          <w:tcPr/>
          <w:p>
            <w:pPr>
              <w:pStyle w:val="Compact"/>
              <w:jc w:val="left"/>
            </w:pPr>
            <w:r>
              <w:t xml:space="preserve">Public listing</w:t>
            </w:r>
          </w:p>
        </w:tc>
      </w:tr>
      <w:tr>
        <w:trPr>
          <w:cantSplit/>
        </w:trPr>
        <w:tc>
          <w:tcPr/>
          <w:p>
            <w:pPr>
              <w:pStyle w:val="Compact"/>
              <w:jc w:val="left"/>
            </w:pPr>
            <w:r>
              <w:t xml:space="preserve">Port listings (Philippine Ports Authority, n.d.)</w:t>
            </w:r>
          </w:p>
        </w:tc>
        <w:tc>
          <w:tcPr/>
          <w:p>
            <w:pPr>
              <w:pStyle w:val="Compact"/>
              <w:jc w:val="left"/>
            </w:pPr>
            <w:r>
              <w:t xml:space="preserve">Philippine Ports Authority</w:t>
            </w:r>
          </w:p>
        </w:tc>
        <w:tc>
          <w:tcPr/>
          <w:p>
            <w:pPr>
              <w:pStyle w:val="Compact"/>
              <w:jc w:val="left"/>
            </w:pPr>
            <w:r>
              <w:t xml:space="preserve">Ports and piers used as anchors</w:t>
            </w:r>
          </w:p>
        </w:tc>
        <w:tc>
          <w:tcPr/>
          <w:p>
            <w:pPr>
              <w:pStyle w:val="Compact"/>
              <w:jc w:val="left"/>
            </w:pPr>
            <w:r>
              <w:t xml:space="preserve">Public listing</w:t>
            </w:r>
          </w:p>
        </w:tc>
      </w:tr>
      <w:tr>
        <w:trPr>
          <w:cantSplit/>
        </w:trPr>
        <w:tc>
          <w:tcPr/>
          <w:p>
            <w:pPr>
              <w:pStyle w:val="Compact"/>
              <w:jc w:val="left"/>
            </w:pPr>
            <w:r>
              <w:t xml:space="preserve">Contact addresses of facilities</w:t>
            </w:r>
          </w:p>
        </w:tc>
        <w:tc>
          <w:tcPr/>
          <w:p>
            <w:pPr>
              <w:pStyle w:val="Compact"/>
              <w:jc w:val="left"/>
            </w:pPr>
            <w:r>
              <w:t xml:space="preserve">Registry entries and official facility websites</w:t>
            </w:r>
          </w:p>
        </w:tc>
        <w:tc>
          <w:tcPr/>
          <w:p>
            <w:pPr>
              <w:pStyle w:val="Compact"/>
              <w:jc w:val="left"/>
            </w:pPr>
            <w:r>
              <w:t xml:space="preserve">Address</w:t>
            </w:r>
            <w:r>
              <w:t xml:space="preserve"> </w:t>
            </w:r>
            <w:r>
              <w:rPr>
                <w:iCs/>
                <w:i/>
              </w:rPr>
              <w:t xml:space="preserve">m</w:t>
            </w:r>
            <w:r>
              <w:rPr>
                <w:iCs/>
                <w:i/>
                <w:vertAlign w:val="subscript"/>
              </w:rPr>
              <w:t xml:space="preserve">h</w:t>
            </w:r>
            <w:r>
              <w:t xml:space="preserve"> </w:t>
            </w:r>
            <w:r>
              <w:t xml:space="preserve">for the inquiry in Appendix F</w:t>
            </w:r>
          </w:p>
        </w:tc>
        <w:tc>
          <w:tcPr/>
          <w:p>
            <w:pPr>
              <w:pStyle w:val="Compact"/>
              <w:jc w:val="left"/>
            </w:pPr>
            <w:r>
              <w:t xml:space="preserve">Public, per facility</w:t>
            </w:r>
          </w:p>
        </w:tc>
      </w:tr>
      <w:tr>
        <w:trPr>
          <w:cantSplit/>
        </w:trPr>
        <w:tc>
          <w:tcPr/>
          <w:p>
            <w:pPr>
              <w:pStyle w:val="Compact"/>
              <w:jc w:val="left"/>
            </w:pPr>
            <w:r>
              <w:t xml:space="preserve">Masterlist of Schools (Department of Education, 2021)</w:t>
            </w:r>
          </w:p>
        </w:tc>
        <w:tc>
          <w:tcPr/>
          <w:p>
            <w:pPr>
              <w:pStyle w:val="Compact"/>
              <w:jc w:val="left"/>
            </w:pPr>
            <w:r>
              <w:t xml:space="preserve">Department of Education</w:t>
            </w:r>
          </w:p>
        </w:tc>
        <w:tc>
          <w:tcPr/>
          <w:p>
            <w:pPr>
              <w:pStyle w:val="Compact"/>
              <w:jc w:val="left"/>
            </w:pPr>
            <w:r>
              <w:t xml:space="preserve">Public elementary and secondary schools, with classroom counts where available</w:t>
            </w:r>
          </w:p>
        </w:tc>
        <w:tc>
          <w:tcPr/>
          <w:p>
            <w:pPr>
              <w:pStyle w:val="Compact"/>
              <w:jc w:val="left"/>
            </w:pPr>
            <w:r>
              <w:t xml:space="preserve">Public release</w:t>
            </w:r>
          </w:p>
        </w:tc>
      </w:tr>
      <w:tr>
        <w:trPr>
          <w:cantSplit/>
        </w:trPr>
        <w:tc>
          <w:tcPr/>
          <w:p>
            <w:pPr>
              <w:pStyle w:val="Compact"/>
              <w:jc w:val="left"/>
            </w:pPr>
            <w:r>
              <w:t xml:space="preserve">Fare adjustment effective September 28, 2026 (Daguno-Bersamina, 2026; Nieto, 2026)</w:t>
            </w:r>
          </w:p>
        </w:tc>
        <w:tc>
          <w:tcPr/>
          <w:p>
            <w:pPr>
              <w:pStyle w:val="Compact"/>
              <w:jc w:val="left"/>
            </w:pPr>
            <w:r>
              <w:t xml:space="preserve">Land Transportation Franchising and Regulatory Board</w:t>
            </w:r>
          </w:p>
        </w:tc>
        <w:tc>
          <w:tcPr/>
          <w:p>
            <w:pPr>
              <w:pStyle w:val="Compact"/>
              <w:jc w:val="left"/>
            </w:pPr>
            <w:r>
              <w:t xml:space="preserve">Fare parameters of Table 6</w:t>
            </w:r>
          </w:p>
        </w:tc>
        <w:tc>
          <w:tcPr/>
          <w:p>
            <w:pPr>
              <w:pStyle w:val="Compact"/>
              <w:jc w:val="left"/>
            </w:pPr>
            <w:r>
              <w:t xml:space="preserve">Public announcement</w:t>
            </w:r>
          </w:p>
        </w:tc>
      </w:tr>
      <w:tr>
        <w:trPr>
          <w:cantSplit/>
        </w:trPr>
        <w:tc>
          <w:tcPr/>
          <w:p>
            <w:pPr>
              <w:pStyle w:val="Compact"/>
              <w:jc w:val="left"/>
            </w:pPr>
            <w:r>
              <w:t xml:space="preserve">Route-plan annexes of LGUs, where published (DILG, 2018; DOTr, 2017)</w:t>
            </w:r>
          </w:p>
        </w:tc>
        <w:tc>
          <w:tcPr/>
          <w:p>
            <w:pPr>
              <w:pStyle w:val="Compact"/>
              <w:jc w:val="left"/>
            </w:pPr>
            <w:r>
              <w:t xml:space="preserve">Municipal and city planning offices</w:t>
            </w:r>
          </w:p>
        </w:tc>
        <w:tc>
          <w:tcPr/>
          <w:p>
            <w:pPr>
              <w:pStyle w:val="Compact"/>
              <w:jc w:val="left"/>
            </w:pPr>
            <w:r>
              <w:t xml:space="preserve">Terminal anchors and named corridors</w:t>
            </w:r>
          </w:p>
        </w:tc>
        <w:tc>
          <w:tcPr/>
          <w:p>
            <w:pPr>
              <w:pStyle w:val="Compact"/>
              <w:jc w:val="left"/>
            </w:pPr>
            <w:r>
              <w:t xml:space="preserve">Depends on the LGU</w:t>
            </w:r>
          </w:p>
        </w:tc>
      </w:tr>
      <w:tr>
        <w:trPr>
          <w:cantSplit/>
        </w:trPr>
        <w:tc>
          <w:tcPr/>
          <w:p>
            <w:pPr>
              <w:pStyle w:val="Compact"/>
              <w:jc w:val="left"/>
            </w:pPr>
            <w:r>
              <w:t xml:space="preserve">Disaster risk reduction plans of LGUs, where published</w:t>
            </w:r>
          </w:p>
        </w:tc>
        <w:tc>
          <w:tcPr/>
          <w:p>
            <w:pPr>
              <w:pStyle w:val="Compact"/>
              <w:jc w:val="left"/>
            </w:pPr>
            <w:r>
              <w:t xml:space="preserve">Municipal and city DRRM offices</w:t>
            </w:r>
          </w:p>
        </w:tc>
        <w:tc>
          <w:tcPr/>
          <w:p>
            <w:pPr>
              <w:pStyle w:val="Compact"/>
              <w:jc w:val="left"/>
            </w:pPr>
            <w:r>
              <w:t xml:space="preserve">Designated evacuation centers</w:t>
            </w:r>
          </w:p>
        </w:tc>
        <w:tc>
          <w:tcPr/>
          <w:p>
            <w:pPr>
              <w:pStyle w:val="Compact"/>
              <w:jc w:val="left"/>
            </w:pPr>
            <w:r>
              <w:t xml:space="preserve">Depends on the LGU</w:t>
            </w:r>
          </w:p>
        </w:tc>
      </w:tr>
      <w:tr>
        <w:trPr>
          <w:cantSplit/>
        </w:trPr>
        <w:tc>
          <w:tcPr/>
          <w:p>
            <w:pPr>
              <w:pStyle w:val="Compact"/>
              <w:jc w:val="left"/>
            </w:pPr>
            <w:r>
              <w:t xml:space="preserve">Bed-status replies (live operation only)</w:t>
            </w:r>
          </w:p>
        </w:tc>
        <w:tc>
          <w:tcPr/>
          <w:p>
            <w:pPr>
              <w:pStyle w:val="Compact"/>
              <w:jc w:val="left"/>
            </w:pPr>
            <w:r>
              <w:t xml:space="preserve">Each participating hospital</w:t>
            </w:r>
          </w:p>
        </w:tc>
        <w:tc>
          <w:tcPr/>
          <w:p>
            <w:pPr>
              <w:pStyle w:val="Compact"/>
              <w:jc w:val="left"/>
            </w:pPr>
            <w:r>
              <w:t xml:space="preserve">Reported capacity, occupancy, and emergency-room status (Definition 15)</w:t>
            </w:r>
          </w:p>
        </w:tc>
        <w:tc>
          <w:tcPr/>
          <w:p>
            <w:pPr>
              <w:pStyle w:val="Compact"/>
              <w:jc w:val="left"/>
            </w:pPr>
            <w:r>
              <w:t xml:space="preserve">Only with the facility’s consent; none used here</w:t>
            </w:r>
          </w:p>
        </w:tc>
      </w:tr>
    </w:tbl>
    <w:bookmarkEnd w:id="193"/>
    <w:bookmarkStart w:id="194" w:name="appendix-b.-gtfs-files-produced"/>
    <w:p>
      <w:pPr>
        <w:pStyle w:val="Heading1"/>
      </w:pPr>
      <w:r>
        <w:t xml:space="preserve">APPENDIX B. GTFS FILES PRODUCED</w:t>
      </w:r>
    </w:p>
    <w:p>
      <w:pPr>
        <w:pStyle w:val="TableCaption"/>
      </w:pPr>
      <w:r>
        <w:rPr>
          <w:bCs/>
          <w:b/>
        </w:rPr>
        <w:t xml:space="preserve">Table B1.</w:t>
      </w:r>
      <w:r>
        <w:t xml:space="preserve"> </w:t>
      </w:r>
      <w:r>
        <w:t xml:space="preserve">Contents of the feed and of its extension files.</w:t>
      </w:r>
    </w:p>
    <w:tbl>
      <w:tblPr>
        <w:tblStyle w:val="Table"/>
        <w:tblW w:type="pct" w:w="5000"/>
        <w:jc w:val="center"/>
        <w:tblCaption w:val="Table B1. Contents of the feed and of its extension file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731"/>
        <w:gridCol w:w="5188"/>
      </w:tblGrid>
      <w:tr>
        <w:trPr>
          <w:tblHeader w:val="true"/>
          <w:tblHeader/>
          <w:cantSplit/>
        </w:trPr>
        <w:tc>
          <w:tcPr/>
          <w:p>
            <w:pPr>
              <w:pStyle w:val="Compact"/>
              <w:jc w:val="left"/>
            </w:pPr>
            <w:r>
              <w:rPr>
                <w:b/>
              </w:rPr>
              <w:t xml:space="preserve">File</w:t>
            </w:r>
          </w:p>
        </w:tc>
        <w:tc>
          <w:tcPr/>
          <w:p>
            <w:pPr>
              <w:pStyle w:val="Compact"/>
              <w:jc w:val="left"/>
            </w:pPr>
            <w:r>
              <w:rPr>
                <w:b/>
              </w:rPr>
              <w:t xml:space="preserve">Contents</w:t>
            </w:r>
          </w:p>
        </w:tc>
      </w:tr>
      <w:tr>
        <w:trPr>
          <w:cantSplit/>
        </w:trPr>
        <w:tc>
          <w:tcPr/>
          <w:p>
            <w:pPr>
              <w:pStyle w:val="Compact"/>
              <w:jc w:val="left"/>
            </w:pPr>
            <w:r>
              <w:t xml:space="preserve">agency.txt</w:t>
            </w:r>
          </w:p>
        </w:tc>
        <w:tc>
          <w:tcPr/>
          <w:p>
            <w:pPr>
              <w:pStyle w:val="Compact"/>
              <w:jc w:val="left"/>
            </w:pPr>
            <w:r>
              <w:t xml:space="preserve">Operator or association name, service area, contact details, time zone</w:t>
            </w:r>
          </w:p>
        </w:tc>
      </w:tr>
      <w:tr>
        <w:trPr>
          <w:cantSplit/>
        </w:trPr>
        <w:tc>
          <w:tcPr/>
          <w:p>
            <w:pPr>
              <w:pStyle w:val="Compact"/>
              <w:jc w:val="left"/>
            </w:pPr>
            <w:r>
              <w:t xml:space="preserve">routes.txt</w:t>
            </w:r>
          </w:p>
        </w:tc>
        <w:tc>
          <w:tcPr/>
          <w:p>
            <w:pPr>
              <w:pStyle w:val="Compact"/>
              <w:jc w:val="left"/>
            </w:pPr>
            <w:r>
              <w:t xml:space="preserve">Route ID, short and long names, mode</w:t>
            </w:r>
          </w:p>
        </w:tc>
      </w:tr>
      <w:tr>
        <w:trPr>
          <w:cantSplit/>
        </w:trPr>
        <w:tc>
          <w:tcPr/>
          <w:p>
            <w:pPr>
              <w:pStyle w:val="Compact"/>
              <w:jc w:val="left"/>
            </w:pPr>
            <w:r>
              <w:t xml:space="preserve">trips.txt</w:t>
            </w:r>
          </w:p>
        </w:tc>
        <w:tc>
          <w:tcPr/>
          <w:p>
            <w:pPr>
              <w:pStyle w:val="Compact"/>
              <w:jc w:val="left"/>
            </w:pPr>
            <w:r>
              <w:t xml:space="preserve">A record for each modeled vehicle run</w:t>
            </w:r>
          </w:p>
        </w:tc>
      </w:tr>
      <w:tr>
        <w:trPr>
          <w:cantSplit/>
        </w:trPr>
        <w:tc>
          <w:tcPr/>
          <w:p>
            <w:pPr>
              <w:pStyle w:val="Compact"/>
              <w:jc w:val="left"/>
            </w:pPr>
            <w:r>
              <w:t xml:space="preserve">stops.txt</w:t>
            </w:r>
          </w:p>
        </w:tc>
        <w:tc>
          <w:tcPr/>
          <w:p>
            <w:pPr>
              <w:pStyle w:val="Compact"/>
              <w:jc w:val="left"/>
            </w:pPr>
            <w:r>
              <w:t xml:space="preserve">Boarding points inferred by the model, with names and coordinates</w:t>
            </w:r>
          </w:p>
        </w:tc>
      </w:tr>
      <w:tr>
        <w:trPr>
          <w:cantSplit/>
        </w:trPr>
        <w:tc>
          <w:tcPr/>
          <w:p>
            <w:pPr>
              <w:pStyle w:val="Compact"/>
              <w:jc w:val="left"/>
            </w:pPr>
            <w:r>
              <w:t xml:space="preserve">stop_times.txt</w:t>
            </w:r>
          </w:p>
        </w:tc>
        <w:tc>
          <w:tcPr/>
          <w:p>
            <w:pPr>
              <w:pStyle w:val="Compact"/>
              <w:jc w:val="left"/>
            </w:pPr>
            <w:r>
              <w:t xml:space="preserve">Arrival and departure time at each stop of each trip</w:t>
            </w:r>
          </w:p>
        </w:tc>
      </w:tr>
      <w:tr>
        <w:trPr>
          <w:cantSplit/>
        </w:trPr>
        <w:tc>
          <w:tcPr/>
          <w:p>
            <w:pPr>
              <w:pStyle w:val="Compact"/>
              <w:jc w:val="left"/>
            </w:pPr>
            <w:r>
              <w:t xml:space="preserve">calendar.txt</w:t>
            </w:r>
          </w:p>
        </w:tc>
        <w:tc>
          <w:tcPr/>
          <w:p>
            <w:pPr>
              <w:pStyle w:val="Compact"/>
              <w:jc w:val="left"/>
            </w:pPr>
            <w:r>
              <w:t xml:space="preserve">Service days, with weekday and Saturday patterns kept apart</w:t>
            </w:r>
          </w:p>
        </w:tc>
      </w:tr>
      <w:tr>
        <w:trPr>
          <w:cantSplit/>
        </w:trPr>
        <w:tc>
          <w:tcPr/>
          <w:p>
            <w:pPr>
              <w:pStyle w:val="Compact"/>
              <w:jc w:val="left"/>
            </w:pPr>
            <w:r>
              <w:t xml:space="preserve">shapes.txt</w:t>
            </w:r>
          </w:p>
        </w:tc>
        <w:tc>
          <w:tcPr/>
          <w:p>
            <w:pPr>
              <w:pStyle w:val="Compact"/>
              <w:jc w:val="left"/>
            </w:pPr>
            <w:r>
              <w:t xml:space="preserve">Generated route geometry</w:t>
            </w:r>
          </w:p>
        </w:tc>
      </w:tr>
      <w:tr>
        <w:trPr>
          <w:cantSplit/>
        </w:trPr>
        <w:tc>
          <w:tcPr/>
          <w:p>
            <w:pPr>
              <w:pStyle w:val="Compact"/>
              <w:jc w:val="left"/>
            </w:pPr>
            <w:r>
              <w:t xml:space="preserve">frequencies.txt</w:t>
            </w:r>
          </w:p>
        </w:tc>
        <w:tc>
          <w:tcPr/>
          <w:p>
            <w:pPr>
              <w:pStyle w:val="Compact"/>
              <w:jc w:val="left"/>
            </w:pPr>
            <w:r>
              <w:t xml:space="preserve">Headway-defined service wherever departure times are not fixed</w:t>
            </w:r>
          </w:p>
        </w:tc>
      </w:tr>
      <w:tr>
        <w:trPr>
          <w:cantSplit/>
        </w:trPr>
        <w:tc>
          <w:tcPr/>
          <w:p>
            <w:pPr>
              <w:pStyle w:val="Compact"/>
              <w:jc w:val="left"/>
            </w:pPr>
            <w:r>
              <w:t xml:space="preserve">fare_attributes.txt</w:t>
            </w:r>
          </w:p>
        </w:tc>
        <w:tc>
          <w:tcPr/>
          <w:p>
            <w:pPr>
              <w:pStyle w:val="Compact"/>
              <w:jc w:val="left"/>
            </w:pPr>
            <w:r>
              <w:t xml:space="preserve">Per mode: base fare, base distance, and rate per succeeding kilometer</w:t>
            </w:r>
          </w:p>
        </w:tc>
      </w:tr>
      <w:tr>
        <w:trPr>
          <w:cantSplit/>
        </w:trPr>
        <w:tc>
          <w:tcPr/>
          <w:p>
            <w:pPr>
              <w:pStyle w:val="Compact"/>
              <w:jc w:val="left"/>
            </w:pPr>
            <w:r>
              <w:t xml:space="preserve">fare_rules.txt</w:t>
            </w:r>
          </w:p>
        </w:tc>
        <w:tc>
          <w:tcPr/>
          <w:p>
            <w:pPr>
              <w:pStyle w:val="Compact"/>
              <w:jc w:val="left"/>
            </w:pPr>
            <w:r>
              <w:t xml:space="preserve">How fares attach to routes and zones</w:t>
            </w:r>
          </w:p>
        </w:tc>
      </w:tr>
      <w:tr>
        <w:trPr>
          <w:cantSplit/>
        </w:trPr>
        <w:tc>
          <w:tcPr/>
          <w:p>
            <w:pPr>
              <w:pStyle w:val="Compact"/>
              <w:jc w:val="left"/>
            </w:pPr>
            <w:r>
              <w:t xml:space="preserve">landmarks.txt (extension)</w:t>
            </w:r>
          </w:p>
        </w:tc>
        <w:tc>
          <w:tcPr/>
          <w:p>
            <w:pPr>
              <w:pStyle w:val="Compact"/>
              <w:jc w:val="left"/>
            </w:pPr>
            <w:r>
              <w:t xml:space="preserve">Anchor and destination inventory, with class, source register, and size</w:t>
            </w:r>
            <w:r>
              <w:t xml:space="preserve"> </w:t>
            </w:r>
            <w:r>
              <w:rPr>
                <w:iCs/>
                <w:i/>
              </w:rPr>
              <w:t xml:space="preserve">w</w:t>
            </w:r>
            <w:r>
              <w:rPr>
                <w:iCs/>
                <w:i/>
                <w:vertAlign w:val="subscript"/>
              </w:rPr>
              <w:t xml:space="preserve">p</w:t>
            </w:r>
          </w:p>
        </w:tc>
      </w:tr>
      <w:tr>
        <w:trPr>
          <w:cantSplit/>
        </w:trPr>
        <w:tc>
          <w:tcPr/>
          <w:p>
            <w:pPr>
              <w:pStyle w:val="Compact"/>
              <w:jc w:val="left"/>
            </w:pPr>
            <w:r>
              <w:t xml:space="preserve">hospitals.txt (extension)</w:t>
            </w:r>
          </w:p>
        </w:tc>
        <w:tc>
          <w:tcPr/>
          <w:p>
            <w:pPr>
              <w:pStyle w:val="Compact"/>
              <w:jc w:val="left"/>
            </w:pPr>
            <w:r>
              <w:t xml:space="preserve">Hospital records of Definition 13: service level, service set, emergency-room flag, ownership, PhilHealth and Malasakit flags, cost class, and contact address</w:t>
            </w:r>
          </w:p>
        </w:tc>
      </w:tr>
      <w:tr>
        <w:trPr>
          <w:cantSplit/>
        </w:trPr>
        <w:tc>
          <w:tcPr/>
          <w:p>
            <w:pPr>
              <w:pStyle w:val="Compact"/>
              <w:jc w:val="left"/>
            </w:pPr>
            <w:r>
              <w:t xml:space="preserve">bed_status.txt (extension, live operation only)</w:t>
            </w:r>
          </w:p>
        </w:tc>
        <w:tc>
          <w:tcPr/>
          <w:p>
            <w:pPr>
              <w:pStyle w:val="Compact"/>
              <w:jc w:val="left"/>
            </w:pPr>
            <w:r>
              <w:t xml:space="preserve">Latest validated report of each hospital: time stamp, reported capacity and occupancy, emergency-room status, free beds, and status. It is served by the Status agent and is never part of the published feed.</w:t>
            </w:r>
          </w:p>
        </w:tc>
      </w:tr>
    </w:tbl>
    <w:bookmarkEnd w:id="194"/>
    <w:bookmarkStart w:id="195" w:name="X994965ca7cdc539cd0e4c89ea885cc6c2a90d7f"/>
    <w:p>
      <w:pPr>
        <w:pStyle w:val="Heading1"/>
      </w:pPr>
      <w:r>
        <w:t xml:space="preserve">APPENDIX C. RULES FOR INCLUDING LANDMARKS AND THE INVENTORY SCHEMA</w:t>
      </w:r>
    </w:p>
    <w:p>
      <w:pPr>
        <w:pStyle w:val="FirstParagraph"/>
      </w:pPr>
      <w:r>
        <w:t xml:space="preserve">The criteria below were settled before the first landmark was listed.</w:t>
      </w:r>
    </w:p>
    <w:p>
      <w:pPr>
        <w:pStyle w:val="BodyText"/>
      </w:pPr>
      <w:r>
        <w:rPr>
          <w:bCs/>
          <w:b/>
        </w:rPr>
        <w:t xml:space="preserve">Inclusion criteria.</w:t>
      </w:r>
      <w:r>
        <w:t xml:space="preserve"> </w:t>
      </w:r>
      <w:r>
        <w:t xml:space="preserve">To enter the landmark set, a place must meet all four conditions.</w:t>
      </w:r>
    </w:p>
    <w:p>
      <w:pPr>
        <w:numPr>
          <w:ilvl w:val="0"/>
          <w:numId w:val="1011"/>
        </w:numPr>
        <w:pStyle w:val="BodyText"/>
        <w:spacing w:after="80"/>
      </w:pPr>
      <w:r>
        <w:t xml:space="preserve">At least one register in Table 4 lists it, under a name familiar to residents.</w:t>
      </w:r>
    </w:p>
    <w:p>
      <w:pPr>
        <w:numPr>
          <w:ilvl w:val="0"/>
          <w:numId w:val="1011"/>
        </w:numPr>
        <w:pStyle w:val="BodyText"/>
        <w:spacing w:after="80"/>
      </w:pPr>
      <w:r>
        <w:t xml:space="preserve">Its published coordinate lies no more than 150 m from a road-network node, so that its entrance node can be assigned mechanically.</w:t>
      </w:r>
    </w:p>
    <w:p>
      <w:pPr>
        <w:numPr>
          <w:ilvl w:val="0"/>
          <w:numId w:val="1011"/>
        </w:numPr>
        <w:pStyle w:val="BodyText"/>
        <w:spacing w:after="80"/>
      </w:pPr>
      <w:r>
        <w:t xml:space="preserve">It is operating now. Facilities that their registers mark as closed, proposed, or under construction are left out.</w:t>
      </w:r>
    </w:p>
    <w:p>
      <w:pPr>
        <w:numPr>
          <w:ilvl w:val="0"/>
          <w:numId w:val="1011"/>
        </w:numPr>
        <w:pStyle w:val="BodyText"/>
        <w:spacing w:after="80"/>
      </w:pPr>
      <w:r>
        <w:t xml:space="preserve">Destinations need a size. The register supplies</w:t>
      </w:r>
      <w:r>
        <w:t xml:space="preserve"> </w:t>
      </w:r>
      <w:r>
        <w:rPr>
          <w:iCs/>
          <w:i/>
        </w:rPr>
        <w:t xml:space="preserve">w</w:t>
      </w:r>
      <w:r>
        <w:rPr>
          <w:iCs/>
          <w:i/>
          <w:vertAlign w:val="subscript"/>
        </w:rPr>
        <w:t xml:space="preserve">p</w:t>
      </w:r>
      <w:r>
        <w:t xml:space="preserve">, or else</w:t>
      </w:r>
      <w:r>
        <w:t xml:space="preserve"> </w:t>
      </w:r>
      <w:r>
        <w:rPr>
          <w:iCs/>
          <w:i/>
        </w:rPr>
        <w:t xml:space="preserve">w</w:t>
      </w:r>
      <w:r>
        <w:rPr>
          <w:iCs/>
          <w:i/>
          <w:vertAlign w:val="subscript"/>
        </w:rPr>
        <w:t xml:space="preserve">p</w:t>
      </w:r>
      <w:r>
        <w:t xml:space="preserve"> </w:t>
      </w:r>
      <w:r>
        <w:t xml:space="preserve">= 1 and the destination is simply counted; one category never mixes counted and sized destinations.</w:t>
      </w:r>
    </w:p>
    <w:p>
      <w:pPr>
        <w:pStyle w:val="FirstParagraph"/>
      </w:pPr>
      <w:r>
        <w:rPr>
          <w:bCs/>
          <w:b/>
        </w:rPr>
        <w:t xml:space="preserve">Exclusion and merging rules.</w:t>
      </w:r>
      <w:r>
        <w:t xml:space="preserve"> </w:t>
      </w:r>
      <w:r>
        <w:t xml:space="preserve">Private schools go into a separate layer, since the atlas concerns the capacity the government provides.</w:t>
      </w:r>
    </w:p>
    <w:p>
      <w:pPr>
        <w:pStyle w:val="TableCaption"/>
      </w:pPr>
      <w:r>
        <w:rPr>
          <w:bCs/>
          <w:b/>
        </w:rPr>
        <w:t xml:space="preserve">Table C1.</w:t>
      </w:r>
      <w:r>
        <w:t xml:space="preserve"> </w:t>
      </w:r>
      <w:r>
        <w:t xml:space="preserve">Fields of the landmark inventory, with the extra fields kept for hospitals.</w:t>
      </w:r>
    </w:p>
    <w:tbl>
      <w:tblPr>
        <w:tblStyle w:val="Table"/>
        <w:tblW w:type="pct" w:w="5000"/>
        <w:jc w:val="center"/>
        <w:tblCaption w:val="Table C1. Fields of the landmark inventory, with the extra fields kept for hospitals."/>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244"/>
        <w:gridCol w:w="1188"/>
        <w:gridCol w:w="4488"/>
      </w:tblGrid>
      <w:tr>
        <w:trPr>
          <w:tblHeader w:val="true"/>
          <w:tblHeader/>
          <w:cantSplit/>
        </w:trPr>
        <w:tc>
          <w:tcPr/>
          <w:p>
            <w:pPr>
              <w:pStyle w:val="Compact"/>
              <w:jc w:val="left"/>
            </w:pPr>
            <w:r>
              <w:rPr>
                <w:b/>
              </w:rPr>
              <w:t xml:space="preserve">Field</w:t>
            </w:r>
          </w:p>
        </w:tc>
        <w:tc>
          <w:tcPr/>
          <w:p>
            <w:pPr>
              <w:pStyle w:val="Compact"/>
              <w:jc w:val="left"/>
            </w:pPr>
            <w:r>
              <w:rPr>
                <w:b/>
              </w:rPr>
              <w:t xml:space="preserve">Type</w:t>
            </w:r>
          </w:p>
        </w:tc>
        <w:tc>
          <w:tcPr/>
          <w:p>
            <w:pPr>
              <w:pStyle w:val="Compact"/>
              <w:jc w:val="left"/>
            </w:pPr>
            <w:r>
              <w:rPr>
                <w:b/>
              </w:rPr>
              <w:t xml:space="preserve">Description</w:t>
            </w:r>
          </w:p>
        </w:tc>
      </w:tr>
      <w:tr>
        <w:trPr>
          <w:cantSplit/>
        </w:trPr>
        <w:tc>
          <w:tcPr/>
          <w:p>
            <w:pPr>
              <w:pStyle w:val="Compact"/>
              <w:jc w:val="left"/>
            </w:pPr>
            <w:r>
              <w:t xml:space="preserve">landmark_id</w:t>
            </w:r>
          </w:p>
        </w:tc>
        <w:tc>
          <w:tcPr/>
          <w:p>
            <w:pPr>
              <w:pStyle w:val="Compact"/>
              <w:jc w:val="left"/>
            </w:pPr>
            <w:r>
              <w:t xml:space="preserve">string</w:t>
            </w:r>
          </w:p>
        </w:tc>
        <w:tc>
          <w:tcPr/>
          <w:p>
            <w:pPr>
              <w:pStyle w:val="Compact"/>
              <w:jc w:val="left"/>
            </w:pPr>
            <w:r>
              <w:t xml:space="preserve">Permanent identifier given by the project</w:t>
            </w:r>
          </w:p>
        </w:tc>
      </w:tr>
      <w:tr>
        <w:trPr>
          <w:cantSplit/>
        </w:trPr>
        <w:tc>
          <w:tcPr/>
          <w:p>
            <w:pPr>
              <w:pStyle w:val="Compact"/>
              <w:jc w:val="left"/>
            </w:pPr>
            <w:r>
              <w:t xml:space="preserve">name</w:t>
            </w:r>
          </w:p>
        </w:tc>
        <w:tc>
          <w:tcPr/>
          <w:p>
            <w:pPr>
              <w:pStyle w:val="Compact"/>
              <w:jc w:val="left"/>
            </w:pPr>
            <w:r>
              <w:t xml:space="preserve">string</w:t>
            </w:r>
          </w:p>
        </w:tc>
        <w:tc>
          <w:tcPr/>
          <w:p>
            <w:pPr>
              <w:pStyle w:val="Compact"/>
              <w:jc w:val="left"/>
            </w:pPr>
            <w:r>
              <w:t xml:space="preserve">Name as written in the source register</w:t>
            </w:r>
          </w:p>
        </w:tc>
      </w:tr>
      <w:tr>
        <w:trPr>
          <w:cantSplit/>
        </w:trPr>
        <w:tc>
          <w:tcPr/>
          <w:p>
            <w:pPr>
              <w:pStyle w:val="Compact"/>
              <w:jc w:val="left"/>
            </w:pPr>
            <w:r>
              <w:t xml:space="preserve">class</w:t>
            </w:r>
          </w:p>
        </w:tc>
        <w:tc>
          <w:tcPr/>
          <w:p>
            <w:pPr>
              <w:pStyle w:val="Compact"/>
              <w:jc w:val="left"/>
            </w:pPr>
            <w:r>
              <w:t xml:space="preserve">enum</w:t>
            </w:r>
          </w:p>
        </w:tc>
        <w:tc>
          <w:tcPr/>
          <w:p>
            <w:pPr>
              <w:pStyle w:val="Compact"/>
              <w:jc w:val="left"/>
            </w:pPr>
            <w:r>
              <w:t xml:space="preserve">A class from Table 4</w:t>
            </w:r>
          </w:p>
        </w:tc>
      </w:tr>
      <w:tr>
        <w:trPr>
          <w:cantSplit/>
        </w:trPr>
        <w:tc>
          <w:tcPr/>
          <w:p>
            <w:pPr>
              <w:pStyle w:val="Compact"/>
              <w:jc w:val="left"/>
            </w:pPr>
            <w:r>
              <w:t xml:space="preserve">role</w:t>
            </w:r>
          </w:p>
        </w:tc>
        <w:tc>
          <w:tcPr/>
          <w:p>
            <w:pPr>
              <w:pStyle w:val="Compact"/>
              <w:jc w:val="left"/>
            </w:pPr>
            <w:r>
              <w:t xml:space="preserve">enum</w:t>
            </w:r>
          </w:p>
        </w:tc>
        <w:tc>
          <w:tcPr/>
          <w:p>
            <w:pPr>
              <w:pStyle w:val="Compact"/>
              <w:jc w:val="left"/>
            </w:pPr>
            <w:r>
              <w:t xml:space="preserve">anchor, destination, or both</w:t>
            </w:r>
          </w:p>
        </w:tc>
      </w:tr>
      <w:tr>
        <w:trPr>
          <w:cantSplit/>
        </w:trPr>
        <w:tc>
          <w:tcPr/>
          <w:p>
            <w:pPr>
              <w:pStyle w:val="Compact"/>
              <w:jc w:val="left"/>
            </w:pPr>
            <w:r>
              <w:t xml:space="preserve">lat, lon</w:t>
            </w:r>
          </w:p>
        </w:tc>
        <w:tc>
          <w:tcPr/>
          <w:p>
            <w:pPr>
              <w:pStyle w:val="Compact"/>
              <w:jc w:val="left"/>
            </w:pPr>
            <w:r>
              <w:t xml:space="preserve">decimal</w:t>
            </w:r>
          </w:p>
        </w:tc>
        <w:tc>
          <w:tcPr/>
          <w:p>
            <w:pPr>
              <w:pStyle w:val="Compact"/>
              <w:jc w:val="left"/>
            </w:pPr>
            <w:r>
              <w:t xml:space="preserve">Coordinate as published (WGS 84)</w:t>
            </w:r>
          </w:p>
        </w:tc>
      </w:tr>
      <w:tr>
        <w:trPr>
          <w:cantSplit/>
        </w:trPr>
        <w:tc>
          <w:tcPr/>
          <w:p>
            <w:pPr>
              <w:pStyle w:val="Compact"/>
              <w:jc w:val="left"/>
            </w:pPr>
            <w:r>
              <w:t xml:space="preserve">entrance_node</w:t>
            </w:r>
          </w:p>
        </w:tc>
        <w:tc>
          <w:tcPr/>
          <w:p>
            <w:pPr>
              <w:pStyle w:val="Compact"/>
              <w:jc w:val="left"/>
            </w:pPr>
            <w:r>
              <w:t xml:space="preserve">integer</w:t>
            </w:r>
          </w:p>
        </w:tc>
        <w:tc>
          <w:tcPr/>
          <w:p>
            <w:pPr>
              <w:pStyle w:val="Compact"/>
              <w:jc w:val="left"/>
            </w:pPr>
            <w:r>
              <w:t xml:space="preserve">Road node serving as</w:t>
            </w:r>
            <w:r>
              <w:t xml:space="preserve"> </w:t>
            </w:r>
            <w:r>
              <w:rPr>
                <w:iCs/>
                <w:i/>
              </w:rPr>
              <w:t xml:space="preserve">o</w:t>
            </w:r>
            <w:r>
              <w:rPr>
                <w:iCs/>
                <w:i/>
                <w:vertAlign w:val="subscript"/>
              </w:rPr>
              <w:t xml:space="preserve">a</w:t>
            </w:r>
            <w:r>
              <w:t xml:space="preserve"> </w:t>
            </w:r>
            <w:r>
              <w:t xml:space="preserve">or as the destination point</w:t>
            </w:r>
          </w:p>
        </w:tc>
      </w:tr>
      <w:tr>
        <w:trPr>
          <w:cantSplit/>
        </w:trPr>
        <w:tc>
          <w:tcPr/>
          <w:p>
            <w:pPr>
              <w:pStyle w:val="Compact"/>
              <w:jc w:val="left"/>
            </w:pPr>
            <w:r>
              <w:t xml:space="preserve">snap_distance_m</w:t>
            </w:r>
          </w:p>
        </w:tc>
        <w:tc>
          <w:tcPr/>
          <w:p>
            <w:pPr>
              <w:pStyle w:val="Compact"/>
              <w:jc w:val="left"/>
            </w:pPr>
            <w:r>
              <w:t xml:space="preserve">decimal</w:t>
            </w:r>
          </w:p>
        </w:tc>
        <w:tc>
          <w:tcPr/>
          <w:p>
            <w:pPr>
              <w:pStyle w:val="Compact"/>
              <w:jc w:val="left"/>
            </w:pPr>
            <w:r>
              <w:t xml:space="preserve">Meters between the published coordinate and the entrance node</w:t>
            </w:r>
          </w:p>
        </w:tc>
      </w:tr>
      <w:tr>
        <w:trPr>
          <w:cantSplit/>
        </w:trPr>
        <w:tc>
          <w:tcPr/>
          <w:p>
            <w:pPr>
              <w:pStyle w:val="Compact"/>
              <w:jc w:val="left"/>
            </w:pPr>
            <w:r>
              <w:t xml:space="preserve">size_w</w:t>
            </w:r>
          </w:p>
        </w:tc>
        <w:tc>
          <w:tcPr/>
          <w:p>
            <w:pPr>
              <w:pStyle w:val="Compact"/>
              <w:jc w:val="left"/>
            </w:pPr>
            <w:r>
              <w:t xml:space="preserve">integer</w:t>
            </w:r>
          </w:p>
        </w:tc>
        <w:tc>
          <w:tcPr/>
          <w:p>
            <w:pPr>
              <w:pStyle w:val="Compact"/>
              <w:jc w:val="left"/>
            </w:pPr>
            <w:r>
              <w:t xml:space="preserve">Beds, classrooms, or service windows; 1 for a counted destination</w:t>
            </w:r>
          </w:p>
        </w:tc>
      </w:tr>
      <w:tr>
        <w:trPr>
          <w:cantSplit/>
        </w:trPr>
        <w:tc>
          <w:tcPr/>
          <w:p>
            <w:pPr>
              <w:pStyle w:val="Compact"/>
              <w:jc w:val="left"/>
            </w:pPr>
            <w:r>
              <w:t xml:space="preserve">lgu_code</w:t>
            </w:r>
          </w:p>
        </w:tc>
        <w:tc>
          <w:tcPr/>
          <w:p>
            <w:pPr>
              <w:pStyle w:val="Compact"/>
              <w:jc w:val="left"/>
            </w:pPr>
            <w:r>
              <w:t xml:space="preserve">string</w:t>
            </w:r>
          </w:p>
        </w:tc>
        <w:tc>
          <w:tcPr/>
          <w:p>
            <w:pPr>
              <w:pStyle w:val="Compact"/>
              <w:jc w:val="left"/>
            </w:pPr>
            <w:r>
              <w:t xml:space="preserve">Philippine Standard Geographic Code of the LGU that contains the landmark</w:t>
            </w:r>
          </w:p>
        </w:tc>
      </w:tr>
      <w:tr>
        <w:trPr>
          <w:cantSplit/>
        </w:trPr>
        <w:tc>
          <w:tcPr/>
          <w:p>
            <w:pPr>
              <w:pStyle w:val="Compact"/>
              <w:jc w:val="left"/>
            </w:pPr>
            <w:r>
              <w:t xml:space="preserve">source</w:t>
            </w:r>
          </w:p>
        </w:tc>
        <w:tc>
          <w:tcPr/>
          <w:p>
            <w:pPr>
              <w:pStyle w:val="Compact"/>
              <w:jc w:val="left"/>
            </w:pPr>
            <w:r>
              <w:t xml:space="preserve">string</w:t>
            </w:r>
          </w:p>
        </w:tc>
        <w:tc>
          <w:tcPr/>
          <w:p>
            <w:pPr>
              <w:pStyle w:val="Compact"/>
              <w:jc w:val="left"/>
            </w:pPr>
            <w:r>
              <w:t xml:space="preserve">Register that the record came from</w:t>
            </w:r>
          </w:p>
        </w:tc>
      </w:tr>
      <w:tr>
        <w:trPr>
          <w:cantSplit/>
        </w:trPr>
        <w:tc>
          <w:tcPr/>
          <w:p>
            <w:pPr>
              <w:pStyle w:val="Compact"/>
              <w:jc w:val="left"/>
            </w:pPr>
            <w:r>
              <w:t xml:space="preserve">source_date</w:t>
            </w:r>
          </w:p>
        </w:tc>
        <w:tc>
          <w:tcPr/>
          <w:p>
            <w:pPr>
              <w:pStyle w:val="Compact"/>
              <w:jc w:val="left"/>
            </w:pPr>
            <w:r>
              <w:t xml:space="preserve">date</w:t>
            </w:r>
          </w:p>
        </w:tc>
        <w:tc>
          <w:tcPr/>
          <w:p>
            <w:pPr>
              <w:pStyle w:val="Compact"/>
              <w:jc w:val="left"/>
            </w:pPr>
            <w:r>
              <w:t xml:space="preserve">Date on which the register was consulted</w:t>
            </w:r>
          </w:p>
        </w:tc>
      </w:tr>
      <w:tr>
        <w:trPr>
          <w:cantSplit/>
        </w:trPr>
        <w:tc>
          <w:tcPr/>
          <w:p>
            <w:pPr>
              <w:pStyle w:val="Compact"/>
              <w:jc w:val="left"/>
            </w:pPr>
            <w:r>
              <w:t xml:space="preserve">merge_log</w:t>
            </w:r>
          </w:p>
        </w:tc>
        <w:tc>
          <w:tcPr/>
          <w:p>
            <w:pPr>
              <w:pStyle w:val="Compact"/>
              <w:jc w:val="left"/>
            </w:pPr>
            <w:r>
              <w:t xml:space="preserve">string</w:t>
            </w:r>
          </w:p>
        </w:tc>
        <w:tc>
          <w:tcPr/>
          <w:p>
            <w:pPr>
              <w:pStyle w:val="Compact"/>
              <w:jc w:val="left"/>
            </w:pPr>
            <w:r>
              <w:t xml:space="preserve">Identifiers of records merged into this one</w:t>
            </w:r>
          </w:p>
        </w:tc>
      </w:tr>
      <w:tr>
        <w:trPr>
          <w:cantSplit/>
        </w:trPr>
        <w:tc>
          <w:tcPr/>
          <w:p>
            <w:pPr>
              <w:pStyle w:val="Compact"/>
              <w:jc w:val="left"/>
            </w:pPr>
            <w:r>
              <w:rPr>
                <w:iCs/>
                <w:i/>
              </w:rPr>
              <w:t xml:space="preserve">Hospitals and infirmaries only</w:t>
            </w:r>
          </w:p>
        </w:tc>
        <w:tc>
          <w:tcPr/>
          <w:p>
            <w:pPr>
              <w:pStyle w:val="Compact"/>
            </w:pPr>
          </w:p>
        </w:tc>
        <w:tc>
          <w:tcPr/>
          <w:p>
            <w:pPr>
              <w:pStyle w:val="Compact"/>
            </w:pPr>
          </w:p>
        </w:tc>
      </w:tr>
      <w:tr>
        <w:trPr>
          <w:cantSplit/>
        </w:trPr>
        <w:tc>
          <w:tcPr/>
          <w:p>
            <w:pPr>
              <w:pStyle w:val="Compact"/>
              <w:jc w:val="left"/>
            </w:pPr>
            <w:r>
              <w:t xml:space="preserve">service_level</w:t>
            </w:r>
          </w:p>
        </w:tc>
        <w:tc>
          <w:tcPr/>
          <w:p>
            <w:pPr>
              <w:pStyle w:val="Compact"/>
              <w:jc w:val="left"/>
            </w:pPr>
            <w:r>
              <w:t xml:space="preserve">integer</w:t>
            </w:r>
          </w:p>
        </w:tc>
        <w:tc>
          <w:tcPr/>
          <w:p>
            <w:pPr>
              <w:pStyle w:val="Compact"/>
              <w:jc w:val="left"/>
            </w:pPr>
            <w:r>
              <w:t xml:space="preserve">η</w:t>
            </w:r>
            <w:r>
              <w:rPr>
                <w:iCs/>
                <w:i/>
                <w:vertAlign w:val="subscript"/>
              </w:rPr>
              <w:t xml:space="preserve">h</w:t>
            </w:r>
            <w:r>
              <w:t xml:space="preserve">: 0 for an infirmary, 1 to 3 for a hospital level (Table 7)</w:t>
            </w:r>
          </w:p>
        </w:tc>
      </w:tr>
      <w:tr>
        <w:trPr>
          <w:cantSplit/>
        </w:trPr>
        <w:tc>
          <w:tcPr/>
          <w:p>
            <w:pPr>
              <w:pStyle w:val="Compact"/>
              <w:jc w:val="left"/>
            </w:pPr>
            <w:r>
              <w:t xml:space="preserve">services</w:t>
            </w:r>
          </w:p>
        </w:tc>
        <w:tc>
          <w:tcPr/>
          <w:p>
            <w:pPr>
              <w:pStyle w:val="Compact"/>
              <w:jc w:val="left"/>
            </w:pPr>
            <w:r>
              <w:t xml:space="preserve">list</w:t>
            </w:r>
          </w:p>
        </w:tc>
        <w:tc>
          <w:tcPr/>
          <w:p>
            <w:pPr>
              <w:pStyle w:val="Compact"/>
              <w:jc w:val="left"/>
            </w:pPr>
            <w:r>
              <w:t xml:space="preserve">Σ</w:t>
            </w:r>
            <w:r>
              <w:rPr>
                <w:iCs/>
                <w:i/>
                <w:vertAlign w:val="subscript"/>
              </w:rPr>
              <w:t xml:space="preserve">h</w:t>
            </w:r>
            <w:r>
              <w:t xml:space="preserve">: codes from Table 8, after Equation (12)</w:t>
            </w:r>
          </w:p>
        </w:tc>
      </w:tr>
      <w:tr>
        <w:trPr>
          <w:cantSplit/>
        </w:trPr>
        <w:tc>
          <w:tcPr/>
          <w:p>
            <w:pPr>
              <w:pStyle w:val="Compact"/>
              <w:jc w:val="left"/>
            </w:pPr>
            <w:r>
              <w:t xml:space="preserve">services_source</w:t>
            </w:r>
          </w:p>
        </w:tc>
        <w:tc>
          <w:tcPr/>
          <w:p>
            <w:pPr>
              <w:pStyle w:val="Compact"/>
              <w:jc w:val="left"/>
            </w:pPr>
            <w:r>
              <w:t xml:space="preserve">string</w:t>
            </w:r>
          </w:p>
        </w:tc>
        <w:tc>
          <w:tcPr/>
          <w:p>
            <w:pPr>
              <w:pStyle w:val="Compact"/>
              <w:jc w:val="left"/>
            </w:pPr>
            <w:r>
              <w:t xml:space="preserve">Register entry behind any change from the level default, with its date</w:t>
            </w:r>
          </w:p>
        </w:tc>
      </w:tr>
      <w:tr>
        <w:trPr>
          <w:cantSplit/>
        </w:trPr>
        <w:tc>
          <w:tcPr/>
          <w:p>
            <w:pPr>
              <w:pStyle w:val="Compact"/>
              <w:jc w:val="left"/>
            </w:pPr>
            <w:r>
              <w:t xml:space="preserve">er_flag</w:t>
            </w:r>
          </w:p>
        </w:tc>
        <w:tc>
          <w:tcPr/>
          <w:p>
            <w:pPr>
              <w:pStyle w:val="Compact"/>
              <w:jc w:val="left"/>
            </w:pPr>
            <w:r>
              <w:t xml:space="preserve">boolean</w:t>
            </w:r>
          </w:p>
        </w:tc>
        <w:tc>
          <w:tcPr/>
          <w:p>
            <w:pPr>
              <w:pStyle w:val="Compact"/>
              <w:jc w:val="left"/>
            </w:pPr>
            <w:r>
              <w:rPr>
                <w:iCs/>
                <w:i/>
              </w:rPr>
              <w:t xml:space="preserve">e</w:t>
            </w:r>
            <w:r>
              <w:rPr>
                <w:iCs/>
                <w:i/>
                <w:vertAlign w:val="subscript"/>
              </w:rPr>
              <w:t xml:space="preserve">h</w:t>
            </w:r>
            <w:r>
              <w:t xml:space="preserve">: whether an emergency room is present</w:t>
            </w:r>
          </w:p>
        </w:tc>
      </w:tr>
      <w:tr>
        <w:trPr>
          <w:cantSplit/>
        </w:trPr>
        <w:tc>
          <w:tcPr/>
          <w:p>
            <w:pPr>
              <w:pStyle w:val="Compact"/>
              <w:jc w:val="left"/>
            </w:pPr>
            <w:r>
              <w:t xml:space="preserve">ownership</w:t>
            </w:r>
          </w:p>
        </w:tc>
        <w:tc>
          <w:tcPr/>
          <w:p>
            <w:pPr>
              <w:pStyle w:val="Compact"/>
              <w:jc w:val="left"/>
            </w:pPr>
            <w:r>
              <w:t xml:space="preserve">enum</w:t>
            </w:r>
          </w:p>
        </w:tc>
        <w:tc>
          <w:tcPr/>
          <w:p>
            <w:pPr>
              <w:pStyle w:val="Compact"/>
              <w:jc w:val="left"/>
            </w:pPr>
            <w:r>
              <w:t xml:space="preserve">government or private</w:t>
            </w:r>
          </w:p>
        </w:tc>
      </w:tr>
      <w:tr>
        <w:trPr>
          <w:cantSplit/>
        </w:trPr>
        <w:tc>
          <w:tcPr/>
          <w:p>
            <w:pPr>
              <w:pStyle w:val="Compact"/>
              <w:jc w:val="left"/>
            </w:pPr>
            <w:r>
              <w:t xml:space="preserve">philhealth_accredited</w:t>
            </w:r>
          </w:p>
        </w:tc>
        <w:tc>
          <w:tcPr/>
          <w:p>
            <w:pPr>
              <w:pStyle w:val="Compact"/>
              <w:jc w:val="left"/>
            </w:pPr>
            <w:r>
              <w:t xml:space="preserve">boolean</w:t>
            </w:r>
          </w:p>
        </w:tc>
        <w:tc>
          <w:tcPr/>
          <w:p>
            <w:pPr>
              <w:pStyle w:val="Compact"/>
              <w:jc w:val="left"/>
            </w:pPr>
            <w:r>
              <w:t xml:space="preserve">Whether the facility is on the PhilHealth accreditation list</w:t>
            </w:r>
          </w:p>
        </w:tc>
      </w:tr>
      <w:tr>
        <w:trPr>
          <w:cantSplit/>
        </w:trPr>
        <w:tc>
          <w:tcPr/>
          <w:p>
            <w:pPr>
              <w:pStyle w:val="Compact"/>
              <w:jc w:val="left"/>
            </w:pPr>
            <w:r>
              <w:t xml:space="preserve">malasakit_center</w:t>
            </w:r>
          </w:p>
        </w:tc>
        <w:tc>
          <w:tcPr/>
          <w:p>
            <w:pPr>
              <w:pStyle w:val="Compact"/>
              <w:jc w:val="left"/>
            </w:pPr>
            <w:r>
              <w:t xml:space="preserve">boolean</w:t>
            </w:r>
          </w:p>
        </w:tc>
        <w:tc>
          <w:tcPr/>
          <w:p>
            <w:pPr>
              <w:pStyle w:val="Compact"/>
              <w:jc w:val="left"/>
            </w:pPr>
            <w:r>
              <w:t xml:space="preserve">Whether a Malasakit Center is present</w:t>
            </w:r>
          </w:p>
        </w:tc>
      </w:tr>
      <w:tr>
        <w:trPr>
          <w:cantSplit/>
        </w:trPr>
        <w:tc>
          <w:tcPr/>
          <w:p>
            <w:pPr>
              <w:pStyle w:val="Compact"/>
              <w:jc w:val="left"/>
            </w:pPr>
            <w:r>
              <w:t xml:space="preserve">cost_class</w:t>
            </w:r>
          </w:p>
        </w:tc>
        <w:tc>
          <w:tcPr/>
          <w:p>
            <w:pPr>
              <w:pStyle w:val="Compact"/>
              <w:jc w:val="left"/>
            </w:pPr>
            <w:r>
              <w:t xml:space="preserve">integer</w:t>
            </w:r>
          </w:p>
        </w:tc>
        <w:tc>
          <w:tcPr/>
          <w:p>
            <w:pPr>
              <w:pStyle w:val="Compact"/>
              <w:jc w:val="left"/>
            </w:pPr>
            <w:r>
              <w:rPr>
                <w:iCs/>
                <w:i/>
              </w:rPr>
              <w:t xml:space="preserve">q</w:t>
            </w:r>
            <w:r>
              <w:rPr>
                <w:iCs/>
                <w:i/>
                <w:vertAlign w:val="subscript"/>
              </w:rPr>
              <w:t xml:space="preserve">h</w:t>
            </w:r>
            <w:r>
              <w:t xml:space="preserve"> </w:t>
            </w:r>
            <w:r>
              <w:t xml:space="preserve">by Equation (11)</w:t>
            </w:r>
          </w:p>
        </w:tc>
      </w:tr>
      <w:tr>
        <w:trPr>
          <w:cantSplit/>
        </w:trPr>
        <w:tc>
          <w:tcPr/>
          <w:p>
            <w:pPr>
              <w:pStyle w:val="Compact"/>
              <w:jc w:val="left"/>
            </w:pPr>
            <w:r>
              <w:t xml:space="preserve">contact_email</w:t>
            </w:r>
          </w:p>
        </w:tc>
        <w:tc>
          <w:tcPr/>
          <w:p>
            <w:pPr>
              <w:pStyle w:val="Compact"/>
              <w:jc w:val="left"/>
            </w:pPr>
            <w:r>
              <w:t xml:space="preserve">string</w:t>
            </w:r>
          </w:p>
        </w:tc>
        <w:tc>
          <w:tcPr/>
          <w:p>
            <w:pPr>
              <w:pStyle w:val="Compact"/>
              <w:jc w:val="left"/>
            </w:pPr>
            <w:r>
              <w:t xml:space="preserve">Official e-mail address of the facility (never a personal one)</w:t>
            </w:r>
          </w:p>
        </w:tc>
      </w:tr>
    </w:tbl>
    <w:bookmarkEnd w:id="195"/>
    <w:bookmarkStart w:id="196" w:name="Xe983620f88fd7224d1947cb537bbdfb61995160"/>
    <w:p>
      <w:pPr>
        <w:pStyle w:val="Heading1"/>
      </w:pPr>
      <w:r>
        <w:t xml:space="preserve">APPENDIX D. APPLICATION FEATURE CHECKLIST</w:t>
      </w:r>
    </w:p>
    <w:p>
      <w:pPr>
        <w:pStyle w:val="FirstParagraph"/>
      </w:pPr>
      <w:r>
        <w:t xml:space="preserve">Each feature ends with the SDG target or targets it is meant to support (UNGA, 2015).</w:t>
      </w:r>
    </w:p>
    <w:p>
      <w:pPr>
        <w:pStyle w:val="BodyText"/>
        <w:keepNext/>
      </w:pPr>
      <w:r>
        <w:rPr>
          <w:bCs/>
          <w:b/>
        </w:rPr>
        <w:t xml:space="preserve">Hospital mode</w:t>
      </w:r>
    </w:p>
    <w:p>
      <w:pPr>
        <w:numPr>
          <w:ilvl w:val="0"/>
          <w:numId w:val="1012"/>
        </w:numPr>
        <w:pStyle w:val="BodyText"/>
        <w:spacing w:after="80"/>
      </w:pPr>
      <w:r>
        <w:t xml:space="preserve">A hospital-mode switch that leaves only hospitals and infirmaries on the map and changes the screen to step-by-step guidance toward a hospital (SDG 3.8).</w:t>
      </w:r>
    </w:p>
    <w:p>
      <w:pPr>
        <w:numPr>
          <w:ilvl w:val="0"/>
          <w:numId w:val="1012"/>
        </w:numPr>
        <w:pStyle w:val="BodyText"/>
        <w:spacing w:after="80"/>
      </w:pPr>
      <w:r>
        <w:t xml:space="preserve">Two travel modes: the ambulance, which uses the ambulance class of Table 5 on roads, and the patient, who rides public transport and walks.</w:t>
      </w:r>
    </w:p>
    <w:p>
      <w:pPr>
        <w:numPr>
          <w:ilvl w:val="0"/>
          <w:numId w:val="1012"/>
        </w:numPr>
        <w:pStyle w:val="BodyText"/>
        <w:spacing w:after="80"/>
      </w:pPr>
      <w:r>
        <w:t xml:space="preserve">Plain-language choices for the five acuity levels of Table 12, made by the crew or by the user.</w:t>
      </w:r>
    </w:p>
    <w:p>
      <w:pPr>
        <w:numPr>
          <w:ilvl w:val="0"/>
          <w:numId w:val="1012"/>
        </w:numPr>
        <w:pStyle w:val="BodyText"/>
        <w:spacing w:after="80"/>
      </w:pPr>
      <w:r>
        <w:t xml:space="preserve">A needs selector that lists the eight services of Table 8 in plain words, with</w:t>
      </w:r>
      <w:r>
        <w:t xml:space="preserve"> </w:t>
      </w:r>
      <w:r>
        <w:t xml:space="preserve">“</w:t>
      </w:r>
      <w:r>
        <w:t xml:space="preserve">no particular need</w:t>
      </w:r>
      <w:r>
        <w:t xml:space="preserve">”</w:t>
      </w:r>
      <w:r>
        <w:t xml:space="preserve"> </w:t>
      </w:r>
      <w:r>
        <w:t xml:space="preserve">as the default (SDG 3.1, 3.2, and 3.8).</w:t>
      </w:r>
    </w:p>
    <w:p>
      <w:pPr>
        <w:numPr>
          <w:ilvl w:val="0"/>
          <w:numId w:val="1012"/>
        </w:numPr>
        <w:pStyle w:val="BodyText"/>
        <w:spacing w:after="80"/>
      </w:pPr>
      <w:r>
        <w:t xml:space="preserve">A mobility switch (</w:t>
      </w:r>
      <w:r>
        <w:t xml:space="preserve">“</w:t>
      </w:r>
      <w:r>
        <w:t xml:space="preserve">I walk slowly</w:t>
      </w:r>
      <w:r>
        <w:t xml:space="preserve">”</w:t>
      </w:r>
      <w:r>
        <w:t xml:space="preserve">) that applies the slow class of Definition 16 to every walking leg (SDG 11.2 and 10.2).</w:t>
      </w:r>
    </w:p>
    <w:p>
      <w:pPr>
        <w:numPr>
          <w:ilvl w:val="0"/>
          <w:numId w:val="1012"/>
        </w:numPr>
        <w:pStyle w:val="BodyText"/>
        <w:spacing w:after="80"/>
      </w:pPr>
      <w:r>
        <w:t xml:space="preserve">Payment-class filtering among the four classes of Table 9. The filter is switched off automatically at acuity levels 1 and 2, so emergency routing is never delayed by cost (SDG 3.8 and 1.4).</w:t>
      </w:r>
    </w:p>
    <w:p>
      <w:pPr>
        <w:numPr>
          <w:ilvl w:val="0"/>
          <w:numId w:val="1012"/>
        </w:numPr>
        <w:pStyle w:val="BodyText"/>
        <w:spacing w:after="80"/>
      </w:pPr>
      <w:r>
        <w:t xml:space="preserve">A hospital information card showing the route, travel time, care level, services, cost class, free beds, and the age of the report. An UNKNOWN status is shown as unknown, never as available (SDG 3.8 and 3.d).</w:t>
      </w:r>
    </w:p>
    <w:p>
      <w:pPr>
        <w:numPr>
          <w:ilvl w:val="0"/>
          <w:numId w:val="1012"/>
        </w:numPr>
        <w:pStyle w:val="BodyText"/>
        <w:spacing w:after="80"/>
      </w:pPr>
      <w:r>
        <w:t xml:space="preserve">A backup list showing the next two suitable hospitals and the extra minutes each would cost (Definition 18).</w:t>
      </w:r>
    </w:p>
    <w:p>
      <w:pPr>
        <w:numPr>
          <w:ilvl w:val="0"/>
          <w:numId w:val="1012"/>
        </w:numPr>
        <w:pStyle w:val="BodyText"/>
        <w:spacing w:after="80"/>
      </w:pPr>
      <w:r>
        <w:t xml:space="preserve">A stabilization prompt: for acuity level 1, if an open emergency room is more than θ</w:t>
      </w:r>
      <w:r>
        <w:rPr>
          <w:iCs/>
          <w:i/>
          <w:vertAlign w:val="subscript"/>
        </w:rPr>
        <w:t xml:space="preserve">stab</w:t>
      </w:r>
      <w:r>
        <w:t xml:space="preserve"> </w:t>
      </w:r>
      <w:r>
        <w:t xml:space="preserve">nearer than the nearest suitable hospital, the application advises stabilization there first (Definition 19; SDG 3.8).</w:t>
      </w:r>
    </w:p>
    <w:p>
      <w:pPr>
        <w:numPr>
          <w:ilvl w:val="0"/>
          <w:numId w:val="1012"/>
        </w:numPr>
        <w:pStyle w:val="BodyText"/>
        <w:spacing w:after="80"/>
      </w:pPr>
      <w:r>
        <w:t xml:space="preserve">A one-tap shortcut to call 911 on every hospital-mode screen, in line with Executive Order No. 56 (2018).</w:t>
      </w:r>
    </w:p>
    <w:p>
      <w:pPr>
        <w:numPr>
          <w:ilvl w:val="0"/>
          <w:numId w:val="1012"/>
        </w:numPr>
        <w:pStyle w:val="BodyText"/>
        <w:spacing w:after="80"/>
      </w:pPr>
      <w:r>
        <w:t xml:space="preserve">A read-only dashboard for the Provincial Health Office showing free beds and report age by municipality (SDG 3.d).</w:t>
      </w:r>
    </w:p>
    <w:p>
      <w:pPr>
        <w:numPr>
          <w:ilvl w:val="0"/>
          <w:numId w:val="1012"/>
        </w:numPr>
        <w:pStyle w:val="BodyText"/>
        <w:spacing w:after="80"/>
      </w:pPr>
      <w:r>
        <w:t xml:space="preserve">Catchment and bed-desert layers on the dashboard, drawn for a chosen patient profile (Definitions 22 and 23; SDG 3.8 and 10.2).</w:t>
      </w:r>
    </w:p>
    <w:p>
      <w:pPr>
        <w:numPr>
          <w:ilvl w:val="0"/>
          <w:numId w:val="1012"/>
        </w:numPr>
        <w:pStyle w:val="BodyText"/>
        <w:spacing w:after="80"/>
      </w:pPr>
      <w:r>
        <w:t xml:space="preserve">A surge view on the dashboard that takes a list of waiting patients and proposes an assignment by Algorithm 3 for a dispatcher to confirm (Definition 24; SDG 3.d and 11.5).</w:t>
      </w:r>
    </w:p>
    <w:p>
      <w:pPr>
        <w:numPr>
          <w:ilvl w:val="0"/>
          <w:numId w:val="1012"/>
        </w:numPr>
        <w:pStyle w:val="BodyText"/>
        <w:spacing w:after="80"/>
      </w:pPr>
      <w:r>
        <w:t xml:space="preserve">A critical-road list for the PDRRMO, ranked by Definition 25, for use before and after typhoons and eruptions (SDG 11.5 and 13.1).</w:t>
      </w:r>
    </w:p>
    <w:p>
      <w:pPr>
        <w:pStyle w:val="FirstParagraph"/>
        <w:keepNext/>
      </w:pPr>
      <w:r>
        <w:rPr>
          <w:bCs/>
          <w:b/>
        </w:rPr>
        <w:t xml:space="preserve">Transport features</w:t>
      </w:r>
    </w:p>
    <w:p>
      <w:pPr>
        <w:numPr>
          <w:ilvl w:val="0"/>
          <w:numId w:val="1013"/>
        </w:numPr>
        <w:pStyle w:val="BodyText"/>
        <w:spacing w:after="80"/>
      </w:pPr>
      <w:r>
        <w:t xml:space="preserve">Door-to-door journey planning inside the study area, telling the user when they will arrive, how much they will pay, which vehicle to take, and where to get on and off (SDG 11.2).</w:t>
      </w:r>
    </w:p>
    <w:p>
      <w:pPr>
        <w:numPr>
          <w:ilvl w:val="0"/>
          <w:numId w:val="1013"/>
        </w:numPr>
        <w:pStyle w:val="BodyText"/>
        <w:spacing w:after="80"/>
      </w:pPr>
      <w:r>
        <w:t xml:space="preserve">A discount switch for senior citizens, students, and persons with disability (SDG 11.2 and 10.2).</w:t>
      </w:r>
    </w:p>
    <w:p>
      <w:pPr>
        <w:numPr>
          <w:ilvl w:val="0"/>
          <w:numId w:val="1013"/>
        </w:numPr>
        <w:pStyle w:val="BodyText"/>
        <w:spacing w:after="80"/>
      </w:pPr>
      <w:r>
        <w:t xml:space="preserve">Walking directions for the first and last mile, with a cap on walking time (SDG 11.2).</w:t>
      </w:r>
    </w:p>
    <w:p>
      <w:pPr>
        <w:numPr>
          <w:ilvl w:val="0"/>
          <w:numId w:val="1013"/>
        </w:numPr>
        <w:pStyle w:val="BodyText"/>
        <w:spacing w:after="80"/>
      </w:pPr>
      <w:r>
        <w:t xml:space="preserve">A choice among the ten vehicle classes of Table 5, giving a road route that the class can use and marking any restricted segments (SDG 9.1 and 11.5).</w:t>
      </w:r>
    </w:p>
    <w:p>
      <w:pPr>
        <w:numPr>
          <w:ilvl w:val="0"/>
          <w:numId w:val="1013"/>
        </w:numPr>
        <w:pStyle w:val="BodyText"/>
        <w:spacing w:after="80"/>
      </w:pPr>
      <w:r>
        <w:t xml:space="preserve">A fare lookup between any two named landmarks (SDG 11.2).</w:t>
      </w:r>
    </w:p>
    <w:p>
      <w:pPr>
        <w:numPr>
          <w:ilvl w:val="0"/>
          <w:numId w:val="1013"/>
        </w:numPr>
        <w:pStyle w:val="BodyText"/>
        <w:spacing w:after="80"/>
      </w:pPr>
      <w:r>
        <w:t xml:space="preserve">A 30-minute landmark accessibility map, with a slider for other budgets (SDG 11.2, 10.3, and 4.a).</w:t>
      </w:r>
    </w:p>
    <w:p>
      <w:pPr>
        <w:numPr>
          <w:ilvl w:val="0"/>
          <w:numId w:val="1013"/>
        </w:numPr>
        <w:pStyle w:val="BodyText"/>
        <w:spacing w:after="80"/>
      </w:pPr>
      <w:r>
        <w:t xml:space="preserve">Offline storage of the road extract and the feed for times of weak signal, such as typhoons (SDG 11.5 and 13.1).</w:t>
      </w:r>
    </w:p>
    <w:p>
      <w:pPr>
        <w:numPr>
          <w:ilvl w:val="0"/>
          <w:numId w:val="1013"/>
        </w:numPr>
        <w:pStyle w:val="BodyText"/>
        <w:spacing w:after="80"/>
      </w:pPr>
      <w:r>
        <w:t xml:space="preserve">A button for reporting errors, so that riders can help fix the dataset once it is released. This is the only route by which field observations could reach the transport dataset, and only after publication; corrections are logged by date, and none was used in this paper (SDG 17.18).</w:t>
      </w:r>
    </w:p>
    <w:bookmarkEnd w:id="196"/>
    <w:bookmarkStart w:id="197" w:name="appendix-e.-risk-register"/>
    <w:p>
      <w:pPr>
        <w:pStyle w:val="Heading1"/>
      </w:pPr>
      <w:r>
        <w:t xml:space="preserve">APPENDIX E. RISK REGISTER</w:t>
      </w:r>
    </w:p>
    <w:p>
      <w:pPr>
        <w:pStyle w:val="FirstParagraph"/>
      </w:pPr>
      <w:r>
        <w:t xml:space="preserve">The work poses no physical risk to human subjects.</w:t>
      </w:r>
    </w:p>
    <w:p>
      <w:pPr>
        <w:pStyle w:val="TableCaption"/>
      </w:pPr>
      <w:r>
        <w:rPr>
          <w:bCs/>
          <w:b/>
        </w:rPr>
        <w:t xml:space="preserve">Table E1.</w:t>
      </w:r>
      <w:r>
        <w:t xml:space="preserve"> </w:t>
      </w:r>
      <w:r>
        <w:t xml:space="preserve">Risks and how each is handled.</w:t>
      </w:r>
    </w:p>
    <w:tbl>
      <w:tblPr>
        <w:tblStyle w:val="Table"/>
        <w:tblW w:type="pct" w:w="5000"/>
        <w:jc w:val="center"/>
        <w:tblCaption w:val="Table E1. Risks and how each is handl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227"/>
        <w:gridCol w:w="990"/>
        <w:gridCol w:w="4702"/>
      </w:tblGrid>
      <w:tr>
        <w:trPr>
          <w:tblHeader w:val="true"/>
          <w:tblHeader/>
          <w:cantSplit/>
        </w:trPr>
        <w:tc>
          <w:tcPr/>
          <w:p>
            <w:pPr>
              <w:pStyle w:val="Compact"/>
              <w:jc w:val="left"/>
            </w:pPr>
            <w:r>
              <w:rPr>
                <w:b/>
              </w:rPr>
              <w:t xml:space="preserve">Risk</w:t>
            </w:r>
          </w:p>
        </w:tc>
        <w:tc>
          <w:tcPr/>
          <w:p>
            <w:pPr>
              <w:pStyle w:val="Compact"/>
              <w:jc w:val="center"/>
            </w:pPr>
            <w:r>
              <w:rPr>
                <w:b/>
              </w:rPr>
              <w:t xml:space="preserve">Likelihood</w:t>
            </w:r>
          </w:p>
        </w:tc>
        <w:tc>
          <w:tcPr/>
          <w:p>
            <w:pPr>
              <w:pStyle w:val="Compact"/>
              <w:jc w:val="left"/>
            </w:pPr>
            <w:r>
              <w:rPr>
                <w:b/>
              </w:rPr>
              <w:t xml:space="preserve">How It Is Handled</w:t>
            </w:r>
          </w:p>
        </w:tc>
      </w:tr>
      <w:tr>
        <w:trPr>
          <w:cantSplit/>
        </w:trPr>
        <w:tc>
          <w:tcPr/>
          <w:p>
            <w:pPr>
              <w:pStyle w:val="Compact"/>
              <w:jc w:val="left"/>
            </w:pPr>
            <w:r>
              <w:t xml:space="preserve">Model output mistaken for real-world measurement</w:t>
            </w:r>
          </w:p>
        </w:tc>
        <w:tc>
          <w:tcPr/>
          <w:p>
            <w:pPr>
              <w:pStyle w:val="Compact"/>
              <w:jc w:val="center"/>
            </w:pPr>
            <w:r>
              <w:t xml:space="preserve">High</w:t>
            </w:r>
          </w:p>
        </w:tc>
        <w:tc>
          <w:tcPr/>
          <w:p>
            <w:pPr>
              <w:pStyle w:val="Compact"/>
              <w:jc w:val="left"/>
            </w:pPr>
            <w:r>
              <w:t xml:space="preserve">Every computed value is labeled a model output. No synthetic result is offered as a finding about a real facility, and the provenance note of Section 3.0 is kept.</w:t>
            </w:r>
          </w:p>
        </w:tc>
      </w:tr>
      <w:tr>
        <w:trPr>
          <w:cantSplit/>
        </w:trPr>
        <w:tc>
          <w:tcPr/>
          <w:p>
            <w:pPr>
              <w:pStyle w:val="Compact"/>
              <w:jc w:val="left"/>
            </w:pPr>
            <w:r>
              <w:t xml:space="preserve">Generated routes differ from actual operator routes</w:t>
            </w:r>
          </w:p>
        </w:tc>
        <w:tc>
          <w:tcPr/>
          <w:p>
            <w:pPr>
              <w:pStyle w:val="Compact"/>
              <w:jc w:val="center"/>
            </w:pPr>
            <w:r>
              <w:t xml:space="preserve">High</w:t>
            </w:r>
          </w:p>
        </w:tc>
        <w:tc>
          <w:tcPr/>
          <w:p>
            <w:pPr>
              <w:pStyle w:val="Compact"/>
              <w:jc w:val="left"/>
            </w:pPr>
            <w:r>
              <w:t xml:space="preserve">Recognized as Limitation L2. Routes are anchored to published terminals and markets; comparison with surveyed feeds is left to field validation.</w:t>
            </w:r>
          </w:p>
        </w:tc>
      </w:tr>
      <w:tr>
        <w:trPr>
          <w:cantSplit/>
        </w:trPr>
        <w:tc>
          <w:tcPr/>
          <w:p>
            <w:pPr>
              <w:pStyle w:val="Compact"/>
              <w:jc w:val="left"/>
            </w:pPr>
            <w:r>
              <w:t xml:space="preserve">Missing road attributes in OpenStreetMap</w:t>
            </w:r>
          </w:p>
        </w:tc>
        <w:tc>
          <w:tcPr/>
          <w:p>
            <w:pPr>
              <w:pStyle w:val="Compact"/>
              <w:jc w:val="center"/>
            </w:pPr>
            <w:r>
              <w:t xml:space="preserve">High</w:t>
            </w:r>
          </w:p>
        </w:tc>
        <w:tc>
          <w:tcPr/>
          <w:p>
            <w:pPr>
              <w:pStyle w:val="Compact"/>
              <w:jc w:val="left"/>
            </w:pPr>
            <w:r>
              <w:t xml:space="preserve">Missing attributes are set to +∞ and flagged. The share of flagged segments is reported beside every vehicle-class result.</w:t>
            </w:r>
          </w:p>
        </w:tc>
      </w:tr>
      <w:tr>
        <w:trPr>
          <w:cantSplit/>
        </w:trPr>
        <w:tc>
          <w:tcPr/>
          <w:p>
            <w:pPr>
              <w:pStyle w:val="Compact"/>
              <w:jc w:val="left"/>
            </w:pPr>
            <w:r>
              <w:t xml:space="preserve">Hospital does not respond, so its status stays unknown</w:t>
            </w:r>
          </w:p>
        </w:tc>
        <w:tc>
          <w:tcPr/>
          <w:p>
            <w:pPr>
              <w:pStyle w:val="Compact"/>
              <w:jc w:val="center"/>
            </w:pPr>
            <w:r>
              <w:t xml:space="preserve">High</w:t>
            </w:r>
          </w:p>
        </w:tc>
        <w:tc>
          <w:tcPr/>
          <w:p>
            <w:pPr>
              <w:pStyle w:val="Compact"/>
              <w:jc w:val="left"/>
            </w:pPr>
            <w:r>
              <w:t xml:space="preserve">Non-responding hospitals stay in the suitable set with status UNKNOWN. The age of the data is shown, and unknown capacity is never shown as available (Definition 17).</w:t>
            </w:r>
          </w:p>
        </w:tc>
      </w:tr>
      <w:tr>
        <w:trPr>
          <w:cantSplit/>
        </w:trPr>
        <w:tc>
          <w:tcPr/>
          <w:p>
            <w:pPr>
              <w:pStyle w:val="Compact"/>
              <w:jc w:val="left"/>
            </w:pPr>
            <w:r>
              <w:t xml:space="preserve">Landmark register is out of date</w:t>
            </w:r>
          </w:p>
        </w:tc>
        <w:tc>
          <w:tcPr/>
          <w:p>
            <w:pPr>
              <w:pStyle w:val="Compact"/>
              <w:jc w:val="center"/>
            </w:pPr>
            <w:r>
              <w:t xml:space="preserve">Moderate</w:t>
            </w:r>
          </w:p>
        </w:tc>
        <w:tc>
          <w:tcPr/>
          <w:p>
            <w:pPr>
              <w:pStyle w:val="Compact"/>
              <w:jc w:val="left"/>
            </w:pPr>
            <w:r>
              <w:t xml:space="preserve">Source and access date are recorded for each entry (Appendix C). Coverage is reported by municipality, and gaps are read as understating disadvantage (Limitation L3).</w:t>
            </w:r>
          </w:p>
        </w:tc>
      </w:tr>
      <w:tr>
        <w:trPr>
          <w:cantSplit/>
        </w:trPr>
        <w:tc>
          <w:tcPr/>
          <w:p>
            <w:pPr>
              <w:pStyle w:val="Compact"/>
              <w:jc w:val="left"/>
            </w:pPr>
            <w:r>
              <w:t xml:space="preserve">Unchecked software shortcut produces wrong routes</w:t>
            </w:r>
          </w:p>
        </w:tc>
        <w:tc>
          <w:tcPr/>
          <w:p>
            <w:pPr>
              <w:pStyle w:val="Compact"/>
              <w:jc w:val="center"/>
            </w:pPr>
            <w:r>
              <w:t xml:space="preserve">Moderate</w:t>
            </w:r>
          </w:p>
        </w:tc>
        <w:tc>
          <w:tcPr/>
          <w:p>
            <w:pPr>
              <w:pStyle w:val="Compact"/>
              <w:jc w:val="left"/>
            </w:pPr>
            <w:r>
              <w:t xml:space="preserve">All routing outputs were checked against independently written reference code before analysis (Tables 14, 15, 16, and 24).</w:t>
            </w:r>
          </w:p>
        </w:tc>
      </w:tr>
      <w:tr>
        <w:trPr>
          <w:cantSplit/>
        </w:trPr>
        <w:tc>
          <w:tcPr/>
          <w:p>
            <w:pPr>
              <w:pStyle w:val="Compact"/>
              <w:jc w:val="left"/>
            </w:pPr>
            <w:r>
              <w:t xml:space="preserve">Inequality measures sensitive to the choice of anchors</w:t>
            </w:r>
          </w:p>
        </w:tc>
        <w:tc>
          <w:tcPr/>
          <w:p>
            <w:pPr>
              <w:pStyle w:val="Compact"/>
              <w:jc w:val="center"/>
            </w:pPr>
            <w:r>
              <w:t xml:space="preserve">Moderate</w:t>
            </w:r>
          </w:p>
        </w:tc>
        <w:tc>
          <w:tcPr/>
          <w:p>
            <w:pPr>
              <w:pStyle w:val="Compact"/>
              <w:jc w:val="left"/>
            </w:pPr>
            <w:r>
              <w:t xml:space="preserve">Inclusion criteria were fixed before listing (Appendix C). Three anchor sets are compared (Section 3.6.1), and full anchor lists are released with the data.</w:t>
            </w:r>
          </w:p>
        </w:tc>
      </w:tr>
      <w:tr>
        <w:trPr>
          <w:cantSplit/>
        </w:trPr>
        <w:tc>
          <w:tcPr/>
          <w:p>
            <w:pPr>
              <w:pStyle w:val="Compact"/>
              <w:jc w:val="left"/>
            </w:pPr>
            <w:r>
              <w:t xml:space="preserve">Typing or parsing errors in bed counts</w:t>
            </w:r>
          </w:p>
        </w:tc>
        <w:tc>
          <w:tcPr/>
          <w:p>
            <w:pPr>
              <w:pStyle w:val="Compact"/>
              <w:jc w:val="center"/>
            </w:pPr>
            <w:r>
              <w:t xml:space="preserve">Moderate</w:t>
            </w:r>
          </w:p>
        </w:tc>
        <w:tc>
          <w:tcPr/>
          <w:p>
            <w:pPr>
              <w:pStyle w:val="Compact"/>
              <w:jc w:val="left"/>
            </w:pPr>
            <w:r>
              <w:t xml:space="preserve">Rules V2 to V4 hold unclear replies for human review. All 67 simulated typing errors were caught in testing (Table 15).</w:t>
            </w:r>
          </w:p>
        </w:tc>
      </w:tr>
      <w:tr>
        <w:trPr>
          <w:cantSplit/>
        </w:trPr>
        <w:tc>
          <w:tcPr/>
          <w:p>
            <w:pPr>
              <w:pStyle w:val="Compact"/>
              <w:jc w:val="left"/>
            </w:pPr>
            <w:r>
              <w:t xml:space="preserve">Hospital staff see the inquiries as a nuisance</w:t>
            </w:r>
          </w:p>
        </w:tc>
        <w:tc>
          <w:tcPr/>
          <w:p>
            <w:pPr>
              <w:pStyle w:val="Compact"/>
              <w:jc w:val="center"/>
            </w:pPr>
            <w:r>
              <w:t xml:space="preserve">Moderate</w:t>
            </w:r>
          </w:p>
        </w:tc>
        <w:tc>
          <w:tcPr/>
          <w:p>
            <w:pPr>
              <w:pStyle w:val="Compact"/>
              <w:jc w:val="left"/>
            </w:pPr>
            <w:r>
              <w:t xml:space="preserve">At most two messages per cycle (Proposition 12), a once-a-day option, and immediate handling of opt-outs before the next send.</w:t>
            </w:r>
          </w:p>
        </w:tc>
      </w:tr>
      <w:tr>
        <w:trPr>
          <w:cantSplit/>
        </w:trPr>
        <w:tc>
          <w:tcPr/>
          <w:p>
            <w:pPr>
              <w:pStyle w:val="Compact"/>
              <w:jc w:val="left"/>
            </w:pPr>
            <w:r>
              <w:t xml:space="preserve">Service list out of date, so a patient is sent to a hospital that lacks the service today</w:t>
            </w:r>
          </w:p>
        </w:tc>
        <w:tc>
          <w:tcPr/>
          <w:p>
            <w:pPr>
              <w:pStyle w:val="Compact"/>
              <w:jc w:val="center"/>
            </w:pPr>
            <w:r>
              <w:t xml:space="preserve">Moderate</w:t>
            </w:r>
          </w:p>
        </w:tc>
        <w:tc>
          <w:tcPr/>
          <w:p>
            <w:pPr>
              <w:pStyle w:val="Compact"/>
              <w:jc w:val="left"/>
            </w:pPr>
            <w:r>
              <w:t xml:space="preserve">Each change from the level default is tied to a dated register entry (Appendix C). The card shows backups and reminds the crew to call ahead; the 911 button is always present (Limitation L15).</w:t>
            </w:r>
          </w:p>
        </w:tc>
      </w:tr>
      <w:tr>
        <w:trPr>
          <w:cantSplit/>
        </w:trPr>
        <w:tc>
          <w:tcPr/>
          <w:p>
            <w:pPr>
              <w:pStyle w:val="Compact"/>
              <w:jc w:val="left"/>
            </w:pPr>
            <w:r>
              <w:t xml:space="preserve">System used for triage</w:t>
            </w:r>
          </w:p>
        </w:tc>
        <w:tc>
          <w:tcPr/>
          <w:p>
            <w:pPr>
              <w:pStyle w:val="Compact"/>
              <w:jc w:val="center"/>
            </w:pPr>
            <w:r>
              <w:t xml:space="preserve">Moderate</w:t>
            </w:r>
          </w:p>
        </w:tc>
        <w:tc>
          <w:tcPr/>
          <w:p>
            <w:pPr>
              <w:pStyle w:val="Compact"/>
              <w:jc w:val="left"/>
            </w:pPr>
            <w:r>
              <w:t xml:space="preserve">Acuity and needs are chosen by the user or crew. Clinical judgment overrides the application, every screen carries a direct 911 button, and prominent notices state that the application does not assess patients (Limitation L10).</w:t>
            </w:r>
          </w:p>
        </w:tc>
      </w:tr>
      <w:tr>
        <w:trPr>
          <w:cantSplit/>
        </w:trPr>
        <w:tc>
          <w:tcPr/>
          <w:p>
            <w:pPr>
              <w:pStyle w:val="Compact"/>
              <w:jc w:val="left"/>
            </w:pPr>
            <w:r>
              <w:t xml:space="preserve">Fare parameters of Table 6 become outdated</w:t>
            </w:r>
          </w:p>
        </w:tc>
        <w:tc>
          <w:tcPr/>
          <w:p>
            <w:pPr>
              <w:pStyle w:val="Compact"/>
              <w:jc w:val="center"/>
            </w:pPr>
            <w:r>
              <w:t xml:space="preserve">Moderate</w:t>
            </w:r>
          </w:p>
        </w:tc>
        <w:tc>
          <w:tcPr/>
          <w:p>
            <w:pPr>
              <w:pStyle w:val="Compact"/>
              <w:jc w:val="left"/>
            </w:pPr>
            <w:r>
              <w:t xml:space="preserve">Fares sit in one dated configuration file, and every downstream result is recomputed by script from it, with no manual entry.</w:t>
            </w:r>
          </w:p>
        </w:tc>
      </w:tr>
      <w:tr>
        <w:trPr>
          <w:cantSplit/>
        </w:trPr>
        <w:tc>
          <w:tcPr/>
          <w:p>
            <w:pPr>
              <w:pStyle w:val="Compact"/>
              <w:jc w:val="left"/>
            </w:pPr>
            <w:r>
              <w:t xml:space="preserve">Mobility class misjudged by the user</w:t>
            </w:r>
          </w:p>
        </w:tc>
        <w:tc>
          <w:tcPr/>
          <w:p>
            <w:pPr>
              <w:pStyle w:val="Compact"/>
              <w:jc w:val="center"/>
            </w:pPr>
            <w:r>
              <w:t xml:space="preserve">Moderate</w:t>
            </w:r>
          </w:p>
        </w:tc>
        <w:tc>
          <w:tcPr/>
          <w:p>
            <w:pPr>
              <w:pStyle w:val="Compact"/>
              <w:jc w:val="left"/>
            </w:pPr>
            <w:r>
              <w:t xml:space="preserve">Only two clearly described classes; the walking time of every leg is shown so the user can judge (Limitation L17).</w:t>
            </w:r>
          </w:p>
        </w:tc>
      </w:tr>
      <w:tr>
        <w:trPr>
          <w:cantSplit/>
        </w:trPr>
        <w:tc>
          <w:tcPr/>
          <w:p>
            <w:pPr>
              <w:pStyle w:val="Compact"/>
              <w:jc w:val="left"/>
            </w:pPr>
            <w:r>
              <w:t xml:space="preserve">Surge assignment treated as an order rather than advice</w:t>
            </w:r>
          </w:p>
        </w:tc>
        <w:tc>
          <w:tcPr/>
          <w:p>
            <w:pPr>
              <w:pStyle w:val="Compact"/>
              <w:jc w:val="center"/>
            </w:pPr>
            <w:r>
              <w:t xml:space="preserve">Low</w:t>
            </w:r>
          </w:p>
        </w:tc>
        <w:tc>
          <w:tcPr/>
          <w:p>
            <w:pPr>
              <w:pStyle w:val="Compact"/>
              <w:jc w:val="left"/>
            </w:pPr>
            <w:r>
              <w:t xml:space="preserve">The assignment is shown only to a dispatcher, who confirms each placement. It uses only validated bed reports and is never sent to patients automatically (Limitation L16).</w:t>
            </w:r>
          </w:p>
        </w:tc>
      </w:tr>
      <w:tr>
        <w:trPr>
          <w:cantSplit/>
        </w:trPr>
        <w:tc>
          <w:tcPr/>
          <w:p>
            <w:pPr>
              <w:pStyle w:val="Compact"/>
              <w:jc w:val="left"/>
            </w:pPr>
            <w:r>
              <w:t xml:space="preserve">Cost diverts an emergency patient from the nearest capable hospital</w:t>
            </w:r>
          </w:p>
        </w:tc>
        <w:tc>
          <w:tcPr/>
          <w:p>
            <w:pPr>
              <w:pStyle w:val="Compact"/>
              <w:jc w:val="center"/>
            </w:pPr>
            <w:r>
              <w:t xml:space="preserve">Low</w:t>
            </w:r>
          </w:p>
        </w:tc>
        <w:tc>
          <w:tcPr/>
          <w:p>
            <w:pPr>
              <w:pStyle w:val="Compact"/>
              <w:jc w:val="left"/>
            </w:pPr>
            <w:r>
              <w:t xml:space="preserve">Acuity levels 1 and 2 bypass the payment filter (Definition 17; Republic Act No. 10932, 2017). The gap was zero in all 80,000 simulated checks (Table 15).</w:t>
            </w:r>
          </w:p>
        </w:tc>
      </w:tr>
      <w:tr>
        <w:trPr>
          <w:cantSplit/>
        </w:trPr>
        <w:tc>
          <w:tcPr/>
          <w:p>
            <w:pPr>
              <w:pStyle w:val="Compact"/>
              <w:jc w:val="left"/>
            </w:pPr>
            <w:r>
              <w:t xml:space="preserve">Site-selection output read as a budget decision</w:t>
            </w:r>
          </w:p>
        </w:tc>
        <w:tc>
          <w:tcPr/>
          <w:p>
            <w:pPr>
              <w:pStyle w:val="Compact"/>
              <w:jc w:val="center"/>
            </w:pPr>
            <w:r>
              <w:t xml:space="preserve">Low</w:t>
            </w:r>
          </w:p>
        </w:tc>
        <w:tc>
          <w:tcPr/>
          <w:p>
            <w:pPr>
              <w:pStyle w:val="Compact"/>
              <w:jc w:val="left"/>
            </w:pPr>
            <w:r>
              <w:t xml:space="preserve">Results are labeled as model outputs; Definition 26 states what is and is not counted, and costs are not modeled (Limitation L18).</w:t>
            </w:r>
          </w:p>
        </w:tc>
      </w:tr>
      <w:tr>
        <w:trPr>
          <w:cantSplit/>
        </w:trPr>
        <w:tc>
          <w:tcPr/>
          <w:p>
            <w:pPr>
              <w:pStyle w:val="Compact"/>
              <w:jc w:val="left"/>
            </w:pPr>
            <w:r>
              <w:t xml:space="preserve">Forged or spoofed reply received</w:t>
            </w:r>
          </w:p>
        </w:tc>
        <w:tc>
          <w:tcPr/>
          <w:p>
            <w:pPr>
              <w:pStyle w:val="Compact"/>
              <w:jc w:val="center"/>
            </w:pPr>
            <w:r>
              <w:t xml:space="preserve">Low</w:t>
            </w:r>
          </w:p>
        </w:tc>
        <w:tc>
          <w:tcPr/>
          <w:p>
            <w:pPr>
              <w:pStyle w:val="Compact"/>
              <w:jc w:val="left"/>
            </w:pPr>
            <w:r>
              <w:t xml:space="preserve">Rule V1 checks the sender and a one-time token. All 200 attempted forgeries were rejected.</w:t>
            </w:r>
          </w:p>
        </w:tc>
      </w:tr>
      <w:tr>
        <w:trPr>
          <w:cantSplit/>
        </w:trPr>
        <w:tc>
          <w:tcPr/>
          <w:p>
            <w:pPr>
              <w:pStyle w:val="Compact"/>
              <w:jc w:val="left"/>
            </w:pPr>
            <w:r>
              <w:t xml:space="preserve">Personal information received by mistake</w:t>
            </w:r>
          </w:p>
        </w:tc>
        <w:tc>
          <w:tcPr/>
          <w:p>
            <w:pPr>
              <w:pStyle w:val="Compact"/>
              <w:jc w:val="center"/>
            </w:pPr>
            <w:r>
              <w:t xml:space="preserve">Low</w:t>
            </w:r>
          </w:p>
        </w:tc>
        <w:tc>
          <w:tcPr/>
          <w:p>
            <w:pPr>
              <w:pStyle w:val="Compact"/>
              <w:jc w:val="left"/>
            </w:pPr>
            <w:r>
              <w:t xml:space="preserve">Inquiries ask only for aggregate counts. Any reply containing extra details is quarantined for human review, and non-aggregate text is deleted (Republic Act No. 10173, 2012).</w:t>
            </w:r>
          </w:p>
        </w:tc>
      </w:tr>
      <w:tr>
        <w:trPr>
          <w:cantSplit/>
        </w:trPr>
        <w:tc>
          <w:tcPr/>
          <w:p>
            <w:pPr>
              <w:pStyle w:val="Compact"/>
              <w:jc w:val="left"/>
            </w:pPr>
            <w:r>
              <w:t xml:space="preserve">Loss of code or data</w:t>
            </w:r>
          </w:p>
        </w:tc>
        <w:tc>
          <w:tcPr/>
          <w:p>
            <w:pPr>
              <w:pStyle w:val="Compact"/>
              <w:jc w:val="center"/>
            </w:pPr>
            <w:r>
              <w:t xml:space="preserve">Low</w:t>
            </w:r>
          </w:p>
        </w:tc>
        <w:tc>
          <w:tcPr/>
          <w:p>
            <w:pPr>
              <w:pStyle w:val="Compact"/>
              <w:jc w:val="left"/>
            </w:pPr>
            <w:r>
              <w:t xml:space="preserve">Version control with remote backups. Every reported figure can be traced to a specific script, seed, and input checksum.</w:t>
            </w:r>
          </w:p>
        </w:tc>
      </w:tr>
    </w:tbl>
    <w:bookmarkEnd w:id="197"/>
    <w:bookmarkStart w:id="198" w:name="X2aa45a59dae3061b71d935eb8a0bd259fd42aef"/>
    <w:p>
      <w:pPr>
        <w:pStyle w:val="Heading1"/>
      </w:pPr>
      <w:r>
        <w:t xml:space="preserve">APPENDIX F. THE INQUIRY MESSAGE AND ITS REPLY FORM</w:t>
      </w:r>
    </w:p>
    <w:p>
      <w:pPr>
        <w:pStyle w:val="FirstParagraph"/>
      </w:pPr>
      <w:r>
        <w:t xml:space="preserve">The message template of the Inquiry agent is shown below.</w:t>
      </w:r>
    </w:p>
    <w:p>
      <w:pPr>
        <w:pStyle w:val="LetterBlock"/>
      </w:pPr>
      <w:r>
        <w:t xml:space="preserve">Subject: Request for bed status [BSI-7c2e90d4a1b8]</w:t>
      </w:r>
      <w:r>
        <w:br/>
      </w:r>
      <w:r>
        <w:t xml:space="preserve">To: the facility’s published official address</w:t>
      </w:r>
    </w:p>
    <w:p>
      <w:pPr>
        <w:pStyle w:val="LetterBlock"/>
      </w:pPr>
      <w:r>
        <w:t xml:space="preserve">Good day.</w:t>
      </w:r>
    </w:p>
    <w:p>
      <w:pPr>
        <w:pStyle w:val="LetterBlock"/>
      </w:pPr>
      <w:r>
        <w:t xml:space="preserve">This message was sent automatically by a bed-availability service built as a student research project at Legazpi City Science High School in Legazpi City; our research adviser is Dick Anthony M. Calleja. We built it so that ambulance crews and patients in Albay can find a hospital with a bed available.</w:t>
      </w:r>
    </w:p>
    <w:p>
      <w:pPr>
        <w:pStyle w:val="LetterBlock"/>
      </w:pPr>
      <w:r>
        <w:t xml:space="preserve">Only three items are needed, and no patient information should be included. Kindly answer by replying to this message. Please keep the code in the subject line as it is and complete the three lines below:</w:t>
      </w:r>
    </w:p>
    <w:p>
      <w:pPr>
        <w:pStyle w:val="LetterBlock"/>
      </w:pPr>
      <w:r>
        <w:t xml:space="preserve">AUTHORIZED BED CAPACITY:</w:t>
      </w:r>
      <w:r>
        <w:br/>
      </w:r>
      <w:r>
        <w:t xml:space="preserve">BEDS NOW OCCUPIED:</w:t>
      </w:r>
      <w:r>
        <w:br/>
      </w:r>
      <w:r>
        <w:t xml:space="preserve">EMERGENCY ROOM STATUS: ACCEPTING / FULL</w:t>
      </w:r>
    </w:p>
    <w:p>
      <w:pPr>
        <w:pStyle w:val="LetterBlock"/>
      </w:pPr>
      <w:r>
        <w:t xml:space="preserve">The app will show your answer as free beds, together with the time you replied.</w:t>
      </w:r>
    </w:p>
    <w:p>
      <w:pPr>
        <w:pStyle w:val="LetterBlock"/>
      </w:pPr>
      <w:r>
        <w:t xml:space="preserve">You will get this request at most three times daily, and never more than one reminder after each. To receive it only once a day, reply ONCE A DAY; to stop it, reply REMOVE US.</w:t>
      </w:r>
    </w:p>
    <w:p>
      <w:pPr>
        <w:pStyle w:val="LetterBlock"/>
      </w:pPr>
      <w:r>
        <w:t xml:space="preserve">Thank you very much.</w:t>
      </w:r>
    </w:p>
    <w:p>
      <w:pPr>
        <w:pStyle w:val="LetterBlock"/>
      </w:pPr>
      <w:r>
        <w:t xml:space="preserve">[project e-mail address] | Bitano, Legazpi City | Legazpi City Science High School</w:t>
      </w:r>
    </w:p>
    <w:p>
      <w:pPr>
        <w:pStyle w:val="BodyText"/>
      </w:pPr>
      <w:r>
        <w:t xml:space="preserve">The Reader accepts the reply form in capital or small letters and also free text in English or Filipino.</w:t>
      </w:r>
    </w:p>
    <w:bookmarkEnd w:id="198"/>
    <w:bookmarkStart w:id="199" w:name="appendix-g.-reproducing-the-new-results"/>
    <w:p>
      <w:pPr>
        <w:pStyle w:val="Heading1"/>
      </w:pPr>
      <w:r>
        <w:t xml:space="preserve">APPENDIX G. REPRODUCING THE NEW RESULTS</w:t>
      </w:r>
    </w:p>
    <w:p>
      <w:pPr>
        <w:pStyle w:val="FirstParagraph"/>
      </w:pPr>
      <w:r>
        <w:t xml:space="preserve">Tables 16, 19, 28, 29, and 30 and Figure 4 are produced by</w:t>
      </w:r>
      <w:r>
        <w:t xml:space="preserve"> </w:t>
      </w:r>
      <w:r>
        <w:rPr>
          <w:rStyle w:val="VerbatimChar"/>
        </w:rPr>
        <w:t xml:space="preserve">verify_patient_extensions.py</w:t>
      </w:r>
      <w:r>
        <w:t xml:space="preserve">, kept in the project repository with its output file</w:t>
      </w:r>
      <w:r>
        <w:t xml:space="preserve"> </w:t>
      </w:r>
      <w:r>
        <w:rPr>
          <w:rStyle w:val="VerbatimChar"/>
        </w:rPr>
        <w:t xml:space="preserve">results.json</w:t>
      </w:r>
      <w:r>
        <w:t xml:space="preserve">.</w:t>
      </w:r>
    </w:p>
    <w:p>
      <w:pPr>
        <w:numPr>
          <w:ilvl w:val="0"/>
          <w:numId w:val="1014"/>
        </w:numPr>
        <w:pStyle w:val="BodyText"/>
        <w:spacing w:after="80"/>
      </w:pPr>
      <w:r>
        <w:t xml:space="preserve">recomputes Tables 22 and 27 from the travel times of Table 21 as a consistency check, then computes Tables 28 to 30 for instance S1;</w:t>
      </w:r>
    </w:p>
    <w:p>
      <w:pPr>
        <w:numPr>
          <w:ilvl w:val="0"/>
          <w:numId w:val="1014"/>
        </w:numPr>
        <w:pStyle w:val="BodyText"/>
        <w:spacing w:after="80"/>
      </w:pPr>
      <w:r>
        <w:t xml:space="preserve">generates random road graphs, hospitals, and patient profiles, and checks Propositions 9, 10(iv), 14, and 17 against Floyd-Warshall distances, per-vertex searches, and segment-by-segment closures;</w:t>
      </w:r>
    </w:p>
    <w:p>
      <w:pPr>
        <w:numPr>
          <w:ilvl w:val="0"/>
          <w:numId w:val="1014"/>
        </w:numPr>
        <w:pStyle w:val="BodyText"/>
        <w:spacing w:after="80"/>
      </w:pPr>
      <w:r>
        <w:t xml:space="preserve">generates random anchor-hospital instances and checks Propositions 15, 16, and 18 against direct summation, the assignment solver of scipy together with two simple allocation rules, and exhaustive search over all subsets; and</w:t>
      </w:r>
    </w:p>
    <w:p>
      <w:pPr>
        <w:numPr>
          <w:ilvl w:val="0"/>
          <w:numId w:val="1014"/>
        </w:numPr>
        <w:pStyle w:val="BodyText"/>
        <w:spacing w:after="80"/>
      </w:pPr>
      <w:r>
        <w:t xml:space="preserve">generates random timetables with hospital sinks and checks Propositions 9 and 13 in patient mode.</w:t>
      </w:r>
    </w:p>
    <w:p>
      <w:pPr>
        <w:pStyle w:val="FirstParagraph"/>
      </w:pPr>
      <w:r>
        <w:t xml:space="preserve">Every number reported from the script is a model output on synthetic or invented inputs and says nothing about real hospitals in Albay.</w:t>
      </w:r>
    </w:p>
    <w:bookmarkEnd w:id="199"/>
    <w:bookmarkStart w:id="200" w:name="ethics-statement"/>
    <w:p>
      <w:pPr>
        <w:pStyle w:val="Heading1"/>
      </w:pPr>
      <w:r>
        <w:t xml:space="preserve">ETHICS STATEMENT</w:t>
      </w:r>
    </w:p>
    <w:p>
      <w:pPr>
        <w:pStyle w:val="FirstParagraph"/>
      </w:pPr>
      <w:r>
        <w:t xml:space="preserve">The study is computational. No human subjects took part and no personal data were gathered.</w:t>
      </w:r>
    </w:p>
    <w:p>
      <w:pPr>
        <w:pStyle w:val="BodyText"/>
      </w:pPr>
      <w:r>
        <w:t xml:space="preserve">Road, transit, landmark, hospital, and population data come either from the public sources of Appendix A or from synthetic instances made for verification and plainly marked, such as instance S1 and the mock mail server of Section 3.3. All sources are used on their published terms, and OpenStreetMap data carry the attribution that the Open Database License requires (OpenStreetMap contributors, 2026).</w:t>
      </w:r>
    </w:p>
    <w:p>
      <w:pPr>
        <w:pStyle w:val="BodyText"/>
      </w:pPr>
      <w:r>
        <w:t xml:space="preserve">The protocol and the message in Appendix F must be approved by the Scientific Review Committee before any real hospital receives a message. Messages will go only to addresses that facilities publish themselves.</w:t>
      </w:r>
    </w:p>
    <w:p>
      <w:pPr>
        <w:pStyle w:val="BodyText"/>
      </w:pPr>
      <w:r>
        <w:t xml:space="preserve">Data integrity was a priority throughout. None of the figures in this paper is a real clinical or operational measurement.</w:t>
      </w:r>
    </w:p>
    <w:p>
      <w:pPr>
        <w:pStyle w:val="BodyText"/>
      </w:pPr>
      <w:r>
        <w:t xml:space="preserve">The first research plan asked volunteers to trace routes in the field with GPS. The fully computational approach of Section 3.1 replaced it, and the change was recorded in the Research Plan Addendum.</w:t>
      </w:r>
    </w:p>
    <w:bookmarkEnd w:id="200"/>
    <w:sectPr>
      <w:footerReference w:type="default" r:id="rId9"/>
      <w:pgSz w:h="15840" w:w="12240"/>
      <w:pgMar w:bottom="144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6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160" w:before="0" w:line="36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before="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20" w:before="20" w:line="240" w:lineRule="auto"/>
      <w:jc w:val="left"/>
    </w:pPr>
    <w:rPr>
      <w:rFonts w:ascii="Times New Roman" w:cs="Times New Roman" w:eastAsia="Times New Roman" w:hAnsi="Times New Roman"/>
      <w:color w:val="000000"/>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200" w:before="120" w:line="276"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200" w:line="276" w:lineRule="auto"/>
      <w:jc w:val="both"/>
    </w:pPr>
    <w:rPr>
      <w:rFonts w:ascii="Times New Roman" w:cs="Times New Roman" w:eastAsia="Times New Roman" w:hAnsi="Times New Roman"/>
      <w:b w:val="0"/>
      <w:i w:val="0"/>
      <w:color w:val="000000"/>
      <w:sz w:val="24"/>
    </w:rPr>
  </w:style>
  <w:style w:customStyle="1" w:styleId="ImageCaption" w:type="paragraph">
    <w:name w:val="Image Caption"/>
    <w:basedOn w:val="Caption"/>
    <w:pPr>
      <w:spacing w:after="240" w:before="80" w:line="276" w:lineRule="auto"/>
      <w:jc w:val="both"/>
    </w:pPr>
    <w:rPr>
      <w:rFonts w:ascii="Times New Roman" w:cs="Times New Roman" w:eastAsia="Times New Roman" w:hAnsi="Times New Roman"/>
      <w:b w:val="0"/>
      <w:i w:val="0"/>
      <w:color w:val="000000"/>
      <w:sz w:val="22"/>
    </w:rPr>
  </w:style>
  <w:style w:customStyle="1" w:styleId="Figure" w:type="paragraph">
    <w:name w:val="Figure"/>
    <w:basedOn w:val="Normal"/>
    <w:pPr>
      <w:spacing w:after="0" w:before="160" w:line="240" w:lineRule="auto"/>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spacing w:after="0" w:before="160" w:line="240" w:lineRule="auto"/>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after="240" w:before="0" w:line="360" w:lineRule="auto"/>
      <w:jc w:val="left"/>
      <w:outlineLvl w:val="9"/>
    </w:pPr>
    <w:rPr>
      <w:rFonts w:ascii="Times New Roman" w:cs="Times New Roman" w:eastAsia="Times New Roman" w:hAnsi="Times New Roman"/>
      <w:b/>
      <w:bCs w:val="0"/>
      <w:i w:val="0"/>
      <w:color w:val="000000"/>
      <w:sz w:val="24"/>
    </w:rPr>
  </w:style>
  <w:style w:customStyle="1" w:styleId="Heading1" w:type="paragraph">
    <w:name w:val="heading 1"/>
    <w:basedOn w:val="Normal"/>
    <w:qFormat/>
    <w:pPr>
      <w:keepNext/>
      <w:spacing w:after="120" w:before="360" w:line="360" w:lineRule="auto"/>
      <w:jc w:val="left"/>
    </w:pPr>
    <w:rPr>
      <w:rFonts w:ascii="Times New Roman" w:cs="Times New Roman" w:eastAsia="Times New Roman" w:hAnsi="Times New Roman"/>
      <w:b/>
      <w:i w:val="0"/>
      <w:color w:val="000000"/>
      <w:sz w:val="24"/>
    </w:rPr>
  </w:style>
  <w:style w:customStyle="1" w:styleId="Heading2" w:type="paragraph">
    <w:name w:val="heading 2"/>
    <w:basedOn w:val="Normal"/>
    <w:qFormat/>
    <w:pPr>
      <w:keepNext/>
      <w:spacing w:after="120" w:before="280" w:line="360" w:lineRule="auto"/>
      <w:jc w:val="left"/>
    </w:pPr>
    <w:rPr>
      <w:rFonts w:ascii="Times New Roman" w:cs="Times New Roman" w:eastAsia="Times New Roman" w:hAnsi="Times New Roman"/>
      <w:b/>
      <w:i w:val="0"/>
      <w:color w:val="000000"/>
      <w:sz w:val="24"/>
    </w:rPr>
  </w:style>
  <w:style w:customStyle="1" w:styleId="Heading3" w:type="paragraph">
    <w:name w:val="heading 3"/>
    <w:basedOn w:val="Normal"/>
    <w:qFormat/>
    <w:pPr>
      <w:keepNext/>
      <w:spacing w:after="120" w:before="200" w:line="360" w:lineRule="auto"/>
      <w:jc w:val="left"/>
    </w:pPr>
    <w:rPr>
      <w:rFonts w:ascii="Times New Roman" w:cs="Times New Roman" w:eastAsia="Times New Roman" w:hAnsi="Times New Roman"/>
      <w:b/>
      <w:i w:val="0"/>
      <w:color w:val="000000"/>
      <w:sz w:val="24"/>
    </w:rPr>
  </w:style>
  <w:style w:customStyle="1" w:styleId="TitleCenter" w:type="paragraph">
    <w:name w:val="TitleCenter"/>
    <w:basedOn w:val="Normal"/>
    <w:qFormat/>
    <w:pPr>
      <w:spacing w:after="360" w:before="0" w:line="276" w:lineRule="auto"/>
      <w:jc w:val="center"/>
    </w:pPr>
    <w:rPr>
      <w:rFonts w:ascii="Times New Roman" w:cs="Times New Roman" w:eastAsia="Times New Roman" w:hAnsi="Times New Roman"/>
      <w:b w:val="0"/>
      <w:i w:val="0"/>
      <w:color w:val="000000"/>
      <w:sz w:val="24"/>
    </w:rPr>
  </w:style>
  <w:style w:customStyle="1" w:styleId="TitleSpacer" w:type="paragraph">
    <w:name w:val="TitleSpacer"/>
    <w:basedOn w:val="Normal"/>
    <w:qFormat/>
    <w:pPr>
      <w:spacing w:after="480" w:before="0" w:line="240" w:lineRule="auto"/>
      <w:jc w:val="center"/>
    </w:pPr>
    <w:rPr>
      <w:rFonts w:ascii="Times New Roman" w:cs="Times New Roman" w:eastAsia="Times New Roman" w:hAnsi="Times New Roman"/>
      <w:b w:val="0"/>
      <w:i w:val="0"/>
      <w:color w:val="000000"/>
      <w:sz w:val="24"/>
    </w:rPr>
  </w:style>
  <w:style w:customStyle="1" w:styleId="PaperTitle" w:type="paragraph">
    <w:name w:val="PaperTitle"/>
    <w:basedOn w:val="Normal"/>
    <w:qFormat/>
    <w:pPr>
      <w:spacing w:after="240" w:before="0" w:line="360" w:lineRule="auto"/>
      <w:jc w:val="center"/>
    </w:pPr>
    <w:rPr>
      <w:rFonts w:ascii="Times New Roman" w:cs="Times New Roman" w:eastAsia="Times New Roman" w:hAnsi="Times New Roman"/>
      <w:b/>
      <w:i w:val="0"/>
      <w:color w:val="000000"/>
      <w:sz w:val="32"/>
    </w:rPr>
  </w:style>
  <w:style w:customStyle="1" w:styleId="AbstractByline" w:type="paragraph">
    <w:name w:val="AbstractByline"/>
    <w:basedOn w:val="Normal"/>
    <w:qFormat/>
    <w:pPr>
      <w:spacing w:after="160" w:before="0" w:line="276" w:lineRule="auto"/>
      <w:jc w:val="center"/>
    </w:pPr>
    <w:rPr>
      <w:rFonts w:ascii="Times New Roman" w:cs="Times New Roman" w:eastAsia="Times New Roman" w:hAnsi="Times New Roman"/>
      <w:b w:val="0"/>
      <w:i/>
      <w:color w:val="000000"/>
      <w:sz w:val="24"/>
    </w:rPr>
  </w:style>
  <w:style w:customStyle="1" w:styleId="Source" w:type="paragraph">
    <w:name w:val="Source"/>
    <w:basedOn w:val="Normal"/>
    <w:qFormat/>
    <w:pPr>
      <w:spacing w:after="200" w:before="0" w:line="276" w:lineRule="auto"/>
      <w:jc w:val="center"/>
    </w:pPr>
    <w:rPr>
      <w:rFonts w:ascii="Times New Roman" w:cs="Times New Roman" w:eastAsia="Times New Roman" w:hAnsi="Times New Roman"/>
      <w:b w:val="0"/>
      <w:i/>
      <w:color w:val="000000"/>
      <w:sz w:val="22"/>
    </w:rPr>
  </w:style>
  <w:style w:customStyle="1" w:styleId="TableNote" w:type="paragraph">
    <w:name w:val="TableNote"/>
    <w:basedOn w:val="Normal"/>
    <w:qFormat/>
    <w:pPr>
      <w:spacing w:after="200" w:before="80" w:line="276" w:lineRule="auto"/>
      <w:jc w:val="both"/>
    </w:pPr>
    <w:rPr>
      <w:rFonts w:ascii="Times New Roman" w:cs="Times New Roman" w:eastAsia="Times New Roman" w:hAnsi="Times New Roman"/>
      <w:b w:val="0"/>
      <w:i w:val="0"/>
      <w:color w:val="000000"/>
      <w:sz w:val="21"/>
    </w:rPr>
  </w:style>
  <w:style w:customStyle="1" w:styleId="AlgoTitle" w:type="paragraph">
    <w:name w:val="AlgoTitle"/>
    <w:basedOn w:val="Normal"/>
    <w:qFormat/>
    <w:pPr>
      <w:keepNext/>
      <w:spacing w:after="80" w:before="200" w:line="276" w:lineRule="auto"/>
      <w:jc w:val="left"/>
    </w:pPr>
    <w:rPr>
      <w:rFonts w:ascii="Times New Roman" w:cs="Times New Roman" w:eastAsia="Times New Roman" w:hAnsi="Times New Roman"/>
      <w:b w:val="0"/>
      <w:i w:val="0"/>
      <w:color w:val="000000"/>
      <w:sz w:val="24"/>
    </w:rPr>
  </w:style>
  <w:style w:customStyle="1" w:styleId="LetterBlock" w:type="paragraph">
    <w:name w:val="LetterBlock"/>
    <w:basedOn w:val="Normal"/>
    <w:qFormat/>
    <w:pPr>
      <w:spacing w:after="120" w:before="0" w:line="276" w:lineRule="auto"/>
      <w:ind w:left="720" w:right="576"/>
      <w:jc w:val="left"/>
    </w:pPr>
    <w:rPr>
      <w:rFonts w:ascii="Times New Roman" w:cs="Times New Roman" w:eastAsia="Times New Roman" w:hAnsi="Times New Roman"/>
      <w:b w:val="0"/>
      <w:i w:val="0"/>
      <w:color w:val="000000"/>
      <w:sz w:val="22"/>
    </w:rPr>
  </w:style>
  <w:style w:customStyle="1" w:styleId="Reference" w:type="paragraph">
    <w:name w:val="Reference"/>
    <w:basedOn w:val="Normal"/>
    <w:qFormat/>
    <w:pPr>
      <w:spacing w:after="120" w:before="0" w:line="360" w:lineRule="auto"/>
      <w:ind w:hanging="720" w:left="720"/>
      <w:jc w:val="left"/>
    </w:pPr>
    <w:rPr>
      <w:rFonts w:ascii="Times New Roman" w:cs="Times New Roman" w:eastAsia="Times New Roman" w:hAnsi="Times New Roman"/>
      <w:b w:val="0"/>
      <w:i w:val="0"/>
      <w:color w:val="000000"/>
      <w:sz w:val="24"/>
    </w:rPr>
  </w:style>
  <w:style w:customStyle="1" w:styleId="Equation" w:type="paragraph">
    <w:name w:val="Equation"/>
    <w:basedOn w:val="Normal"/>
    <w:qFormat/>
    <w:pPr>
      <w:keepNext/>
      <w:tabs>
        <w:tab w:pos="4680" w:val="center"/>
        <w:tab w:pos="9360" w:val="right"/>
      </w:tabs>
      <w:spacing w:after="120" w:before="120" w:line="240" w:lineRule="auto"/>
      <w:jc w:val="left"/>
    </w:pPr>
    <w:rPr>
      <w:rFonts w:ascii="Times New Roman" w:cs="Times New Roman" w:eastAsia="Times New Roman" w:hAnsi="Times New Roman"/>
      <w:b w:val="0"/>
      <w:i w:val="0"/>
      <w:color w:val="000000"/>
      <w:sz w:val="24"/>
    </w:rPr>
  </w:style>
  <w:style w:customStyle="1" w:styleId="TOC1" w:type="paragraph">
    <w:name w:val="TOC 1"/>
    <w:basedOn w:val="Normal"/>
    <w:qFormat/>
    <w:pPr>
      <w:tabs>
        <w:tab w:leader="dot" w:pos="9360" w:val="right"/>
      </w:tabs>
      <w:spacing w:after="80" w:before="0" w:line="276" w:lineRule="auto"/>
      <w:ind w:left="0"/>
      <w:jc w:val="left"/>
    </w:pPr>
    <w:rPr>
      <w:rFonts w:ascii="Times New Roman" w:cs="Times New Roman" w:eastAsia="Times New Roman" w:hAnsi="Times New Roman"/>
      <w:b/>
      <w:color w:val="000000"/>
      <w:sz w:val="24"/>
    </w:rPr>
  </w:style>
  <w:style w:customStyle="1" w:styleId="TOC2" w:type="paragraph">
    <w:name w:val="TOC 2"/>
    <w:basedOn w:val="Normal"/>
    <w:qFormat/>
    <w:pPr>
      <w:tabs>
        <w:tab w:leader="dot" w:pos="9360" w:val="right"/>
      </w:tabs>
      <w:spacing w:after="80" w:before="0" w:line="276" w:lineRule="auto"/>
      <w:ind w:left="576"/>
      <w:jc w:val="left"/>
    </w:pPr>
    <w:rPr>
      <w:rFonts w:ascii="Times New Roman" w:cs="Times New Roman" w:eastAsia="Times New Roman" w:hAnsi="Times New Roman"/>
      <w:b w:val="0"/>
      <w:color w:val="000000"/>
      <w:sz w:val="24"/>
    </w:rPr>
  </w:style>
  <w:style w:customStyle="1" w:styleId="TOC3" w:type="paragraph">
    <w:name w:val="TOC 3"/>
    <w:basedOn w:val="Normal"/>
    <w:qFormat/>
    <w:pPr>
      <w:tabs>
        <w:tab w:leader="dot" w:pos="9360" w:val="right"/>
      </w:tabs>
      <w:spacing w:after="80" w:before="0" w:line="276" w:lineRule="auto"/>
      <w:ind w:left="1152"/>
      <w:jc w:val="left"/>
    </w:pPr>
    <w:rPr>
      <w:rFonts w:ascii="Times New Roman" w:cs="Times New Roman" w:eastAsia="Times New Roman" w:hAnsi="Times New Roman"/>
      <w:b w:val="0"/>
      <w:color w:val="000000"/>
      <w:sz w:val="24"/>
    </w:rPr>
  </w:style>
  <w:style w:customStyle="1" w:styleId="SourceCode" w:type="paragraph">
    <w:name w:val="Source Code"/>
    <w:basedOn w:val="Normal"/>
    <w:qFormat/>
    <w:pPr>
      <w:spacing w:after="0" w:before="0" w:line="240" w:lineRule="auto"/>
      <w:jc w:val="left"/>
    </w:pPr>
    <w:rPr>
      <w:rFonts w:ascii="Courier New" w:cs="Courier New" w:eastAsia="Courier New" w:hAnsi="Courier New"/>
      <w:color w:val="000000"/>
      <w:sz w:val="19"/>
    </w:rPr>
  </w:style>
  <w:style w:type="paragraph" w:customStyle="1" w:styleId="AbstractTitle">
    <w:name w:val="AbstractTitle"/>
    <w:basedOn w:val="BodyText"/>
    <w:qFormat/>
  </w:style>
  <w:style w:type="paragraph" w:customStyle="1" w:styleId="TOCHeading">
    <w:name w:val="TOCHeading"/>
    <w:basedOn w:val="BodyText"/>
    <w:qFormat/>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 Id="rId64" Type="http://schemas.openxmlformats.org/officeDocument/2006/relationships/image" Target="media/rId64.png"/><Relationship Id="rId68" Type="http://schemas.openxmlformats.org/officeDocument/2006/relationships/image" Target="media/rId68.png"/><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82" Type="http://schemas.openxmlformats.org/officeDocument/2006/relationships/image" Target="media/rId82.png"/><Relationship Id="rId86" Type="http://schemas.openxmlformats.org/officeDocument/2006/relationships/image" Target="media/rId86.png"/><Relationship Id="rId89" Type="http://schemas.openxmlformats.org/officeDocument/2006/relationships/image" Target="media/rId89.png"/><Relationship Id="rId93" Type="http://schemas.openxmlformats.org/officeDocument/2006/relationships/image" Target="media/rId93.png"/><Relationship Id="rId99" Type="http://schemas.openxmlformats.org/officeDocument/2006/relationships/image" Target="media/rId99.png"/><Relationship Id="rId102" Type="http://schemas.openxmlformats.org/officeDocument/2006/relationships/image" Target="media/rId102.png"/><Relationship Id="rId107" Type="http://schemas.openxmlformats.org/officeDocument/2006/relationships/image" Target="media/rId107.png"/><Relationship Id="rId110" Type="http://schemas.openxmlformats.org/officeDocument/2006/relationships/image" Target="media/rId110.png"/><Relationship Id="rId113" Type="http://schemas.openxmlformats.org/officeDocument/2006/relationships/image" Target="media/rId113.png"/><Relationship Id="rId120" Type="http://schemas.openxmlformats.org/officeDocument/2006/relationships/image" Target="media/rId120.png"/><Relationship Id="rId123" Type="http://schemas.openxmlformats.org/officeDocument/2006/relationships/image" Target="media/rId123.png"/><Relationship Id="rId126" Type="http://schemas.openxmlformats.org/officeDocument/2006/relationships/image" Target="media/rId126.png"/><Relationship Id="rId129" Type="http://schemas.openxmlformats.org/officeDocument/2006/relationships/image" Target="media/rId129.png"/><Relationship Id="rId132" Type="http://schemas.openxmlformats.org/officeDocument/2006/relationships/image" Target="media/rId132.png"/><Relationship Id="rId136" Type="http://schemas.openxmlformats.org/officeDocument/2006/relationships/image" Target="media/rId136.png"/><Relationship Id="rId140" Type="http://schemas.openxmlformats.org/officeDocument/2006/relationships/image" Target="media/rId140.png"/><Relationship Id="rId143" Type="http://schemas.openxmlformats.org/officeDocument/2006/relationships/image" Target="media/rId143.png"/><Relationship Id="rId152" Type="http://schemas.openxmlformats.org/officeDocument/2006/relationships/image" Target="media/rId152.png"/><Relationship Id="rId155" Type="http://schemas.openxmlformats.org/officeDocument/2006/relationships/image" Target="media/rId155.png"/><Relationship Id="rId158" Type="http://schemas.openxmlformats.org/officeDocument/2006/relationships/image" Target="media/rId158.png"/><Relationship Id="rId161" Type="http://schemas.openxmlformats.org/officeDocument/2006/relationships/image" Target="media/rId161.png"/><Relationship Id="rId164" Type="http://schemas.openxmlformats.org/officeDocument/2006/relationships/image" Target="media/rId164.png"/><Relationship Id="rId167" Type="http://schemas.openxmlformats.org/officeDocument/2006/relationships/image" Target="media/rId167.png"/><Relationship Id="rId20" Type="http://schemas.openxmlformats.org/officeDocument/2006/relationships/image" Target="media/rId20.png"/><Relationship Id="rId47" Type="http://schemas.openxmlformats.org/officeDocument/2006/relationships/image" Target="media/rId47.png"/><Relationship Id="rId96" Type="http://schemas.openxmlformats.org/officeDocument/2006/relationships/image" Target="media/rId96.png"/><Relationship Id="rId116" Type="http://schemas.openxmlformats.org/officeDocument/2006/relationships/image" Target="media/rId116.png"/><Relationship Id="rId175" Type="http://schemas.openxmlformats.org/officeDocument/2006/relationships/image" Target="media/rId17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2026-10-14T05:14:57Z</dcterms:created>
  <dcterms:modified xsi:type="dcterms:W3CDTF">2026-10-14T05:14:57Z</dcterms:modified>
</cp:coreProperties>
</file>

<file path=docProps/custom.xml><?xml version="1.0" encoding="utf-8"?>
<Properties xmlns="http://schemas.openxmlformats.org/officeDocument/2006/custom-properties" xmlns:vt="http://schemas.openxmlformats.org/officeDocument/2006/docPropsVTypes"/>
</file>