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center"/>
      </w:pPr>
      <w:r>
        <w:t xml:space="preserve">BICOL COLLEGE</w:t>
      </w:r>
    </w:p>
    <w:p>
      <w:pPr>
        <w:spacing w:after="0" w:line="240"/>
        <w:jc w:val="center"/>
      </w:pPr>
      <w:r>
        <w:t xml:space="preserve">Daraga, Albay</w:t>
      </w:r>
    </w:p>
    <w:p>
      <w:pPr>
        <w:spacing w:after="0" w:line="240"/>
        <w:jc w:val="center"/>
      </w:pPr>
      <w:r>
        <w:t xml:space="preserve">Graduate School</w:t>
      </w:r>
    </w:p>
    <w:p>
      <w:pPr>
        <w:spacing w:after="0" w:line="240"/>
        <w:jc w:val="center"/>
      </w:pPr>
      <w:r>
        <w:t xml:space="preserve">1</w:t>
      </w:r>
      <w:r>
        <w:rPr>
          <w:vertAlign w:val="superscript"/>
        </w:rPr>
        <w:t xml:space="preserve">st</w:t>
      </w:r>
      <w:r>
        <w:t xml:space="preserve"> Sem AY 2026-27</w:t>
      </w:r>
    </w:p>
    <w:p>
      <w:pPr>
        <w:spacing w:after="0"/>
      </w:pPr>
    </w:p>
    <w:p>
      <w:pPr>
        <w:spacing w:after="0" w:line="240"/>
        <w:jc w:val="center"/>
      </w:pPr>
      <w:r>
        <w:rPr>
          <w:b/>
          <w:bCs/>
        </w:rPr>
        <w:t xml:space="preserve">MEd Curriculum Instruction</w:t>
      </w:r>
    </w:p>
    <w:p>
      <w:pPr>
        <w:spacing w:after="0" w:line="240"/>
        <w:jc w:val="center"/>
      </w:pPr>
      <w:r>
        <w:rPr>
          <w:b/>
          <w:bCs/>
        </w:rPr>
        <w:t xml:space="preserve">Research Methods in Education</w:t>
      </w:r>
    </w:p>
    <w:p>
      <w:pPr>
        <w:spacing w:after="0"/>
      </w:pPr>
    </w:p>
    <w:p>
      <w:pPr>
        <w:spacing w:after="0"/>
      </w:pPr>
    </w:p>
    <w:p>
      <w:pPr>
        <w:tabs>
          <w:tab w:val="right" w:pos="9360"/>
        </w:tabs>
        <w:spacing w:after="0"/>
      </w:pPr>
      <w:r>
        <w:rPr>
          <w:b/>
          <w:bCs/>
        </w:rPr>
        <w:t xml:space="preserve">Irene A. Loria</w:t>
      </w:r>
      <w:r>
        <w:rPr>
          <w:b/>
          <w:bCs/>
        </w:rPr>
        <w:t xml:space="preserve">	Professor: Dr. Manny B. Macabeo</w:t>
      </w:r>
    </w:p>
    <w:p>
      <w:pPr>
        <w:spacing w:after="0"/>
      </w:pPr>
    </w:p>
    <w:p>
      <w:pPr>
        <w:spacing w:after="0"/>
      </w:pPr>
    </w:p>
    <w:p>
      <w:pPr>
        <w:spacing w:after="240"/>
      </w:pPr>
      <w:r>
        <w:t xml:space="preserve">Research Title:</w:t>
      </w:r>
    </w:p>
    <w:p>
      <w:pPr>
        <w:spacing w:after="0" w:line="276"/>
        <w:jc w:val="center"/>
      </w:pPr>
      <w:r>
        <w:rPr>
          <w:b/>
          <w:bCs/>
        </w:rPr>
        <w:t xml:space="preserve">Enhancing Reading Proficiency Among Grade 2 Struggling Readers Through Reading Intervention Materials (RIM) in Albay Central School</w:t>
      </w:r>
    </w:p>
    <w:p>
      <w:pPr>
        <w:spacing w:after="0"/>
      </w:pPr>
    </w:p>
    <w:p>
      <w:pPr>
        <w:spacing w:after="240" w:before="240" w:line="360"/>
        <w:jc w:val="center"/>
      </w:pPr>
      <w:r>
        <w:rPr>
          <w:b/>
          <w:bCs/>
        </w:rPr>
        <w:t xml:space="preserve">INTRODUCTION</w:t>
      </w:r>
    </w:p>
    <w:p>
      <w:pPr>
        <w:spacing w:after="120" w:line="360"/>
        <w:ind w:firstLine="720"/>
        <w:jc w:val="both"/>
      </w:pPr>
      <w:r>
        <w:t xml:space="preserve">Reading is the foundation upon which all other learning is built. It is the gateway skill that allows learners to access knowledge in every subject area, to express and communicate ideas, and to participate meaningfully in society. A child who learns to read with accuracy, fluency, and understanding in the early grades is equipped not only to succeed in school but also to become a lifelong learner. Conversely, a child who fails to master basic reading skills in the primary years is likely to struggle in every learning area that depends on printed text. For this reason, the early grades, particularly Kindergarten to Grade 3, are widely recognized as the critical period for the development of foundational literacy.</w:t>
      </w:r>
    </w:p>
    <w:p>
      <w:pPr>
        <w:spacing w:after="120" w:line="360"/>
        <w:ind w:firstLine="720"/>
        <w:jc w:val="both"/>
      </w:pPr>
      <w:r>
        <w:t xml:space="preserve">Research consistently shows that reading difficulties that are not addressed early tend to persist and widen over time. In a landmark longitudinal study, Juel (1988) found that a child who was a poor reader at the end of Grade 1 had an 88 percent probability of remaining a poor reader at the end of Grade 4. Stanovich (1986) described this phenomenon as the "Matthew effect" in reading, wherein good readers read more, grow in vocabulary and knowledge, and become even better readers, while poor readers read less and fall further behind their peers. Torgesen (2004) emphasized that early, intensive, and systematic intervention is the most effective way to prevent this "downward spiral" of reading failure. These findings underscore the urgency of identifying struggling readers as early as Grade 2 and providing them with appropriate and targeted support before their difficulties become deeply rooted.</w:t>
      </w:r>
    </w:p>
    <w:p>
      <w:pPr>
        <w:spacing w:after="120" w:line="360"/>
        <w:ind w:firstLine="720"/>
        <w:jc w:val="both"/>
      </w:pPr>
      <w:r>
        <w:t xml:space="preserve">Globally, the challenge of foundational literacy has reached alarming proportions. The World Bank (2022), in its report on the state of global learning poverty, estimated that as many as 70 percent of 10-year-old children in low- and middle-income countries are unable to read and understand a simple, age-appropriate text. The COVID-19 pandemic, which resulted in prolonged school closures, further deepened these learning losses, especially among young children who were only beginning to learn how to read.</w:t>
      </w:r>
    </w:p>
    <w:p>
      <w:pPr>
        <w:spacing w:after="120" w:line="360"/>
        <w:ind w:firstLine="720"/>
        <w:jc w:val="both"/>
      </w:pPr>
      <w:r>
        <w:t xml:space="preserve">The Philippines is not exempt from this crisis. In the 2018 Programme for International Student Assessment (PISA), Filipino 15-year-old learners obtained the lowest mean score in reading literacy among the 79 participating countries and economies (OECD, 2019). The 2022 PISA results showed little improvement, with Filipino learners again among the lowest performers in reading (OECD, 2023). At the primary level, the 2019 Southeast Asia Primary Learning Metrics (SEA-PLM) revealed that only 10 percent of Filipino Grade 5 learners reached the minimum reading proficiency expected at the end of primary school (UNICEF &amp; SEAMEO, 2020). Consistent with these results, the World Bank (2022) estimated that about 91 percent of Filipino children at age 10 cannot read and understand a simple, age-appropriate text. The Second Congressional Commission on Education (EDCOM 2, 2024), in its Year One report, likewise underscored the urgent need to strengthen foundational literacy in the early grades as a key to reforming Philippine basic education.</w:t>
      </w:r>
    </w:p>
    <w:p>
      <w:pPr>
        <w:spacing w:after="120" w:line="360"/>
        <w:ind w:firstLine="720"/>
        <w:jc w:val="both"/>
      </w:pPr>
      <w:r>
        <w:t xml:space="preserve">In response, the Philippine government has instituted a series of laws, policies, and programs to strengthen reading instruction. The 1987 Philippine Constitution, Article XIV, Section 1, mandates the State to protect and promote the right of all citizens to quality education at all levels. Republic Act No. 10533, or the Enhanced Basic Education Act of 2013, emphasizes the development of learners’ foundational skills in the early grades. The Department of Education (DepEd) has long implemented the Every Child a Reader Program (ECARP), which aims to make every Filipino child a reader and writer at his or her grade level, and launched the "Hamon: Bawat Bata Bumabasa" (3Bs) initiative through DepEd Memorandum No. 173, s. 2019, which calls on all schools to intensify their reading advocacy and intervention efforts. The Philippine Informal Reading Inventory (Phil-IRI) was revised through DepEd Order No. 14, s. 2018 as a classroom-based assessment tool that determines learners’ reading levels and guides teachers in planning appropriate interventions. More recently, the National Learning Recovery Program (DepEd Order No. 13, s. 2023), the implementation of Catch-Up Fridays (DepEd Memorandum No. 001, s. 2024), and the MATATAG Curriculum (DepEd Order No. 10, s. 2024) have placed foundational literacy at the center of the Department’s reform agenda. In 2024, Republic Act No. 12028, or the Academic Recovery and Accessible Learning (ARAL) Program Act, was enacted to provide a national learning intervention program, including tutorial sessions in reading, for learners who have not attained the expected level of proficiency.</w:t>
      </w:r>
    </w:p>
    <w:p>
      <w:pPr>
        <w:spacing w:after="120" w:line="360"/>
        <w:ind w:firstLine="720"/>
        <w:jc w:val="both"/>
      </w:pPr>
      <w:r>
        <w:t xml:space="preserve">Laws and programs, however, are only as effective as their implementation in the classroom. One of the most important factors in a successful reading intervention is the availability of appropriate instructional materials that respond to the specific needs of struggling readers. The National Reading Panel (2000) identified five essential components of effective reading instruction, namely, phonemic awareness, phonics, fluency, vocabulary, and comprehension, and stressed that these must be taught explicitly and systematically. The Simple View of Reading (Gough &amp; Tunmer, 1986) further explains that reading comprehension is the product of two components, decoding and language comprehension; a weakness in either one results in reading difficulty. Effective intervention materials must therefore address both the word-reading and the comprehension needs of learners. Wanzek and Vaughn (2007) found that early reading interventions that are explicit, systematic, and delivered in small groups produce significant gains in the reading skills of struggling learners. Likewise, Vygotsky’s (1978) concept of the Zone of Proximal Development suggests that learners progress best when they are given tasks slightly beyond their current level of ability, supported by appropriate scaffolding from the teacher and from well-designed learning materials.</w:t>
      </w:r>
    </w:p>
    <w:p>
      <w:pPr>
        <w:spacing w:after="120" w:line="360"/>
        <w:ind w:firstLine="720"/>
        <w:jc w:val="both"/>
      </w:pPr>
      <w:r>
        <w:t xml:space="preserve">In many public elementary schools in the Philippines, teachers face a persistent shortage of supplementary reading materials that are leveled, contextualized, and suited to learners who are reading below their grade level. Commercially available materials are often costly, not aligned with the learning competencies of the curriculum, or not reflective of the learners’ language, culture, and everyday experiences. Hence, teachers are encouraged to develop, adapt, and contextualize their own learning resources. Tomlinson (2011) emphasizes that effective learning materials should be relevant to the learners, engaging, and responsive to their needs and context. Reading Intervention Materials (RIM), which are teacher-developed or teacher-adapted materials such as letter-sound and phonics drills, word lists, flashcards, phrase and sentence reading cards, leveled reading passages, and short stories with comprehension activities, offer a practical and responsive means of addressing the particular reading difficulties of struggling learners within the classroom.</w:t>
      </w:r>
    </w:p>
    <w:p>
      <w:pPr>
        <w:spacing w:after="120" w:line="360"/>
        <w:ind w:firstLine="720"/>
        <w:jc w:val="both"/>
      </w:pPr>
      <w:r>
        <w:t xml:space="preserve">At Albay Central School, the reading situation of Grade 2 learners reflects the national picture. As an elementary school teacher, the researcher has observed that a considerable number of Grade 2 learners still struggle with basic reading skills. Many of them have difficulty identifying letter sounds, blending sounds to form words, recognizing high-frequency words, and reading simple sentences and short passages with accuracy and appropriate speed. Even those who are able to decode words often fail to understand what they have read. The beginning-of-the-year reading assessments administered in the school have likewise identified a number of Grade 2 learners who are reading below the expected level for their grade. Unless given timely and focused intervention, these learners are at risk of falling further behind as they move on to the higher grades, where they are increasingly expected to read in order to learn.</w:t>
      </w:r>
    </w:p>
    <w:p>
      <w:pPr>
        <w:spacing w:after="120" w:line="360"/>
        <w:ind w:firstLine="720"/>
        <w:jc w:val="both"/>
      </w:pPr>
      <w:r>
        <w:t xml:space="preserve">Recognizing the urgency of this problem, the researcher intends to utilize Reading Intervention Materials (RIM) designed to address the specific reading needs of Grade 2 struggling readers. The materials will focus on the essential components of early reading, namely, letter-sound knowledge, word recognition, reading fluency, vocabulary, and reading comprehension, and will be delivered through explicit and systematic instruction in small-group and one-on-one sessions. Through this study, the researcher seeks to determine the extent to which the use of RIM enhances the reading proficiency of Grade 2 struggling readers at Albay Central School.</w:t>
      </w:r>
    </w:p>
    <w:p>
      <w:pPr>
        <w:spacing w:after="120" w:line="360"/>
        <w:ind w:firstLine="720"/>
        <w:jc w:val="both"/>
      </w:pPr>
      <w:r>
        <w:t xml:space="preserve">This study is anchored on the belief that every child can learn to read when given the right support at the right time. It hopes to help Grade 2 struggling readers gain the skills and the confidence they need to become independent readers and successful learners, and to contribute to the realization of DepEd’s goal of making every child a reader at his or her grade level.</w:t>
      </w:r>
    </w:p>
    <w:p>
      <w:pPr>
        <w:spacing w:after="240" w:before="240" w:line="360"/>
        <w:jc w:val="center"/>
      </w:pPr>
      <w:r>
        <w:rPr>
          <w:b/>
          <w:bCs/>
        </w:rPr>
        <w:t xml:space="preserve">OBJECTIVES OF THE STUDY</w:t>
      </w:r>
    </w:p>
    <w:p>
      <w:pPr>
        <w:spacing w:after="120" w:line="360"/>
        <w:ind w:firstLine="720"/>
        <w:jc w:val="both"/>
      </w:pPr>
      <w:r>
        <w:t xml:space="preserve">This study aims to enhance the reading proficiency of Grade 2 struggling readers through the use of Reading Intervention Materials (RIM) at Albay Central School during the School Year 2026–2027.</w:t>
      </w:r>
    </w:p>
    <w:p>
      <w:pPr>
        <w:spacing w:after="120" w:line="360"/>
        <w:jc w:val="both"/>
      </w:pPr>
      <w:r>
        <w:t xml:space="preserve">Specifically, it aims to:</w:t>
      </w:r>
    </w:p>
    <w:p>
      <w:pPr>
        <w:pStyle w:val="ListParagraph"/>
        <w:numPr>
          <w:ilvl w:val="0"/>
          <w:numId w:val="2"/>
        </w:numPr>
        <w:spacing w:after="60" w:line="360"/>
        <w:jc w:val="both"/>
      </w:pPr>
      <w:r>
        <w:t xml:space="preserve">Determine the reading proficiency level of the Grade 2 struggling readers before the use of the RIM (pre-test) in terms of:</w:t>
      </w:r>
    </w:p>
    <w:p>
      <w:pPr>
        <w:pStyle w:val="ListParagraph"/>
        <w:numPr>
          <w:ilvl w:val="0"/>
          <w:numId w:val="3"/>
        </w:numPr>
        <w:spacing w:after="0" w:line="360"/>
      </w:pPr>
      <w:r>
        <w:t xml:space="preserve">letter-sound knowledge;</w:t>
      </w:r>
    </w:p>
    <w:p>
      <w:pPr>
        <w:pStyle w:val="ListParagraph"/>
        <w:numPr>
          <w:ilvl w:val="0"/>
          <w:numId w:val="3"/>
        </w:numPr>
        <w:spacing w:after="0" w:line="360"/>
      </w:pPr>
      <w:r>
        <w:t xml:space="preserve">word recognition;</w:t>
      </w:r>
    </w:p>
    <w:p>
      <w:pPr>
        <w:pStyle w:val="ListParagraph"/>
        <w:numPr>
          <w:ilvl w:val="0"/>
          <w:numId w:val="3"/>
        </w:numPr>
        <w:spacing w:after="0" w:line="360"/>
      </w:pPr>
      <w:r>
        <w:t xml:space="preserve">reading fluency; and</w:t>
      </w:r>
    </w:p>
    <w:p>
      <w:pPr>
        <w:pStyle w:val="ListParagraph"/>
        <w:numPr>
          <w:ilvl w:val="0"/>
          <w:numId w:val="3"/>
        </w:numPr>
        <w:spacing w:after="0" w:line="360"/>
      </w:pPr>
      <w:r>
        <w:t xml:space="preserve">reading comprehension.</w:t>
      </w:r>
    </w:p>
    <w:p>
      <w:pPr>
        <w:pStyle w:val="ListParagraph"/>
        <w:numPr>
          <w:ilvl w:val="0"/>
          <w:numId w:val="2"/>
        </w:numPr>
        <w:spacing w:after="60" w:line="360"/>
        <w:jc w:val="both"/>
      </w:pPr>
      <w:r>
        <w:t xml:space="preserve">Describe the Reading Intervention Materials (RIM) developed and utilized in the study in terms of their content, activities, and mode of delivery.</w:t>
      </w:r>
    </w:p>
    <w:p>
      <w:pPr>
        <w:pStyle w:val="ListParagraph"/>
        <w:numPr>
          <w:ilvl w:val="0"/>
          <w:numId w:val="2"/>
        </w:numPr>
        <w:spacing w:after="60" w:line="360"/>
        <w:jc w:val="both"/>
      </w:pPr>
      <w:r>
        <w:t xml:space="preserve">Determine the reading proficiency level of the Grade 2 struggling readers after the use of the RIM (post-test) in terms of:</w:t>
      </w:r>
    </w:p>
    <w:p>
      <w:pPr>
        <w:pStyle w:val="ListParagraph"/>
        <w:numPr>
          <w:ilvl w:val="0"/>
          <w:numId w:val="4"/>
        </w:numPr>
        <w:spacing w:after="0" w:line="360"/>
      </w:pPr>
      <w:r>
        <w:t xml:space="preserve">letter-sound knowledge;</w:t>
      </w:r>
    </w:p>
    <w:p>
      <w:pPr>
        <w:pStyle w:val="ListParagraph"/>
        <w:numPr>
          <w:ilvl w:val="0"/>
          <w:numId w:val="4"/>
        </w:numPr>
        <w:spacing w:after="0" w:line="360"/>
      </w:pPr>
      <w:r>
        <w:t xml:space="preserve">word recognition;</w:t>
      </w:r>
    </w:p>
    <w:p>
      <w:pPr>
        <w:pStyle w:val="ListParagraph"/>
        <w:numPr>
          <w:ilvl w:val="0"/>
          <w:numId w:val="4"/>
        </w:numPr>
        <w:spacing w:after="0" w:line="360"/>
      </w:pPr>
      <w:r>
        <w:t xml:space="preserve">reading fluency; and</w:t>
      </w:r>
    </w:p>
    <w:p>
      <w:pPr>
        <w:pStyle w:val="ListParagraph"/>
        <w:numPr>
          <w:ilvl w:val="0"/>
          <w:numId w:val="4"/>
        </w:numPr>
        <w:spacing w:after="0" w:line="360"/>
      </w:pPr>
      <w:r>
        <w:t xml:space="preserve">reading comprehension.</w:t>
      </w:r>
    </w:p>
    <w:p>
      <w:pPr>
        <w:pStyle w:val="ListParagraph"/>
        <w:numPr>
          <w:ilvl w:val="0"/>
          <w:numId w:val="2"/>
        </w:numPr>
        <w:spacing w:after="60" w:line="360"/>
        <w:jc w:val="both"/>
      </w:pPr>
      <w:r>
        <w:t xml:space="preserve">Ascertain whether there is a significant difference between the pre-test and post-test reading proficiency levels of the Grade 2 struggling readers.</w:t>
      </w:r>
    </w:p>
    <w:p>
      <w:pPr>
        <w:pStyle w:val="ListParagraph"/>
        <w:numPr>
          <w:ilvl w:val="0"/>
          <w:numId w:val="2"/>
        </w:numPr>
        <w:spacing w:after="60" w:line="360"/>
        <w:jc w:val="both"/>
      </w:pPr>
      <w:r>
        <w:t xml:space="preserve">Determine the level of acceptability of the RIM as evaluated by teachers and reading experts in terms of:</w:t>
      </w:r>
    </w:p>
    <w:p>
      <w:pPr>
        <w:pStyle w:val="ListParagraph"/>
        <w:numPr>
          <w:ilvl w:val="0"/>
          <w:numId w:val="5"/>
        </w:numPr>
        <w:spacing w:after="0" w:line="360"/>
      </w:pPr>
      <w:r>
        <w:t xml:space="preserve">content;</w:t>
      </w:r>
    </w:p>
    <w:p>
      <w:pPr>
        <w:pStyle w:val="ListParagraph"/>
        <w:numPr>
          <w:ilvl w:val="0"/>
          <w:numId w:val="5"/>
        </w:numPr>
        <w:spacing w:after="0" w:line="360"/>
      </w:pPr>
      <w:r>
        <w:t xml:space="preserve">format and design;</w:t>
      </w:r>
    </w:p>
    <w:p>
      <w:pPr>
        <w:pStyle w:val="ListParagraph"/>
        <w:numPr>
          <w:ilvl w:val="0"/>
          <w:numId w:val="5"/>
        </w:numPr>
        <w:spacing w:after="0" w:line="360"/>
      </w:pPr>
      <w:r>
        <w:t xml:space="preserve">language and readability; and</w:t>
      </w:r>
    </w:p>
    <w:p>
      <w:pPr>
        <w:pStyle w:val="ListParagraph"/>
        <w:numPr>
          <w:ilvl w:val="0"/>
          <w:numId w:val="5"/>
        </w:numPr>
        <w:spacing w:after="0" w:line="360"/>
      </w:pPr>
      <w:r>
        <w:t xml:space="preserve">usefulness.</w:t>
      </w:r>
    </w:p>
    <w:p>
      <w:pPr>
        <w:pStyle w:val="ListParagraph"/>
        <w:numPr>
          <w:ilvl w:val="0"/>
          <w:numId w:val="2"/>
        </w:numPr>
        <w:spacing w:after="60" w:line="360"/>
        <w:jc w:val="both"/>
      </w:pPr>
      <w:r>
        <w:t xml:space="preserve">Identify the challenges encountered by the teacher and the learners in the utilization of the RIM.</w:t>
      </w:r>
    </w:p>
    <w:p>
      <w:pPr>
        <w:pStyle w:val="ListParagraph"/>
        <w:numPr>
          <w:ilvl w:val="0"/>
          <w:numId w:val="2"/>
        </w:numPr>
        <w:spacing w:after="60" w:line="360"/>
        <w:jc w:val="both"/>
      </w:pPr>
      <w:r>
        <w:t xml:space="preserve">Propose a reading enhancement action plan based on the findings of the study.</w:t>
      </w:r>
    </w:p>
    <w:p>
      <w:pPr>
        <w:spacing w:after="240" w:before="240" w:line="360"/>
        <w:jc w:val="center"/>
      </w:pPr>
      <w:r>
        <w:rPr>
          <w:b/>
          <w:bCs/>
        </w:rPr>
        <w:t xml:space="preserve">REFERENCES</w:t>
      </w:r>
    </w:p>
    <w:p>
      <w:pPr>
        <w:spacing w:after="120" w:line="240"/>
        <w:ind w:left="720" w:hanging="720"/>
        <w:jc w:val="left"/>
      </w:pPr>
      <w:r>
        <w:t xml:space="preserve">Department of Education. (2018). </w:t>
      </w:r>
      <w:r>
        <w:rPr>
          <w:i/>
          <w:iCs/>
        </w:rPr>
        <w:t xml:space="preserve">DepEd Order No. 14, s. 2018: Policy guidelines on the administration of the revised Philippine Informal Reading Inventory</w:t>
      </w:r>
      <w:r>
        <w:t xml:space="preserve">. DepEd.</w:t>
      </w:r>
    </w:p>
    <w:p>
      <w:pPr>
        <w:spacing w:after="120" w:line="240"/>
        <w:ind w:left="720" w:hanging="720"/>
        <w:jc w:val="left"/>
      </w:pPr>
      <w:r>
        <w:t xml:space="preserve">Department of Education. (2019). </w:t>
      </w:r>
      <w:r>
        <w:rPr>
          <w:i/>
          <w:iCs/>
        </w:rPr>
        <w:t xml:space="preserve">DepEd Memorandum No. 173, s. 2019: Hamon: Bawat Bata Bumabasa (3Bs Initiative)</w:t>
      </w:r>
      <w:r>
        <w:t xml:space="preserve">. DepEd.</w:t>
      </w:r>
    </w:p>
    <w:p>
      <w:pPr>
        <w:spacing w:after="120" w:line="240"/>
        <w:ind w:left="720" w:hanging="720"/>
        <w:jc w:val="left"/>
      </w:pPr>
      <w:r>
        <w:t xml:space="preserve">Department of Education. (2023). </w:t>
      </w:r>
      <w:r>
        <w:rPr>
          <w:i/>
          <w:iCs/>
        </w:rPr>
        <w:t xml:space="preserve">DepEd Order No. 13, s. 2023: Policy guidelines on the implementation of the National Learning Recovery Program</w:t>
      </w:r>
      <w:r>
        <w:t xml:space="preserve">. DepEd.</w:t>
      </w:r>
    </w:p>
    <w:p>
      <w:pPr>
        <w:spacing w:after="120" w:line="240"/>
        <w:ind w:left="720" w:hanging="720"/>
        <w:jc w:val="left"/>
      </w:pPr>
      <w:r>
        <w:t xml:space="preserve">Department of Education. (2024a). </w:t>
      </w:r>
      <w:r>
        <w:rPr>
          <w:i/>
          <w:iCs/>
        </w:rPr>
        <w:t xml:space="preserve">DepEd Memorandum No. 001, s. 2024: Implementation of Catch-Up Fridays</w:t>
      </w:r>
      <w:r>
        <w:t xml:space="preserve">. DepEd.</w:t>
      </w:r>
    </w:p>
    <w:p>
      <w:pPr>
        <w:spacing w:after="120" w:line="240"/>
        <w:ind w:left="720" w:hanging="720"/>
        <w:jc w:val="left"/>
      </w:pPr>
      <w:r>
        <w:t xml:space="preserve">Department of Education. (2024b). </w:t>
      </w:r>
      <w:r>
        <w:rPr>
          <w:i/>
          <w:iCs/>
        </w:rPr>
        <w:t xml:space="preserve">DepEd Order No. 10, s. 2024: Policy guidelines on the implementation of the MATATAG Curriculum</w:t>
      </w:r>
      <w:r>
        <w:t xml:space="preserve">. DepEd.</w:t>
      </w:r>
    </w:p>
    <w:p>
      <w:pPr>
        <w:spacing w:after="120" w:line="240"/>
        <w:ind w:left="720" w:hanging="720"/>
        <w:jc w:val="left"/>
      </w:pPr>
      <w:r>
        <w:t xml:space="preserve">Gough, P. B., &amp; Tunmer, W. E. (1986). Decoding, reading, and reading disability. </w:t>
      </w:r>
      <w:r>
        <w:rPr>
          <w:i/>
          <w:iCs/>
        </w:rPr>
        <w:t xml:space="preserve">Remedial and Special Education, 7</w:t>
      </w:r>
      <w:r>
        <w:t xml:space="preserve">(1), 6–10.</w:t>
      </w:r>
    </w:p>
    <w:p>
      <w:pPr>
        <w:spacing w:after="120" w:line="240"/>
        <w:ind w:left="720" w:hanging="720"/>
        <w:jc w:val="left"/>
      </w:pPr>
      <w:r>
        <w:t xml:space="preserve">Juel, C. (1988). Learning to read and write: A longitudinal study of 54 children from first through fourth grades. </w:t>
      </w:r>
      <w:r>
        <w:rPr>
          <w:i/>
          <w:iCs/>
        </w:rPr>
        <w:t xml:space="preserve">Journal of Educational Psychology, 80</w:t>
      </w:r>
      <w:r>
        <w:t xml:space="preserve">(4), 437–447.</w:t>
      </w:r>
    </w:p>
    <w:p>
      <w:pPr>
        <w:spacing w:after="120" w:line="240"/>
        <w:ind w:left="720" w:hanging="720"/>
        <w:jc w:val="left"/>
      </w:pPr>
      <w:r>
        <w:t xml:space="preserve">National Reading Panel. (2000). </w:t>
      </w:r>
      <w:r>
        <w:rPr>
          <w:i/>
          <w:iCs/>
        </w:rPr>
        <w:t xml:space="preserve">Teaching children to read: An evidence-based assessment of the scientific research literature on reading and its implications for reading instruction</w:t>
      </w:r>
      <w:r>
        <w:t xml:space="preserve">. National Institute of Child Health and Human Development.</w:t>
      </w:r>
    </w:p>
    <w:p>
      <w:pPr>
        <w:spacing w:after="120" w:line="240"/>
        <w:ind w:left="720" w:hanging="720"/>
        <w:jc w:val="left"/>
      </w:pPr>
      <w:r>
        <w:t xml:space="preserve">OECD. (2019). </w:t>
      </w:r>
      <w:r>
        <w:rPr>
          <w:i/>
          <w:iCs/>
        </w:rPr>
        <w:t xml:space="preserve">PISA 2018 results (Volume I): What students know and can do</w:t>
      </w:r>
      <w:r>
        <w:t xml:space="preserve">. OECD Publishing.</w:t>
      </w:r>
    </w:p>
    <w:p>
      <w:pPr>
        <w:spacing w:after="120" w:line="240"/>
        <w:ind w:left="720" w:hanging="720"/>
        <w:jc w:val="left"/>
      </w:pPr>
      <w:r>
        <w:t xml:space="preserve">OECD. (2023). </w:t>
      </w:r>
      <w:r>
        <w:rPr>
          <w:i/>
          <w:iCs/>
        </w:rPr>
        <w:t xml:space="preserve">PISA 2022 results (Volume I): The state of learning and equity in education</w:t>
      </w:r>
      <w:r>
        <w:t xml:space="preserve">. OECD Publishing.</w:t>
      </w:r>
    </w:p>
    <w:p>
      <w:pPr>
        <w:spacing w:after="120" w:line="240"/>
        <w:ind w:left="720" w:hanging="720"/>
        <w:jc w:val="left"/>
      </w:pPr>
      <w:r>
        <w:t xml:space="preserve">Republic Act No. 10533. (2013). </w:t>
      </w:r>
      <w:r>
        <w:rPr>
          <w:i/>
          <w:iCs/>
        </w:rPr>
        <w:t xml:space="preserve">Enhanced Basic Education Act of 2013</w:t>
      </w:r>
      <w:r>
        <w:t xml:space="preserve">. Congress of the Philippines.</w:t>
      </w:r>
    </w:p>
    <w:p>
      <w:pPr>
        <w:spacing w:after="120" w:line="240"/>
        <w:ind w:left="720" w:hanging="720"/>
        <w:jc w:val="left"/>
      </w:pPr>
      <w:r>
        <w:t xml:space="preserve">Republic Act No. 12028. (2024). </w:t>
      </w:r>
      <w:r>
        <w:rPr>
          <w:i/>
          <w:iCs/>
        </w:rPr>
        <w:t xml:space="preserve">Academic Recovery and Accessible Learning (ARAL) Program Act</w:t>
      </w:r>
      <w:r>
        <w:t xml:space="preserve">. Congress of the Philippines.</w:t>
      </w:r>
    </w:p>
    <w:p>
      <w:pPr>
        <w:spacing w:after="120" w:line="240"/>
        <w:ind w:left="720" w:hanging="720"/>
        <w:jc w:val="left"/>
      </w:pPr>
      <w:r>
        <w:t xml:space="preserve">Second Congressional Commission on Education. (2024). </w:t>
      </w:r>
      <w:r>
        <w:rPr>
          <w:i/>
          <w:iCs/>
        </w:rPr>
        <w:t xml:space="preserve">Miseducation: The failed system of Philippine education (EDCOM 2 Year One Report)</w:t>
      </w:r>
      <w:r>
        <w:t xml:space="preserve">. EDCOM 2.</w:t>
      </w:r>
    </w:p>
    <w:p>
      <w:pPr>
        <w:spacing w:after="120" w:line="240"/>
        <w:ind w:left="720" w:hanging="720"/>
        <w:jc w:val="left"/>
      </w:pPr>
      <w:r>
        <w:t xml:space="preserve">Stanovich, K. E. (1986). Matthew effects in reading: Some consequences of individual differences in the acquisition of literacy. </w:t>
      </w:r>
      <w:r>
        <w:rPr>
          <w:i/>
          <w:iCs/>
        </w:rPr>
        <w:t xml:space="preserve">Reading Research Quarterly, 21</w:t>
      </w:r>
      <w:r>
        <w:t xml:space="preserve">(4), 360–407.</w:t>
      </w:r>
    </w:p>
    <w:p>
      <w:pPr>
        <w:spacing w:after="120" w:line="240"/>
        <w:ind w:left="720" w:hanging="720"/>
        <w:jc w:val="left"/>
      </w:pPr>
      <w:r>
        <w:t xml:space="preserve">The Constitution of the Republic of the Philippines. (1987). Article XIV, Section 1.</w:t>
      </w:r>
    </w:p>
    <w:p>
      <w:pPr>
        <w:spacing w:after="120" w:line="240"/>
        <w:ind w:left="720" w:hanging="720"/>
        <w:jc w:val="left"/>
      </w:pPr>
      <w:r>
        <w:t xml:space="preserve">Tomlinson, B. (Ed.). (2011). </w:t>
      </w:r>
      <w:r>
        <w:rPr>
          <w:i/>
          <w:iCs/>
        </w:rPr>
        <w:t xml:space="preserve">Materials development in language teaching</w:t>
      </w:r>
      <w:r>
        <w:t xml:space="preserve"> (2nd ed.). Cambridge University Press.</w:t>
      </w:r>
    </w:p>
    <w:p>
      <w:pPr>
        <w:spacing w:after="120" w:line="240"/>
        <w:ind w:left="720" w:hanging="720"/>
        <w:jc w:val="left"/>
      </w:pPr>
      <w:r>
        <w:t xml:space="preserve">Torgesen, J. K. (2004). Avoiding the devastating downward spiral: The evidence that early intervention prevents reading failure. </w:t>
      </w:r>
      <w:r>
        <w:rPr>
          <w:i/>
          <w:iCs/>
        </w:rPr>
        <w:t xml:space="preserve">American Educator, 28</w:t>
      </w:r>
      <w:r>
        <w:t xml:space="preserve">(3), 6–19.</w:t>
      </w:r>
    </w:p>
    <w:p>
      <w:pPr>
        <w:spacing w:after="120" w:line="240"/>
        <w:ind w:left="720" w:hanging="720"/>
        <w:jc w:val="left"/>
      </w:pPr>
      <w:r>
        <w:t xml:space="preserve">UNICEF &amp; SEAMEO. (2020). </w:t>
      </w:r>
      <w:r>
        <w:rPr>
          <w:i/>
          <w:iCs/>
        </w:rPr>
        <w:t xml:space="preserve">SEA-PLM 2019 main regional report: Children’s learning in 6 Southeast Asian countries</w:t>
      </w:r>
      <w:r>
        <w:t xml:space="preserve">. UNICEF &amp; SEAMEO–SEA-PLM Secretariat.</w:t>
      </w:r>
    </w:p>
    <w:p>
      <w:pPr>
        <w:spacing w:after="120" w:line="240"/>
        <w:ind w:left="720" w:hanging="720"/>
        <w:jc w:val="left"/>
      </w:pPr>
      <w:r>
        <w:t xml:space="preserve">Vygotsky, L. S. (1978). </w:t>
      </w:r>
      <w:r>
        <w:rPr>
          <w:i/>
          <w:iCs/>
        </w:rPr>
        <w:t xml:space="preserve">Mind in society: The development of higher psychological processes</w:t>
      </w:r>
      <w:r>
        <w:t xml:space="preserve">. Harvard University Press.</w:t>
      </w:r>
    </w:p>
    <w:p>
      <w:pPr>
        <w:spacing w:after="120" w:line="240"/>
        <w:ind w:left="720" w:hanging="720"/>
        <w:jc w:val="left"/>
      </w:pPr>
      <w:r>
        <w:t xml:space="preserve">Wanzek, J., &amp; Vaughn, S. (2007). Research-based implications from extensive early reading interventions. </w:t>
      </w:r>
      <w:r>
        <w:rPr>
          <w:i/>
          <w:iCs/>
        </w:rPr>
        <w:t xml:space="preserve">School Psychology Review, 36</w:t>
      </w:r>
      <w:r>
        <w:t xml:space="preserve">(4), 541–561.</w:t>
      </w:r>
    </w:p>
    <w:p>
      <w:pPr>
        <w:spacing w:after="120" w:line="240"/>
        <w:ind w:left="720" w:hanging="720"/>
        <w:jc w:val="left"/>
      </w:pPr>
      <w:r>
        <w:t xml:space="preserve">World Bank. (2022). </w:t>
      </w:r>
      <w:r>
        <w:rPr>
          <w:i/>
          <w:iCs/>
        </w:rPr>
        <w:t xml:space="preserve">The state of global learning poverty: 2022 update</w:t>
      </w:r>
      <w:r>
        <w:t xml:space="preserve">. World Bank.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1080" w:hanging="360"/>
      </w:pPr>
    </w:lvl>
  </w:abstractNum>
  <w:abstractNum w:abstractNumId="3" w15:restartNumberingAfterBreak="0">
    <w:multiLevelType w:val="hybridMultilevel"/>
    <w:lvl w:ilvl="0" w15:tentative="1">
      <w:start w:val="1"/>
      <w:numFmt w:val="lowerLetter"/>
      <w:lvlText w:val="%1."/>
      <w:lvlJc w:val="left"/>
      <w:pPr>
        <w:ind w:left="1440" w:hanging="360"/>
      </w:pPr>
    </w:lvl>
  </w:abstractNum>
  <w:abstractNum w:abstractNumId="4" w15:restartNumberingAfterBreak="0">
    <w:multiLevelType w:val="hybridMultilevel"/>
    <w:lvl w:ilvl="0" w15:tentative="1">
      <w:start w:val="1"/>
      <w:numFmt w:val="lowerLetter"/>
      <w:lvlText w:val="%1."/>
      <w:lvlJc w:val="left"/>
      <w:pPr>
        <w:ind w:left="1440" w:hanging="360"/>
      </w:pPr>
    </w:lvl>
  </w:abstractNum>
  <w:abstractNum w:abstractNumId="5" w15:restartNumberingAfterBreak="0">
    <w:multiLevelType w:val="hybridMultilevel"/>
    <w:lvl w:ilvl="0" w15:tentative="1">
      <w:start w:val="1"/>
      <w:numFmt w:val="lowerLetter"/>
      <w:lvlText w:val="%1."/>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and Objectives of the Study</dc:title>
  <dc:creator>Irene A. Loria</dc:creator>
  <cp:lastModifiedBy>Un-named</cp:lastModifiedBy>
  <cp:revision>1</cp:revision>
  <dcterms:created xsi:type="dcterms:W3CDTF">2026-10-17T10:29:57.211Z</dcterms:created>
  <dcterms:modified xsi:type="dcterms:W3CDTF">2026-10-17T10:29:57.211Z</dcterms:modified>
</cp:coreProperties>
</file>

<file path=docProps/custom.xml><?xml version="1.0" encoding="utf-8"?>
<Properties xmlns="http://schemas.openxmlformats.org/officeDocument/2006/custom-properties" xmlns:vt="http://schemas.openxmlformats.org/officeDocument/2006/docPropsVTypes"/>
</file>