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Center"/>
      </w:pPr>
      <w:r>
        <w:drawing>
          <wp:inline>
            <wp:extent cx="1920240" cy="1815973"/>
            <wp:effectExtent b="0" l="0" r="0" t="0"/>
            <wp:docPr descr="" title="" id="21" name="Picture"/>
            <a:graphic>
              <a:graphicData uri="http://schemas.openxmlformats.org/drawingml/2006/picture">
                <pic:pic>
                  <pic:nvPicPr>
                    <pic:cNvPr descr="fig/deped_header.png" id="22" name="Picture"/>
                    <pic:cNvPicPr>
                      <a:picLocks noChangeArrowheads="1" noChangeAspect="1"/>
                    </pic:cNvPicPr>
                  </pic:nvPicPr>
                  <pic:blipFill>
                    <a:blip r:embed="rId20"/>
                    <a:stretch>
                      <a:fillRect/>
                    </a:stretch>
                  </pic:blipFill>
                  <pic:spPr bwMode="auto">
                    <a:xfrm>
                      <a:off x="0" y="0"/>
                      <a:ext cx="1920240" cy="1815973"/>
                    </a:xfrm>
                    <a:prstGeom prst="rect">
                      <a:avLst/>
                    </a:prstGeom>
                    <a:noFill/>
                    <a:ln w="9525">
                      <a:noFill/>
                      <a:headEnd/>
                      <a:tailEnd/>
                    </a:ln>
                  </pic:spPr>
                </pic:pic>
              </a:graphicData>
            </a:graphic>
          </wp:inline>
        </w:drawing>
      </w:r>
    </w:p>
    <w:p>
      <w:pPr>
        <w:pStyle w:val="PaperTitle"/>
      </w:pPr>
      <w:r>
        <w:t xml:space="preserve">Right Hospital, Right Bed, Right Time: A Verified Network Model for Mapping Hospitals and Routing Patients in Albay by Clinical Need, Live Bed Availability, and Ability to Pay</w:t>
      </w:r>
    </w:p>
    <w:p>
      <w:pPr>
        <w:pStyle w:val="TitleCenter"/>
      </w:pPr>
      <w:r>
        <w:rPr>
          <w:bCs/>
          <w:b/>
        </w:rPr>
        <w:t xml:space="preserve">Research Category</w:t>
      </w:r>
      <w:r>
        <w:br/>
      </w:r>
      <w:r>
        <w:t xml:space="preserve">Mathematics and Computational Sciences, Team (MCS-T)</w:t>
      </w:r>
    </w:p>
    <w:p>
      <w:pPr>
        <w:pStyle w:val="TitleCenter"/>
      </w:pPr>
      <w:r>
        <w:rPr>
          <w:bCs/>
          <w:b/>
        </w:rPr>
        <w:t xml:space="preserve">Researchers</w:t>
      </w:r>
      <w:r>
        <w:br/>
      </w:r>
      <w:r>
        <w:t xml:space="preserve">Brimbuela, Peter John A.</w:t>
      </w:r>
      <w:r>
        <w:br/>
      </w:r>
      <w:r>
        <w:t xml:space="preserve">De Asis, Dave Justin Ll.</w:t>
      </w:r>
      <w:r>
        <w:br/>
      </w:r>
      <w:r>
        <w:t xml:space="preserve">Shin, Yeaseong</w:t>
      </w:r>
    </w:p>
    <w:p>
      <w:pPr>
        <w:pStyle w:val="TitleCenter"/>
      </w:pPr>
      <w:r>
        <w:rPr>
          <w:bCs/>
          <w:b/>
        </w:rPr>
        <w:t xml:space="preserve">Research Adviser</w:t>
      </w:r>
      <w:r>
        <w:br/>
      </w:r>
      <w:r>
        <w:t xml:space="preserve">Calleja, Dick Anthony M.</w:t>
      </w:r>
    </w:p>
    <w:p>
      <w:pPr>
        <w:pStyle w:val="TitleCenter"/>
      </w:pPr>
      <w:r>
        <w:t xml:space="preserve">Legazpi City Science High School</w:t>
      </w:r>
      <w:r>
        <w:br/>
      </w:r>
      <w:r>
        <w:t xml:space="preserve">Legazpi City, Albay</w:t>
      </w:r>
      <w:r>
        <w:br/>
      </w:r>
      <w:r>
        <w:t xml:space="preserve">Bicol Region (Region V), Philippines</w:t>
      </w:r>
    </w:p>
    <w:p>
      <w:r>
        <w:br w:type="page"/>
      </w:r>
    </w:p>
    <w:p>
      <w:pPr>
        <w:pStyle w:val="TOCHeading"/>
      </w:pPr>
      <w:r>
        <w:t xml:space="preserve">TABLE OF CONTENTS</w:t>
      </w:r>
    </w:p>
    <w:p>
      <w:pPr>
        <w:pStyle w:val="TOC1"/>
      </w:pPr>
      <w:r>
        <w:fldChar w:fldCharType="begin"/>
      </w:r>
      <w:r>
        <w:instrText xml:space="preserve"> TOC \o "1-3" \h \z \u </w:instrText>
      </w:r>
      <w:r>
        <w:fldChar w:fldCharType="separate"/>
      </w:r>
      <w:r>
        <w:t>ABSTRACT</w:t>
      </w:r>
      <w:r>
        <w:tab/>
        <w:t>5</w:t>
      </w:r>
    </w:p>
    <w:p>
      <w:pPr>
        <w:pStyle w:val="TOC1"/>
      </w:pPr>
      <w:r>
        <w:t>1. INTRODUCTION</w:t>
      </w:r>
      <w:r>
        <w:tab/>
        <w:t>6</w:t>
      </w:r>
    </w:p>
    <w:p>
      <w:pPr>
        <w:pStyle w:val="TOC2"/>
      </w:pPr>
      <w:r>
        <w:t>1.1 Statement of the Problem</w:t>
      </w:r>
      <w:r>
        <w:tab/>
        <w:t>7</w:t>
      </w:r>
    </w:p>
    <w:p>
      <w:pPr>
        <w:pStyle w:val="TOC2"/>
      </w:pPr>
      <w:r>
        <w:t>1.2 Objectives of the Study</w:t>
      </w:r>
      <w:r>
        <w:tab/>
        <w:t>8</w:t>
      </w:r>
    </w:p>
    <w:p>
      <w:pPr>
        <w:pStyle w:val="TOC2"/>
      </w:pPr>
      <w:r>
        <w:t>1.3 Research Questions</w:t>
      </w:r>
      <w:r>
        <w:tab/>
        <w:t>9</w:t>
      </w:r>
    </w:p>
    <w:p>
      <w:pPr>
        <w:pStyle w:val="TOC2"/>
      </w:pPr>
      <w:r>
        <w:t>1.4 Review of Related Literature</w:t>
      </w:r>
      <w:r>
        <w:tab/>
        <w:t>11</w:t>
      </w:r>
    </w:p>
    <w:p>
      <w:pPr>
        <w:pStyle w:val="TOC3"/>
      </w:pPr>
      <w:r>
        <w:t>1.4.1 Measuring Accessibility</w:t>
      </w:r>
      <w:r>
        <w:tab/>
        <w:t>11</w:t>
      </w:r>
    </w:p>
    <w:p>
      <w:pPr>
        <w:pStyle w:val="TOC3"/>
      </w:pPr>
      <w:r>
        <w:t>1.4.2 Measuring Spatial Access to Health Care</w:t>
      </w:r>
      <w:r>
        <w:tab/>
        <w:t>11</w:t>
      </w:r>
    </w:p>
    <w:p>
      <w:pPr>
        <w:pStyle w:val="TOC3"/>
      </w:pPr>
      <w:r>
        <w:t>1.4.3 Equity in the Distribution of Access</w:t>
      </w:r>
      <w:r>
        <w:tab/>
        <w:t>12</w:t>
      </w:r>
    </w:p>
    <w:p>
      <w:pPr>
        <w:pStyle w:val="TOC3"/>
      </w:pPr>
      <w:r>
        <w:t>1.4.4 Hospital Levels, Triage, and What a Patient Needs</w:t>
      </w:r>
      <w:r>
        <w:tab/>
        <w:t>12</w:t>
      </w:r>
    </w:p>
    <w:p>
      <w:pPr>
        <w:pStyle w:val="TOC3"/>
      </w:pPr>
      <w:r>
        <w:t>1.4.5 Bed Reporting in the Philippines</w:t>
      </w:r>
      <w:r>
        <w:tab/>
        <w:t>13</w:t>
      </w:r>
    </w:p>
    <w:p>
      <w:pPr>
        <w:pStyle w:val="TOC3"/>
      </w:pPr>
      <w:r>
        <w:t>1.4.6 Payment for Hospital Care in the Philippines</w:t>
      </w:r>
      <w:r>
        <w:tab/>
        <w:t>13</w:t>
      </w:r>
    </w:p>
    <w:p>
      <w:pPr>
        <w:pStyle w:val="TOC3"/>
      </w:pPr>
      <w:r>
        <w:t>1.4.7 Emergency Medical Services and Facility Location</w:t>
      </w:r>
      <w:r>
        <w:tab/>
        <w:t>13</w:t>
      </w:r>
    </w:p>
    <w:p>
      <w:pPr>
        <w:pStyle w:val="TOC3"/>
      </w:pPr>
      <w:r>
        <w:t>1.4.8 Network Flows and Assigning Patients to Beds</w:t>
      </w:r>
      <w:r>
        <w:tab/>
        <w:t>14</w:t>
      </w:r>
    </w:p>
    <w:p>
      <w:pPr>
        <w:pStyle w:val="TOC3"/>
      </w:pPr>
      <w:r>
        <w:t>1.4.9 Road Vulnerability and Catchments on Networks</w:t>
      </w:r>
      <w:r>
        <w:tab/>
        <w:t>14</w:t>
      </w:r>
    </w:p>
    <w:p>
      <w:pPr>
        <w:pStyle w:val="TOC3"/>
      </w:pPr>
      <w:r>
        <w:t>1.4.10 Journey Planning on Timetable Networks</w:t>
      </w:r>
      <w:r>
        <w:tab/>
        <w:t>15</w:t>
      </w:r>
    </w:p>
    <w:p>
      <w:pPr>
        <w:pStyle w:val="TOC3"/>
      </w:pPr>
      <w:r>
        <w:t>1.4.11 Open Data on Informal Transport</w:t>
      </w:r>
      <w:r>
        <w:tab/>
        <w:t>15</w:t>
      </w:r>
    </w:p>
    <w:p>
      <w:pPr>
        <w:pStyle w:val="TOC3"/>
      </w:pPr>
      <w:r>
        <w:t>1.4.12 Landmarks as Units of Analysis</w:t>
      </w:r>
      <w:r>
        <w:tab/>
        <w:t>16</w:t>
      </w:r>
    </w:p>
    <w:p>
      <w:pPr>
        <w:pStyle w:val="TOC3"/>
      </w:pPr>
      <w:r>
        <w:t>1.4.13 The Philippine and Albay Setting</w:t>
      </w:r>
      <w:r>
        <w:tab/>
        <w:t>16</w:t>
      </w:r>
    </w:p>
    <w:p>
      <w:pPr>
        <w:pStyle w:val="TOC3"/>
      </w:pPr>
      <w:r>
        <w:t>1.4.14 Software Agents over E-mail</w:t>
      </w:r>
      <w:r>
        <w:tab/>
        <w:t>17</w:t>
      </w:r>
    </w:p>
    <w:p>
      <w:pPr>
        <w:pStyle w:val="TOC2"/>
      </w:pPr>
      <w:r>
        <w:t>1.5 Research Gap</w:t>
      </w:r>
      <w:r>
        <w:tab/>
        <w:t>17</w:t>
      </w:r>
    </w:p>
    <w:p>
      <w:pPr>
        <w:pStyle w:val="TOC2"/>
      </w:pPr>
      <w:r>
        <w:t>1.6 Contributions of the Study</w:t>
      </w:r>
      <w:r>
        <w:tab/>
        <w:t>18</w:t>
      </w:r>
    </w:p>
    <w:p>
      <w:pPr>
        <w:pStyle w:val="TOC2"/>
      </w:pPr>
      <w:r>
        <w:t>1.7 Scope and Delimitation</w:t>
      </w:r>
      <w:r>
        <w:tab/>
        <w:t>19</w:t>
      </w:r>
    </w:p>
    <w:p>
      <w:pPr>
        <w:pStyle w:val="TOC2"/>
      </w:pPr>
      <w:r>
        <w:t>1.8 Relation to the Sustainable Development Goals</w:t>
      </w:r>
      <w:r>
        <w:tab/>
        <w:t>20</w:t>
      </w:r>
    </w:p>
    <w:p>
      <w:pPr>
        <w:pStyle w:val="TOC1"/>
      </w:pPr>
      <w:r>
        <w:t>2. FRAMEWORK</w:t>
      </w:r>
      <w:r>
        <w:tab/>
        <w:t>21</w:t>
      </w:r>
    </w:p>
    <w:p>
      <w:pPr>
        <w:pStyle w:val="TOC2"/>
      </w:pPr>
      <w:r>
        <w:t>2.1 Study Area, Landmarks, and Spatial Units</w:t>
      </w:r>
      <w:r>
        <w:tab/>
        <w:t>22</w:t>
      </w:r>
    </w:p>
    <w:p>
      <w:pPr>
        <w:pStyle w:val="TOC2"/>
      </w:pPr>
      <w:r>
        <w:t>2.2 Network Definitions</w:t>
      </w:r>
      <w:r>
        <w:tab/>
        <w:t>24</w:t>
      </w:r>
    </w:p>
    <w:p>
      <w:pPr>
        <w:pStyle w:val="TOC2"/>
      </w:pPr>
      <w:r>
        <w:t>2.3 Travel Time and Accessibility</w:t>
      </w:r>
      <w:r>
        <w:tab/>
        <w:t>25</w:t>
      </w:r>
    </w:p>
    <w:p>
      <w:pPr>
        <w:pStyle w:val="TOC2"/>
      </w:pPr>
      <w:r>
        <w:t>2.4 Measures of Access Inequality</w:t>
      </w:r>
      <w:r>
        <w:tab/>
        <w:t>26</w:t>
      </w:r>
    </w:p>
    <w:p>
      <w:pPr>
        <w:pStyle w:val="TOC2"/>
      </w:pPr>
      <w:r>
        <w:t>2.5 Vehicle Classes and the Ambulance</w:t>
      </w:r>
      <w:r>
        <w:tab/>
        <w:t>27</w:t>
      </w:r>
    </w:p>
    <w:p>
      <w:pPr>
        <w:pStyle w:val="TOC2"/>
      </w:pPr>
      <w:r>
        <w:t>2.6 Fare Model: What the Commuting Patient Pays</w:t>
      </w:r>
      <w:r>
        <w:tab/>
        <w:t>28</w:t>
      </w:r>
    </w:p>
    <w:p>
      <w:pPr>
        <w:pStyle w:val="TOC2"/>
      </w:pPr>
      <w:r>
        <w:t>2.7 The Hospital Map: Capability, Services, and Cost Class</w:t>
      </w:r>
      <w:r>
        <w:tab/>
        <w:t>29</w:t>
      </w:r>
    </w:p>
    <w:p>
      <w:pPr>
        <w:pStyle w:val="TOC2"/>
      </w:pPr>
      <w:r>
        <w:t>2.8 Agent Network for Live Bed Availability</w:t>
      </w:r>
      <w:r>
        <w:tab/>
        <w:t>31</w:t>
      </w:r>
    </w:p>
    <w:p>
      <w:pPr>
        <w:pStyle w:val="TOC2"/>
      </w:pPr>
      <w:r>
        <w:t>2.9 The Patient Profile: Acuity, Needs, Ability to Pay, and Mobility</w:t>
      </w:r>
      <w:r>
        <w:tab/>
        <w:t>34</w:t>
      </w:r>
    </w:p>
    <w:p>
      <w:pPr>
        <w:pStyle w:val="TOC2"/>
      </w:pPr>
      <w:r>
        <w:t>2.10 Finding the Nearest Suitable Hospital and Its Backups</w:t>
      </w:r>
      <w:r>
        <w:tab/>
        <w:t>35</w:t>
      </w:r>
    </w:p>
    <w:p>
      <w:pPr>
        <w:pStyle w:val="TOC2"/>
      </w:pPr>
      <w:r>
        <w:t>2.11 Gaps, Catchments, and Bed Access per Person</w:t>
      </w:r>
      <w:r>
        <w:tab/>
        <w:t>38</w:t>
      </w:r>
    </w:p>
    <w:p>
      <w:pPr>
        <w:pStyle w:val="TOC2"/>
      </w:pPr>
      <w:r>
        <w:t>2.12 Surge Assignment: Many Patients, Few Beds</w:t>
      </w:r>
      <w:r>
        <w:tab/>
        <w:t>40</w:t>
      </w:r>
    </w:p>
    <w:p>
      <w:pPr>
        <w:pStyle w:val="TOC2"/>
      </w:pPr>
      <w:r>
        <w:t>2.13 Planning Measures: Critical Roads and Where to Add Care</w:t>
      </w:r>
      <w:r>
        <w:tab/>
        <w:t>41</w:t>
      </w:r>
    </w:p>
    <w:p>
      <w:pPr>
        <w:pStyle w:val="TOC2"/>
      </w:pPr>
      <w:r>
        <w:t>2.14 Assumptions</w:t>
      </w:r>
      <w:r>
        <w:tab/>
        <w:t>42</w:t>
      </w:r>
    </w:p>
    <w:p>
      <w:pPr>
        <w:pStyle w:val="TOC2"/>
      </w:pPr>
      <w:r>
        <w:t>2.15 Notation</w:t>
      </w:r>
      <w:r>
        <w:tab/>
        <w:t>43</w:t>
      </w:r>
    </w:p>
    <w:p>
      <w:pPr>
        <w:pStyle w:val="TOC1"/>
      </w:pPr>
      <w:r>
        <w:t>3. FINDINGS</w:t>
      </w:r>
      <w:r>
        <w:tab/>
        <w:t>44</w:t>
      </w:r>
    </w:p>
    <w:p>
      <w:pPr>
        <w:pStyle w:val="TOC2"/>
      </w:pPr>
      <w:r>
        <w:t>3.0 Note on Data Sources and Integrity</w:t>
      </w:r>
      <w:r>
        <w:tab/>
        <w:t>44</w:t>
      </w:r>
    </w:p>
    <w:p>
      <w:pPr>
        <w:pStyle w:val="TOC2"/>
      </w:pPr>
      <w:r>
        <w:t>3.1 General Methods</w:t>
      </w:r>
      <w:r>
        <w:tab/>
        <w:t>45</w:t>
      </w:r>
    </w:p>
    <w:p>
      <w:pPr>
        <w:pStyle w:val="TOC2"/>
      </w:pPr>
      <w:r>
        <w:t>3.2 Theoretical Results</w:t>
      </w:r>
      <w:r>
        <w:tab/>
        <w:t>46</w:t>
      </w:r>
    </w:p>
    <w:p>
      <w:pPr>
        <w:pStyle w:val="TOC2"/>
      </w:pPr>
      <w:r>
        <w:t>3.3 Software Verification</w:t>
      </w:r>
      <w:r>
        <w:tab/>
        <w:t>58</w:t>
      </w:r>
    </w:p>
    <w:p>
      <w:pPr>
        <w:pStyle w:val="TOC2"/>
      </w:pPr>
      <w:r>
        <w:t>3.4 Computational Cost</w:t>
      </w:r>
      <w:r>
        <w:tab/>
        <w:t>62</w:t>
      </w:r>
    </w:p>
    <w:p>
      <w:pPr>
        <w:pStyle w:val="TOC2"/>
      </w:pPr>
      <w:r>
        <w:t>3.5 Worked Instance S1</w:t>
      </w:r>
      <w:r>
        <w:tab/>
        <w:t>64</w:t>
      </w:r>
    </w:p>
    <w:p>
      <w:pPr>
        <w:pStyle w:val="TOC3"/>
      </w:pPr>
      <w:r>
        <w:t>3.5.1 Hospital Mode on Instance S1</w:t>
      </w:r>
      <w:r>
        <w:tab/>
        <w:t>67</w:t>
      </w:r>
    </w:p>
    <w:p>
      <w:pPr>
        <w:pStyle w:val="TOC3"/>
      </w:pPr>
      <w:r>
        <w:t>3.5.2 Patient Needs and Backups on S1</w:t>
      </w:r>
      <w:r>
        <w:tab/>
        <w:t>69</w:t>
      </w:r>
    </w:p>
    <w:p>
      <w:pPr>
        <w:pStyle w:val="TOC3"/>
      </w:pPr>
      <w:r>
        <w:t>3.5.3 Beds per Person on S1</w:t>
      </w:r>
      <w:r>
        <w:tab/>
        <w:t>70</w:t>
      </w:r>
    </w:p>
    <w:p>
      <w:pPr>
        <w:pStyle w:val="TOC3"/>
      </w:pPr>
      <w:r>
        <w:t>3.5.4 Surge Assignment on S1</w:t>
      </w:r>
      <w:r>
        <w:tab/>
        <w:t>72</w:t>
      </w:r>
    </w:p>
    <w:p>
      <w:pPr>
        <w:pStyle w:val="TOC2"/>
      </w:pPr>
      <w:r>
        <w:t>3.6 Computational Experiments on the Open-Data Instance</w:t>
      </w:r>
      <w:r>
        <w:tab/>
        <w:t>73</w:t>
      </w:r>
    </w:p>
    <w:p>
      <w:pPr>
        <w:pStyle w:val="TOC3"/>
      </w:pPr>
      <w:r>
        <w:t>3.6.1 Sensitivity Analysis</w:t>
      </w:r>
      <w:r>
        <w:tab/>
        <w:t>73</w:t>
      </w:r>
    </w:p>
    <w:p>
      <w:pPr>
        <w:pStyle w:val="TOC3"/>
      </w:pPr>
      <w:r>
        <w:t>3.6.2 Statistical Treatment</w:t>
      </w:r>
      <w:r>
        <w:tab/>
        <w:t>73</w:t>
      </w:r>
    </w:p>
    <w:p>
      <w:pPr>
        <w:pStyle w:val="TOC3"/>
      </w:pPr>
      <w:r>
        <w:t>3.6.3 Pre-Registered Model Hypotheses</w:t>
      </w:r>
      <w:r>
        <w:tab/>
        <w:t>74</w:t>
      </w:r>
    </w:p>
    <w:p>
      <w:pPr>
        <w:pStyle w:val="TOC3"/>
      </w:pPr>
      <w:r>
        <w:t>3.6.4 Sensitivity Sweeps</w:t>
      </w:r>
      <w:r>
        <w:tab/>
        <w:t>76</w:t>
      </w:r>
    </w:p>
    <w:p>
      <w:pPr>
        <w:pStyle w:val="TOC1"/>
      </w:pPr>
      <w:r>
        <w:t>4. CONCLUSIONS</w:t>
      </w:r>
      <w:r>
        <w:tab/>
        <w:t>76</w:t>
      </w:r>
    </w:p>
    <w:p>
      <w:pPr>
        <w:pStyle w:val="TOC2"/>
      </w:pPr>
      <w:r>
        <w:t>4.1 Evaluation of the Findings</w:t>
      </w:r>
      <w:r>
        <w:tab/>
        <w:t>76</w:t>
      </w:r>
    </w:p>
    <w:p>
      <w:pPr>
        <w:pStyle w:val="TOC2"/>
      </w:pPr>
      <w:r>
        <w:t>4.2 Limitations</w:t>
      </w:r>
      <w:r>
        <w:tab/>
        <w:t>78</w:t>
      </w:r>
    </w:p>
    <w:p>
      <w:pPr>
        <w:pStyle w:val="TOC2"/>
      </w:pPr>
      <w:r>
        <w:t>4.3 Recommendations and Challenges in Extending the Results</w:t>
      </w:r>
      <w:r>
        <w:tab/>
        <w:t>81</w:t>
      </w:r>
    </w:p>
    <w:p>
      <w:pPr>
        <w:pStyle w:val="TOC2"/>
      </w:pPr>
      <w:r>
        <w:t>4.4 Applications</w:t>
      </w:r>
      <w:r>
        <w:tab/>
        <w:t>82</w:t>
      </w:r>
    </w:p>
    <w:p>
      <w:pPr>
        <w:pStyle w:val="TOC1"/>
      </w:pPr>
      <w:r>
        <w:t>5. REFERENCES</w:t>
      </w:r>
      <w:r>
        <w:tab/>
        <w:t>83</w:t>
      </w:r>
    </w:p>
    <w:p>
      <w:pPr>
        <w:pStyle w:val="TOC1"/>
      </w:pPr>
      <w:r>
        <w:t>APPENDIX A. OPEN DATA SOURCE REGISTER</w:t>
      </w:r>
      <w:r>
        <w:tab/>
        <w:t>92</w:t>
      </w:r>
    </w:p>
    <w:p>
      <w:pPr>
        <w:pStyle w:val="TOC1"/>
      </w:pPr>
      <w:r>
        <w:t>APPENDIX B. GTFS FILES PRODUCED</w:t>
      </w:r>
      <w:r>
        <w:tab/>
        <w:t>93</w:t>
      </w:r>
    </w:p>
    <w:p>
      <w:pPr>
        <w:pStyle w:val="TOC1"/>
      </w:pPr>
      <w:r>
        <w:t>APPENDIX C. RULES FOR INCLUDING LANDMARKS AND THE INVENTORY SCHEMA</w:t>
      </w:r>
      <w:r>
        <w:tab/>
        <w:t>94</w:t>
      </w:r>
    </w:p>
    <w:p>
      <w:pPr>
        <w:pStyle w:val="TOC1"/>
      </w:pPr>
      <w:r>
        <w:t>APPENDIX D. APPLICATION FEATURE CHECKLIST</w:t>
      </w:r>
      <w:r>
        <w:tab/>
        <w:t>95</w:t>
      </w:r>
    </w:p>
    <w:p>
      <w:pPr>
        <w:pStyle w:val="TOC1"/>
      </w:pPr>
      <w:r>
        <w:t>APPENDIX E. RISK REGISTER</w:t>
      </w:r>
      <w:r>
        <w:tab/>
        <w:t>97</w:t>
      </w:r>
    </w:p>
    <w:p>
      <w:pPr>
        <w:pStyle w:val="TOC1"/>
      </w:pPr>
      <w:r>
        <w:t>APPENDIX F. THE INQUIRY MESSAGE AND ITS REPLY FORM</w:t>
      </w:r>
      <w:r>
        <w:tab/>
        <w:t>99</w:t>
      </w:r>
    </w:p>
    <w:p>
      <w:pPr>
        <w:pStyle w:val="TOC1"/>
      </w:pPr>
      <w:r>
        <w:t>APPENDIX G. REPRODUCING THE NEW RESULTS</w:t>
      </w:r>
      <w:r>
        <w:tab/>
        <w:t>100</w:t>
      </w:r>
    </w:p>
    <w:p>
      <w:pPr>
        <w:pStyle w:val="TOC1"/>
      </w:pPr>
      <w:r>
        <w:t>ETHICS STATEMENT</w:t>
      </w:r>
      <w:r>
        <w:tab/>
        <w:t>100</w:t>
      </w:r>
      <w:r>
        <w:fldChar w:fldCharType="end"/>
      </w:r>
    </w:p>
    <w:p>
      <w:r>
        <w:br w:type="page"/>
      </w:r>
    </w:p>
    <w:bookmarkStart w:id="23" w:name="abstract"/>
    <w:p>
      <w:pPr>
        <w:pStyle w:val="Heading1"/>
        <w:jc w:val="center"/>
      </w:pPr>
      <w:r>
        <w:t xml:space="preserve">ABSTRACT</w:t>
      </w:r>
    </w:p>
    <w:p>
      <w:pPr>
        <w:pStyle w:val="AbstractTitle"/>
      </w:pPr>
      <w:r>
        <w:t xml:space="preserve">Right Hospital, Right Bed, Right Time: A Verified Network Model for Mapping Hospitals and Routing Patients in Albay by Clinical Need, Live Bed Availability, and Ability to Pay</w:t>
      </w:r>
    </w:p>
    <w:p>
      <w:pPr>
        <w:pStyle w:val="AbstractByline"/>
      </w:pPr>
      <w:r>
        <w:rPr>
          <w:iCs/>
          <w:i/>
        </w:rPr>
        <w:t xml:space="preserve">Brimbuela, Peter John A., De Asis, Dave Justin Ll., Shin, Yeaseong</w:t>
      </w:r>
    </w:p>
    <w:p>
      <w:pPr>
        <w:pStyle w:val="AbstractByline"/>
      </w:pPr>
      <w:r>
        <w:rPr>
          <w:iCs/>
          <w:i/>
        </w:rPr>
        <w:t xml:space="preserve">Legazpi City Science High School, Legazpi City, Albay, Bicol Region (Region V)</w:t>
      </w:r>
    </w:p>
    <w:p>
      <w:pPr>
        <w:pStyle w:val="BodyText"/>
      </w:pPr>
      <w:r>
        <w:t xml:space="preserve">A patient in Albay usually goes to the nearest hospital, which may have no free bed, may lack the needed service, or may cost more than the family can pay. Patients without an ambulance ride jeepneys, tricycles, and vans whose routes are recorded nowhere. This study built a laptop-computable network model from open data that maps hospitals by capability, services, emergency room, cost class, and reported free beds, and routes each patient, by ambulance or public transport, to the nearest hospital fitting the patient’s acuity, required services, payment class, and walking ability. OpenStreetMap roads and estimated headways formed a landmark-anchored timetable graph, e-mail agents gathered bed counts, and an early-stopping search returned the nearest suitable hospital with ranked backups. The model also maps hospital catchments, measures bed access per person and its inequality, assigns many patients to few beds, ranks roads critical to hospital access, and selects sites for new Malasakit Centers. Eighteen results were proven and tested on synthetic instances against independent code. Hospital routing matched the references in all 10,400 queries, and the one-search catchment map agreed at all 11,474 test vertices. Every road closure that delayed patients lay on the predicted shortest-path forest, halving the roads to test. Optimal surge assignment never overfilled a hospital and placed 202 more patients than first-come allocation, while greedy site selection reached at least 82.5 percent of the optimum. The agents rejected all 200 forged replies. Open data therefore suffice to route patients by need, beds, and cost, supporting SDGs 3, 10, and 11. The Provincial Health Office and LGUs are recommended to pilot the model with consenting hospitals and validate it in the field.</w:t>
      </w:r>
    </w:p>
    <w:p>
      <w:pPr>
        <w:pStyle w:val="BodyText"/>
      </w:pPr>
      <w:r>
        <w:rPr>
          <w:bCs/>
          <w:b/>
        </w:rPr>
        <w:t xml:space="preserve">Keywords:</w:t>
      </w:r>
      <w:r>
        <w:t xml:space="preserve"> </w:t>
      </w:r>
      <w:r>
        <w:t xml:space="preserve">nearest suitable hospital, time-expanded graph, two-step floating catchment area, minimum-cost assignment, payment gap</w:t>
      </w:r>
    </w:p>
    <w:p>
      <w:r>
        <w:br w:type="page"/>
      </w:r>
    </w:p>
    <w:bookmarkEnd w:id="23"/>
    <w:bookmarkStart w:id="46" w:name="introduction"/>
    <w:p>
      <w:pPr>
        <w:pStyle w:val="Heading1"/>
      </w:pPr>
      <w:r>
        <w:t xml:space="preserve">1. INTRODUCTION</w:t>
      </w:r>
    </w:p>
    <w:p>
      <w:pPr>
        <w:pStyle w:val="FirstParagraph"/>
      </w:pPr>
      <w:r>
        <w:t xml:space="preserve">In 2015 the member states of the United Nations adopted the 2030 Agenda for Sustainable Development, with 17 Sustainable Development Goals (SDGs) and a pledge that no one will be left behind (United Nations General Assembly [UNGA], 2015). Target 3.8 asks for health care that people can use without financial hardship, and target 11.2 asks for transport that is safe, affordable, and accessible for all. Both remain unfinished. About 4.6 billion people worldwide were not fully covered by essential health services, and 2.1 billion faced financial hardship because of what they paid out of pocket for health (World Health Organization [WHO] &amp; World Bank, 2025). In the 412 cities with data, about 61.5 percent of urban residents had convenient access to public transport in 2025 (United Nations Statistics Division [UNSD], 2026).</w:t>
      </w:r>
    </w:p>
    <w:p>
      <w:pPr>
        <w:pStyle w:val="BodyText"/>
      </w:pPr>
      <w:r>
        <w:t xml:space="preserve">The two targets meet at a single moment: the trip from where a patient is to a hospital that can actually help. In Albay that trip is harder than a map suggests. A hospital that looks close may have no bed left that night. It may be a Level 1 facility when the patient needs an intensive care unit, a neonatal intensive care unit, dialysis, or care for a high-risk pregnancy. It may be a private hospital that the family cannot afford, while a public hospital with a Malasakit Center lies a little farther away. Most families do not own a car, so the patient rides jeepneys, tricycles, minibuses, and UV vans whose routes, stops, and departure times are not published in any machine-readable form (Klopp &amp; Cavoli, 2019). An ambulance crew has its own problem, since some rural roads are too narrow or carry bridges too weak for a van-type ambulance.</w:t>
      </w:r>
    </w:p>
    <w:p>
      <w:pPr>
        <w:pStyle w:val="BodyText"/>
      </w:pPr>
      <w:r>
        <w:t xml:space="preserve">The usual answer,</w:t>
      </w:r>
      <w:r>
        <w:t xml:space="preserve"> </w:t>
      </w:r>
      <w:r>
        <w:t xml:space="preserve">“</w:t>
      </w:r>
      <w:r>
        <w:t xml:space="preserve">go to the nearest hospital,</w:t>
      </w:r>
      <w:r>
        <w:t xml:space="preserve">”</w:t>
      </w:r>
      <w:r>
        <w:t xml:space="preserve"> </w:t>
      </w:r>
      <w:r>
        <w:t xml:space="preserve">ignores all of this. A patient sent to a full hospital loses time at the door. A patient sent to a hospital that lacks the needed service is referred again after arriving. A poor patient sent to a private hospital may delay care or end up in debt. None of these failures shows up in road length or vehicle registration counts, which are the figures that provincial and municipal plans usually report.</w:t>
      </w:r>
    </w:p>
    <w:p>
      <w:pPr>
        <w:pStyle w:val="BodyText"/>
      </w:pPr>
      <w:r>
        <w:t xml:space="preserve">This study treats the question as a problem in mathematics and computation. Hospitals, roads, transit services, and landmarks become graphs and sets; a patient’s situation becomes a profile; and</w:t>
      </w:r>
      <w:r>
        <w:t xml:space="preserve"> </w:t>
      </w:r>
      <w:r>
        <w:t xml:space="preserve">“</w:t>
      </w:r>
      <w:r>
        <w:t xml:space="preserve">the right hospital</w:t>
      </w:r>
      <w:r>
        <w:t xml:space="preserve">”</w:t>
      </w:r>
      <w:r>
        <w:t xml:space="preserve"> </w:t>
      </w:r>
      <w:r>
        <w:t xml:space="preserve">becomes the solution of a shortest-path problem over a filtered set of hospitals. Each step is defined, each property that the software relies on is proven, and each proof is then checked numerically against independently written code. The aim is narrow on purpose. The study does not measure Albay’s progress toward the SDGs. It shows that patient-centered hospital access can be defined, computed, and verified from open data before any field survey, and it supplies the tools that a later field study, a provincial health office, or an ambulance service would need. All findings come from mathematical proof or from synthetic test instances (Section 3.0); the hospital routing has not yet been used with real patients. Section 1.8 sets out how the work relates to the SDGs and where its claims stop.</w:t>
      </w:r>
    </w:p>
    <w:bookmarkStart w:id="24" w:name="statement-of-the-problem"/>
    <w:p>
      <w:pPr>
        <w:pStyle w:val="Heading2"/>
      </w:pPr>
      <w:r>
        <w:t xml:space="preserve">1.1 Statement of the Problem</w:t>
      </w:r>
    </w:p>
    <w:p>
      <w:pPr>
        <w:pStyle w:val="FirstParagraph"/>
      </w:pPr>
      <w:r>
        <w:t xml:space="preserve">The study starts from the patient. Table 1 lists the problems that a patient, a family, an ambulance crew, or a health planner in Albay meets on the way to hospital care, together with the part of the model built to deal with each. Problems P1 to P9 concern a single patient; P10 to P13 concern many patients at once or the planning of the health system.</w:t>
      </w:r>
    </w:p>
    <w:p>
      <w:pPr>
        <w:pStyle w:val="TableCaption"/>
      </w:pPr>
      <w:r>
        <w:rPr>
          <w:bCs/>
          <w:b/>
        </w:rPr>
        <w:t xml:space="preserve">Table 1.</w:t>
      </w:r>
      <w:r>
        <w:t xml:space="preserve"> </w:t>
      </w:r>
      <w:r>
        <w:t xml:space="preserve">Problems in reaching hospital care that the study addresses, and the part of the model that answers each.</w:t>
      </w:r>
    </w:p>
    <w:tbl>
      <w:tblPr>
        <w:tblStyle w:val="Table"/>
        <w:tblW w:type="pct" w:w="5000"/>
        <w:jc w:val="center"/>
        <w:tblCaption w:val="Table 1. Problems in reaching hospital care that the study addresses, and the part of the model that answers each."/>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507"/>
        <w:gridCol w:w="2030"/>
        <w:gridCol w:w="2640"/>
        <w:gridCol w:w="2741"/>
      </w:tblGrid>
      <w:tr>
        <w:trPr>
          <w:tblHeader w:val="true"/>
          <w:tblHeader/>
          <w:cantSplit/>
        </w:trPr>
        <w:tc>
          <w:tcPr/>
          <w:p>
            <w:pPr>
              <w:pStyle w:val="Compact"/>
              <w:jc w:val="left"/>
            </w:pPr>
            <w:r>
              <w:rPr>
                <w:b/>
              </w:rPr>
              <w:t xml:space="preserve">No.</w:t>
            </w:r>
          </w:p>
        </w:tc>
        <w:tc>
          <w:tcPr/>
          <w:p>
            <w:pPr>
              <w:pStyle w:val="Compact"/>
              <w:jc w:val="left"/>
            </w:pPr>
            <w:r>
              <w:rPr>
                <w:b/>
              </w:rPr>
              <w:t xml:space="preserve">Problem</w:t>
            </w:r>
          </w:p>
        </w:tc>
        <w:tc>
          <w:tcPr/>
          <w:p>
            <w:pPr>
              <w:pStyle w:val="Compact"/>
              <w:jc w:val="left"/>
            </w:pPr>
            <w:r>
              <w:rPr>
                <w:b/>
              </w:rPr>
              <w:t xml:space="preserve">What happens to the patient</w:t>
            </w:r>
          </w:p>
        </w:tc>
        <w:tc>
          <w:tcPr/>
          <w:p>
            <w:pPr>
              <w:pStyle w:val="Compact"/>
              <w:jc w:val="left"/>
            </w:pPr>
            <w:r>
              <w:rPr>
                <w:b/>
              </w:rPr>
              <w:t xml:space="preserve">Part of the model that answers it</w:t>
            </w:r>
          </w:p>
        </w:tc>
      </w:tr>
      <w:tr>
        <w:trPr>
          <w:cantSplit/>
        </w:trPr>
        <w:tc>
          <w:tcPr/>
          <w:p>
            <w:pPr>
              <w:pStyle w:val="Compact"/>
              <w:jc w:val="left"/>
            </w:pPr>
            <w:r>
              <w:t xml:space="preserve">P1</w:t>
            </w:r>
          </w:p>
        </w:tc>
        <w:tc>
          <w:tcPr/>
          <w:p>
            <w:pPr>
              <w:pStyle w:val="Compact"/>
              <w:jc w:val="left"/>
            </w:pPr>
            <w:r>
              <w:t xml:space="preserve">The nearest hospital has no free bed</w:t>
            </w:r>
          </w:p>
        </w:tc>
        <w:tc>
          <w:tcPr/>
          <w:p>
            <w:pPr>
              <w:pStyle w:val="Compact"/>
              <w:jc w:val="left"/>
            </w:pPr>
            <w:r>
              <w:t xml:space="preserve">Travels, is turned away, loses time</w:t>
            </w:r>
          </w:p>
        </w:tc>
        <w:tc>
          <w:tcPr/>
          <w:p>
            <w:pPr>
              <w:pStyle w:val="Compact"/>
              <w:jc w:val="left"/>
            </w:pPr>
            <w:r>
              <w:t xml:space="preserve">Live bed status from the agent network; the FULL filter (Defs. 14, 15, 17)</w:t>
            </w:r>
          </w:p>
        </w:tc>
      </w:tr>
      <w:tr>
        <w:trPr>
          <w:cantSplit/>
        </w:trPr>
        <w:tc>
          <w:tcPr/>
          <w:p>
            <w:pPr>
              <w:pStyle w:val="Compact"/>
              <w:jc w:val="left"/>
            </w:pPr>
            <w:r>
              <w:t xml:space="preserve">P2</w:t>
            </w:r>
          </w:p>
        </w:tc>
        <w:tc>
          <w:tcPr/>
          <w:p>
            <w:pPr>
              <w:pStyle w:val="Compact"/>
              <w:jc w:val="left"/>
            </w:pPr>
            <w:r>
              <w:t xml:space="preserve">The nearest hospital cannot treat the condition</w:t>
            </w:r>
          </w:p>
        </w:tc>
        <w:tc>
          <w:tcPr/>
          <w:p>
            <w:pPr>
              <w:pStyle w:val="Compact"/>
              <w:jc w:val="left"/>
            </w:pPr>
            <w:r>
              <w:t xml:space="preserve">Referred again after arrival</w:t>
            </w:r>
          </w:p>
        </w:tc>
        <w:tc>
          <w:tcPr/>
          <w:p>
            <w:pPr>
              <w:pStyle w:val="Compact"/>
              <w:jc w:val="left"/>
            </w:pPr>
            <w:r>
              <w:t xml:space="preserve">Service sets of hospitals and the patient’s need set (Defs. 13, 16, 17)</w:t>
            </w:r>
          </w:p>
        </w:tc>
      </w:tr>
      <w:tr>
        <w:trPr>
          <w:cantSplit/>
        </w:trPr>
        <w:tc>
          <w:tcPr/>
          <w:p>
            <w:pPr>
              <w:pStyle w:val="Compact"/>
              <w:jc w:val="left"/>
            </w:pPr>
            <w:r>
              <w:t xml:space="preserve">P3</w:t>
            </w:r>
          </w:p>
        </w:tc>
        <w:tc>
          <w:tcPr/>
          <w:p>
            <w:pPr>
              <w:pStyle w:val="Compact"/>
              <w:jc w:val="left"/>
            </w:pPr>
            <w:r>
              <w:t xml:space="preserve">The family cannot pay at the nearest hospital</w:t>
            </w:r>
          </w:p>
        </w:tc>
        <w:tc>
          <w:tcPr/>
          <w:p>
            <w:pPr>
              <w:pStyle w:val="Compact"/>
              <w:jc w:val="left"/>
            </w:pPr>
            <w:r>
              <w:t xml:space="preserve">Delays care or carries debt</w:t>
            </w:r>
          </w:p>
        </w:tc>
        <w:tc>
          <w:tcPr/>
          <w:p>
            <w:pPr>
              <w:pStyle w:val="Compact"/>
              <w:jc w:val="left"/>
            </w:pPr>
            <w:r>
              <w:t xml:space="preserve">Cost classes, payment class, and payment gap (Defs. 13, 17, 20)</w:t>
            </w:r>
          </w:p>
        </w:tc>
      </w:tr>
      <w:tr>
        <w:trPr>
          <w:cantSplit/>
        </w:trPr>
        <w:tc>
          <w:tcPr/>
          <w:p>
            <w:pPr>
              <w:pStyle w:val="Compact"/>
              <w:jc w:val="left"/>
            </w:pPr>
            <w:r>
              <w:t xml:space="preserve">P4</w:t>
            </w:r>
          </w:p>
        </w:tc>
        <w:tc>
          <w:tcPr/>
          <w:p>
            <w:pPr>
              <w:pStyle w:val="Compact"/>
              <w:jc w:val="left"/>
            </w:pPr>
            <w:r>
              <w:t xml:space="preserve">An emergency patient is screened by ability to pay</w:t>
            </w:r>
          </w:p>
        </w:tc>
        <w:tc>
          <w:tcPr/>
          <w:p>
            <w:pPr>
              <w:pStyle w:val="Compact"/>
              <w:jc w:val="left"/>
            </w:pPr>
            <w:r>
              <w:t xml:space="preserve">Treatment delayed by a deposit demand</w:t>
            </w:r>
          </w:p>
        </w:tc>
        <w:tc>
          <w:tcPr/>
          <w:p>
            <w:pPr>
              <w:pStyle w:val="Compact"/>
              <w:jc w:val="left"/>
            </w:pPr>
            <w:r>
              <w:t xml:space="preserve">Payment filter switched off for emergencies, as Republic Act No. 10932 requires (Def. 17; Prop. 10)</w:t>
            </w:r>
          </w:p>
        </w:tc>
      </w:tr>
      <w:tr>
        <w:trPr>
          <w:cantSplit/>
        </w:trPr>
        <w:tc>
          <w:tcPr/>
          <w:p>
            <w:pPr>
              <w:pStyle w:val="Compact"/>
              <w:jc w:val="left"/>
            </w:pPr>
            <w:r>
              <w:t xml:space="preserve">P5</w:t>
            </w:r>
          </w:p>
        </w:tc>
        <w:tc>
          <w:tcPr/>
          <w:p>
            <w:pPr>
              <w:pStyle w:val="Compact"/>
              <w:jc w:val="left"/>
            </w:pPr>
            <w:r>
              <w:t xml:space="preserve">No ambulance is available</w:t>
            </w:r>
          </w:p>
        </w:tc>
        <w:tc>
          <w:tcPr/>
          <w:p>
            <w:pPr>
              <w:pStyle w:val="Compact"/>
              <w:jc w:val="left"/>
            </w:pPr>
            <w:r>
              <w:t xml:space="preserve">Must find a jeepney, tricycle, or van route to the hospital and pay the fare</w:t>
            </w:r>
          </w:p>
        </w:tc>
        <w:tc>
          <w:tcPr/>
          <w:p>
            <w:pPr>
              <w:pStyle w:val="Compact"/>
              <w:jc w:val="left"/>
            </w:pPr>
            <w:r>
              <w:t xml:space="preserve">Patient mode on the timetable graph, with the regulated fare (Defs. 4 to 6, 12, 18)</w:t>
            </w:r>
          </w:p>
        </w:tc>
      </w:tr>
      <w:tr>
        <w:trPr>
          <w:cantSplit/>
        </w:trPr>
        <w:tc>
          <w:tcPr/>
          <w:p>
            <w:pPr>
              <w:pStyle w:val="Compact"/>
              <w:jc w:val="left"/>
            </w:pPr>
            <w:r>
              <w:t xml:space="preserve">P6</w:t>
            </w:r>
          </w:p>
        </w:tc>
        <w:tc>
          <w:tcPr/>
          <w:p>
            <w:pPr>
              <w:pStyle w:val="Compact"/>
              <w:jc w:val="left"/>
            </w:pPr>
            <w:r>
              <w:t xml:space="preserve">The patient walks slowly because of age, illness, pregnancy, or disability</w:t>
            </w:r>
          </w:p>
        </w:tc>
        <w:tc>
          <w:tcPr/>
          <w:p>
            <w:pPr>
              <w:pStyle w:val="Compact"/>
              <w:jc w:val="left"/>
            </w:pPr>
            <w:r>
              <w:t xml:space="preserve">The usual walking assumptions overstate access</w:t>
            </w:r>
          </w:p>
        </w:tc>
        <w:tc>
          <w:tcPr/>
          <w:p>
            <w:pPr>
              <w:pStyle w:val="Compact"/>
              <w:jc w:val="left"/>
            </w:pPr>
            <w:r>
              <w:t xml:space="preserve">Mobility classes in the patient profile (Def. 16; Prop. 13)</w:t>
            </w:r>
          </w:p>
        </w:tc>
      </w:tr>
      <w:tr>
        <w:trPr>
          <w:cantSplit/>
        </w:trPr>
        <w:tc>
          <w:tcPr/>
          <w:p>
            <w:pPr>
              <w:pStyle w:val="Compact"/>
              <w:jc w:val="left"/>
            </w:pPr>
            <w:r>
              <w:t xml:space="preserve">P7</w:t>
            </w:r>
          </w:p>
        </w:tc>
        <w:tc>
          <w:tcPr/>
          <w:p>
            <w:pPr>
              <w:pStyle w:val="Compact"/>
              <w:jc w:val="left"/>
            </w:pPr>
            <w:r>
              <w:t xml:space="preserve">A road is too narrow or a bridge too weak for the ambulance</w:t>
            </w:r>
          </w:p>
        </w:tc>
        <w:tc>
          <w:tcPr/>
          <w:p>
            <w:pPr>
              <w:pStyle w:val="Compact"/>
              <w:jc w:val="left"/>
            </w:pPr>
            <w:r>
              <w:t xml:space="preserve">Crew discovers the obstacle on the way</w:t>
            </w:r>
          </w:p>
        </w:tc>
        <w:tc>
          <w:tcPr/>
          <w:p>
            <w:pPr>
              <w:pStyle w:val="Compact"/>
              <w:jc w:val="left"/>
            </w:pPr>
            <w:r>
              <w:t xml:space="preserve">Ambulance vehicle class on the road graph (Def. 11; Prop. 3)</w:t>
            </w:r>
          </w:p>
        </w:tc>
      </w:tr>
      <w:tr>
        <w:trPr>
          <w:cantSplit/>
        </w:trPr>
        <w:tc>
          <w:tcPr/>
          <w:p>
            <w:pPr>
              <w:pStyle w:val="Compact"/>
              <w:jc w:val="left"/>
            </w:pPr>
            <w:r>
              <w:t xml:space="preserve">P8</w:t>
            </w:r>
          </w:p>
        </w:tc>
        <w:tc>
          <w:tcPr/>
          <w:p>
            <w:pPr>
              <w:pStyle w:val="Compact"/>
              <w:jc w:val="left"/>
            </w:pPr>
            <w:r>
              <w:t xml:space="preserve">The first-choice hospital turns the patient away on arrival</w:t>
            </w:r>
          </w:p>
        </w:tc>
        <w:tc>
          <w:tcPr/>
          <w:p>
            <w:pPr>
              <w:pStyle w:val="Compact"/>
              <w:jc w:val="left"/>
            </w:pPr>
            <w:r>
              <w:t xml:space="preserve">No plan for where to go next</w:t>
            </w:r>
          </w:p>
        </w:tc>
        <w:tc>
          <w:tcPr/>
          <w:p>
            <w:pPr>
              <w:pStyle w:val="Compact"/>
              <w:jc w:val="left"/>
            </w:pPr>
            <w:r>
              <w:t xml:space="preserve">Ranked backup hospitals (Def. 18; Prop. 9)</w:t>
            </w:r>
          </w:p>
        </w:tc>
      </w:tr>
      <w:tr>
        <w:trPr>
          <w:cantSplit/>
        </w:trPr>
        <w:tc>
          <w:tcPr/>
          <w:p>
            <w:pPr>
              <w:pStyle w:val="Compact"/>
              <w:jc w:val="left"/>
            </w:pPr>
            <w:r>
              <w:t xml:space="preserve">P9</w:t>
            </w:r>
          </w:p>
        </w:tc>
        <w:tc>
          <w:tcPr/>
          <w:p>
            <w:pPr>
              <w:pStyle w:val="Compact"/>
              <w:jc w:val="left"/>
            </w:pPr>
            <w:r>
              <w:t xml:space="preserve">A critical patient is far from the right hospital but near an emergency room</w:t>
            </w:r>
          </w:p>
        </w:tc>
        <w:tc>
          <w:tcPr/>
          <w:p>
            <w:pPr>
              <w:pStyle w:val="Compact"/>
              <w:jc w:val="left"/>
            </w:pPr>
            <w:r>
              <w:t xml:space="preserve">Life-saving care comes late</w:t>
            </w:r>
          </w:p>
        </w:tc>
        <w:tc>
          <w:tcPr/>
          <w:p>
            <w:pPr>
              <w:pStyle w:val="Compact"/>
              <w:jc w:val="left"/>
            </w:pPr>
            <w:r>
              <w:t xml:space="preserve">Stabilization rule (Def. 19)</w:t>
            </w:r>
          </w:p>
        </w:tc>
      </w:tr>
      <w:tr>
        <w:trPr>
          <w:cantSplit/>
        </w:trPr>
        <w:tc>
          <w:tcPr/>
          <w:p>
            <w:pPr>
              <w:pStyle w:val="Compact"/>
              <w:jc w:val="left"/>
            </w:pPr>
            <w:r>
              <w:t xml:space="preserve">P10</w:t>
            </w:r>
          </w:p>
        </w:tc>
        <w:tc>
          <w:tcPr/>
          <w:p>
            <w:pPr>
              <w:pStyle w:val="Compact"/>
              <w:jc w:val="left"/>
            </w:pPr>
            <w:r>
              <w:t xml:space="preserve">Many patients need beds at once (typhoon, Mayon Volcano eruption, road crash)</w:t>
            </w:r>
          </w:p>
        </w:tc>
        <w:tc>
          <w:tcPr/>
          <w:p>
            <w:pPr>
              <w:pStyle w:val="Compact"/>
              <w:jc w:val="left"/>
            </w:pPr>
            <w:r>
              <w:t xml:space="preserve">Ambulances converge on the same few beds</w:t>
            </w:r>
          </w:p>
        </w:tc>
        <w:tc>
          <w:tcPr/>
          <w:p>
            <w:pPr>
              <w:pStyle w:val="Compact"/>
              <w:jc w:val="left"/>
            </w:pPr>
            <w:r>
              <w:t xml:space="preserve">Surge assignment as a minimum-cost assignment (Def. 24; Prop. 16)</w:t>
            </w:r>
          </w:p>
        </w:tc>
      </w:tr>
      <w:tr>
        <w:trPr>
          <w:cantSplit/>
        </w:trPr>
        <w:tc>
          <w:tcPr/>
          <w:p>
            <w:pPr>
              <w:pStyle w:val="Compact"/>
              <w:jc w:val="left"/>
            </w:pPr>
            <w:r>
              <w:t xml:space="preserve">P11</w:t>
            </w:r>
          </w:p>
        </w:tc>
        <w:tc>
          <w:tcPr/>
          <w:p>
            <w:pPr>
              <w:pStyle w:val="Compact"/>
              <w:jc w:val="left"/>
            </w:pPr>
            <w:r>
              <w:t xml:space="preserve">Flooding or lahar closes roads</w:t>
            </w:r>
          </w:p>
        </w:tc>
        <w:tc>
          <w:tcPr/>
          <w:p>
            <w:pPr>
              <w:pStyle w:val="Compact"/>
              <w:jc w:val="left"/>
            </w:pPr>
            <w:r>
              <w:t xml:space="preserve">Hospitals are cut off without warning</w:t>
            </w:r>
          </w:p>
        </w:tc>
        <w:tc>
          <w:tcPr/>
          <w:p>
            <w:pPr>
              <w:pStyle w:val="Compact"/>
              <w:jc w:val="left"/>
            </w:pPr>
            <w:r>
              <w:t xml:space="preserve">Road segments ranked by how much their loss delays patients (Def. 25; Prop. 17)</w:t>
            </w:r>
          </w:p>
        </w:tc>
      </w:tr>
      <w:tr>
        <w:trPr>
          <w:cantSplit/>
        </w:trPr>
        <w:tc>
          <w:tcPr/>
          <w:p>
            <w:pPr>
              <w:pStyle w:val="Compact"/>
              <w:jc w:val="left"/>
            </w:pPr>
            <w:r>
              <w:t xml:space="preserve">P12</w:t>
            </w:r>
          </w:p>
        </w:tc>
        <w:tc>
          <w:tcPr/>
          <w:p>
            <w:pPr>
              <w:pStyle w:val="Compact"/>
              <w:jc w:val="left"/>
            </w:pPr>
            <w:r>
              <w:t xml:space="preserve">Planners do not know which communities are far from affordable beds</w:t>
            </w:r>
          </w:p>
        </w:tc>
        <w:tc>
          <w:tcPr/>
          <w:p>
            <w:pPr>
              <w:pStyle w:val="Compact"/>
              <w:jc w:val="left"/>
            </w:pPr>
            <w:r>
              <w:t xml:space="preserve">Investment goes where need is not greatest</w:t>
            </w:r>
          </w:p>
        </w:tc>
        <w:tc>
          <w:tcPr/>
          <w:p>
            <w:pPr>
              <w:pStyle w:val="Compact"/>
              <w:jc w:val="left"/>
            </w:pPr>
            <w:r>
              <w:t xml:space="preserve">Catchment map, bed-to-population ratio, bed deserts, and site selection (Defs. 21 to 23, 26; Props. 14, 15, 18)</w:t>
            </w:r>
          </w:p>
        </w:tc>
      </w:tr>
      <w:tr>
        <w:trPr>
          <w:cantSplit/>
        </w:trPr>
        <w:tc>
          <w:tcPr/>
          <w:p>
            <w:pPr>
              <w:pStyle w:val="Compact"/>
              <w:jc w:val="left"/>
            </w:pPr>
            <w:r>
              <w:t xml:space="preserve">P13</w:t>
            </w:r>
          </w:p>
        </w:tc>
        <w:tc>
          <w:tcPr/>
          <w:p>
            <w:pPr>
              <w:pStyle w:val="Compact"/>
              <w:jc w:val="left"/>
            </w:pPr>
            <w:r>
              <w:t xml:space="preserve">The health office has no live picture of beds</w:t>
            </w:r>
          </w:p>
        </w:tc>
        <w:tc>
          <w:tcPr/>
          <w:p>
            <w:pPr>
              <w:pStyle w:val="Compact"/>
              <w:jc w:val="left"/>
            </w:pPr>
            <w:r>
              <w:t xml:space="preserve">Cannot direct patients during surges</w:t>
            </w:r>
          </w:p>
        </w:tc>
        <w:tc>
          <w:tcPr/>
          <w:p>
            <w:pPr>
              <w:pStyle w:val="Compact"/>
              <w:jc w:val="left"/>
            </w:pPr>
            <w:r>
              <w:t xml:space="preserve">Agent network and bed table with report age (Defs. 14, 15; Prop. 12)</w:t>
            </w:r>
          </w:p>
        </w:tc>
      </w:tr>
    </w:tbl>
    <w:bookmarkEnd w:id="24"/>
    <w:bookmarkStart w:id="25" w:name="objectives-of-the-study"/>
    <w:p>
      <w:pPr>
        <w:pStyle w:val="Heading2"/>
      </w:pPr>
      <w:r>
        <w:t xml:space="preserve">1.2 Objectives of the Study</w:t>
      </w:r>
    </w:p>
    <w:p>
      <w:pPr>
        <w:pStyle w:val="FirstParagraph"/>
      </w:pPr>
      <w:r>
        <w:rPr>
          <w:bCs/>
          <w:b/>
        </w:rPr>
        <w:t xml:space="preserve">General objective.</w:t>
      </w:r>
      <w:r>
        <w:t xml:space="preserve"> </w:t>
      </w:r>
      <w:r>
        <w:t xml:space="preserve">The study aimed to build, prove correct, and computationally verify a network model that maps the hospitals of Albay by what they can treat, whether they have a free bed, and what they cost the patient, and that sends each patient, by ambulance or by public transport, to the nearest hospital that meets that patient’s actual needs.</w:t>
      </w:r>
    </w:p>
    <w:p>
      <w:pPr>
        <w:pStyle w:val="BodyText"/>
      </w:pPr>
      <w:r>
        <w:rPr>
          <w:bCs/>
          <w:b/>
        </w:rPr>
        <w:t xml:space="preserve">Specific objectives.</w:t>
      </w:r>
      <w:r>
        <w:t xml:space="preserve"> </w:t>
      </w:r>
      <w:r>
        <w:t xml:space="preserve">In particular, the study aimed to:</w:t>
      </w:r>
    </w:p>
    <w:p>
      <w:pPr>
        <w:numPr>
          <w:ilvl w:val="0"/>
          <w:numId w:val="1001"/>
        </w:numPr>
        <w:pStyle w:val="BodyText"/>
        <w:spacing w:after="80"/>
      </w:pPr>
      <w:r>
        <w:t xml:space="preserve">build from open data a hospital map of Albay linked to a road graph with vehicle classes, an ambulance class among them, and to a landmark-anchored timetable graph of informal public transport that carries the regulated fares;</w:t>
      </w:r>
    </w:p>
    <w:p>
      <w:pPr>
        <w:numPr>
          <w:ilvl w:val="0"/>
          <w:numId w:val="1001"/>
        </w:numPr>
        <w:pStyle w:val="BodyText"/>
        <w:spacing w:after="80"/>
      </w:pPr>
      <w:r>
        <w:t xml:space="preserve">formulate patient needs as a profile of acuity, required services, payment class, and mobility, and define a suitability rule that decides which hospitals can serve that patient at a given time;</w:t>
      </w:r>
    </w:p>
    <w:p>
      <w:pPr>
        <w:numPr>
          <w:ilvl w:val="0"/>
          <w:numId w:val="1001"/>
        </w:numPr>
        <w:pStyle w:val="BodyText"/>
        <w:spacing w:after="80"/>
      </w:pPr>
      <w:r>
        <w:t xml:space="preserve">design an early-stopping search that returns the nearest suitable hospital and a ranked list of backups in both travel modes, with a stabilization rule for the most critical patients, and prove it exact;</w:t>
      </w:r>
    </w:p>
    <w:p>
      <w:pPr>
        <w:numPr>
          <w:ilvl w:val="0"/>
          <w:numId w:val="1001"/>
        </w:numPr>
        <w:pStyle w:val="BodyText"/>
        <w:spacing w:after="80"/>
      </w:pPr>
      <w:r>
        <w:t xml:space="preserve">build an e-mail agent network that collects bed counts from hospitals, with proven limits on the number of messages and on the age of reports;</w:t>
      </w:r>
    </w:p>
    <w:p>
      <w:pPr>
        <w:numPr>
          <w:ilvl w:val="0"/>
          <w:numId w:val="1001"/>
        </w:numPr>
        <w:pStyle w:val="BodyText"/>
        <w:spacing w:after="80"/>
      </w:pPr>
      <w:r>
        <w:t xml:space="preserve">map hospital catchments and measure bed access and its inequality across anchors and municipalities, including the payment, need, and mobility gaps and a bed-to-population ratio;</w:t>
      </w:r>
    </w:p>
    <w:p>
      <w:pPr>
        <w:numPr>
          <w:ilvl w:val="0"/>
          <w:numId w:val="1001"/>
        </w:numPr>
        <w:pStyle w:val="BodyText"/>
        <w:spacing w:after="80"/>
      </w:pPr>
      <w:r>
        <w:t xml:space="preserve">place many patients in few beds during a surge without overfilling any hospital, as a minimum-cost assignment problem;</w:t>
      </w:r>
    </w:p>
    <w:p>
      <w:pPr>
        <w:numPr>
          <w:ilvl w:val="0"/>
          <w:numId w:val="1001"/>
        </w:numPr>
        <w:pStyle w:val="BodyText"/>
        <w:spacing w:after="80"/>
      </w:pPr>
      <w:r>
        <w:t xml:space="preserve">identify the road segments most critical to hospital access and select sites for new Malasakit Centers or added beds, with proven guarantees for both methods; and</w:t>
      </w:r>
    </w:p>
    <w:p>
      <w:pPr>
        <w:numPr>
          <w:ilvl w:val="0"/>
          <w:numId w:val="1001"/>
        </w:numPr>
        <w:pStyle w:val="BodyText"/>
        <w:spacing w:after="80"/>
      </w:pPr>
      <w:r>
        <w:t xml:space="preserve">verify every proven property numerically against independently written reference code on synthetic instances, and work the full pipeline through a small test network.</w:t>
      </w:r>
    </w:p>
    <w:bookmarkEnd w:id="25"/>
    <w:bookmarkStart w:id="26" w:name="research-questions"/>
    <w:p>
      <w:pPr>
        <w:pStyle w:val="Heading2"/>
      </w:pPr>
      <w:r>
        <w:t xml:space="preserve">1.3 Research Questions</w:t>
      </w:r>
    </w:p>
    <w:p>
      <w:pPr>
        <w:pStyle w:val="FirstParagraph"/>
      </w:pPr>
      <w:r>
        <w:rPr>
          <w:bCs/>
          <w:b/>
        </w:rPr>
        <w:t xml:space="preserve">Primary question.</w:t>
      </w:r>
      <w:r>
        <w:t xml:space="preserve"> </w:t>
      </w:r>
      <w:r>
        <w:t xml:space="preserve">Suppose the hospitals and the informal public transport of Albay are described by a machine-readable model built only from public sources. How quickly can a patient starting from any anchor landmark reach a hospital that can treat the patient, has a free bed, and accepts what the patient can pay, and how evenly is that access shared among anchors and among municipalities?</w:t>
      </w:r>
    </w:p>
    <w:p>
      <w:pPr>
        <w:pStyle w:val="BodyText"/>
      </w:pPr>
      <w:r>
        <w:t xml:space="preserve">The subsidiary questions follow the specific objectives (Table 2).</w:t>
      </w:r>
    </w:p>
    <w:p>
      <w:pPr>
        <w:pStyle w:val="BodyText"/>
      </w:pPr>
      <w:r>
        <w:rPr>
          <w:bCs/>
          <w:b/>
        </w:rPr>
        <w:t xml:space="preserve">Q1.</w:t>
      </w:r>
      <w:r>
        <w:t xml:space="preserve"> </w:t>
      </w:r>
      <w:r>
        <w:t xml:space="preserve">With no official schedules, can departure times be estimated from service headways, and can a time-expanded timetable graph answer earliest-arrival queries exactly and fast enough for every landmark?</w:t>
      </w:r>
    </w:p>
    <w:p>
      <w:pPr>
        <w:pStyle w:val="BodyText"/>
      </w:pPr>
      <w:r>
        <w:rPr>
          <w:bCs/>
          <w:b/>
        </w:rPr>
        <w:t xml:space="preserve">Q2.</w:t>
      </w:r>
      <w:r>
        <w:t xml:space="preserve"> </w:t>
      </w:r>
      <w:r>
        <w:t xml:space="preserve">How do limits on width, clearance, gross mass, and axle load change the roads an ambulance or another vehicle may use, and can a larger vehicle ever reach more?</w:t>
      </w:r>
    </w:p>
    <w:p>
      <w:pPr>
        <w:pStyle w:val="BodyText"/>
      </w:pPr>
      <w:r>
        <w:rPr>
          <w:bCs/>
          <w:b/>
        </w:rPr>
        <w:t xml:space="preserve">Q3.</w:t>
      </w:r>
      <w:r>
        <w:t xml:space="preserve"> </w:t>
      </w:r>
      <w:r>
        <w:t xml:space="preserve">Under the regulated fares, can routes for a commuting patient be found that balance arrival time, fare, and number of transfers?</w:t>
      </w:r>
    </w:p>
    <w:p>
      <w:pPr>
        <w:pStyle w:val="BodyText"/>
      </w:pPr>
      <w:r>
        <w:rPr>
          <w:bCs/>
          <w:b/>
        </w:rPr>
        <w:t xml:space="preserve">Q4.</w:t>
      </w:r>
      <w:r>
        <w:t xml:space="preserve"> </w:t>
      </w:r>
      <w:r>
        <w:t xml:space="preserve">Can a patient’s acuity, required services, payment class, and mobility be written as a suitability rule whose behavior is provably monotone, and does the rule obey the Anti-Hospital Deposit Law in emergencies?</w:t>
      </w:r>
    </w:p>
    <w:p>
      <w:pPr>
        <w:pStyle w:val="BodyText"/>
      </w:pPr>
      <w:r>
        <w:rPr>
          <w:bCs/>
          <w:b/>
        </w:rPr>
        <w:t xml:space="preserve">Q5.</w:t>
      </w:r>
      <w:r>
        <w:t xml:space="preserve"> </w:t>
      </w:r>
      <w:r>
        <w:t xml:space="preserve">Does an early-stopping search return the exact nearest suitable hospital and its backups in both travel modes, and how much work does it save over a full search?</w:t>
      </w:r>
    </w:p>
    <w:p>
      <w:pPr>
        <w:pStyle w:val="BodyText"/>
      </w:pPr>
      <w:r>
        <w:rPr>
          <w:bCs/>
          <w:b/>
        </w:rPr>
        <w:t xml:space="preserve">Q6.</w:t>
      </w:r>
      <w:r>
        <w:t xml:space="preserve"> </w:t>
      </w:r>
      <w:r>
        <w:t xml:space="preserve">Can lightweight software agents keep bed reports fresh through standard e-mail with few messages, honor opt-outs, and discard forged or implausible replies?</w:t>
      </w:r>
    </w:p>
    <w:p>
      <w:pPr>
        <w:pStyle w:val="BodyText"/>
      </w:pPr>
      <w:r>
        <w:rPr>
          <w:bCs/>
          <w:b/>
        </w:rPr>
        <w:t xml:space="preserve">Q7.</w:t>
      </w:r>
      <w:r>
        <w:t xml:space="preserve"> </w:t>
      </w:r>
      <w:r>
        <w:t xml:space="preserve">How do bed access and its inequality change when authorized beds are replaced by free beds, by free beds that a poor patient may use, and by free beds per person? Can the Theil index still split inequality into within-municipality and between-municipality parts when the index set is a list of landmarks rather than a full partition of the province?</w:t>
      </w:r>
    </w:p>
    <w:p>
      <w:pPr>
        <w:pStyle w:val="BodyText"/>
      </w:pPr>
      <w:r>
        <w:rPr>
          <w:bCs/>
          <w:b/>
        </w:rPr>
        <w:t xml:space="preserve">Q8.</w:t>
      </w:r>
      <w:r>
        <w:t xml:space="preserve"> </w:t>
      </w:r>
      <w:r>
        <w:t xml:space="preserve">When many patients need beds at the same time, can they be placed without overfilling any hospital, and how does that placement compare with letting each patient go to his or her own nearest hospital?</w:t>
      </w:r>
    </w:p>
    <w:p>
      <w:pPr>
        <w:pStyle w:val="BodyText"/>
      </w:pPr>
      <w:r>
        <w:rPr>
          <w:bCs/>
          <w:b/>
        </w:rPr>
        <w:t xml:space="preserve">Q9.</w:t>
      </w:r>
      <w:r>
        <w:t xml:space="preserve"> </w:t>
      </w:r>
      <w:r>
        <w:t xml:space="preserve">Which road segments matter most for reaching a suitable hospital, and where would a new Malasakit Center or added beds reach the most people who now lack affordable care?</w:t>
      </w:r>
    </w:p>
    <w:p>
      <w:pPr>
        <w:pStyle w:val="TableCaption"/>
      </w:pPr>
      <w:r>
        <w:rPr>
          <w:bCs/>
          <w:b/>
        </w:rPr>
        <w:t xml:space="preserve">Table 2.</w:t>
      </w:r>
      <w:r>
        <w:t xml:space="preserve"> </w:t>
      </w:r>
      <w:r>
        <w:t xml:space="preserve">Specific objectives, research questions, and where each is answered.</w:t>
      </w:r>
    </w:p>
    <w:tbl>
      <w:tblPr>
        <w:tblStyle w:val="Table"/>
        <w:tblW w:type="pct" w:w="5000"/>
        <w:jc w:val="center"/>
        <w:tblCaption w:val="Table 2. Specific objectives, research questions, and where each is answered."/>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1558"/>
        <w:gridCol w:w="1038"/>
        <w:gridCol w:w="2726"/>
        <w:gridCol w:w="2596"/>
      </w:tblGrid>
      <w:tr>
        <w:trPr>
          <w:tblHeader w:val="true"/>
          <w:tblHeader/>
          <w:cantSplit/>
        </w:trPr>
        <w:tc>
          <w:tcPr/>
          <w:p>
            <w:pPr>
              <w:pStyle w:val="Compact"/>
              <w:jc w:val="left"/>
            </w:pPr>
            <w:r>
              <w:rPr>
                <w:b/>
              </w:rPr>
              <w:t xml:space="preserve">Specific objective</w:t>
            </w:r>
          </w:p>
        </w:tc>
        <w:tc>
          <w:tcPr/>
          <w:p>
            <w:pPr>
              <w:pStyle w:val="Compact"/>
              <w:jc w:val="left"/>
            </w:pPr>
            <w:r>
              <w:rPr>
                <w:b/>
              </w:rPr>
              <w:t xml:space="preserve">Research questions</w:t>
            </w:r>
          </w:p>
        </w:tc>
        <w:tc>
          <w:tcPr/>
          <w:p>
            <w:pPr>
              <w:pStyle w:val="Compact"/>
              <w:jc w:val="left"/>
            </w:pPr>
            <w:r>
              <w:rPr>
                <w:b/>
              </w:rPr>
              <w:t xml:space="preserve">Definitions and results</w:t>
            </w:r>
          </w:p>
        </w:tc>
        <w:tc>
          <w:tcPr/>
          <w:p>
            <w:pPr>
              <w:pStyle w:val="Compact"/>
              <w:jc w:val="left"/>
            </w:pPr>
            <w:r>
              <w:rPr>
                <w:b/>
              </w:rPr>
              <w:t xml:space="preserve">Verification</w:t>
            </w:r>
          </w:p>
        </w:tc>
      </w:tr>
      <w:tr>
        <w:trPr>
          <w:cantSplit/>
        </w:trPr>
        <w:tc>
          <w:tcPr/>
          <w:p>
            <w:pPr>
              <w:pStyle w:val="Compact"/>
              <w:jc w:val="left"/>
            </w:pPr>
            <w:r>
              <w:t xml:space="preserve">1. Hospital map and transport graphs</w:t>
            </w:r>
          </w:p>
        </w:tc>
        <w:tc>
          <w:tcPr/>
          <w:p>
            <w:pPr>
              <w:pStyle w:val="Compact"/>
              <w:jc w:val="left"/>
            </w:pPr>
            <w:r>
              <w:t xml:space="preserve">Q1, Q2, Q3</w:t>
            </w:r>
          </w:p>
        </w:tc>
        <w:tc>
          <w:tcPr/>
          <w:p>
            <w:pPr>
              <w:pStyle w:val="Compact"/>
              <w:jc w:val="left"/>
            </w:pPr>
            <w:r>
              <w:t xml:space="preserve">Defs. 1 to 13; Props. 1 to 3, 7; Cor. 4, 8</w:t>
            </w:r>
          </w:p>
        </w:tc>
        <w:tc>
          <w:tcPr/>
          <w:p>
            <w:pPr>
              <w:pStyle w:val="Compact"/>
              <w:jc w:val="left"/>
            </w:pPr>
            <w:r>
              <w:t xml:space="preserve">Tables 14, 17, 24</w:t>
            </w:r>
          </w:p>
        </w:tc>
      </w:tr>
      <w:tr>
        <w:trPr>
          <w:cantSplit/>
        </w:trPr>
        <w:tc>
          <w:tcPr/>
          <w:p>
            <w:pPr>
              <w:pStyle w:val="Compact"/>
              <w:jc w:val="left"/>
            </w:pPr>
            <w:r>
              <w:t xml:space="preserve">2. Patient profile and suitability</w:t>
            </w:r>
          </w:p>
        </w:tc>
        <w:tc>
          <w:tcPr/>
          <w:p>
            <w:pPr>
              <w:pStyle w:val="Compact"/>
              <w:jc w:val="left"/>
            </w:pPr>
            <w:r>
              <w:t xml:space="preserve">Q4</w:t>
            </w:r>
          </w:p>
        </w:tc>
        <w:tc>
          <w:tcPr/>
          <w:p>
            <w:pPr>
              <w:pStyle w:val="Compact"/>
              <w:jc w:val="left"/>
            </w:pPr>
            <w:r>
              <w:t xml:space="preserve">Defs. 16, 17; Prop. 10; Cor. 11</w:t>
            </w:r>
          </w:p>
        </w:tc>
        <w:tc>
          <w:tcPr/>
          <w:p>
            <w:pPr>
              <w:pStyle w:val="Compact"/>
              <w:jc w:val="left"/>
            </w:pPr>
            <w:r>
              <w:t xml:space="preserve">Tables 15, 16, 26, 28</w:t>
            </w:r>
          </w:p>
        </w:tc>
      </w:tr>
      <w:tr>
        <w:trPr>
          <w:cantSplit/>
        </w:trPr>
        <w:tc>
          <w:tcPr/>
          <w:p>
            <w:pPr>
              <w:pStyle w:val="Compact"/>
              <w:jc w:val="left"/>
            </w:pPr>
            <w:r>
              <w:t xml:space="preserve">3. Nearest suitable hospital and backups</w:t>
            </w:r>
          </w:p>
        </w:tc>
        <w:tc>
          <w:tcPr/>
          <w:p>
            <w:pPr>
              <w:pStyle w:val="Compact"/>
              <w:jc w:val="left"/>
            </w:pPr>
            <w:r>
              <w:t xml:space="preserve">Q5</w:t>
            </w:r>
          </w:p>
        </w:tc>
        <w:tc>
          <w:tcPr/>
          <w:p>
            <w:pPr>
              <w:pStyle w:val="Compact"/>
              <w:jc w:val="left"/>
            </w:pPr>
            <w:r>
              <w:t xml:space="preserve">Defs. 18, 19; Props. 9, 13</w:t>
            </w:r>
          </w:p>
        </w:tc>
        <w:tc>
          <w:tcPr/>
          <w:p>
            <w:pPr>
              <w:pStyle w:val="Compact"/>
              <w:jc w:val="left"/>
            </w:pPr>
            <w:r>
              <w:t xml:space="preserve">Tables 15, 16, 18, 26</w:t>
            </w:r>
          </w:p>
        </w:tc>
      </w:tr>
      <w:tr>
        <w:trPr>
          <w:cantSplit/>
        </w:trPr>
        <w:tc>
          <w:tcPr/>
          <w:p>
            <w:pPr>
              <w:pStyle w:val="Compact"/>
              <w:jc w:val="left"/>
            </w:pPr>
            <w:r>
              <w:t xml:space="preserve">4. Agent network for bed counts</w:t>
            </w:r>
          </w:p>
        </w:tc>
        <w:tc>
          <w:tcPr/>
          <w:p>
            <w:pPr>
              <w:pStyle w:val="Compact"/>
              <w:jc w:val="left"/>
            </w:pPr>
            <w:r>
              <w:t xml:space="preserve">Q6</w:t>
            </w:r>
          </w:p>
        </w:tc>
        <w:tc>
          <w:tcPr/>
          <w:p>
            <w:pPr>
              <w:pStyle w:val="Compact"/>
              <w:jc w:val="left"/>
            </w:pPr>
            <w:r>
              <w:t xml:space="preserve">Defs. 14, 15; Prop. 12</w:t>
            </w:r>
          </w:p>
        </w:tc>
        <w:tc>
          <w:tcPr/>
          <w:p>
            <w:pPr>
              <w:pStyle w:val="Compact"/>
              <w:jc w:val="left"/>
            </w:pPr>
            <w:r>
              <w:t xml:space="preserve">Table 15</w:t>
            </w:r>
          </w:p>
        </w:tc>
      </w:tr>
      <w:tr>
        <w:trPr>
          <w:cantSplit/>
        </w:trPr>
        <w:tc>
          <w:tcPr/>
          <w:p>
            <w:pPr>
              <w:pStyle w:val="Compact"/>
              <w:jc w:val="left"/>
            </w:pPr>
            <w:r>
              <w:t xml:space="preserve">5. Catchments, bed access, and inequality</w:t>
            </w:r>
          </w:p>
        </w:tc>
        <w:tc>
          <w:tcPr/>
          <w:p>
            <w:pPr>
              <w:pStyle w:val="Compact"/>
              <w:jc w:val="left"/>
            </w:pPr>
            <w:r>
              <w:t xml:space="preserve">Q7</w:t>
            </w:r>
          </w:p>
        </w:tc>
        <w:tc>
          <w:tcPr/>
          <w:p>
            <w:pPr>
              <w:pStyle w:val="Compact"/>
              <w:jc w:val="left"/>
            </w:pPr>
            <w:r>
              <w:t xml:space="preserve">Defs. 7 to 10, 20 to 23; Props. 5, 6, 14, 15</w:t>
            </w:r>
          </w:p>
        </w:tc>
        <w:tc>
          <w:tcPr/>
          <w:p>
            <w:pPr>
              <w:pStyle w:val="Compact"/>
              <w:jc w:val="left"/>
            </w:pPr>
            <w:r>
              <w:t xml:space="preserve">Tables 16, 19, 22, 27, 29</w:t>
            </w:r>
          </w:p>
        </w:tc>
      </w:tr>
      <w:tr>
        <w:trPr>
          <w:cantSplit/>
        </w:trPr>
        <w:tc>
          <w:tcPr/>
          <w:p>
            <w:pPr>
              <w:pStyle w:val="Compact"/>
              <w:jc w:val="left"/>
            </w:pPr>
            <w:r>
              <w:t xml:space="preserve">6. Surge assignment</w:t>
            </w:r>
          </w:p>
        </w:tc>
        <w:tc>
          <w:tcPr/>
          <w:p>
            <w:pPr>
              <w:pStyle w:val="Compact"/>
              <w:jc w:val="left"/>
            </w:pPr>
            <w:r>
              <w:t xml:space="preserve">Q8</w:t>
            </w:r>
          </w:p>
        </w:tc>
        <w:tc>
          <w:tcPr/>
          <w:p>
            <w:pPr>
              <w:pStyle w:val="Compact"/>
              <w:jc w:val="left"/>
            </w:pPr>
            <w:r>
              <w:t xml:space="preserve">Def. 24; Prop. 16</w:t>
            </w:r>
          </w:p>
        </w:tc>
        <w:tc>
          <w:tcPr/>
          <w:p>
            <w:pPr>
              <w:pStyle w:val="Compact"/>
              <w:jc w:val="left"/>
            </w:pPr>
            <w:r>
              <w:t xml:space="preserve">Tables 16, 30</w:t>
            </w:r>
          </w:p>
        </w:tc>
      </w:tr>
      <w:tr>
        <w:trPr>
          <w:cantSplit/>
        </w:trPr>
        <w:tc>
          <w:tcPr/>
          <w:p>
            <w:pPr>
              <w:pStyle w:val="Compact"/>
              <w:jc w:val="left"/>
            </w:pPr>
            <w:r>
              <w:t xml:space="preserve">7. Critical roads and site selection</w:t>
            </w:r>
          </w:p>
        </w:tc>
        <w:tc>
          <w:tcPr/>
          <w:p>
            <w:pPr>
              <w:pStyle w:val="Compact"/>
              <w:jc w:val="left"/>
            </w:pPr>
            <w:r>
              <w:t xml:space="preserve">Q9</w:t>
            </w:r>
          </w:p>
        </w:tc>
        <w:tc>
          <w:tcPr/>
          <w:p>
            <w:pPr>
              <w:pStyle w:val="Compact"/>
              <w:jc w:val="left"/>
            </w:pPr>
            <w:r>
              <w:t xml:space="preserve">Defs. 25, 26; Props. 17, 18</w:t>
            </w:r>
          </w:p>
        </w:tc>
        <w:tc>
          <w:tcPr/>
          <w:p>
            <w:pPr>
              <w:pStyle w:val="Compact"/>
              <w:jc w:val="left"/>
            </w:pPr>
            <w:r>
              <w:t xml:space="preserve">Table 16</w:t>
            </w:r>
          </w:p>
        </w:tc>
      </w:tr>
      <w:tr>
        <w:trPr>
          <w:cantSplit/>
        </w:trPr>
        <w:tc>
          <w:tcPr/>
          <w:p>
            <w:pPr>
              <w:pStyle w:val="Compact"/>
              <w:jc w:val="left"/>
            </w:pPr>
            <w:r>
              <w:t xml:space="preserve">8. Verification and worked instance</w:t>
            </w:r>
          </w:p>
        </w:tc>
        <w:tc>
          <w:tcPr/>
          <w:p>
            <w:pPr>
              <w:pStyle w:val="Compact"/>
              <w:jc w:val="left"/>
            </w:pPr>
            <w:r>
              <w:t xml:space="preserve">All</w:t>
            </w:r>
          </w:p>
        </w:tc>
        <w:tc>
          <w:tcPr/>
          <w:p>
            <w:pPr>
              <w:pStyle w:val="Compact"/>
              <w:jc w:val="left"/>
            </w:pPr>
            <w:r>
              <w:t xml:space="preserve">Sections 3.3 to 3.5</w:t>
            </w:r>
          </w:p>
        </w:tc>
        <w:tc>
          <w:tcPr/>
          <w:p>
            <w:pPr>
              <w:pStyle w:val="Compact"/>
              <w:jc w:val="left"/>
            </w:pPr>
            <w:r>
              <w:t xml:space="preserve">Tables 14 to 30</w:t>
            </w:r>
          </w:p>
        </w:tc>
      </w:tr>
    </w:tbl>
    <w:bookmarkEnd w:id="26"/>
    <w:bookmarkStart w:id="41" w:name="review-of-related-literature"/>
    <w:p>
      <w:pPr>
        <w:pStyle w:val="Heading2"/>
      </w:pPr>
      <w:r>
        <w:t xml:space="preserve">1.4 Review of Related Literature</w:t>
      </w:r>
    </w:p>
    <w:bookmarkStart w:id="27" w:name="measuring-accessibility"/>
    <w:p>
      <w:pPr>
        <w:pStyle w:val="Heading3"/>
      </w:pPr>
      <w:r>
        <w:t xml:space="preserve">1.4.1 Measuring Accessibility</w:t>
      </w:r>
    </w:p>
    <w:p>
      <w:pPr>
        <w:pStyle w:val="FirstParagraph"/>
      </w:pPr>
      <w:r>
        <w:t xml:space="preserve">In transport research, accessibility means how easily people can reach opportunities such as jobs, schools, markets, and health services. Hansen (1959) offered an early formal measure in which each opportunity counts for less the longer or costlier it is to reach. Geurs and van Wee (2004) later sorted the measures in use into four families, based respectively on infrastructure, location, persons, and utility. Levinson and Wu (2020) took a stronger position: access, more than mobility or congestion, is what a transport system should be judged by.</w:t>
      </w:r>
    </w:p>
    <w:p>
      <w:pPr>
        <w:pStyle w:val="BodyText"/>
      </w:pPr>
      <w:r>
        <w:t xml:space="preserve">The cumulative opportunity measure of Wachs and Kumagai (1973) belongs to the location family. It simply counts the opportunities inside a fixed travel-time budget. Its appeal for equity work is practical. There is no behavioral parameter to calibrate, and the result can be explained to a non-specialist in one sentence: so many hospital beds can be reached within 30 minutes (Geurs &amp; van Wee, 2004). This study uses it as the main indicator and adds a gravity-type measure as a check, so that destinations just beyond the budget are not dropped entirely.</w:t>
      </w:r>
    </w:p>
    <w:bookmarkEnd w:id="27"/>
    <w:bookmarkStart w:id="28" w:name="measuring-spatial-access-to-health-care"/>
    <w:p>
      <w:pPr>
        <w:pStyle w:val="Heading3"/>
      </w:pPr>
      <w:r>
        <w:t xml:space="preserve">1.4.2 Measuring Spatial Access to Health Care</w:t>
      </w:r>
    </w:p>
    <w:p>
      <w:pPr>
        <w:pStyle w:val="FirstParagraph"/>
      </w:pPr>
      <w:r>
        <w:t xml:space="preserve">Counting reachable beds has one blind spot. A hospital with 40 beds counts as 40 for every community that can reach it, whether five hundred people or fifty thousand people depend on those beds. Health geographers met this problem with the two-step floating catchment area (2SFCA) method of Luo and Wang (2003). In the first step each facility divides its supply by the population within its catchment, giving a supply-to-population ratio. In the second step each community adds up the ratios of the facilities it can reach. The result is read as supply per person, so it accounts for crowding as well as distance. Luo and Qi (2009) later added distance-decay weights inside the catchments (the enhanced 2SFCA). The method has mostly been applied to physicians and clinics in high-income settings with formal transit. This study applies it to hospital beds, and to free beds reported in near real time, in a setting where the transit itself had to be modeled first.</w:t>
      </w:r>
    </w:p>
    <w:bookmarkEnd w:id="28"/>
    <w:bookmarkStart w:id="29" w:name="equity-in-the-distribution-of-access"/>
    <w:p>
      <w:pPr>
        <w:pStyle w:val="Heading3"/>
      </w:pPr>
      <w:r>
        <w:t xml:space="preserve">1.4.3 Equity in the Distribution of Access</w:t>
      </w:r>
    </w:p>
    <w:p>
      <w:pPr>
        <w:pStyle w:val="FirstParagraph"/>
      </w:pPr>
      <w:r>
        <w:t xml:space="preserve">Provincial averages can hide sharp inequalities, so that some communities remain underserved even when the overall figure looks acceptable. Lucas et al. (2016) proposed a formal method for judging whether access is fairly shared, and Pereira et al. (2017) linked the distribution of transport benefits to theories of distributive justice. Several measures first built for income are now used for access: the Lorenz (1905) curve, the Gini (1912) coefficient, the Theil (1967) index, and the Palma ratio (Cobham &amp; Sumner, 2013; Palma, 2011). Delbosc and Currie (2011) used Lorenz curves and Gini coefficients to study how public transport supply was spread across Melbourne. Of these measures only the Theil index splits exactly into a part within groups and a part between groups (Shorrocks, 1980), which is why it is paired with the Gini coefficient in this study.</w:t>
      </w:r>
    </w:p>
    <w:bookmarkEnd w:id="29"/>
    <w:bookmarkStart w:id="30" w:name="Xc28bfdc83e628cb01d3f7e776e41341ac0e0d02"/>
    <w:p>
      <w:pPr>
        <w:pStyle w:val="Heading3"/>
      </w:pPr>
      <w:r>
        <w:t xml:space="preserve">1.4.4 Hospital Levels, Triage, and What a Patient Needs</w:t>
      </w:r>
    </w:p>
    <w:p>
      <w:pPr>
        <w:pStyle w:val="FirstParagraph"/>
      </w:pPr>
      <w:r>
        <w:t xml:space="preserve">Three established practices decide which hospital can treat a given patient. Triage comes first. The Emergency Severity Index sorts patients into five levels, from those who need immediate life-saving intervention to those expected to use no hospital resources at all (Gilboy et al., 2011). Licensing comes second. The Department of Health (DOH) grades hospitals by service capability (DOH, 2012). A Level 1 hospital must have, among other things, Level 1 imaging, a secondary clinical laboratory, isolation and maternity facilities, and an operating room with a recovery room. A Level 2 hospital adds a general intensive care unit (ICU), a neonatal ICU, care for high-risk pregnancy, and a tertiary clinical laboratory. A Level 3 hospital adds dialysis, a blood bank, physical medicine and rehabilitation, accredited residency training, and Level 3 imaging (DOH, 2012).</w:t>
      </w:r>
    </w:p>
    <w:p>
      <w:pPr>
        <w:pStyle w:val="BodyText"/>
      </w:pPr>
      <w:r>
        <w:t xml:space="preserve">The third practice is less formal but matters just as much to the patient: what the patient specifically needs. A woman in uncomplicated labor needs a maternity ward; a newborn in distress needs a neonatal ICU; a patient with kidney failure needs dialysis. A hospital’s level fixes a minimum set of services, yet a patient’s need is a particular service, not a level. However close a hospital is, it may still be unable to treat a given patient. A model that matches patients to hospitals therefore has to carry the service list of each hospital, not only its level, and must treat the patient’s needs as a set to be covered.</w:t>
      </w:r>
    </w:p>
    <w:bookmarkEnd w:id="30"/>
    <w:bookmarkStart w:id="31" w:name="bed-reporting-in-the-philippines"/>
    <w:p>
      <w:pPr>
        <w:pStyle w:val="Heading3"/>
      </w:pPr>
      <w:r>
        <w:t xml:space="preserve">1.4.5 Bed Reporting in the Philippines</w:t>
      </w:r>
    </w:p>
    <w:p>
      <w:pPr>
        <w:pStyle w:val="FirstParagraph"/>
      </w:pPr>
      <w:r>
        <w:t xml:space="preserve">During the COVID-19 pandemic the DOH ran DataCollect, through which 1,906 public and private hospitals and infirmaries reported how many COVID-19 beds and mechanical ventilators they had in use. Reporting was 80 to 95 percent complete by April 2020 and 98 percent complete by December 2022 (Cabaro et al., 2023). The record shows that hospitals will send bed counts through a regular channel. That channel, however, had firm direction from the national government and a web platform built for the purpose (Cabaro et al., 2023). Timely bed counts of this kind are part of what SDG target 3.d means by a country’s capacity for early warning and management of health risks (UNGA, 2015). No equivalent local channel exists for routine, non-pandemic bed counts in Albay.</w:t>
      </w:r>
    </w:p>
    <w:bookmarkEnd w:id="31"/>
    <w:bookmarkStart w:id="32" w:name="Xd4618d3838442f0c3eae50c92da37a869181995"/>
    <w:p>
      <w:pPr>
        <w:pStyle w:val="Heading3"/>
      </w:pPr>
      <w:r>
        <w:t xml:space="preserve">1.4.6 Payment for Hospital Care in the Philippines</w:t>
      </w:r>
    </w:p>
    <w:p>
      <w:pPr>
        <w:pStyle w:val="FirstParagraph"/>
      </w:pPr>
      <w:r>
        <w:t xml:space="preserve">Three sets of laws shape what a patient pays and where. Under the Universal Health Care Act, every Filipino is automatically enrolled in the National Health Insurance Program, and services in basic or ward accommodation carry no co-payment (Republic Act No. 11223, 2019). The Malasakit Centers Act requires a Malasakit Center in every DOH hospital and in the Philippine General Hospital, a one-stop shop where indigent and financially incapacitated patients can obtain medical and financial assistance; hospitals run by local government units and other public hospitals may set up their own (Republic Act No. 11463, 2019). Third is Batas Pambansa Blg. 702 (1984), amended by Republic Act No. 8344 (1997) and Republic Act No. 10932 (2017), under which a hospital or clinic that refuses basic emergency care in an emergency or serious case until a deposit or advance payment is made faces penalties.</w:t>
      </w:r>
    </w:p>
    <w:p>
      <w:pPr>
        <w:pStyle w:val="BodyText"/>
      </w:pPr>
      <w:r>
        <w:t xml:space="preserve">The first two laws tie the choice of hospital to cost. The third removes cost from the decision in an emergency. The first two are national steps toward SDG target 3.8, universal health coverage with protection from financial hardship (UNGA, 2015). A routing rule that respects all three cannot simply rank hospitals by price; it has to switch the price filter off for emergency patients.</w:t>
      </w:r>
    </w:p>
    <w:bookmarkEnd w:id="32"/>
    <w:bookmarkStart w:id="33" w:name="X3c16823eeb3ddcf42feb6c729f3800d666ec66e"/>
    <w:p>
      <w:pPr>
        <w:pStyle w:val="Heading3"/>
      </w:pPr>
      <w:r>
        <w:t xml:space="preserve">1.4.7 Emergency Medical Services and Facility Location</w:t>
      </w:r>
    </w:p>
    <w:p>
      <w:pPr>
        <w:pStyle w:val="FirstParagraph"/>
      </w:pPr>
      <w:r>
        <w:t xml:space="preserve">Operations research on emergency medical services has centered on the ambulance, chiefly on where units should be based and how to reposition them as calls arrive (Brotcorne et al., 2003). The classic tool is the maximal covering location problem of Church and ReVelle (1974): choose a fixed number of sites so that as much demand as possible lies within a service-time standard of at least one site. The problem is hard to solve exactly in general, but its objective has a useful structure. Coverage is monotone and submodular, meaning that each added site helps less as more sites are chosen, and for such functions Nemhauser et al. (1978) proved that the simple greedy rule always reaches at least 1 − 1/</w:t>
      </w:r>
      <w:r>
        <w:rPr>
          <w:iCs/>
          <w:i/>
        </w:rPr>
        <w:t xml:space="preserve">e</w:t>
      </w:r>
      <w:r>
        <w:t xml:space="preserve"> </w:t>
      </w:r>
      <w:r>
        <w:t xml:space="preserve">≈ 63.2 percent of the best possible value. This study uses that result to choose where a new Malasakit Center or added beds would cover the most low-income patients.</w:t>
      </w:r>
    </w:p>
    <w:p>
      <w:pPr>
        <w:pStyle w:val="BodyText"/>
      </w:pPr>
      <w:r>
        <w:t xml:space="preserve">The receiving end of the trip, the hospital, gets less attention in this literature. It is the focus here.</w:t>
      </w:r>
    </w:p>
    <w:bookmarkEnd w:id="33"/>
    <w:bookmarkStart w:id="34" w:name="X5f2057daeb1cc45be7be875865f0fdb07da2cab"/>
    <w:p>
      <w:pPr>
        <w:pStyle w:val="Heading3"/>
      </w:pPr>
      <w:r>
        <w:t xml:space="preserve">1.4.8 Network Flows and Assigning Patients to Beds</w:t>
      </w:r>
    </w:p>
    <w:p>
      <w:pPr>
        <w:pStyle w:val="FirstParagraph"/>
      </w:pPr>
      <w:r>
        <w:t xml:space="preserve">When several patients need beds at once, the beds become a shared, limited resource. Sending every patient to his or her own nearest hospital can overload one facility while beds stay empty at the next. The problem of matching patients to beds at least total travel time, without exceeding any hospital’s free beds, is a transportation or assignment problem, a special case of the minimum-cost flow problem (Ahuja et al., 1993). Kuhn’s (1955) Hungarian method solves the assignment problem exactly in polynomial time. Because the constraint matrix of a bipartite assignment is totally unimodular, the linear program always has an optimal solution in whole numbers, so no patient is ever split between two hospitals (Ahuja et al., 1993).</w:t>
      </w:r>
    </w:p>
    <w:bookmarkEnd w:id="34"/>
    <w:bookmarkStart w:id="35" w:name="X0e2ebd5c69222e1c67b086298f57d4025adad54"/>
    <w:p>
      <w:pPr>
        <w:pStyle w:val="Heading3"/>
      </w:pPr>
      <w:r>
        <w:t xml:space="preserve">1.4.9 Road Vulnerability and Catchments on Networks</w:t>
      </w:r>
    </w:p>
    <w:p>
      <w:pPr>
        <w:pStyle w:val="FirstParagraph"/>
      </w:pPr>
      <w:r>
        <w:t xml:space="preserve">Jenelius et al. (2006) measured how important a road link is by how much travel cost rises when the link is closed, and how exposed a place is by how much its own travel cost rises. For hospital access in Albay the question is concrete. Typhoons, floods, and lahar from Mayon Volcano close roads every year, and planners need to know which closures would cut patients off from care. On the side of hospitals, the set of places closer to one facility than to any other forms a Voronoi diagram; on a road network, distances along the graph replace straight lines (Okabe et al., 2000; Erwig, 2000). This study builds such a network Voronoi diagram of hospital catchments, filtered by what each patient needs, and uses its shortest-path forest to find critical roads quickly.</w:t>
      </w:r>
    </w:p>
    <w:bookmarkEnd w:id="35"/>
    <w:bookmarkStart w:id="36" w:name="journey-planning-on-timetable-networks"/>
    <w:p>
      <w:pPr>
        <w:pStyle w:val="Heading3"/>
      </w:pPr>
      <w:r>
        <w:t xml:space="preserve">1.4.10 Journey Planning on Timetable Networks</w:t>
      </w:r>
    </w:p>
    <w:p>
      <w:pPr>
        <w:pStyle w:val="FirstParagraph"/>
      </w:pPr>
      <w:r>
        <w:t xml:space="preserve">The time-expanded model assigns a node to each departure and each arrival and turns the search for the best journey into a shortest-path problem on a fixed directed graph. The time-dependent model, in contrast, uses one node per stop, and the arc travel times depend on the clock (Pyrga et al., 2008). With no negative arc weight, Dijkstra’s (1959) algorithm works in both models, and Cormen et al. (2022) prove it correct and analyze its running time with a binary heap. Larger feeds need faster methods. The Connection Scan Algorithm (Dibbelt et al., 2018) and RAPTOR (Delling et al., 2015) avoid the priority queue but require stricter modeling of transfers and footpaths. For a pedestrian whose walking speed differs from the design value, the walking arcs change, and the graph must be rebuilt or the walking legs recomputed for that patient.</w:t>
      </w:r>
    </w:p>
    <w:bookmarkEnd w:id="36"/>
    <w:bookmarkStart w:id="37" w:name="open-data-on-informal-transport"/>
    <w:p>
      <w:pPr>
        <w:pStyle w:val="Heading3"/>
      </w:pPr>
      <w:r>
        <w:t xml:space="preserve">1.4.11 Open Data on Informal Transport</w:t>
      </w:r>
    </w:p>
    <w:p>
      <w:pPr>
        <w:pStyle w:val="FirstParagraph"/>
      </w:pPr>
      <w:r>
        <w:t xml:space="preserve">Most transit data in circulation follow the General Transit Feed Specification (GTFS). TriMet, the transit agency of Portland, Oregon, developed the format with Google in 2006, and its upkeep has since passed to MobilityData, a nonprofit (MobilityData, n.d.-a). Digital Matatus was among the first projects to carry GTFS over to an informal system. According to Williams et al. (2015), university students in Nairobi rode the matatu minibuses with their phones, logged the routes, and published the results as a feed that journey-planning apps and planners soon adopted. Smartphones were used to map 315 trotro routes in Accra (Saddier et al., 2016), and Maputo’s minibus routes were mapped along the lines of the Nairobi work (Klopp &amp; Cavoli, 2019). Around Greater Cairo, Transport for Cairo and the Digital Matatus team mapped the formal and informal services of six new desert cities and opened the results (Transport for Cairo, n.d.). Closer to Albay, the former Department of Transportation and Communications released GTFS data for Metro Manila covering rail, bus, and jeepney routes, and Sakay.ph and similar trip planners have relied on those data since the Philippine Transit App Challenge of 2013 (Narboneta &amp; Teknomo, 2015). In case after case, the dataset outlived the analyses first built on it.</w:t>
      </w:r>
    </w:p>
    <w:p>
      <w:pPr>
        <w:pStyle w:val="BodyText"/>
      </w:pPr>
      <w:r>
        <w:t xml:space="preserve">A school research team can take two lessons from this record. The first is widely noted: the feed tends to be the longest-lived output. The second is that each of these projects began with field mapping, which is exactly the step that breaks down when the team has three students, the schedule is one school term, and some routes climb into upland barangays where a student should not be sent alone. For these reasons the team reversed the usual order and asked, before any field campaign, how much could be defined, proven, and computed first.</w:t>
      </w:r>
    </w:p>
    <w:bookmarkEnd w:id="37"/>
    <w:bookmarkStart w:id="38" w:name="landmarks-as-units-of-analysis"/>
    <w:p>
      <w:pPr>
        <w:pStyle w:val="Heading3"/>
      </w:pPr>
      <w:r>
        <w:t xml:space="preserve">1.4.12 Landmarks as Units of Analysis</w:t>
      </w:r>
    </w:p>
    <w:p>
      <w:pPr>
        <w:pStyle w:val="FirstParagraph"/>
      </w:pPr>
      <w:r>
        <w:t xml:space="preserve">Grouping results by administrative zone brings in Openshaw’s (1984) modifiable areal unit problem: the answer changes with the way the zones are drawn. Albay’s 720 barangays (Philippine Statistics Authority [PSA], n.d.) differ enormously in size. A barangay in the poblacion of Legazpi City may be only a few hundred meters across, while an upland barangay cannot sensibly be represented by a single point.</w:t>
      </w:r>
    </w:p>
    <w:p>
      <w:pPr>
        <w:pStyle w:val="BodyText"/>
      </w:pPr>
      <w:r>
        <w:t xml:space="preserve">The measure used in this paper avoids zones. Its index set is a finite list of real places, each named in at least one open register: a terminal, a public market, a municipal hall, a district hospital, a public high school. A patient’s trip begins at one of these anchors, the places where people without private vehicles usually start a trip, and every result is reported for an anchor or for a municipality made up of anchors.</w:t>
      </w:r>
    </w:p>
    <w:bookmarkEnd w:id="38"/>
    <w:bookmarkStart w:id="39" w:name="the-philippine-and-albay-setting"/>
    <w:p>
      <w:pPr>
        <w:pStyle w:val="Heading3"/>
      </w:pPr>
      <w:r>
        <w:t xml:space="preserve">1.4.13 The Philippine and Albay Setting</w:t>
      </w:r>
    </w:p>
    <w:p>
      <w:pPr>
        <w:pStyle w:val="FirstParagraph"/>
      </w:pPr>
      <w:r>
        <w:t xml:space="preserve">Route planning in the Philippines is now partly a local responsibility. The Omnibus Franchising Guidelines of the Department of Transportation (DOTr, 2017), the basis of the Public Utility Vehicle Modernization Program, require each local government unit (LGU) to draw up a Local Public Transport Route Plan with evidence behind each proposed route, and the Department of the Interior and Local Government spelled out how LGUs should prepare such a plan (DILG, 2018). Fares, however, are set nationally by the Land Transportation Franchising and Regulatory Board (LTFRB). Its most recent increase was due on March 19, 2026, was put on hold by the President that same day (Cabalza, 2026), and took effect only on September 28, 2026 (Daguno-Bersamina, 2026; Nieto, 2026). Since that date the first 4 km on a traditional jeepney cost ₱14.00, with ₱2.00 added for each further kilometer. On a modern jeepney the same 4 km cost ₱17.00, plus ₱2.40 per added kilometer, and an ordinary provincial bus charges ₱12.00 for its first 5 km, plus ₱2.20 per kilometer after that (Daguno-Bersamina, 2026; Nieto, 2026). A 20 percent discount applies to senior citizens (Republic Act No. 9994, 2010), persons with disabilities (Republic Act No. 10754, 2016), and students (Republic Act No. 11314, 2019). These are often the same patients who walk slowly or cannot pay hospital charges, which is why the fare model, the payment classes, and the mobility classes appear together in this study.</w:t>
      </w:r>
    </w:p>
    <w:p>
      <w:pPr>
        <w:pStyle w:val="BodyText"/>
      </w:pPr>
      <w:r>
        <w:t xml:space="preserve">The province has 18 LGUs with 720 barangays in all (PSA, n.d.), close to 2,575 km² of land (PhilAtlas, n.d.), and 1,374,768 residents at the 2020 census (PSA, 2021). Mayon Volcano and the yearly typhoon season make road closures and sudden surges in patients a regular part of life there.</w:t>
      </w:r>
    </w:p>
    <w:bookmarkEnd w:id="39"/>
    <w:bookmarkStart w:id="40" w:name="software-agents-over-e-mail"/>
    <w:p>
      <w:pPr>
        <w:pStyle w:val="Heading3"/>
      </w:pPr>
      <w:r>
        <w:t xml:space="preserve">1.4.14 Software Agents over E-mail</w:t>
      </w:r>
    </w:p>
    <w:p>
      <w:pPr>
        <w:pStyle w:val="FirstParagraph"/>
      </w:pPr>
      <w:r>
        <w:t xml:space="preserve">Wooldridge and Jennings (1995) define an agent as software that acts on its own in an environment, notices and responds to changes there, takes initiative toward its goals, and communicates with other agents. When a task is split among several agents, one part may fail without bringing down the others. E-mail is the channel in this study because every hospital already has an official address that staff read. Outgoing mail is sent through the Simple Mail Transfer Protocol (SMTP; Klensin, 2008), and replies are fetched through the Internet Message Access Protocol (IMAP; Melnikov &amp; Leiba, 2021). Both are open standards. A hospital needs no new account, installation, or system; it only has to reply.</w:t>
      </w:r>
    </w:p>
    <w:bookmarkEnd w:id="40"/>
    <w:bookmarkEnd w:id="41"/>
    <w:bookmarkStart w:id="42" w:name="research-gap"/>
    <w:p>
      <w:pPr>
        <w:pStyle w:val="Heading2"/>
      </w:pPr>
      <w:r>
        <w:t xml:space="preserve">1.5 Research Gap</w:t>
      </w:r>
    </w:p>
    <w:p>
      <w:pPr>
        <w:pStyle w:val="FirstParagraph"/>
      </w:pPr>
      <w:r>
        <w:t xml:space="preserve">The review leaves six gaps. Four concern the patient and the hospital; two concern the transport that links them.</w:t>
      </w:r>
    </w:p>
    <w:p>
      <w:pPr>
        <w:numPr>
          <w:ilvl w:val="0"/>
          <w:numId w:val="1002"/>
        </w:numPr>
        <w:pStyle w:val="BodyText"/>
        <w:spacing w:after="80"/>
      </w:pPr>
      <w:r>
        <w:rPr>
          <w:bCs/>
          <w:b/>
        </w:rPr>
        <w:t xml:space="preserve">(G1) No live, needs-aware hospital map.</w:t>
      </w:r>
      <w:r>
        <w:t xml:space="preserve"> </w:t>
      </w:r>
      <w:r>
        <w:t xml:space="preserve">Official registers record a hospital’s level and its authorized beds, not its free beds today or its specific services. An ordinary map can locate hospitals but cannot say which of them can treat this patient, has a bed now, and accepts what the family can pay. The hospital ready to admit a patient is often not the one nearest to the patient’s family or to the ambulance crew. Closing this gap matters most for SDG target 3.8 and for low-income families.</w:t>
      </w:r>
    </w:p>
    <w:p>
      <w:pPr>
        <w:numPr>
          <w:ilvl w:val="0"/>
          <w:numId w:val="1002"/>
        </w:numPr>
        <w:pStyle w:val="BodyText"/>
        <w:spacing w:after="80"/>
      </w:pPr>
      <w:r>
        <w:rPr>
          <w:bCs/>
          <w:b/>
        </w:rPr>
        <w:t xml:space="preserve">(G2) No treatment of many patients at once.</w:t>
      </w:r>
      <w:r>
        <w:t xml:space="preserve"> </w:t>
      </w:r>
      <w:r>
        <w:t xml:space="preserve">Nearest-hospital advice is given one patient at a time. During typhoons, eruptions, and road crashes, many patients compete for the same few free beds, and no open model places them without overfilling a hospital.</w:t>
      </w:r>
    </w:p>
    <w:p>
      <w:pPr>
        <w:numPr>
          <w:ilvl w:val="0"/>
          <w:numId w:val="1002"/>
        </w:numPr>
        <w:pStyle w:val="BodyText"/>
        <w:spacing w:after="80"/>
      </w:pPr>
      <w:r>
        <w:rPr>
          <w:bCs/>
          <w:b/>
        </w:rPr>
        <w:t xml:space="preserve">(G3) No measure of bed access that counts crowding, cost, and need.</w:t>
      </w:r>
      <w:r>
        <w:t xml:space="preserve"> </w:t>
      </w:r>
      <w:r>
        <w:t xml:space="preserve">Provincial and municipal plans describe health access by counts of facilities and beds. No figure tells a planner how many free, affordable, and suitable beds each community can reach in a given time, per person, or how unevenly that is shared.</w:t>
      </w:r>
    </w:p>
    <w:p>
      <w:pPr>
        <w:numPr>
          <w:ilvl w:val="0"/>
          <w:numId w:val="1002"/>
        </w:numPr>
        <w:pStyle w:val="BodyText"/>
        <w:spacing w:after="80"/>
      </w:pPr>
      <w:r>
        <w:rPr>
          <w:bCs/>
          <w:b/>
        </w:rPr>
        <w:t xml:space="preserve">(G4) No guidance on where to add care or which roads to protect.</w:t>
      </w:r>
      <w:r>
        <w:t xml:space="preserve"> </w:t>
      </w:r>
      <w:r>
        <w:t xml:space="preserve">Without the measures of G3, there is no principled way to choose where a Malasakit Center or extra beds would help most, or which road closures would cut patients off from care.</w:t>
      </w:r>
    </w:p>
    <w:p>
      <w:pPr>
        <w:numPr>
          <w:ilvl w:val="0"/>
          <w:numId w:val="1002"/>
        </w:numPr>
        <w:pStyle w:val="BodyText"/>
        <w:spacing w:after="80"/>
      </w:pPr>
      <w:r>
        <w:rPr>
          <w:bCs/>
          <w:b/>
        </w:rPr>
        <w:t xml:space="preserve">(G5) No dataset of informal transport.</w:t>
      </w:r>
      <w:r>
        <w:t xml:space="preserve"> </w:t>
      </w:r>
      <w:r>
        <w:t xml:space="preserve">No machine-readable routes, stops, or headways exist for any part of Albay. Claims about access are therefore missing or rest on straight-line distance, which overstates access where terrain, water, or the road hierarchy forces a detour.</w:t>
      </w:r>
    </w:p>
    <w:p>
      <w:pPr>
        <w:numPr>
          <w:ilvl w:val="0"/>
          <w:numId w:val="1002"/>
        </w:numPr>
        <w:pStyle w:val="BodyText"/>
        <w:spacing w:after="80"/>
      </w:pPr>
      <w:r>
        <w:rPr>
          <w:bCs/>
          <w:b/>
        </w:rPr>
        <w:t xml:space="preserve">(G6) No model that knows the vehicle.</w:t>
      </w:r>
      <w:r>
        <w:t xml:space="preserve"> </w:t>
      </w:r>
      <w:r>
        <w:t xml:space="preserve">The loads that Albay’s rural roads can carry vary widely. Some roads are too narrow, too steep, or too rough, or carry a bridge with a low limit. A provincial bus or a six-wheel truck cannot use them, even though tricycles and cars use them every day, and an ambulance crew needs to know which group its van belongs to.</w:t>
      </w:r>
    </w:p>
    <w:p>
      <w:pPr>
        <w:pStyle w:val="FirstParagraph"/>
      </w:pPr>
      <w:r>
        <w:t xml:space="preserve">Earlier studies of informal transport relied on manual field mapping (Section 1.4.11). None asked what could be proven and computed when direct field collection is not yet possible, and none carried the result through to the hospital bed. That is the direct focus of this study.</w:t>
      </w:r>
    </w:p>
    <w:bookmarkEnd w:id="42"/>
    <w:bookmarkStart w:id="43" w:name="contributions-of-the-study"/>
    <w:p>
      <w:pPr>
        <w:pStyle w:val="Heading2"/>
      </w:pPr>
      <w:r>
        <w:t xml:space="preserve">1.6 Contributions of the Study</w:t>
      </w:r>
    </w:p>
    <w:p>
      <w:pPr>
        <w:numPr>
          <w:ilvl w:val="0"/>
          <w:numId w:val="1003"/>
        </w:numPr>
        <w:pStyle w:val="BodyText"/>
        <w:spacing w:after="80"/>
      </w:pPr>
      <w:r>
        <w:rPr>
          <w:bCs/>
          <w:b/>
        </w:rPr>
        <w:t xml:space="preserve">C1. A hospital map with needs, beds, and cost.</w:t>
      </w:r>
      <w:r>
        <w:t xml:space="preserve"> </w:t>
      </w:r>
      <w:r>
        <w:t xml:space="preserve">Section 2.7 defines a hospital record that carries capability level, service set, emergency room, cost class, and contact address, all drawn from public registers, and Section 2.8 adds a live bed status gathered by software agents.</w:t>
      </w:r>
    </w:p>
    <w:p>
      <w:pPr>
        <w:numPr>
          <w:ilvl w:val="0"/>
          <w:numId w:val="1003"/>
        </w:numPr>
        <w:pStyle w:val="BodyText"/>
        <w:spacing w:after="80"/>
      </w:pPr>
      <w:r>
        <w:rPr>
          <w:bCs/>
          <w:b/>
        </w:rPr>
        <w:t xml:space="preserve">C2. A patient profile and a suitability rule.</w:t>
      </w:r>
      <w:r>
        <w:t xml:space="preserve"> </w:t>
      </w:r>
      <w:r>
        <w:t xml:space="preserve">Section 2.9 writes a patient’s situation as acuity, required services, payment class, and mobility. Proposition 10 shows that the rule never offers more hospitals to a patient who needs more, and that it never filters an emergency patient by ability to pay.</w:t>
      </w:r>
    </w:p>
    <w:p>
      <w:pPr>
        <w:numPr>
          <w:ilvl w:val="0"/>
          <w:numId w:val="1003"/>
        </w:numPr>
        <w:pStyle w:val="BodyText"/>
        <w:spacing w:after="80"/>
      </w:pPr>
      <w:r>
        <w:rPr>
          <w:bCs/>
          <w:b/>
        </w:rPr>
        <w:t xml:space="preserve">C3. An exact hospital search with backups.</w:t>
      </w:r>
      <w:r>
        <w:t xml:space="preserve"> </w:t>
      </w:r>
      <w:r>
        <w:t xml:space="preserve">Proposition 9 proves that an early-stopping search returns the exact nearest suitable hospital and a ranked list of backups, and Proposition 13 proves that slower walking never shortens a patient’s trip, so the mobility gap is never negative.</w:t>
      </w:r>
    </w:p>
    <w:p>
      <w:pPr>
        <w:numPr>
          <w:ilvl w:val="0"/>
          <w:numId w:val="1003"/>
        </w:numPr>
        <w:pStyle w:val="BodyText"/>
        <w:spacing w:after="80"/>
      </w:pPr>
      <w:r>
        <w:rPr>
          <w:bCs/>
          <w:b/>
        </w:rPr>
        <w:t xml:space="preserve">C4. Catchments and bed access per person.</w:t>
      </w:r>
      <w:r>
        <w:t xml:space="preserve"> </w:t>
      </w:r>
      <w:r>
        <w:t xml:space="preserve">Proposition 14 builds the whole hospital catchment map in a single search, and Proposition 15 shows that the bed-to-population ratio never counts a bed twice.</w:t>
      </w:r>
    </w:p>
    <w:p>
      <w:pPr>
        <w:numPr>
          <w:ilvl w:val="0"/>
          <w:numId w:val="1003"/>
        </w:numPr>
        <w:pStyle w:val="BodyText"/>
        <w:spacing w:after="80"/>
      </w:pPr>
      <w:r>
        <w:rPr>
          <w:bCs/>
          <w:b/>
        </w:rPr>
        <w:t xml:space="preserve">C5. Surge assignment.</w:t>
      </w:r>
      <w:r>
        <w:t xml:space="preserve"> </w:t>
      </w:r>
      <w:r>
        <w:t xml:space="preserve">Proposition 16 shows that many patients can be placed in few beds optimally, in whole numbers, and without overfilling any hospital.</w:t>
      </w:r>
    </w:p>
    <w:p>
      <w:pPr>
        <w:numPr>
          <w:ilvl w:val="0"/>
          <w:numId w:val="1003"/>
        </w:numPr>
        <w:pStyle w:val="BodyText"/>
        <w:spacing w:after="80"/>
      </w:pPr>
      <w:r>
        <w:rPr>
          <w:bCs/>
          <w:b/>
        </w:rPr>
        <w:t xml:space="preserve">C6. Planning tools with guarantees.</w:t>
      </w:r>
      <w:r>
        <w:t xml:space="preserve"> </w:t>
      </w:r>
      <w:r>
        <w:t xml:space="preserve">Proposition 17 proves that only road segments on the shortest-path forest can delay patients when closed, and Proposition 18 guarantees that greedy site selection reaches at least 63.2 percent of the best possible coverage.</w:t>
      </w:r>
    </w:p>
    <w:p>
      <w:pPr>
        <w:numPr>
          <w:ilvl w:val="0"/>
          <w:numId w:val="1003"/>
        </w:numPr>
        <w:pStyle w:val="BodyText"/>
        <w:spacing w:after="80"/>
      </w:pPr>
      <w:r>
        <w:rPr>
          <w:bCs/>
          <w:b/>
        </w:rPr>
        <w:t xml:space="preserve">C7. A verified transport layer.</w:t>
      </w:r>
      <w:r>
        <w:t xml:space="preserve"> </w:t>
      </w:r>
      <w:r>
        <w:t xml:space="preserve">Sections 2.1 to 2.6 build the landmark-anchored timetable graph, the vehicle classes, and the fare model, and Propositions 1 to 8 prove the query engine correct and the inequality and fare properties sound.</w:t>
      </w:r>
    </w:p>
    <w:p>
      <w:pPr>
        <w:numPr>
          <w:ilvl w:val="0"/>
          <w:numId w:val="1003"/>
        </w:numPr>
        <w:pStyle w:val="BodyText"/>
        <w:spacing w:after="80"/>
      </w:pPr>
      <w:r>
        <w:rPr>
          <w:bCs/>
          <w:b/>
        </w:rPr>
        <w:t xml:space="preserve">C8. A repeatable, open pipeline.</w:t>
      </w:r>
      <w:r>
        <w:t xml:space="preserve"> </w:t>
      </w:r>
      <w:r>
        <w:t xml:space="preserve">Every input links back to a named public register (Appendix A), every result is reproduced by a script with a fixed random seed, and the synthetic feed can later be replaced by a field-verified feed without changing the mathematics. Creating the feed and the hospital map supports the open-data aims of SDG target 17.18.</w:t>
      </w:r>
    </w:p>
    <w:p>
      <w:pPr>
        <w:pStyle w:val="FirstParagraph"/>
      </w:pPr>
      <w:r>
        <w:t xml:space="preserve">Of the eighteen numbered results in Section 3.2, Propositions 1, 2, 5, and 6 restate established results for a landmark setting, with their sources named in their headings, and Proposition 18 applies the theorem of Nemhauser et al. (1978) to a coverage function defined here. The rest, namely Propositions 3, 7, 9, 10, and 12 to 17 and Corollaries 4, 8, and 11, are the researchers’ own.</w:t>
      </w:r>
    </w:p>
    <w:bookmarkEnd w:id="43"/>
    <w:bookmarkStart w:id="44" w:name="scope-and-delimitation"/>
    <w:p>
      <w:pPr>
        <w:pStyle w:val="Heading2"/>
      </w:pPr>
      <w:r>
        <w:t xml:space="preserve">1.7 Scope and Delimitation</w:t>
      </w:r>
    </w:p>
    <w:p>
      <w:pPr>
        <w:pStyle w:val="FirstParagraph"/>
      </w:pPr>
      <w:r>
        <w:t xml:space="preserve">The study covers the province of Albay: its 18 LGUs, three legislative districts, and the hospitals and infirmaries listed in public registers. It is entirely computational. No hospital was contacted, no patient took part, and no field survey was made. All results come from proofs or from synthetic instances that are labeled as such wherever they appear.</w:t>
      </w:r>
    </w:p>
    <w:p>
      <w:pPr>
        <w:pStyle w:val="BodyText"/>
      </w:pPr>
      <w:r>
        <w:t xml:space="preserve">The model routes patients; it does not diagnose them. The acuity level and the required services are entered by an ambulance crew or by the user, and the attending physician’s judgment always overrides the application. The service list of each hospital is limited to the eight services in Table 8, which follow the DOH (2012) levels. Ambulance travel times assume free-flow speeds. Bed counts in the live system would be self-reported by hospitals, and the study does not audit them. Journeys that cross into Sorsogon, Camarines Sur, or Catanduanes are cut at the provincial border. The surge assignment assumes that the free beds are known and that the patients’ requests arrive together. Within these limits, the study answers whether patient-centered hospital access can be defined, computed, and verified from open data. Whether the model matches real operations in Albay is left to field validation (Section 4.3).</w:t>
      </w:r>
    </w:p>
    <w:bookmarkEnd w:id="44"/>
    <w:bookmarkStart w:id="45" w:name="X2b3e2e097265b20d9fca8b955088efdfa0d15bb"/>
    <w:p>
      <w:pPr>
        <w:pStyle w:val="Heading2"/>
      </w:pPr>
      <w:r>
        <w:t xml:space="preserve">1.8 Relation to the Sustainable Development Goals</w:t>
      </w:r>
    </w:p>
    <w:p>
      <w:pPr>
        <w:pStyle w:val="FirstParagraph"/>
      </w:pPr>
      <w:r>
        <w:t xml:space="preserve">The goals are interconnected, and one piece of work can bear on several of them (UNGA, 2015). This is a computational study and a planning tool; it has not been applied in practice, and no indicator value for Albay is reported here.</w:t>
      </w:r>
    </w:p>
    <w:p>
      <w:pPr>
        <w:pStyle w:val="BodyText"/>
      </w:pPr>
      <w:r>
        <w:t xml:space="preserve">The closest goal is SDG 3, Good Health and Well-being. Hospital mode aims to bring each patient to the nearest hospital that offers the required level and service and has a free bed, without letting cost decide an emergency. It bears on target 3.8, universal health coverage with financial risk protection, through the payment filter and the payment gap, and on target 3.d, early warning and the management of health risks, through the bed-availability network. Routing a mother with a high-risk pregnancy to a hospital that offers that care, and a sick newborn to one with a neonatal ICU, relates to targets 3.1 and 3.2 on maternal and newborn deaths, although the study measures travel time, not health outcomes.</w:t>
      </w:r>
    </w:p>
    <w:p>
      <w:pPr>
        <w:pStyle w:val="BodyText"/>
      </w:pPr>
      <w:r>
        <w:t xml:space="preserve">SDG 11, Sustainable Cities and Communities, enters through target 11.2, which asks for safe, affordable, and accessible transport for all, with special attention to the needs of those in vulnerable situations. The landmark measure relates to indicator 11.2.1 (UNGA, 2017) but differs from it: the indicator counts who has convenient access to public transport, while the landmark measure counts what that transport reaches within 30 minutes. The fare model, the statutory discounts, and the mobility classes address the affordability and vulnerability parts of the same target.</w:t>
      </w:r>
    </w:p>
    <w:p>
      <w:pPr>
        <w:pStyle w:val="BodyText"/>
      </w:pPr>
      <w:r>
        <w:t xml:space="preserve">SDG 10, Reduced Inequalities, appears in the measures of Section 2.4. Targets 10.2 and 10.3 concern inclusion and less unequal outcomes (UNGA, 2015). The Lorenz, Gini, Theil, and Palma measures, together with the payment, need, and mobility gaps, describe how unequal access is and where the inequality lies.</w:t>
      </w:r>
    </w:p>
    <w:p>
      <w:pPr>
        <w:pStyle w:val="BodyText"/>
      </w:pPr>
      <w:r>
        <w:t xml:space="preserve">Some features may also serve other goals if the tool is validated and adopted: vehicle-class routing and critical-road analysis for infrastructure and disaster response (target 9.1 and target 11.5), the bed table during typhoons and Mayon Volcano alerts (target 13.1), the payment-gap map and site selection for services to the poor (target 1.4), the school layer (target 4.a), and the open dataset (target 17.18). These are plausible applications, not proven outcomes. Any effect in practice would depend on field validation and on adoption by the LGUs and the Provincial Health Office (Section 4.3).</w:t>
      </w:r>
    </w:p>
    <w:bookmarkEnd w:id="45"/>
    <w:bookmarkEnd w:id="46"/>
    <w:bookmarkStart w:id="149" w:name="framework"/>
    <w:p>
      <w:pPr>
        <w:pStyle w:val="Heading1"/>
      </w:pPr>
      <w:r>
        <w:t xml:space="preserve">2. FRAMEWORK</w:t>
      </w:r>
    </w:p>
    <w:p>
      <w:pPr>
        <w:pStyle w:val="FirstParagraph"/>
      </w:pPr>
      <w:r>
        <w:t xml:space="preserve">The framework has two layers. The transport layer (Sections 2.1 to 2.6) describes how a person moves through Albay by road, on foot, and on informal public transport, and what that costs. The hospital layer (Sections 2.7 to 2.13) sits on top of it and is the main subject of this revision: it describes the hospitals, the patient, and the rules that join them. Figure 1 shows how the parts connect. Every symbol is listed in Table 13.</w:t>
      </w:r>
    </w:p>
    <w:p>
      <w:pPr>
        <w:pStyle w:val="CaptionedFigure"/>
      </w:pPr>
      <w:r>
        <w:drawing>
          <wp:inline>
            <wp:extent cx="5943600" cy="3945046"/>
            <wp:effectExtent b="0" l="0" r="0" t="0"/>
            <wp:docPr descr="Figure 1. The model from open data to patient recommendations. Blue boxes form the transport layer; orange boxes form the hospital layer, which depends on the agent network for bed status." title="" id="48" name="Picture"/>
            <a:graphic>
              <a:graphicData uri="http://schemas.openxmlformats.org/drawingml/2006/picture">
                <pic:pic>
                  <pic:nvPicPr>
                    <pic:cNvPr descr="fig/fig1_model.png" id="49" name="Picture"/>
                    <pic:cNvPicPr>
                      <a:picLocks noChangeArrowheads="1" noChangeAspect="1"/>
                    </pic:cNvPicPr>
                  </pic:nvPicPr>
                  <pic:blipFill>
                    <a:blip r:embed="rId47"/>
                    <a:stretch>
                      <a:fillRect/>
                    </a:stretch>
                  </pic:blipFill>
                  <pic:spPr bwMode="auto">
                    <a:xfrm>
                      <a:off x="0" y="0"/>
                      <a:ext cx="5943600" cy="3945046"/>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The model from open data to patient recommendations. Blue boxes form the transport layer; orange boxes form the hospital layer, which depends on the agent network for bed status.</w:t>
      </w:r>
    </w:p>
    <w:bookmarkStart w:id="53" w:name="study-area-landmarks-and-spatial-units"/>
    <w:p>
      <w:pPr>
        <w:pStyle w:val="Heading2"/>
      </w:pPr>
      <w:r>
        <w:t xml:space="preserve">2.1 Study Area, Landmarks, and Spatial Units</w:t>
      </w:r>
    </w:p>
    <w:p>
      <w:pPr>
        <w:pStyle w:val="FirstParagraph"/>
      </w:pPr>
      <w:r>
        <w:t xml:space="preserve">The study area is the province of Albay, all 18 of its LGUs in its three legislative districts (Table 3). The First District covers the eastern seaboard municipalities, the Second District the capital, Legazpi City, and the municipalities around it, and the Third District the more inland municipalities. Apart from the urban area of Legazpi City, which spills over into Daraga, and the cities of Tabaco and Ligao, most LGUs are rural. The province has urban, rural, coastal, inland, and island places, and the hospitals that serve them range from municipal infirmaries to the regional hospital in Legazpi City. It is a varied but manageable study area for a team of three.</w:t>
      </w:r>
    </w:p>
    <w:p>
      <w:pPr>
        <w:pStyle w:val="TableCaption"/>
      </w:pPr>
      <w:r>
        <w:rPr>
          <w:bCs/>
          <w:b/>
        </w:rPr>
        <w:t xml:space="preserve">Table 3.</w:t>
      </w:r>
      <w:r>
        <w:t xml:space="preserve"> </w:t>
      </w:r>
      <w:r>
        <w:t xml:space="preserve">The 18 LGUs of Albay, with 2020 population and land area. Population: PSA (2021). Land area: PhilAtlas (n.d.), compiled from PSA data.</w:t>
      </w:r>
    </w:p>
    <w:tbl>
      <w:tblPr>
        <w:tblStyle w:val="Table"/>
        <w:tblW w:type="pct" w:w="5000"/>
        <w:jc w:val="center"/>
        <w:tblCaption w:val="Table 3. The 18 LGUs of Albay, with 2020 population and land area. Population: PSA (2021). Land area: PhilAtlas (n.d.), compiled from PSA dat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860"/>
        <w:gridCol w:w="4648"/>
        <w:gridCol w:w="1205"/>
        <w:gridCol w:w="1205"/>
      </w:tblGrid>
      <w:tr>
        <w:trPr>
          <w:tblHeader w:val="true"/>
          <w:tblHeader/>
          <w:cantSplit/>
        </w:trPr>
        <w:tc>
          <w:tcPr/>
          <w:p>
            <w:pPr>
              <w:pStyle w:val="Compact"/>
              <w:jc w:val="left"/>
            </w:pPr>
            <w:r>
              <w:rPr>
                <w:b/>
              </w:rPr>
              <w:t xml:space="preserve">District</w:t>
            </w:r>
          </w:p>
        </w:tc>
        <w:tc>
          <w:tcPr/>
          <w:p>
            <w:pPr>
              <w:pStyle w:val="Compact"/>
              <w:jc w:val="left"/>
            </w:pPr>
            <w:r>
              <w:rPr>
                <w:b/>
              </w:rPr>
              <w:t xml:space="preserve">Local Government Units</w:t>
            </w:r>
          </w:p>
        </w:tc>
        <w:tc>
          <w:tcPr/>
          <w:p>
            <w:pPr>
              <w:pStyle w:val="Compact"/>
              <w:jc w:val="right"/>
            </w:pPr>
            <w:r>
              <w:rPr>
                <w:b/>
              </w:rPr>
              <w:t xml:space="preserve">Population (2020)</w:t>
            </w:r>
          </w:p>
        </w:tc>
        <w:tc>
          <w:tcPr/>
          <w:p>
            <w:pPr>
              <w:pStyle w:val="Compact"/>
              <w:jc w:val="right"/>
            </w:pPr>
            <w:r>
              <w:rPr>
                <w:b/>
              </w:rPr>
              <w:t xml:space="preserve">Land Area (km²)</w:t>
            </w:r>
          </w:p>
        </w:tc>
      </w:tr>
      <w:tr>
        <w:trPr>
          <w:cantSplit/>
        </w:trPr>
        <w:tc>
          <w:tcPr/>
          <w:p>
            <w:pPr>
              <w:pStyle w:val="Compact"/>
              <w:jc w:val="left"/>
            </w:pPr>
            <w:r>
              <w:t xml:space="preserve">First</w:t>
            </w:r>
          </w:p>
        </w:tc>
        <w:tc>
          <w:tcPr/>
          <w:p>
            <w:pPr>
              <w:pStyle w:val="Compact"/>
              <w:jc w:val="left"/>
            </w:pPr>
            <w:r>
              <w:t xml:space="preserve">Tabaco City, Bacacay, Malilipot, Malinao, Santo Domingo, Tiwi</w:t>
            </w:r>
          </w:p>
        </w:tc>
        <w:tc>
          <w:tcPr/>
          <w:p>
            <w:pPr>
              <w:pStyle w:val="Compact"/>
              <w:jc w:val="right"/>
            </w:pPr>
            <w:r>
              <w:t xml:space="preserve">395,907</w:t>
            </w:r>
          </w:p>
        </w:tc>
        <w:tc>
          <w:tcPr/>
          <w:p>
            <w:pPr>
              <w:pStyle w:val="Compact"/>
              <w:jc w:val="right"/>
            </w:pPr>
            <w:r>
              <w:t xml:space="preserve">547.88</w:t>
            </w:r>
          </w:p>
        </w:tc>
      </w:tr>
      <w:tr>
        <w:trPr>
          <w:cantSplit/>
        </w:trPr>
        <w:tc>
          <w:tcPr/>
          <w:p>
            <w:pPr>
              <w:pStyle w:val="Compact"/>
              <w:jc w:val="left"/>
            </w:pPr>
            <w:r>
              <w:t xml:space="preserve">Second</w:t>
            </w:r>
          </w:p>
        </w:tc>
        <w:tc>
          <w:tcPr/>
          <w:p>
            <w:pPr>
              <w:pStyle w:val="Compact"/>
              <w:jc w:val="left"/>
            </w:pPr>
            <w:r>
              <w:t xml:space="preserve">Camalig, Daraga, Legazpi City, Manito, Rapu-Rapu</w:t>
            </w:r>
          </w:p>
        </w:tc>
        <w:tc>
          <w:tcPr/>
          <w:p>
            <w:pPr>
              <w:pStyle w:val="Compact"/>
              <w:jc w:val="right"/>
            </w:pPr>
            <w:r>
              <w:t xml:space="preserve">477,781</w:t>
            </w:r>
          </w:p>
        </w:tc>
        <w:tc>
          <w:tcPr/>
          <w:p>
            <w:pPr>
              <w:pStyle w:val="Compact"/>
              <w:jc w:val="right"/>
            </w:pPr>
            <w:r>
              <w:t xml:space="preserve">673.85</w:t>
            </w:r>
          </w:p>
        </w:tc>
      </w:tr>
      <w:tr>
        <w:trPr>
          <w:cantSplit/>
        </w:trPr>
        <w:tc>
          <w:tcPr/>
          <w:p>
            <w:pPr>
              <w:pStyle w:val="Compact"/>
              <w:jc w:val="left"/>
            </w:pPr>
            <w:r>
              <w:t xml:space="preserve">Third</w:t>
            </w:r>
          </w:p>
        </w:tc>
        <w:tc>
          <w:tcPr/>
          <w:p>
            <w:pPr>
              <w:pStyle w:val="Compact"/>
              <w:jc w:val="left"/>
            </w:pPr>
            <w:r>
              <w:t xml:space="preserve">Guinobatan, Jovellar, Libon, Ligao City, Oas, Pio Duran, Polangui</w:t>
            </w:r>
          </w:p>
        </w:tc>
        <w:tc>
          <w:tcPr/>
          <w:p>
            <w:pPr>
              <w:pStyle w:val="Compact"/>
              <w:jc w:val="right"/>
            </w:pPr>
            <w:r>
              <w:t xml:space="preserve">501,080</w:t>
            </w:r>
          </w:p>
        </w:tc>
        <w:tc>
          <w:tcPr/>
          <w:p>
            <w:pPr>
              <w:pStyle w:val="Compact"/>
              <w:jc w:val="right"/>
            </w:pPr>
            <w:r>
              <w:t xml:space="preserve">1,353.18</w:t>
            </w:r>
          </w:p>
        </w:tc>
      </w:tr>
      <w:tr>
        <w:trPr>
          <w:cantSplit/>
        </w:trPr>
        <w:tc>
          <w:tcPr/>
          <w:p>
            <w:pPr>
              <w:pStyle w:val="Compact"/>
              <w:jc w:val="left"/>
            </w:pPr>
            <w:r>
              <w:t xml:space="preserve">Total</w:t>
            </w:r>
          </w:p>
        </w:tc>
        <w:tc>
          <w:tcPr/>
          <w:p>
            <w:pPr>
              <w:pStyle w:val="Compact"/>
              <w:jc w:val="left"/>
            </w:pPr>
            <w:r>
              <w:t xml:space="preserve">18 units</w:t>
            </w:r>
          </w:p>
        </w:tc>
        <w:tc>
          <w:tcPr/>
          <w:p>
            <w:pPr>
              <w:pStyle w:val="Compact"/>
              <w:jc w:val="right"/>
            </w:pPr>
            <w:r>
              <w:t xml:space="preserve">1,374,768</w:t>
            </w:r>
          </w:p>
        </w:tc>
        <w:tc>
          <w:tcPr/>
          <w:p>
            <w:pPr>
              <w:pStyle w:val="Compact"/>
              <w:jc w:val="right"/>
            </w:pPr>
            <w:r>
              <w:t xml:space="preserve">2,574.91</w:t>
            </w:r>
          </w:p>
        </w:tc>
      </w:tr>
    </w:tbl>
    <w:p>
      <w:pPr>
        <w:pStyle w:val="BodyText"/>
        <w:spacing w:before="200"/>
      </w:pPr>
      <w:r>
        <w:rPr>
          <w:bCs/>
          <w:b/>
        </w:rPr>
        <w:t xml:space="preserve">Definition 1 (Landmark set).</w:t>
      </w:r>
      <w:r>
        <w:t xml:space="preserve"> </w:t>
      </w:r>
      <w:r>
        <w:t xml:space="preserve">A landmark is a fixed place with a known name and general public importance, whose location can be pinned down and which appears in at least one public register. The landmark set is</w:t>
      </w:r>
    </w:p>
    <w:p>
      <w:pPr>
        <w:pStyle w:val="Equation"/>
      </w:pPr>
      <w:r>
        <w:tab/>
      </w:r>
      <w:r>
        <w:drawing>
          <wp:inline>
            <wp:extent cx="860450" cy="134416"/>
            <wp:effectExtent b="0" l="0" r="0" t="0"/>
            <wp:docPr descr="" title="" id="51" name="Picture"/>
            <a:graphic>
              <a:graphicData uri="http://schemas.openxmlformats.org/drawingml/2006/picture">
                <pic:pic>
                  <pic:nvPicPr>
                    <pic:cNvPr descr="eq/eq01.png" id="52" name="Picture"/>
                    <pic:cNvPicPr>
                      <a:picLocks noChangeArrowheads="1" noChangeAspect="1"/>
                    </pic:cNvPicPr>
                  </pic:nvPicPr>
                  <pic:blipFill>
                    <a:blip r:embed="rId50"/>
                    <a:stretch>
                      <a:fillRect/>
                    </a:stretch>
                  </pic:blipFill>
                  <pic:spPr bwMode="auto">
                    <a:xfrm>
                      <a:off x="0" y="0"/>
                      <a:ext cx="860450" cy="134416"/>
                    </a:xfrm>
                    <a:prstGeom prst="rect">
                      <a:avLst/>
                    </a:prstGeom>
                    <a:noFill/>
                    <a:ln w="9525">
                      <a:noFill/>
                      <a:headEnd/>
                      <a:tailEnd/>
                    </a:ln>
                  </pic:spPr>
                </pic:pic>
              </a:graphicData>
            </a:graphic>
          </wp:inline>
        </w:drawing>
      </w:r>
      <w:r/>
      <w:r/>
      <w:r>
        <w:rPr>
          <w:rFonts w:ascii="Times New Roman" w:hAnsi="Times New Roman"/>
          <w:sz w:val="24"/>
        </w:rPr>
        <w:tab/>
        <w:t>(1)</w:t>
      </w:r>
    </w:p>
    <w:p>
      <w:pPr>
        <w:pStyle w:val="Source"/>
      </w:pPr>
      <w:r>
        <w:t xml:space="preserve">Source: formulated in this study (Definition 1)</w:t>
      </w:r>
    </w:p>
    <w:p>
      <w:pPr>
        <w:pStyle w:val="BodyText"/>
      </w:pPr>
      <w:r>
        <w:t xml:space="preserve">where</w:t>
      </w:r>
      <w:r>
        <w:t xml:space="preserve"> </w:t>
      </w:r>
      <w:r>
        <w:rPr>
          <w:iCs/>
          <w:i/>
        </w:rPr>
        <w:t xml:space="preserve">L</w:t>
      </w:r>
      <w:r>
        <w:rPr>
          <w:iCs/>
          <w:i/>
          <w:vertAlign w:val="subscript"/>
        </w:rPr>
        <w:t xml:space="preserve">a</w:t>
      </w:r>
      <w:r>
        <w:t xml:space="preserve"> </w:t>
      </w:r>
      <w:r>
        <w:t xml:space="preserve">is the set of anchors and</w:t>
      </w:r>
      <w:r>
        <w:t xml:space="preserve"> </w:t>
      </w:r>
      <w:r>
        <w:rPr>
          <w:iCs/>
          <w:i/>
        </w:rPr>
        <w:t xml:space="preserve">L</w:t>
      </w:r>
      <w:r>
        <w:rPr>
          <w:iCs/>
          <w:i/>
          <w:vertAlign w:val="subscript"/>
        </w:rPr>
        <w:t xml:space="preserve">d</w:t>
      </w:r>
      <w:r>
        <w:t xml:space="preserve"> </w:t>
      </w:r>
      <w:r>
        <w:t xml:space="preserve">the set of essential destinations. Anchors are the places where people without private vehicles plausibly begin a trip: a public transport terminal, the municipal or city hall, the public market, the town plaza, a port or pier, or a major junction where drivers usually pick up passengers. Essential destinations are places people travel to for a service: hospitals and rural health units, public schools, government offices, public markets, and designated evacuation centers. A place may be both. Public markets usually are.</w:t>
      </w:r>
    </w:p>
    <w:p>
      <w:pPr>
        <w:pStyle w:val="BodyText"/>
      </w:pPr>
      <w:r>
        <w:t xml:space="preserve">Each anchor</w:t>
      </w:r>
      <w:r>
        <w:t xml:space="preserve"> </w:t>
      </w:r>
      <w:r>
        <w:rPr>
          <w:iCs/>
          <w:i/>
        </w:rPr>
        <w:t xml:space="preserve">a</w:t>
      </w:r>
      <w:r>
        <w:t xml:space="preserve"> </w:t>
      </w:r>
      <w:r>
        <w:t xml:space="preserve">∈</w:t>
      </w:r>
      <w:r>
        <w:t xml:space="preserve"> </w:t>
      </w:r>
      <w:r>
        <w:rPr>
          <w:iCs/>
          <w:i/>
        </w:rPr>
        <w:t xml:space="preserve">L</w:t>
      </w:r>
      <w:r>
        <w:rPr>
          <w:iCs/>
          <w:i/>
          <w:vertAlign w:val="subscript"/>
        </w:rPr>
        <w:t xml:space="preserve">a</w:t>
      </w:r>
      <w:r>
        <w:t xml:space="preserve"> </w:t>
      </w:r>
      <w:r>
        <w:t xml:space="preserve">is represented by</w:t>
      </w:r>
      <w:r>
        <w:t xml:space="preserve"> </w:t>
      </w:r>
      <w:r>
        <w:rPr>
          <w:iCs/>
          <w:i/>
        </w:rPr>
        <w:t xml:space="preserve">o</w:t>
      </w:r>
      <w:r>
        <w:rPr>
          <w:iCs/>
          <w:i/>
          <w:vertAlign w:val="subscript"/>
        </w:rPr>
        <w:t xml:space="preserve">a</w:t>
      </w:r>
      <w:r>
        <w:t xml:space="preserve">, the road-network node nearest to its register coordinate. Its demand weight</w:t>
      </w:r>
      <w:r>
        <w:t xml:space="preserve"> </w:t>
      </w:r>
      <w:r>
        <w:rPr>
          <w:iCs/>
          <w:i/>
        </w:rPr>
        <w:t xml:space="preserve">P</w:t>
      </w:r>
      <w:r>
        <w:rPr>
          <w:iCs/>
          <w:i/>
          <w:vertAlign w:val="subscript"/>
        </w:rPr>
        <w:t xml:space="preserve">a</w:t>
      </w:r>
      <w:r>
        <w:t xml:space="preserve"> </w:t>
      </w:r>
      <w:r>
        <w:t xml:space="preserve">comes from the barangays assigned to it. Every barangay is assigned to the anchor it can reach at least cost over the road network, and the 2020 census populations of the barangays assigned to</w:t>
      </w:r>
      <w:r>
        <w:t xml:space="preserve"> </w:t>
      </w:r>
      <w:r>
        <w:rPr>
          <w:iCs/>
          <w:i/>
        </w:rPr>
        <w:t xml:space="preserve">a</w:t>
      </w:r>
      <w:r>
        <w:t xml:space="preserve"> </w:t>
      </w:r>
      <w:r>
        <w:t xml:space="preserve">are added together (PSA, 2021).</w:t>
      </w:r>
      <w:r>
        <w:t xml:space="preserve"> </w:t>
      </w:r>
      <w:r>
        <w:rPr>
          <w:iCs/>
          <w:i/>
        </w:rPr>
        <w:t xml:space="preserve">P</w:t>
      </w:r>
      <w:r>
        <w:rPr>
          <w:iCs/>
          <w:i/>
          <w:vertAlign w:val="subscript"/>
        </w:rPr>
        <w:t xml:space="preserve">a</w:t>
      </w:r>
      <w:r>
        <w:t xml:space="preserve"> </w:t>
      </w:r>
      <w:r>
        <w:t xml:space="preserve">is therefore not an estimate; it is a sum of published figures, built by one rule applied the same way to every barangay.</w:t>
      </w:r>
    </w:p>
    <w:p>
      <w:pPr>
        <w:pStyle w:val="BodyText"/>
      </w:pPr>
      <w:r>
        <w:t xml:space="preserve">Each destination</w:t>
      </w:r>
      <w:r>
        <w:t xml:space="preserve"> </w:t>
      </w:r>
      <w:r>
        <w:rPr>
          <w:iCs/>
          <w:i/>
        </w:rPr>
        <w:t xml:space="preserve">p</w:t>
      </w:r>
      <w:r>
        <w:t xml:space="preserve"> </w:t>
      </w:r>
      <w:r>
        <w:t xml:space="preserve">∈</w:t>
      </w:r>
      <w:r>
        <w:t xml:space="preserve"> </w:t>
      </w:r>
      <w:r>
        <w:rPr>
          <w:iCs/>
          <w:i/>
        </w:rPr>
        <w:t xml:space="preserve">L</w:t>
      </w:r>
      <w:r>
        <w:rPr>
          <w:iCs/>
          <w:i/>
          <w:vertAlign w:val="subscript"/>
        </w:rPr>
        <w:t xml:space="preserve">d</w:t>
      </w:r>
      <w:r>
        <w:t xml:space="preserve"> </w:t>
      </w:r>
      <w:r>
        <w:t xml:space="preserve">belongs to one service category</w:t>
      </w:r>
      <w:r>
        <w:t xml:space="preserve"> </w:t>
      </w:r>
      <w:r>
        <w:rPr>
          <w:iCs/>
          <w:i/>
        </w:rPr>
        <w:t xml:space="preserve">k</w:t>
      </w:r>
      <w:r>
        <w:t xml:space="preserve"> </w:t>
      </w:r>
      <w:r>
        <w:t xml:space="preserve">∈</w:t>
      </w:r>
      <w:r>
        <w:t xml:space="preserve"> </w:t>
      </w:r>
      <w:r>
        <w:rPr>
          <w:iCs/>
          <w:i/>
        </w:rPr>
        <w:t xml:space="preserve">K</w:t>
      </w:r>
      <w:r>
        <w:t xml:space="preserve"> </w:t>
      </w:r>
      <w:r>
        <w:t xml:space="preserve">and has a size</w:t>
      </w:r>
      <w:r>
        <w:t xml:space="preserve"> </w:t>
      </w:r>
      <w:r>
        <w:rPr>
          <w:iCs/>
          <w:i/>
        </w:rPr>
        <w:t xml:space="preserve">w</w:t>
      </w:r>
      <w:r>
        <w:rPr>
          <w:iCs/>
          <w:i/>
          <w:vertAlign w:val="subscript"/>
        </w:rPr>
        <w:t xml:space="preserve">p</w:t>
      </w:r>
      <w:r>
        <w:t xml:space="preserve"> </w:t>
      </w:r>
      <w:r>
        <w:t xml:space="preserve">taken from its register: service windows for an office, classrooms for a school, beds for a hospital.</w:t>
      </w:r>
      <w:r>
        <w:t xml:space="preserve"> </w:t>
      </w:r>
      <w:r>
        <w:rPr>
          <w:iCs/>
          <w:i/>
        </w:rPr>
        <w:t xml:space="preserve">L</w:t>
      </w:r>
      <w:r>
        <w:rPr>
          <w:iCs/>
          <w:i/>
          <w:vertAlign w:val="subscript"/>
        </w:rPr>
        <w:t xml:space="preserve">d</w:t>
      </w:r>
      <w:r>
        <w:t xml:space="preserve">(</w:t>
      </w:r>
      <w:r>
        <w:rPr>
          <w:iCs/>
          <w:i/>
        </w:rPr>
        <w:t xml:space="preserve">k</w:t>
      </w:r>
      <w:r>
        <w:t xml:space="preserve">) denotes the destinations of category</w:t>
      </w:r>
      <w:r>
        <w:t xml:space="preserve"> </w:t>
      </w:r>
      <w:r>
        <w:rPr>
          <w:iCs/>
          <w:i/>
        </w:rPr>
        <w:t xml:space="preserve">k</w:t>
      </w:r>
      <w:r>
        <w:t xml:space="preserve">. Hospitals need more attributes than a size, because a bed count alone does not say whether the hospital can serve a given patient now. Those attributes are defined in Section 2.7.</w:t>
      </w:r>
    </w:p>
    <w:p>
      <w:pPr>
        <w:pStyle w:val="BodyText"/>
      </w:pPr>
      <w:r>
        <w:t xml:space="preserve">Table 4 lists the register used for each landmark category. Appendix A explains how each source is obtained, and Appendix C gives the inclusion rules and the fields recorded for each landmark.</w:t>
      </w:r>
    </w:p>
    <w:p>
      <w:pPr>
        <w:pStyle w:val="TableCaption"/>
      </w:pPr>
      <w:r>
        <w:rPr>
          <w:bCs/>
          <w:b/>
        </w:rPr>
        <w:t xml:space="preserve">Table 4.</w:t>
      </w:r>
      <w:r>
        <w:t xml:space="preserve"> </w:t>
      </w:r>
      <w:r>
        <w:t xml:space="preserve">Landmark categories, their role in the model, and the open registers used to identify them. Every category can be compiled from existing records without field visits.</w:t>
      </w:r>
    </w:p>
    <w:tbl>
      <w:tblPr>
        <w:tblStyle w:val="Table"/>
        <w:tblW w:type="pct" w:w="5000"/>
        <w:jc w:val="center"/>
        <w:tblCaption w:val="Table 4. Landmark categories, their role in the model, and the open registers used to identify them. Every category can be compiled from existing records without field visits."/>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2527"/>
        <w:gridCol w:w="1348"/>
        <w:gridCol w:w="4044"/>
      </w:tblGrid>
      <w:tr>
        <w:trPr>
          <w:tblHeader w:val="true"/>
          <w:tblHeader/>
          <w:cantSplit/>
        </w:trPr>
        <w:tc>
          <w:tcPr/>
          <w:p>
            <w:pPr>
              <w:pStyle w:val="Compact"/>
              <w:jc w:val="left"/>
            </w:pPr>
            <w:r>
              <w:rPr>
                <w:b/>
              </w:rPr>
              <w:t xml:space="preserve">Landmark Class</w:t>
            </w:r>
          </w:p>
        </w:tc>
        <w:tc>
          <w:tcPr/>
          <w:p>
            <w:pPr>
              <w:pStyle w:val="Compact"/>
              <w:jc w:val="left"/>
            </w:pPr>
            <w:r>
              <w:rPr>
                <w:b/>
              </w:rPr>
              <w:t xml:space="preserve">Role</w:t>
            </w:r>
          </w:p>
        </w:tc>
        <w:tc>
          <w:tcPr/>
          <w:p>
            <w:pPr>
              <w:pStyle w:val="Compact"/>
              <w:jc w:val="left"/>
            </w:pPr>
            <w:r>
              <w:rPr>
                <w:b/>
              </w:rPr>
              <w:t xml:space="preserve">Open Register</w:t>
            </w:r>
          </w:p>
        </w:tc>
      </w:tr>
      <w:tr>
        <w:trPr>
          <w:cantSplit/>
        </w:trPr>
        <w:tc>
          <w:tcPr/>
          <w:p>
            <w:pPr>
              <w:pStyle w:val="Compact"/>
              <w:jc w:val="left"/>
            </w:pPr>
            <w:r>
              <w:t xml:space="preserve">Public transport terminal</w:t>
            </w:r>
          </w:p>
        </w:tc>
        <w:tc>
          <w:tcPr/>
          <w:p>
            <w:pPr>
              <w:pStyle w:val="Compact"/>
              <w:jc w:val="left"/>
            </w:pPr>
            <w:r>
              <w:t xml:space="preserve">anchor</w:t>
            </w:r>
          </w:p>
        </w:tc>
        <w:tc>
          <w:tcPr/>
          <w:p>
            <w:pPr>
              <w:pStyle w:val="Compact"/>
              <w:jc w:val="left"/>
            </w:pPr>
            <w:r>
              <w:t xml:space="preserve">OpenStreetMap; route-plan annexes of LGUs</w:t>
            </w:r>
          </w:p>
        </w:tc>
      </w:tr>
      <w:tr>
        <w:trPr>
          <w:cantSplit/>
        </w:trPr>
        <w:tc>
          <w:tcPr/>
          <w:p>
            <w:pPr>
              <w:pStyle w:val="Compact"/>
              <w:jc w:val="left"/>
            </w:pPr>
            <w:r>
              <w:t xml:space="preserve">Municipal or city hall</w:t>
            </w:r>
          </w:p>
        </w:tc>
        <w:tc>
          <w:tcPr/>
          <w:p>
            <w:pPr>
              <w:pStyle w:val="Compact"/>
              <w:jc w:val="left"/>
            </w:pPr>
            <w:r>
              <w:t xml:space="preserve">anchor</w:t>
            </w:r>
          </w:p>
        </w:tc>
        <w:tc>
          <w:tcPr/>
          <w:p>
            <w:pPr>
              <w:pStyle w:val="Compact"/>
              <w:jc w:val="left"/>
            </w:pPr>
            <w:r>
              <w:t xml:space="preserve">OpenStreetMap; Philippine Standard Geographic Code</w:t>
            </w:r>
          </w:p>
        </w:tc>
      </w:tr>
      <w:tr>
        <w:trPr>
          <w:cantSplit/>
        </w:trPr>
        <w:tc>
          <w:tcPr/>
          <w:p>
            <w:pPr>
              <w:pStyle w:val="Compact"/>
              <w:jc w:val="left"/>
            </w:pPr>
            <w:r>
              <w:t xml:space="preserve">Town plaza, port, or pier</w:t>
            </w:r>
          </w:p>
        </w:tc>
        <w:tc>
          <w:tcPr/>
          <w:p>
            <w:pPr>
              <w:pStyle w:val="Compact"/>
              <w:jc w:val="left"/>
            </w:pPr>
            <w:r>
              <w:t xml:space="preserve">anchor</w:t>
            </w:r>
          </w:p>
        </w:tc>
        <w:tc>
          <w:tcPr/>
          <w:p>
            <w:pPr>
              <w:pStyle w:val="Compact"/>
              <w:jc w:val="left"/>
            </w:pPr>
            <w:r>
              <w:t xml:space="preserve">OpenStreetMap; port list of the Philippine Ports Authority</w:t>
            </w:r>
          </w:p>
        </w:tc>
      </w:tr>
      <w:tr>
        <w:trPr>
          <w:cantSplit/>
        </w:trPr>
        <w:tc>
          <w:tcPr/>
          <w:p>
            <w:pPr>
              <w:pStyle w:val="Compact"/>
              <w:jc w:val="left"/>
            </w:pPr>
            <w:r>
              <w:t xml:space="preserve">Major boarding junction</w:t>
            </w:r>
          </w:p>
        </w:tc>
        <w:tc>
          <w:tcPr/>
          <w:p>
            <w:pPr>
              <w:pStyle w:val="Compact"/>
              <w:jc w:val="left"/>
            </w:pPr>
            <w:r>
              <w:t xml:space="preserve">anchor</w:t>
            </w:r>
          </w:p>
        </w:tc>
        <w:tc>
          <w:tcPr/>
          <w:p>
            <w:pPr>
              <w:pStyle w:val="Compact"/>
              <w:jc w:val="left"/>
            </w:pPr>
            <w:r>
              <w:t xml:space="preserve">Highway junction nodes in OpenStreetMap</w:t>
            </w:r>
          </w:p>
        </w:tc>
      </w:tr>
      <w:tr>
        <w:trPr>
          <w:cantSplit/>
        </w:trPr>
        <w:tc>
          <w:tcPr/>
          <w:p>
            <w:pPr>
              <w:pStyle w:val="Compact"/>
              <w:jc w:val="left"/>
            </w:pPr>
            <w:r>
              <w:t xml:space="preserve">Hospital, infirmary, rural health unit</w:t>
            </w:r>
          </w:p>
        </w:tc>
        <w:tc>
          <w:tcPr/>
          <w:p>
            <w:pPr>
              <w:pStyle w:val="Compact"/>
              <w:jc w:val="left"/>
            </w:pPr>
            <w:r>
              <w:t xml:space="preserve">destination</w:t>
            </w:r>
          </w:p>
        </w:tc>
        <w:tc>
          <w:tcPr/>
          <w:p>
            <w:pPr>
              <w:pStyle w:val="Compact"/>
              <w:jc w:val="left"/>
            </w:pPr>
            <w:r>
              <w:t xml:space="preserve">National Health Facility Registry (DOH); hospital licensing records; PhilHealth accreditation list; Malasakit Center directory (DOH)</w:t>
            </w:r>
          </w:p>
        </w:tc>
      </w:tr>
      <w:tr>
        <w:trPr>
          <w:cantSplit/>
        </w:trPr>
        <w:tc>
          <w:tcPr/>
          <w:p>
            <w:pPr>
              <w:pStyle w:val="Compact"/>
              <w:jc w:val="left"/>
            </w:pPr>
            <w:r>
              <w:t xml:space="preserve">Public elementary and secondary school</w:t>
            </w:r>
          </w:p>
        </w:tc>
        <w:tc>
          <w:tcPr/>
          <w:p>
            <w:pPr>
              <w:pStyle w:val="Compact"/>
              <w:jc w:val="left"/>
            </w:pPr>
            <w:r>
              <w:t xml:space="preserve">destination</w:t>
            </w:r>
          </w:p>
        </w:tc>
        <w:tc>
          <w:tcPr/>
          <w:p>
            <w:pPr>
              <w:pStyle w:val="Compact"/>
              <w:jc w:val="left"/>
            </w:pPr>
            <w:r>
              <w:t xml:space="preserve">Masterlist of Schools, Department of Education</w:t>
            </w:r>
          </w:p>
        </w:tc>
      </w:tr>
      <w:tr>
        <w:trPr>
          <w:cantSplit/>
        </w:trPr>
        <w:tc>
          <w:tcPr/>
          <w:p>
            <w:pPr>
              <w:pStyle w:val="Compact"/>
              <w:jc w:val="left"/>
            </w:pPr>
            <w:r>
              <w:t xml:space="preserve">Government service office</w:t>
            </w:r>
          </w:p>
        </w:tc>
        <w:tc>
          <w:tcPr/>
          <w:p>
            <w:pPr>
              <w:pStyle w:val="Compact"/>
              <w:jc w:val="left"/>
            </w:pPr>
            <w:r>
              <w:t xml:space="preserve">destination</w:t>
            </w:r>
          </w:p>
        </w:tc>
        <w:tc>
          <w:tcPr/>
          <w:p>
            <w:pPr>
              <w:pStyle w:val="Compact"/>
              <w:jc w:val="left"/>
            </w:pPr>
            <w:r>
              <w:t xml:space="preserve">OpenStreetMap; agency directories</w:t>
            </w:r>
          </w:p>
        </w:tc>
      </w:tr>
      <w:tr>
        <w:trPr>
          <w:cantSplit/>
        </w:trPr>
        <w:tc>
          <w:tcPr/>
          <w:p>
            <w:pPr>
              <w:pStyle w:val="Compact"/>
              <w:jc w:val="left"/>
            </w:pPr>
            <w:r>
              <w:t xml:space="preserve">Public market</w:t>
            </w:r>
          </w:p>
        </w:tc>
        <w:tc>
          <w:tcPr/>
          <w:p>
            <w:pPr>
              <w:pStyle w:val="Compact"/>
              <w:jc w:val="left"/>
            </w:pPr>
            <w:r>
              <w:t xml:space="preserve">anchor and destination</w:t>
            </w:r>
          </w:p>
        </w:tc>
        <w:tc>
          <w:tcPr/>
          <w:p>
            <w:pPr>
              <w:pStyle w:val="Compact"/>
              <w:jc w:val="left"/>
            </w:pPr>
            <w:r>
              <w:t xml:space="preserve">OpenStreetMap; LGU lists</w:t>
            </w:r>
          </w:p>
        </w:tc>
      </w:tr>
      <w:tr>
        <w:trPr>
          <w:cantSplit/>
        </w:trPr>
        <w:tc>
          <w:tcPr/>
          <w:p>
            <w:pPr>
              <w:pStyle w:val="Compact"/>
              <w:jc w:val="left"/>
            </w:pPr>
            <w:r>
              <w:t xml:space="preserve">Designated evacuation center</w:t>
            </w:r>
          </w:p>
        </w:tc>
        <w:tc>
          <w:tcPr/>
          <w:p>
            <w:pPr>
              <w:pStyle w:val="Compact"/>
              <w:jc w:val="left"/>
            </w:pPr>
            <w:r>
              <w:t xml:space="preserve">destination</w:t>
            </w:r>
          </w:p>
        </w:tc>
        <w:tc>
          <w:tcPr/>
          <w:p>
            <w:pPr>
              <w:pStyle w:val="Compact"/>
              <w:jc w:val="left"/>
            </w:pPr>
            <w:r>
              <w:t xml:space="preserve">LGU disaster risk reduction plans</w:t>
            </w:r>
          </w:p>
        </w:tc>
      </w:tr>
    </w:tbl>
    <w:p>
      <w:pPr>
        <w:pStyle w:val="TableNote"/>
        <w:spacing w:before="200"/>
      </w:pPr>
      <w:r>
        <w:rPr>
          <w:iCs/>
          <w:i/>
        </w:rPr>
        <w:t xml:space="preserve">Sources:</w:t>
      </w:r>
      <w:r>
        <w:t xml:space="preserve"> </w:t>
      </w:r>
      <w:r>
        <w:t xml:space="preserve">OpenStreetMap contributors (2026) and PSA (n.d.) for the anchors; for destinations, the Department of Education (2021), the DOH (n.d.-a, n.d.-b, 2012), and the Philippine Health Insurance Corporation (2026); ports from the Philippine Ports Authority (n.d.). Appendix A gives access details.</w:t>
      </w:r>
    </w:p>
    <w:p>
      <w:pPr>
        <w:pStyle w:val="BodyText"/>
      </w:pPr>
      <w:r>
        <w:t xml:space="preserve">Barangays matter to the model only because their populations make up the anchor weights. No barangay receives an accessibility value of its own, no barangay centroid serves as an origin, and nothing is claimed about any individual barangay.</w:t>
      </w:r>
    </w:p>
    <w:bookmarkEnd w:id="53"/>
    <w:bookmarkStart w:id="54" w:name="network-definitions"/>
    <w:p>
      <w:pPr>
        <w:pStyle w:val="Heading2"/>
      </w:pPr>
      <w:r>
        <w:t xml:space="preserve">2.2 Network Definitions</w:t>
      </w:r>
    </w:p>
    <w:p>
      <w:pPr>
        <w:pStyle w:val="FirstParagraph"/>
      </w:pPr>
      <w:r>
        <w:rPr>
          <w:bCs/>
          <w:b/>
        </w:rPr>
        <w:t xml:space="preserve">Definition 2 (Road network).</w:t>
      </w:r>
      <w:r>
        <w:t xml:space="preserve"> </w:t>
      </w:r>
      <w:r>
        <w:rPr>
          <w:iCs/>
          <w:i/>
        </w:rPr>
        <w:t xml:space="preserve">G</w:t>
      </w:r>
      <w:r>
        <w:rPr>
          <w:iCs/>
          <w:i/>
          <w:vertAlign w:val="subscript"/>
        </w:rPr>
        <w:t xml:space="preserve">R</w:t>
      </w:r>
      <w:r>
        <w:t xml:space="preserve"> </w:t>
      </w:r>
      <w:r>
        <w:t xml:space="preserve">= (</w:t>
      </w:r>
      <w:r>
        <w:rPr>
          <w:iCs/>
          <w:i/>
        </w:rPr>
        <w:t xml:space="preserve">V</w:t>
      </w:r>
      <w:r>
        <w:rPr>
          <w:iCs/>
          <w:i/>
          <w:vertAlign w:val="subscript"/>
        </w:rPr>
        <w:t xml:space="preserve">R</w:t>
      </w:r>
      <w:r>
        <w:t xml:space="preserve">,</w:t>
      </w:r>
      <w:r>
        <w:t xml:space="preserve"> </w:t>
      </w:r>
      <w:r>
        <w:rPr>
          <w:iCs/>
          <w:i/>
        </w:rPr>
        <w:t xml:space="preserve">E</w:t>
      </w:r>
      <w:r>
        <w:rPr>
          <w:iCs/>
          <w:i/>
          <w:vertAlign w:val="subscript"/>
        </w:rPr>
        <w:t xml:space="preserve">R</w:t>
      </w:r>
      <w:r>
        <w:t xml:space="preserve">) is a weighted directed graph taken from OpenStreetMap (OpenStreetMap contributors, 2026). An arc</w:t>
      </w:r>
      <w:r>
        <w:t xml:space="preserve"> </w:t>
      </w:r>
      <w:r>
        <w:rPr>
          <w:iCs/>
          <w:i/>
        </w:rPr>
        <w:t xml:space="preserve">e</w:t>
      </w:r>
      <w:r>
        <w:t xml:space="preserve"> </w:t>
      </w:r>
      <w:r>
        <w:t xml:space="preserve">has a length ℓ</w:t>
      </w:r>
      <w:r>
        <w:rPr>
          <w:iCs/>
          <w:i/>
          <w:vertAlign w:val="subscript"/>
        </w:rPr>
        <w:t xml:space="preserve">e</w:t>
      </w:r>
      <w:r>
        <w:t xml:space="preserve"> </w:t>
      </w:r>
      <w:r>
        <w:t xml:space="preserve">&gt; 0 and a free-flow speed</w:t>
      </w:r>
      <w:r>
        <w:t xml:space="preserve"> </w:t>
      </w:r>
      <w:r>
        <w:rPr>
          <w:iCs/>
          <w:i/>
        </w:rPr>
        <w:t xml:space="preserve">v</w:t>
      </w:r>
      <w:r>
        <w:rPr>
          <w:iCs/>
          <w:i/>
          <w:vertAlign w:val="subscript"/>
        </w:rPr>
        <w:t xml:space="preserve">e</w:t>
      </w:r>
      <w:r>
        <w:t xml:space="preserve">, and its attribute vector</w:t>
      </w:r>
      <w:r>
        <w:t xml:space="preserve"> </w:t>
      </w:r>
      <w:r>
        <w:rPr>
          <w:iCs/>
          <w:i/>
        </w:rPr>
        <w:t xml:space="preserve">a</w:t>
      </w:r>
      <w:r>
        <w:rPr>
          <w:iCs/>
          <w:i/>
          <w:vertAlign w:val="subscript"/>
        </w:rPr>
        <w:t xml:space="preserve">e</w:t>
      </w:r>
      <w:r>
        <w:t xml:space="preserve"> </w:t>
      </w:r>
      <w:r>
        <w:t xml:space="preserve">= (</w:t>
      </w:r>
      <w:r>
        <w:rPr>
          <w:iCs/>
          <w:i/>
        </w:rPr>
        <w:t xml:space="preserve">a</w:t>
      </w:r>
      <w:r>
        <w:rPr>
          <w:iCs/>
          <w:i/>
          <w:vertAlign w:val="superscript"/>
        </w:rPr>
        <w:t xml:space="preserve">w</w:t>
      </w:r>
      <w:r>
        <w:rPr>
          <w:iCs/>
          <w:i/>
          <w:vertAlign w:val="subscript"/>
        </w:rPr>
        <w:t xml:space="preserve">e</w:t>
      </w:r>
      <w:r>
        <w:t xml:space="preserve">,</w:t>
      </w:r>
      <w:r>
        <w:t xml:space="preserve"> </w:t>
      </w:r>
      <w:r>
        <w:rPr>
          <w:iCs/>
          <w:i/>
        </w:rPr>
        <w:t xml:space="preserve">a</w:t>
      </w:r>
      <w:r>
        <w:rPr>
          <w:iCs/>
          <w:i/>
          <w:vertAlign w:val="superscript"/>
        </w:rPr>
        <w:t xml:space="preserve">h</w:t>
      </w:r>
      <w:r>
        <w:rPr>
          <w:iCs/>
          <w:i/>
          <w:vertAlign w:val="subscript"/>
        </w:rPr>
        <w:t xml:space="preserve">e</w:t>
      </w:r>
      <w:r>
        <w:t xml:space="preserve">,</w:t>
      </w:r>
      <w:r>
        <w:t xml:space="preserve"> </w:t>
      </w:r>
      <w:r>
        <w:rPr>
          <w:iCs/>
          <w:i/>
        </w:rPr>
        <w:t xml:space="preserve">a</w:t>
      </w:r>
      <w:r>
        <w:rPr>
          <w:iCs/>
          <w:i/>
          <w:vertAlign w:val="superscript"/>
        </w:rPr>
        <w:t xml:space="preserve">m</w:t>
      </w:r>
      <w:r>
        <w:rPr>
          <w:iCs/>
          <w:i/>
          <w:vertAlign w:val="subscript"/>
        </w:rPr>
        <w:t xml:space="preserve">e</w:t>
      </w:r>
      <w:r>
        <w:t xml:space="preserve">,</w:t>
      </w:r>
      <w:r>
        <w:t xml:space="preserve"> </w:t>
      </w:r>
      <w:r>
        <w:rPr>
          <w:iCs/>
          <w:i/>
        </w:rPr>
        <w:t xml:space="preserve">a</w:t>
      </w:r>
      <w:r>
        <w:rPr>
          <w:iCs/>
          <w:i/>
          <w:vertAlign w:val="superscript"/>
        </w:rPr>
        <w:t xml:space="preserve">x</w:t>
      </w:r>
      <w:r>
        <w:rPr>
          <w:iCs/>
          <w:i/>
          <w:vertAlign w:val="subscript"/>
        </w:rPr>
        <w:t xml:space="preserve">e</w:t>
      </w:r>
      <w:r>
        <w:t xml:space="preserve">) gives four limits for the arc: usable width, vertical clearance, maximum gross mass, and maximum axle load. An attribute that was never surveyed receives the value +∞ and a flag.</w:t>
      </w:r>
    </w:p>
    <w:p>
      <w:pPr>
        <w:pStyle w:val="BodyText"/>
      </w:pPr>
      <w:r>
        <w:rPr>
          <w:bCs/>
          <w:b/>
        </w:rPr>
        <w:t xml:space="preserve">Definition 3 (Walking network).</w:t>
      </w:r>
      <w:r>
        <w:t xml:space="preserve"> </w:t>
      </w:r>
      <w:r>
        <w:rPr>
          <w:iCs/>
          <w:i/>
        </w:rPr>
        <w:t xml:space="preserve">G</w:t>
      </w:r>
      <w:r>
        <w:rPr>
          <w:iCs/>
          <w:i/>
          <w:vertAlign w:val="subscript"/>
        </w:rPr>
        <w:t xml:space="preserve">W</w:t>
      </w:r>
      <w:r>
        <w:t xml:space="preserve"> </w:t>
      </w:r>
      <w:r>
        <w:t xml:space="preserve">= (</w:t>
      </w:r>
      <w:r>
        <w:rPr>
          <w:iCs/>
          <w:i/>
        </w:rPr>
        <w:t xml:space="preserve">V</w:t>
      </w:r>
      <w:r>
        <w:rPr>
          <w:iCs/>
          <w:i/>
          <w:vertAlign w:val="subscript"/>
        </w:rPr>
        <w:t xml:space="preserve">R</w:t>
      </w:r>
      <w:r>
        <w:t xml:space="preserve">,</w:t>
      </w:r>
      <w:r>
        <w:t xml:space="preserve"> </w:t>
      </w:r>
      <w:r>
        <w:rPr>
          <w:iCs/>
          <w:i/>
        </w:rPr>
        <w:t xml:space="preserve">E</w:t>
      </w:r>
      <w:r>
        <w:rPr>
          <w:iCs/>
          <w:i/>
          <w:vertAlign w:val="subscript"/>
        </w:rPr>
        <w:t xml:space="preserve">W</w:t>
      </w:r>
      <w:r>
        <w:t xml:space="preserve">) reuses the vertices of the road network. Walking an arc takes ℓ</w:t>
      </w:r>
      <w:r>
        <w:rPr>
          <w:iCs/>
          <w:i/>
          <w:vertAlign w:val="subscript"/>
        </w:rPr>
        <w:t xml:space="preserve">e</w:t>
      </w:r>
      <w:r>
        <w:t xml:space="preserve"> </w:t>
      </w:r>
      <w:r>
        <w:t xml:space="preserve">/</w:t>
      </w:r>
      <w:r>
        <w:t xml:space="preserve"> </w:t>
      </w:r>
      <w:r>
        <w:rPr>
          <w:iCs/>
          <w:i/>
        </w:rPr>
        <w:t xml:space="preserve">v</w:t>
      </w:r>
      <w:r>
        <w:rPr>
          <w:iCs/>
          <w:i/>
          <w:vertAlign w:val="subscript"/>
        </w:rPr>
        <w:t xml:space="preserve">walk</w:t>
      </w:r>
      <w:r>
        <w:t xml:space="preserve">, where</w:t>
      </w:r>
      <w:r>
        <w:t xml:space="preserve"> </w:t>
      </w:r>
      <w:r>
        <w:rPr>
          <w:iCs/>
          <w:i/>
        </w:rPr>
        <w:t xml:space="preserve">v</w:t>
      </w:r>
      <w:r>
        <w:rPr>
          <w:iCs/>
          <w:i/>
          <w:vertAlign w:val="subscript"/>
        </w:rPr>
        <w:t xml:space="preserve">walk</w:t>
      </w:r>
      <w:r>
        <w:t xml:space="preserve"> </w:t>
      </w:r>
      <w:r>
        <w:t xml:space="preserve">= 4.5 km/h is a design value inside the range of normal adult walking speeds in the meta-analysis of Bohannon and Williams Andrews (2011). A single walking leg is capped at</w:t>
      </w:r>
      <w:r>
        <w:t xml:space="preserve"> </w:t>
      </w:r>
      <w:r>
        <w:rPr>
          <w:iCs/>
          <w:i/>
        </w:rPr>
        <w:t xml:space="preserve">t̄</w:t>
      </w:r>
      <w:r>
        <w:rPr>
          <w:iCs/>
          <w:i/>
          <w:vertAlign w:val="subscript"/>
        </w:rPr>
        <w:t xml:space="preserve">W</w:t>
      </w:r>
      <w:r>
        <w:t xml:space="preserve"> </w:t>
      </w:r>
      <w:r>
        <w:t xml:space="preserve">= 15 min. Section 2.9 lets both values depend on the patient.</w:t>
      </w:r>
    </w:p>
    <w:p>
      <w:pPr>
        <w:pStyle w:val="BodyText"/>
      </w:pPr>
      <w:r>
        <w:rPr>
          <w:bCs/>
          <w:b/>
        </w:rPr>
        <w:t xml:space="preserve">Definition 4 (Transit network).</w:t>
      </w:r>
      <w:r>
        <w:t xml:space="preserve"> </w:t>
      </w:r>
      <w:r>
        <w:t xml:space="preserve">Boarding points form the set</w:t>
      </w:r>
      <w:r>
        <w:t xml:space="preserve"> </w:t>
      </w:r>
      <w:r>
        <w:rPr>
          <w:iCs/>
          <w:i/>
        </w:rPr>
        <w:t xml:space="preserve">S</w:t>
      </w:r>
      <w:r>
        <w:t xml:space="preserve">. One run of a vehicle visits a sequence of stops, and that sequence is a trip. A connection</w:t>
      </w:r>
      <w:r>
        <w:t xml:space="preserve"> </w:t>
      </w:r>
      <w:r>
        <w:rPr>
          <w:iCs/>
          <w:i/>
        </w:rPr>
        <w:t xml:space="preserve">c</w:t>
      </w:r>
      <w:r>
        <w:t xml:space="preserve"> </w:t>
      </w:r>
      <w:r>
        <w:t xml:space="preserve">= (</w:t>
      </w:r>
      <w:r>
        <w:rPr>
          <w:iCs/>
          <w:i/>
        </w:rPr>
        <w:t xml:space="preserve">c</w:t>
      </w:r>
      <w:r>
        <w:rPr>
          <w:iCs/>
          <w:i/>
          <w:vertAlign w:val="subscript"/>
        </w:rPr>
        <w:t xml:space="preserve">dep</w:t>
      </w:r>
      <w:r>
        <w:t xml:space="preserve">,</w:t>
      </w:r>
      <w:r>
        <w:t xml:space="preserve"> </w:t>
      </w:r>
      <w:r>
        <w:rPr>
          <w:iCs/>
          <w:i/>
        </w:rPr>
        <w:t xml:space="preserve">c</w:t>
      </w:r>
      <w:r>
        <w:rPr>
          <w:iCs/>
          <w:i/>
          <w:vertAlign w:val="subscript"/>
        </w:rPr>
        <w:t xml:space="preserve">arr</w:t>
      </w:r>
      <w:r>
        <w:t xml:space="preserve">, τ</w:t>
      </w:r>
      <w:r>
        <w:rPr>
          <w:iCs/>
          <w:i/>
          <w:vertAlign w:val="subscript"/>
        </w:rPr>
        <w:t xml:space="preserve">dep</w:t>
      </w:r>
      <w:r>
        <w:t xml:space="preserve">(</w:t>
      </w:r>
      <w:r>
        <w:rPr>
          <w:iCs/>
          <w:i/>
        </w:rPr>
        <w:t xml:space="preserve">c</w:t>
      </w:r>
      <w:r>
        <w:t xml:space="preserve">), τ</w:t>
      </w:r>
      <w:r>
        <w:rPr>
          <w:iCs/>
          <w:i/>
          <w:vertAlign w:val="subscript"/>
        </w:rPr>
        <w:t xml:space="preserve">arr</w:t>
      </w:r>
      <w:r>
        <w:t xml:space="preserve">(</w:t>
      </w:r>
      <w:r>
        <w:rPr>
          <w:iCs/>
          <w:i/>
        </w:rPr>
        <w:t xml:space="preserve">c</w:t>
      </w:r>
      <w:r>
        <w:t xml:space="preserve">),</w:t>
      </w:r>
      <w:r>
        <w:t xml:space="preserve"> </w:t>
      </w:r>
      <w:r>
        <w:rPr>
          <w:iCs/>
          <w:i/>
        </w:rPr>
        <w:t xml:space="preserve">trip</w:t>
      </w:r>
      <w:r>
        <w:t xml:space="preserve">(</w:t>
      </w:r>
      <w:r>
        <w:rPr>
          <w:iCs/>
          <w:i/>
        </w:rPr>
        <w:t xml:space="preserve">c</w:t>
      </w:r>
      <w:r>
        <w:t xml:space="preserve">)) records that some vehicle leaves stop</w:t>
      </w:r>
      <w:r>
        <w:t xml:space="preserve"> </w:t>
      </w:r>
      <w:r>
        <w:rPr>
          <w:iCs/>
          <w:i/>
        </w:rPr>
        <w:t xml:space="preserve">c</w:t>
      </w:r>
      <w:r>
        <w:rPr>
          <w:iCs/>
          <w:i/>
          <w:vertAlign w:val="subscript"/>
        </w:rPr>
        <w:t xml:space="preserve">dep</w:t>
      </w:r>
      <w:r>
        <w:t xml:space="preserve"> </w:t>
      </w:r>
      <w:r>
        <w:t xml:space="preserve">at time τ</w:t>
      </w:r>
      <w:r>
        <w:rPr>
          <w:iCs/>
          <w:i/>
          <w:vertAlign w:val="subscript"/>
        </w:rPr>
        <w:t xml:space="preserve">dep</w:t>
      </w:r>
      <w:r>
        <w:t xml:space="preserve">(</w:t>
      </w:r>
      <w:r>
        <w:rPr>
          <w:iCs/>
          <w:i/>
        </w:rPr>
        <w:t xml:space="preserve">c</w:t>
      </w:r>
      <w:r>
        <w:t xml:space="preserve">) and reaches the next stop</w:t>
      </w:r>
      <w:r>
        <w:t xml:space="preserve"> </w:t>
      </w:r>
      <w:r>
        <w:rPr>
          <w:iCs/>
          <w:i/>
        </w:rPr>
        <w:t xml:space="preserve">c</w:t>
      </w:r>
      <w:r>
        <w:rPr>
          <w:iCs/>
          <w:i/>
          <w:vertAlign w:val="subscript"/>
        </w:rPr>
        <w:t xml:space="preserve">arr</w:t>
      </w:r>
      <w:r>
        <w:t xml:space="preserve"> </w:t>
      </w:r>
      <w:r>
        <w:t xml:space="preserve">at time τ</w:t>
      </w:r>
      <w:r>
        <w:rPr>
          <w:iCs/>
          <w:i/>
          <w:vertAlign w:val="subscript"/>
        </w:rPr>
        <w:t xml:space="preserve">arr</w:t>
      </w:r>
      <w:r>
        <w:t xml:space="preserve">(</w:t>
      </w:r>
      <w:r>
        <w:rPr>
          <w:iCs/>
          <w:i/>
        </w:rPr>
        <w:t xml:space="preserve">c</w:t>
      </w:r>
      <w:r>
        <w:t xml:space="preserve">). All connections of the service day make up</w:t>
      </w:r>
      <w:r>
        <w:t xml:space="preserve"> </w:t>
      </w:r>
      <w:r>
        <w:rPr>
          <w:iCs/>
          <w:i/>
        </w:rPr>
        <w:t xml:space="preserve">C</w:t>
      </w:r>
      <w:r>
        <w:t xml:space="preserve">. Changing to a vehicle on a different trip costs at least the change time θ</w:t>
      </w:r>
      <w:r>
        <w:rPr>
          <w:iCs/>
          <w:i/>
          <w:vertAlign w:val="subscript"/>
        </w:rPr>
        <w:t xml:space="preserve">ch</w:t>
      </w:r>
      <w:r>
        <w:t xml:space="preserve">.</w:t>
      </w:r>
    </w:p>
    <w:p>
      <w:pPr>
        <w:pStyle w:val="BodyText"/>
      </w:pPr>
      <w:r>
        <w:rPr>
          <w:bCs/>
          <w:b/>
        </w:rPr>
        <w:t xml:space="preserve">Definition 5 (Time-expanded graph, following Pyrga et al., 2008).</w:t>
      </w:r>
      <w:r>
        <w:t xml:space="preserve"> </w:t>
      </w:r>
      <w:r>
        <w:t xml:space="preserve">The time-expanded graph is</w:t>
      </w:r>
      <w:r>
        <w:t xml:space="preserve"> </w:t>
      </w:r>
      <w:r>
        <w:rPr>
          <w:iCs/>
          <w:i/>
        </w:rPr>
        <w:t xml:space="preserve">G</w:t>
      </w:r>
      <w:r>
        <w:t xml:space="preserve"> </w:t>
      </w:r>
      <w:r>
        <w:t xml:space="preserve">= (</w:t>
      </w:r>
      <w:r>
        <w:rPr>
          <w:iCs/>
          <w:i/>
        </w:rPr>
        <w:t xml:space="preserve">V</w:t>
      </w:r>
      <w:r>
        <w:t xml:space="preserve">,</w:t>
      </w:r>
      <w:r>
        <w:t xml:space="preserve"> </w:t>
      </w:r>
      <w:r>
        <w:rPr>
          <w:iCs/>
          <w:i/>
        </w:rPr>
        <w:t xml:space="preserve">E</w:t>
      </w:r>
      <w:r>
        <w:t xml:space="preserve">), in which each vertex is a stop-time pair (</w:t>
      </w:r>
      <w:r>
        <w:rPr>
          <w:iCs/>
          <w:i/>
        </w:rPr>
        <w:t xml:space="preserve">s</w:t>
      </w:r>
      <w:r>
        <w:t xml:space="preserve">,</w:t>
      </w:r>
      <w:r>
        <w:t xml:space="preserve"> </w:t>
      </w:r>
      <w:r>
        <w:rPr>
          <w:iCs/>
          <w:i/>
        </w:rPr>
        <w:t xml:space="preserve">t</w:t>
      </w:r>
      <w:r>
        <w:t xml:space="preserve">) that stands for a departure event or an arrival event. Arcs are of four kinds: ride arcs from the departure event of a connection to its own arrival event; wait arcs between consecutive departure events at the same stop; transfer arcs of duration θ</w:t>
      </w:r>
      <w:r>
        <w:rPr>
          <w:iCs/>
          <w:i/>
          <w:vertAlign w:val="subscript"/>
        </w:rPr>
        <w:t xml:space="preserve">ch</w:t>
      </w:r>
      <w:r>
        <w:t xml:space="preserve"> </w:t>
      </w:r>
      <w:r>
        <w:t xml:space="preserve">from an arrival event to the earliest departure event at the same stop that it can still catch; and walk arcs from an arrival event at</w:t>
      </w:r>
      <w:r>
        <w:t xml:space="preserve"> </w:t>
      </w:r>
      <w:r>
        <w:rPr>
          <w:iCs/>
          <w:i/>
        </w:rPr>
        <w:t xml:space="preserve">s</w:t>
      </w:r>
      <w:r>
        <w:t xml:space="preserve"> </w:t>
      </w:r>
      <w:r>
        <w:t xml:space="preserve">to the earliest departure event at</w:t>
      </w:r>
      <w:r>
        <w:t xml:space="preserve"> </w:t>
      </w:r>
      <w:r>
        <w:rPr>
          <w:iCs/>
          <w:i/>
        </w:rPr>
        <w:t xml:space="preserve">s</w:t>
      </w:r>
      <w:r>
        <w:t xml:space="preserve">′ reachable on foot, with duration equal to the walking time. Every arc satisfies</w:t>
      </w:r>
      <w:r>
        <w:t xml:space="preserve"> </w:t>
      </w:r>
      <w:r>
        <w:rPr>
          <w:iCs/>
          <w:i/>
        </w:rPr>
        <w:t xml:space="preserve">t</w:t>
      </w:r>
      <w:r>
        <w:t xml:space="preserve">(head) ≥</w:t>
      </w:r>
      <w:r>
        <w:t xml:space="preserve"> </w:t>
      </w:r>
      <w:r>
        <w:rPr>
          <w:iCs/>
          <w:i/>
        </w:rPr>
        <w:t xml:space="preserve">t</w:t>
      </w:r>
      <w:r>
        <w:t xml:space="preserve">(tail).</w:t>
      </w:r>
    </w:p>
    <w:bookmarkEnd w:id="54"/>
    <w:bookmarkStart w:id="67" w:name="travel-time-and-accessibility"/>
    <w:p>
      <w:pPr>
        <w:pStyle w:val="Heading2"/>
      </w:pPr>
      <w:r>
        <w:t xml:space="preserve">2.3 Travel Time and Accessibility</w:t>
      </w:r>
    </w:p>
    <w:p>
      <w:pPr>
        <w:pStyle w:val="FirstParagraph"/>
      </w:pPr>
      <w:r>
        <w:rPr>
          <w:bCs/>
          <w:b/>
        </w:rPr>
        <w:t xml:space="preserve">Definition 6 (Earliest arrival, following Pyrga et al., 2008).</w:t>
      </w:r>
      <w:r>
        <w:t xml:space="preserve"> </w:t>
      </w:r>
      <w:r>
        <w:t xml:space="preserve">Fix an origin</w:t>
      </w:r>
      <w:r>
        <w:t xml:space="preserve"> </w:t>
      </w:r>
      <w:r>
        <w:rPr>
          <w:iCs/>
          <w:i/>
        </w:rPr>
        <w:t xml:space="preserve">o</w:t>
      </w:r>
      <w:r>
        <w:t xml:space="preserve">, a destination</w:t>
      </w:r>
      <w:r>
        <w:t xml:space="preserve"> </w:t>
      </w:r>
      <w:r>
        <w:rPr>
          <w:iCs/>
          <w:i/>
        </w:rPr>
        <w:t xml:space="preserve">d</w:t>
      </w:r>
      <w:r>
        <w:t xml:space="preserve">, and a departure time</w:t>
      </w:r>
      <w:r>
        <w:t xml:space="preserve"> </w:t>
      </w:r>
      <w:r>
        <w:rPr>
          <w:iCs/>
          <w:i/>
        </w:rPr>
        <w:t xml:space="preserve">t</w:t>
      </w:r>
      <w:r>
        <w:rPr>
          <w:vertAlign w:val="subscript"/>
        </w:rPr>
        <w:t xml:space="preserve">0</w:t>
      </w:r>
      <w:r>
        <w:t xml:space="preserve">, and let</w:t>
      </w:r>
      <w:r>
        <w:t xml:space="preserve"> </w:t>
      </w:r>
      <w:r>
        <w:rPr>
          <w:iCs/>
          <w:i/>
        </w:rPr>
        <w:t xml:space="preserve">J</w:t>
      </w:r>
      <w:r>
        <w:t xml:space="preserve">(</w:t>
      </w:r>
      <w:r>
        <w:rPr>
          <w:iCs/>
          <w:i/>
        </w:rPr>
        <w:t xml:space="preserve">o</w:t>
      </w:r>
      <w:r>
        <w:t xml:space="preserve">,</w:t>
      </w:r>
      <w:r>
        <w:t xml:space="preserve"> </w:t>
      </w:r>
      <w:r>
        <w:rPr>
          <w:iCs/>
          <w:i/>
        </w:rPr>
        <w:t xml:space="preserve">d</w:t>
      </w:r>
      <w:r>
        <w:t xml:space="preserve">,</w:t>
      </w:r>
      <w:r>
        <w:t xml:space="preserve"> </w:t>
      </w:r>
      <w:r>
        <w:rPr>
          <w:iCs/>
          <w:i/>
        </w:rPr>
        <w:t xml:space="preserve">t</w:t>
      </w:r>
      <w:r>
        <w:rPr>
          <w:vertAlign w:val="subscript"/>
        </w:rPr>
        <w:t xml:space="preserve">0</w:t>
      </w:r>
      <w:r>
        <w:t xml:space="preserve">) be the set of feasible journeys from</w:t>
      </w:r>
      <w:r>
        <w:t xml:space="preserve"> </w:t>
      </w:r>
      <w:r>
        <w:rPr>
          <w:iCs/>
          <w:i/>
        </w:rPr>
        <w:t xml:space="preserve">o</w:t>
      </w:r>
      <w:r>
        <w:t xml:space="preserve"> </w:t>
      </w:r>
      <w:r>
        <w:t xml:space="preserve">to</w:t>
      </w:r>
      <w:r>
        <w:t xml:space="preserve"> </w:t>
      </w:r>
      <w:r>
        <w:rPr>
          <w:iCs/>
          <w:i/>
        </w:rPr>
        <w:t xml:space="preserve">d</w:t>
      </w:r>
      <w:r>
        <w:t xml:space="preserve"> </w:t>
      </w:r>
      <w:r>
        <w:t xml:space="preserve">that leave no earlier than</w:t>
      </w:r>
      <w:r>
        <w:t xml:space="preserve"> </w:t>
      </w:r>
      <w:r>
        <w:rPr>
          <w:iCs/>
          <w:i/>
        </w:rPr>
        <w:t xml:space="preserve">t</w:t>
      </w:r>
      <w:r>
        <w:rPr>
          <w:vertAlign w:val="subscript"/>
        </w:rPr>
        <w:t xml:space="preserve">0</w:t>
      </w:r>
      <w:r>
        <w:t xml:space="preserve">. Then</w:t>
      </w:r>
    </w:p>
    <w:p>
      <w:pPr>
        <w:pStyle w:val="Equation"/>
      </w:pPr>
      <w:r>
        <w:tab/>
      </w:r>
      <w:r>
        <w:drawing>
          <wp:inline>
            <wp:extent cx="3534156" cy="159105"/>
            <wp:effectExtent b="0" l="0" r="0" t="0"/>
            <wp:docPr descr="" title="" id="56" name="Picture"/>
            <a:graphic>
              <a:graphicData uri="http://schemas.openxmlformats.org/drawingml/2006/picture">
                <pic:pic>
                  <pic:nvPicPr>
                    <pic:cNvPr descr="eq/eq02.png" id="57" name="Picture"/>
                    <pic:cNvPicPr>
                      <a:picLocks noChangeArrowheads="1" noChangeAspect="1"/>
                    </pic:cNvPicPr>
                  </pic:nvPicPr>
                  <pic:blipFill>
                    <a:blip r:embed="rId55"/>
                    <a:stretch>
                      <a:fillRect/>
                    </a:stretch>
                  </pic:blipFill>
                  <pic:spPr bwMode="auto">
                    <a:xfrm>
                      <a:off x="0" y="0"/>
                      <a:ext cx="3534156" cy="159105"/>
                    </a:xfrm>
                    <a:prstGeom prst="rect">
                      <a:avLst/>
                    </a:prstGeom>
                    <a:noFill/>
                    <a:ln w="9525">
                      <a:noFill/>
                      <a:headEnd/>
                      <a:tailEnd/>
                    </a:ln>
                  </pic:spPr>
                </pic:pic>
              </a:graphicData>
            </a:graphic>
          </wp:inline>
        </w:drawing>
      </w:r>
      <w:r/>
      <w:r/>
      <w:r>
        <w:rPr>
          <w:rFonts w:ascii="Times New Roman" w:hAnsi="Times New Roman"/>
          <w:sz w:val="24"/>
        </w:rPr>
        <w:tab/>
        <w:t>(2)</w:t>
      </w:r>
    </w:p>
    <w:p>
      <w:pPr>
        <w:pStyle w:val="Source"/>
      </w:pPr>
      <w:r>
        <w:t xml:space="preserve">Source: Pyrga et al. (2008)</w:t>
      </w:r>
    </w:p>
    <w:p>
      <w:pPr>
        <w:pStyle w:val="BodyText"/>
      </w:pPr>
      <w:r>
        <w:t xml:space="preserve">with τ</w:t>
      </w:r>
      <w:r>
        <w:rPr>
          <w:vertAlign w:val="superscript"/>
        </w:rPr>
        <w:t xml:space="preserve">∗</w:t>
      </w:r>
      <w:r>
        <w:t xml:space="preserve"> </w:t>
      </w:r>
      <w:r>
        <w:t xml:space="preserve">= +∞ when</w:t>
      </w:r>
      <w:r>
        <w:t xml:space="preserve"> </w:t>
      </w:r>
      <w:r>
        <w:rPr>
          <w:iCs/>
          <w:i/>
        </w:rPr>
        <w:t xml:space="preserve">J</w:t>
      </w:r>
      <w:r>
        <w:t xml:space="preserve">(</w:t>
      </w:r>
      <w:r>
        <w:rPr>
          <w:iCs/>
          <w:i/>
        </w:rPr>
        <w:t xml:space="preserve">o</w:t>
      </w:r>
      <w:r>
        <w:t xml:space="preserve">,</w:t>
      </w:r>
      <w:r>
        <w:t xml:space="preserve"> </w:t>
      </w:r>
      <w:r>
        <w:rPr>
          <w:iCs/>
          <w:i/>
        </w:rPr>
        <w:t xml:space="preserve">d</w:t>
      </w:r>
      <w:r>
        <w:t xml:space="preserve">,</w:t>
      </w:r>
      <w:r>
        <w:t xml:space="preserve"> </w:t>
      </w:r>
      <w:r>
        <w:rPr>
          <w:iCs/>
          <w:i/>
        </w:rPr>
        <w:t xml:space="preserve">t</w:t>
      </w:r>
      <w:r>
        <w:rPr>
          <w:vertAlign w:val="subscript"/>
        </w:rPr>
        <w:t xml:space="preserve">0</w:t>
      </w:r>
      <w:r>
        <w:t xml:space="preserve">) is empty. The door-to-door travel time is</w:t>
      </w:r>
      <w:r>
        <w:t xml:space="preserve"> </w:t>
      </w:r>
      <w:r>
        <w:rPr>
          <w:iCs/>
          <w:i/>
        </w:rPr>
        <w:t xml:space="preserve">T</w:t>
      </w:r>
      <w:r>
        <w:t xml:space="preserve">(</w:t>
      </w:r>
      <w:r>
        <w:rPr>
          <w:iCs/>
          <w:i/>
        </w:rPr>
        <w:t xml:space="preserve">o</w:t>
      </w:r>
      <w:r>
        <w:t xml:space="preserve">,</w:t>
      </w:r>
      <w:r>
        <w:t xml:space="preserve"> </w:t>
      </w:r>
      <w:r>
        <w:rPr>
          <w:iCs/>
          <w:i/>
        </w:rPr>
        <w:t xml:space="preserve">d</w:t>
      </w:r>
      <w:r>
        <w:t xml:space="preserve">,</w:t>
      </w:r>
      <w:r>
        <w:t xml:space="preserve"> </w:t>
      </w:r>
      <w:r>
        <w:rPr>
          <w:iCs/>
          <w:i/>
        </w:rPr>
        <w:t xml:space="preserve">t</w:t>
      </w:r>
      <w:r>
        <w:rPr>
          <w:vertAlign w:val="subscript"/>
        </w:rPr>
        <w:t xml:space="preserve">0</w:t>
      </w:r>
      <w:r>
        <w:t xml:space="preserve">) = τ</w:t>
      </w:r>
      <w:r>
        <w:rPr>
          <w:vertAlign w:val="superscript"/>
        </w:rPr>
        <w:t xml:space="preserve">∗</w:t>
      </w:r>
      <w:r>
        <w:t xml:space="preserve">(</w:t>
      </w:r>
      <w:r>
        <w:rPr>
          <w:iCs/>
          <w:i/>
        </w:rPr>
        <w:t xml:space="preserve">o</w:t>
      </w:r>
      <w:r>
        <w:t xml:space="preserve">,</w:t>
      </w:r>
      <w:r>
        <w:t xml:space="preserve"> </w:t>
      </w:r>
      <w:r>
        <w:rPr>
          <w:iCs/>
          <w:i/>
        </w:rPr>
        <w:t xml:space="preserve">d</w:t>
      </w:r>
      <w:r>
        <w:t xml:space="preserve">,</w:t>
      </w:r>
      <w:r>
        <w:t xml:space="preserve"> </w:t>
      </w:r>
      <w:r>
        <w:rPr>
          <w:iCs/>
          <w:i/>
        </w:rPr>
        <w:t xml:space="preserve">t</w:t>
      </w:r>
      <w:r>
        <w:rPr>
          <w:vertAlign w:val="subscript"/>
        </w:rPr>
        <w:t xml:space="preserve">0</w:t>
      </w:r>
      <w:r>
        <w:t xml:space="preserve">) −</w:t>
      </w:r>
      <w:r>
        <w:t xml:space="preserve"> </w:t>
      </w:r>
      <w:r>
        <w:rPr>
          <w:iCs/>
          <w:i/>
        </w:rPr>
        <w:t xml:space="preserve">t</w:t>
      </w:r>
      <w:r>
        <w:rPr>
          <w:vertAlign w:val="subscript"/>
        </w:rPr>
        <w:t xml:space="preserve">0</w:t>
      </w:r>
      <w:r>
        <w:t xml:space="preserve">.</w:t>
      </w:r>
    </w:p>
    <w:p>
      <w:pPr>
        <w:pStyle w:val="BodyText"/>
      </w:pPr>
      <w:r>
        <w:t xml:space="preserve">Informal operators publish no departure times, so</w:t>
      </w:r>
      <w:r>
        <w:t xml:space="preserve"> </w:t>
      </w:r>
      <w:r>
        <w:rPr>
          <w:iCs/>
          <w:i/>
        </w:rPr>
        <w:t xml:space="preserve">T</w:t>
      </w:r>
      <w:r>
        <w:t xml:space="preserve"> </w:t>
      </w:r>
      <w:r>
        <w:t xml:space="preserve">shifts with whichever departure instant happens to be sampled. For that reason, atlas-level results are averages over a grid of departure times. Owen and Levinson (2015) did the same when they averaged transit accessibility over each minute of a departure window, and Stępniak et al. (2019) found that accessibility estimates move with the temporal resolution chosen. Averaging handles what amounts to a clock-time version of Openshaw’s (1984) modifiable areal unit problem:</w:t>
      </w:r>
    </w:p>
    <w:p>
      <w:pPr>
        <w:pStyle w:val="Equation"/>
      </w:pPr>
      <w:r>
        <w:tab/>
      </w:r>
      <w:r>
        <w:drawing>
          <wp:inline>
            <wp:extent cx="4571085" cy="427939"/>
            <wp:effectExtent b="0" l="0" r="0" t="0"/>
            <wp:docPr descr="" title="" id="59" name="Picture"/>
            <a:graphic>
              <a:graphicData uri="http://schemas.openxmlformats.org/drawingml/2006/picture">
                <pic:pic>
                  <pic:nvPicPr>
                    <pic:cNvPr descr="eq/eq03.png" id="60" name="Picture"/>
                    <pic:cNvPicPr>
                      <a:picLocks noChangeArrowheads="1" noChangeAspect="1"/>
                    </pic:cNvPicPr>
                  </pic:nvPicPr>
                  <pic:blipFill>
                    <a:blip r:embed="rId58"/>
                    <a:stretch>
                      <a:fillRect/>
                    </a:stretch>
                  </pic:blipFill>
                  <pic:spPr bwMode="auto">
                    <a:xfrm>
                      <a:off x="0" y="0"/>
                      <a:ext cx="4571085" cy="427939"/>
                    </a:xfrm>
                    <a:prstGeom prst="rect">
                      <a:avLst/>
                    </a:prstGeom>
                    <a:noFill/>
                    <a:ln w="9525">
                      <a:noFill/>
                      <a:headEnd/>
                      <a:tailEnd/>
                    </a:ln>
                  </pic:spPr>
                </pic:pic>
              </a:graphicData>
            </a:graphic>
          </wp:inline>
        </w:drawing>
      </w:r>
      <w:r/>
      <w:r/>
      <w:r>
        <w:rPr>
          <w:rFonts w:ascii="Times New Roman" w:hAnsi="Times New Roman"/>
          <w:sz w:val="24"/>
        </w:rPr>
        <w:tab/>
        <w:t>(3)</w:t>
      </w:r>
    </w:p>
    <w:p>
      <w:pPr>
        <w:pStyle w:val="Source"/>
      </w:pPr>
      <w:r>
        <w:t xml:space="preserve">Source: averaging as in Owen and Levinson (2015); see also Stępniak et al. (2019)</w:t>
      </w:r>
    </w:p>
    <w:p>
      <w:pPr>
        <w:pStyle w:val="BodyText"/>
      </w:pPr>
      <w:r>
        <w:rPr>
          <w:bCs/>
          <w:b/>
        </w:rPr>
        <w:t xml:space="preserve">Definition 7 (Cumulative landmark accessibility, adapted from Wachs &amp; Kumagai, 1973).</w:t>
      </w:r>
      <w:r>
        <w:t xml:space="preserve"> </w:t>
      </w:r>
      <w:r>
        <w:t xml:space="preserve">For an anchor</w:t>
      </w:r>
      <w:r>
        <w:t xml:space="preserve"> </w:t>
      </w:r>
      <w:r>
        <w:rPr>
          <w:iCs/>
          <w:i/>
        </w:rPr>
        <w:t xml:space="preserve">a</w:t>
      </w:r>
      <w:r>
        <w:t xml:space="preserve">, a destination category</w:t>
      </w:r>
      <w:r>
        <w:t xml:space="preserve"> </w:t>
      </w:r>
      <w:r>
        <w:rPr>
          <w:iCs/>
          <w:i/>
        </w:rPr>
        <w:t xml:space="preserve">k</w:t>
      </w:r>
      <w:r>
        <w:t xml:space="preserve"> </w:t>
      </w:r>
      <w:r>
        <w:t xml:space="preserve">from Table 4, and a travel-time budget θ,</w:t>
      </w:r>
    </w:p>
    <w:p>
      <w:pPr>
        <w:pStyle w:val="Equation"/>
      </w:pPr>
      <w:r>
        <w:tab/>
      </w:r>
      <w:r>
        <w:drawing>
          <wp:inline>
            <wp:extent cx="2483510" cy="410565"/>
            <wp:effectExtent b="0" l="0" r="0" t="0"/>
            <wp:docPr descr="" title="" id="62" name="Picture"/>
            <a:graphic>
              <a:graphicData uri="http://schemas.openxmlformats.org/drawingml/2006/picture">
                <pic:pic>
                  <pic:nvPicPr>
                    <pic:cNvPr descr="eq/eq04.png" id="63" name="Picture"/>
                    <pic:cNvPicPr>
                      <a:picLocks noChangeArrowheads="1" noChangeAspect="1"/>
                    </pic:cNvPicPr>
                  </pic:nvPicPr>
                  <pic:blipFill>
                    <a:blip r:embed="rId61"/>
                    <a:stretch>
                      <a:fillRect/>
                    </a:stretch>
                  </pic:blipFill>
                  <pic:spPr bwMode="auto">
                    <a:xfrm>
                      <a:off x="0" y="0"/>
                      <a:ext cx="2483510" cy="410565"/>
                    </a:xfrm>
                    <a:prstGeom prst="rect">
                      <a:avLst/>
                    </a:prstGeom>
                    <a:noFill/>
                    <a:ln w="9525">
                      <a:noFill/>
                      <a:headEnd/>
                      <a:tailEnd/>
                    </a:ln>
                  </pic:spPr>
                </pic:pic>
              </a:graphicData>
            </a:graphic>
          </wp:inline>
        </w:drawing>
      </w:r>
      <w:r/>
      <w:r/>
      <w:r>
        <w:rPr>
          <w:rFonts w:ascii="Times New Roman" w:hAnsi="Times New Roman"/>
          <w:sz w:val="24"/>
        </w:rPr>
        <w:tab/>
        <w:t>(4)</w:t>
      </w:r>
    </w:p>
    <w:p>
      <w:pPr>
        <w:pStyle w:val="Source"/>
      </w:pPr>
      <w:r>
        <w:t xml:space="preserve">Source: adapted from Wachs and Kumagai (1973); the anchor replaces the residential zone</w:t>
      </w:r>
    </w:p>
    <w:p>
      <w:pPr>
        <w:pStyle w:val="BodyText"/>
      </w:pPr>
      <w:r>
        <w:t xml:space="preserve">Equation (4) keeps the form of Wachs and Kumagai’s (1973) cumulative opportunity measure. Only the origin differs, since an anchor of Definition 1 takes the place of the residential zone. The main baseline is θ = 30 min, and Section 3.6 varies it. Read this way, the measure complements SDG indicator 11.2.1 (UNGA, 2017): the indicator counts who has convenient access to public transport, while</w:t>
      </w:r>
      <w:r>
        <w:t xml:space="preserve"> </w:t>
      </w:r>
      <w:r>
        <w:rPr>
          <w:iCs/>
          <w:i/>
        </w:rPr>
        <w:t xml:space="preserve">A</w:t>
      </w:r>
      <w:r>
        <w:rPr>
          <w:iCs/>
          <w:i/>
          <w:vertAlign w:val="superscript"/>
        </w:rPr>
        <w:t xml:space="preserve">k</w:t>
      </w:r>
      <w:r>
        <w:rPr>
          <w:iCs/>
          <w:i/>
          <w:vertAlign w:val="subscript"/>
        </w:rPr>
        <w:t xml:space="preserve">a</w:t>
      </w:r>
      <w:r>
        <w:t xml:space="preserve">(θ) counts what that access actually reaches.</w:t>
      </w:r>
    </w:p>
    <w:p>
      <w:pPr>
        <w:pStyle w:val="BodyText"/>
      </w:pPr>
      <w:r>
        <w:rPr>
          <w:bCs/>
          <w:b/>
        </w:rPr>
        <w:t xml:space="preserve">Definition 8 (Impedance-weighted accessibility, based on W. G. Hansen, 1959).</w:t>
      </w:r>
      <w:r>
        <w:t xml:space="preserve"> </w:t>
      </w:r>
      <w:r>
        <w:t xml:space="preserve">As a check, a second form discounts each destination by a negative exponential of its travel time:</w:t>
      </w:r>
    </w:p>
    <w:p>
      <w:pPr>
        <w:pStyle w:val="Equation"/>
      </w:pPr>
      <w:r>
        <w:tab/>
      </w:r>
      <w:r>
        <w:drawing>
          <wp:inline>
            <wp:extent cx="3128162" cy="410565"/>
            <wp:effectExtent b="0" l="0" r="0" t="0"/>
            <wp:docPr descr="" title="" id="65" name="Picture"/>
            <a:graphic>
              <a:graphicData uri="http://schemas.openxmlformats.org/drawingml/2006/picture">
                <pic:pic>
                  <pic:nvPicPr>
                    <pic:cNvPr descr="eq/eq05.png" id="66" name="Picture"/>
                    <pic:cNvPicPr>
                      <a:picLocks noChangeArrowheads="1" noChangeAspect="1"/>
                    </pic:cNvPicPr>
                  </pic:nvPicPr>
                  <pic:blipFill>
                    <a:blip r:embed="rId64"/>
                    <a:stretch>
                      <a:fillRect/>
                    </a:stretch>
                  </pic:blipFill>
                  <pic:spPr bwMode="auto">
                    <a:xfrm>
                      <a:off x="0" y="0"/>
                      <a:ext cx="3128162" cy="410565"/>
                    </a:xfrm>
                    <a:prstGeom prst="rect">
                      <a:avLst/>
                    </a:prstGeom>
                    <a:noFill/>
                    <a:ln w="9525">
                      <a:noFill/>
                      <a:headEnd/>
                      <a:tailEnd/>
                    </a:ln>
                  </pic:spPr>
                </pic:pic>
              </a:graphicData>
            </a:graphic>
          </wp:inline>
        </w:drawing>
      </w:r>
      <w:r/>
      <w:r/>
      <w:r>
        <w:rPr>
          <w:rFonts w:ascii="Times New Roman" w:hAnsi="Times New Roman"/>
          <w:sz w:val="24"/>
        </w:rPr>
        <w:tab/>
        <w:t>(5)</w:t>
      </w:r>
    </w:p>
    <w:p>
      <w:pPr>
        <w:pStyle w:val="Source"/>
      </w:pPr>
      <w:r>
        <w:t xml:space="preserve">Source: W. G. Hansen (1959); exponential form as reviewed by Handy and Niemeier (1997)</w:t>
      </w:r>
    </w:p>
    <w:p>
      <w:pPr>
        <w:pStyle w:val="BodyText"/>
      </w:pPr>
      <w:r>
        <w:t xml:space="preserve">Equation (5) has no threshold, so it accompanies the cumulative measure wherever the sharp step at θ affects a result (Section 3.5).</w:t>
      </w:r>
    </w:p>
    <w:bookmarkEnd w:id="67"/>
    <w:bookmarkStart w:id="74" w:name="measures-of-access-inequality"/>
    <w:p>
      <w:pPr>
        <w:pStyle w:val="Heading2"/>
      </w:pPr>
      <w:r>
        <w:t xml:space="preserve">2.4 Measures of Access Inequality</w:t>
      </w:r>
    </w:p>
    <w:p>
      <w:pPr>
        <w:pStyle w:val="FirstParagraph"/>
      </w:pPr>
      <w:r>
        <w:t xml:space="preserve">Consider one destination category. Let</w:t>
      </w:r>
      <w:r>
        <w:t xml:space="preserve"> </w:t>
      </w:r>
      <w:r>
        <w:rPr>
          <w:iCs/>
          <w:i/>
        </w:rPr>
        <w:t xml:space="preserve">A</w:t>
      </w:r>
      <w:r>
        <w:t xml:space="preserve"> </w:t>
      </w:r>
      <w:r>
        <w:t xml:space="preserve">= (</w:t>
      </w:r>
      <w:r>
        <w:rPr>
          <w:iCs/>
          <w:i/>
        </w:rPr>
        <w:t xml:space="preserve">A</w:t>
      </w:r>
      <w:r>
        <w:rPr>
          <w:vertAlign w:val="subscript"/>
        </w:rPr>
        <w:t xml:space="preserve">1</w:t>
      </w:r>
      <w:r>
        <w:t xml:space="preserve">, …,</w:t>
      </w:r>
      <w:r>
        <w:t xml:space="preserve"> </w:t>
      </w:r>
      <w:r>
        <w:rPr>
          <w:iCs/>
          <w:i/>
        </w:rPr>
        <w:t xml:space="preserve">A</w:t>
      </w:r>
      <w:r>
        <w:rPr>
          <w:iCs/>
          <w:i/>
          <w:vertAlign w:val="subscript"/>
        </w:rPr>
        <w:t xml:space="preserve">Na</w:t>
      </w:r>
      <w:r>
        <w:t xml:space="preserve">) be the vector of anchor scores, with anchor weights</w:t>
      </w:r>
      <w:r>
        <w:t xml:space="preserve"> </w:t>
      </w:r>
      <w:r>
        <w:rPr>
          <w:iCs/>
          <w:i/>
        </w:rPr>
        <w:t xml:space="preserve">P</w:t>
      </w:r>
      <w:r>
        <w:t xml:space="preserve">. Put</w:t>
      </w:r>
      <w:r>
        <w:t xml:space="preserve"> </w:t>
      </w:r>
      <w:r>
        <w:rPr>
          <w:iCs/>
          <w:i/>
        </w:rPr>
        <w:t xml:space="preserve">W</w:t>
      </w:r>
      <w:r>
        <w:t xml:space="preserve"> </w:t>
      </w:r>
      <w:r>
        <w:t xml:space="preserve">= Σ</w:t>
      </w:r>
      <w:r>
        <w:rPr>
          <w:iCs/>
          <w:i/>
          <w:vertAlign w:val="subscript"/>
        </w:rPr>
        <w:t xml:space="preserve">a</w:t>
      </w:r>
      <w:r>
        <w:t xml:space="preserve"> </w:t>
      </w:r>
      <w:r>
        <w:rPr>
          <w:iCs/>
          <w:i/>
        </w:rPr>
        <w:t xml:space="preserve">P</w:t>
      </w:r>
      <w:r>
        <w:rPr>
          <w:iCs/>
          <w:i/>
          <w:vertAlign w:val="subscript"/>
        </w:rPr>
        <w:t xml:space="preserve">a</w:t>
      </w:r>
      <w:r>
        <w:t xml:space="preserve"> </w:t>
      </w:r>
      <w:r>
        <w:t xml:space="preserve">for the total weight and μ = Σ</w:t>
      </w:r>
      <w:r>
        <w:rPr>
          <w:iCs/>
          <w:i/>
          <w:vertAlign w:val="subscript"/>
        </w:rPr>
        <w:t xml:space="preserve">a</w:t>
      </w:r>
      <w:r>
        <w:t xml:space="preserve"> </w:t>
      </w:r>
      <w:r>
        <w:rPr>
          <w:iCs/>
          <w:i/>
        </w:rPr>
        <w:t xml:space="preserve">P</w:t>
      </w:r>
      <w:r>
        <w:rPr>
          <w:iCs/>
          <w:i/>
          <w:vertAlign w:val="subscript"/>
        </w:rPr>
        <w:t xml:space="preserve">a</w:t>
      </w:r>
      <w:r>
        <w:t xml:space="preserve"> </w:t>
      </w:r>
      <w:r>
        <w:rPr>
          <w:iCs/>
          <w:i/>
        </w:rPr>
        <w:t xml:space="preserve">A</w:t>
      </w:r>
      <w:r>
        <w:rPr>
          <w:iCs/>
          <w:i/>
          <w:vertAlign w:val="subscript"/>
        </w:rPr>
        <w:t xml:space="preserve">a</w:t>
      </w:r>
      <w:r>
        <w:t xml:space="preserve"> </w:t>
      </w:r>
      <w:r>
        <w:t xml:space="preserve">/</w:t>
      </w:r>
      <w:r>
        <w:t xml:space="preserve"> </w:t>
      </w:r>
      <w:r>
        <w:rPr>
          <w:iCs/>
          <w:i/>
        </w:rPr>
        <w:t xml:space="preserve">W</w:t>
      </w:r>
      <w:r>
        <w:t xml:space="preserve"> </w:t>
      </w:r>
      <w:r>
        <w:t xml:space="preserve">for the weighted mean.</w:t>
      </w:r>
    </w:p>
    <w:p>
      <w:pPr>
        <w:pStyle w:val="BodyText"/>
      </w:pPr>
      <w:r>
        <w:rPr>
          <w:bCs/>
          <w:b/>
        </w:rPr>
        <w:t xml:space="preserve">Definition 9 (Population-weighted Gini coefficient, from Gini, 1912).</w:t>
      </w:r>
      <w:r>
        <w:t xml:space="preserve"> </w:t>
      </w:r>
      <w:r>
        <w:t xml:space="preserve">Cowell (2011) gives the weighted form below, the same form that Pereira et al. (2017) and Lucas et al. (2016) use:</w:t>
      </w:r>
    </w:p>
    <w:p>
      <w:pPr>
        <w:pStyle w:val="Equation"/>
      </w:pPr>
      <w:r>
        <w:tab/>
      </w:r>
      <w:r>
        <w:drawing>
          <wp:inline>
            <wp:extent cx="2295143" cy="410565"/>
            <wp:effectExtent b="0" l="0" r="0" t="0"/>
            <wp:docPr descr="" title="" id="69" name="Picture"/>
            <a:graphic>
              <a:graphicData uri="http://schemas.openxmlformats.org/drawingml/2006/picture">
                <pic:pic>
                  <pic:nvPicPr>
                    <pic:cNvPr descr="eq/eq06.png" id="70" name="Picture"/>
                    <pic:cNvPicPr>
                      <a:picLocks noChangeArrowheads="1" noChangeAspect="1"/>
                    </pic:cNvPicPr>
                  </pic:nvPicPr>
                  <pic:blipFill>
                    <a:blip r:embed="rId68"/>
                    <a:stretch>
                      <a:fillRect/>
                    </a:stretch>
                  </pic:blipFill>
                  <pic:spPr bwMode="auto">
                    <a:xfrm>
                      <a:off x="0" y="0"/>
                      <a:ext cx="2295143" cy="410565"/>
                    </a:xfrm>
                    <a:prstGeom prst="rect">
                      <a:avLst/>
                    </a:prstGeom>
                    <a:noFill/>
                    <a:ln w="9525">
                      <a:noFill/>
                      <a:headEnd/>
                      <a:tailEnd/>
                    </a:ln>
                  </pic:spPr>
                </pic:pic>
              </a:graphicData>
            </a:graphic>
          </wp:inline>
        </w:drawing>
      </w:r>
      <w:r/>
      <w:r/>
      <w:r>
        <w:rPr>
          <w:rFonts w:ascii="Times New Roman" w:hAnsi="Times New Roman"/>
          <w:sz w:val="24"/>
        </w:rPr>
        <w:tab/>
        <w:t>(6)</w:t>
      </w:r>
    </w:p>
    <w:p>
      <w:pPr>
        <w:pStyle w:val="Source"/>
      </w:pPr>
      <w:r>
        <w:t xml:space="preserve">Source: Gini (1912), in the weighted form of Cowell (2011)</w:t>
      </w:r>
    </w:p>
    <w:p>
      <w:pPr>
        <w:pStyle w:val="BodyText"/>
      </w:pPr>
      <w:r>
        <w:rPr>
          <w:bCs/>
          <w:b/>
        </w:rPr>
        <w:t xml:space="preserve">Definition 10 (Theil index, from Theil, 1967).</w:t>
      </w:r>
      <w:r>
        <w:t xml:space="preserve"> </w:t>
      </w:r>
      <w:r>
        <w:t xml:space="preserve">With</w:t>
      </w:r>
      <w:r>
        <w:t xml:space="preserve"> </w:t>
      </w:r>
      <w:r>
        <w:rPr>
          <w:iCs/>
          <w:i/>
        </w:rPr>
        <w:t xml:space="preserve">p</w:t>
      </w:r>
      <w:r>
        <w:rPr>
          <w:iCs/>
          <w:i/>
          <w:vertAlign w:val="subscript"/>
        </w:rPr>
        <w:t xml:space="preserve">a</w:t>
      </w:r>
      <w:r>
        <w:t xml:space="preserve"> </w:t>
      </w:r>
      <w:r>
        <w:t xml:space="preserve">=</w:t>
      </w:r>
      <w:r>
        <w:t xml:space="preserve"> </w:t>
      </w:r>
      <w:r>
        <w:rPr>
          <w:iCs/>
          <w:i/>
        </w:rPr>
        <w:t xml:space="preserve">P</w:t>
      </w:r>
      <w:r>
        <w:rPr>
          <w:iCs/>
          <w:i/>
          <w:vertAlign w:val="subscript"/>
        </w:rPr>
        <w:t xml:space="preserve">a</w:t>
      </w:r>
      <w:r>
        <w:t xml:space="preserve"> </w:t>
      </w:r>
      <w:r>
        <w:t xml:space="preserve">/</w:t>
      </w:r>
      <w:r>
        <w:t xml:space="preserve"> </w:t>
      </w:r>
      <w:r>
        <w:rPr>
          <w:iCs/>
          <w:i/>
        </w:rPr>
        <w:t xml:space="preserve">W</w:t>
      </w:r>
      <w:r>
        <w:t xml:space="preserve">,</w:t>
      </w:r>
    </w:p>
    <w:p>
      <w:pPr>
        <w:pStyle w:val="Equation"/>
      </w:pPr>
      <w:r>
        <w:tab/>
      </w:r>
      <w:r>
        <w:drawing>
          <wp:inline>
            <wp:extent cx="3597249" cy="406908"/>
            <wp:effectExtent b="0" l="0" r="0" t="0"/>
            <wp:docPr descr="" title="" id="72" name="Picture"/>
            <a:graphic>
              <a:graphicData uri="http://schemas.openxmlformats.org/drawingml/2006/picture">
                <pic:pic>
                  <pic:nvPicPr>
                    <pic:cNvPr descr="eq/eq07.png" id="73" name="Picture"/>
                    <pic:cNvPicPr>
                      <a:picLocks noChangeArrowheads="1" noChangeAspect="1"/>
                    </pic:cNvPicPr>
                  </pic:nvPicPr>
                  <pic:blipFill>
                    <a:blip r:embed="rId71"/>
                    <a:stretch>
                      <a:fillRect/>
                    </a:stretch>
                  </pic:blipFill>
                  <pic:spPr bwMode="auto">
                    <a:xfrm>
                      <a:off x="0" y="0"/>
                      <a:ext cx="3597249" cy="406908"/>
                    </a:xfrm>
                    <a:prstGeom prst="rect">
                      <a:avLst/>
                    </a:prstGeom>
                    <a:noFill/>
                    <a:ln w="9525">
                      <a:noFill/>
                      <a:headEnd/>
                      <a:tailEnd/>
                    </a:ln>
                  </pic:spPr>
                </pic:pic>
              </a:graphicData>
            </a:graphic>
          </wp:inline>
        </w:drawing>
      </w:r>
      <w:r/>
      <w:r/>
      <w:r>
        <w:rPr>
          <w:rFonts w:ascii="Times New Roman" w:hAnsi="Times New Roman"/>
          <w:sz w:val="24"/>
        </w:rPr>
        <w:tab/>
        <w:t>(7)</w:t>
      </w:r>
    </w:p>
    <w:p>
      <w:pPr>
        <w:pStyle w:val="Source"/>
      </w:pPr>
      <w:r>
        <w:t xml:space="preserve">Source: Theil (1967)</w:t>
      </w:r>
    </w:p>
    <w:p>
      <w:pPr>
        <w:pStyle w:val="BodyText"/>
      </w:pPr>
      <w:r>
        <w:t xml:space="preserve">For the Lorenz (1905) curve of access, anchors are sorted by</w:t>
      </w:r>
      <w:r>
        <w:t xml:space="preserve"> </w:t>
      </w:r>
      <w:r>
        <w:rPr>
          <w:iCs/>
          <w:i/>
        </w:rPr>
        <w:t xml:space="preserve">A</w:t>
      </w:r>
      <w:r>
        <w:rPr>
          <w:iCs/>
          <w:i/>
          <w:vertAlign w:val="subscript"/>
        </w:rPr>
        <w:t xml:space="preserve">a</w:t>
      </w:r>
      <w:r>
        <w:t xml:space="preserve">, and the running share of weight is plotted against the running share of reachable destinations. The Palma ratio (Cobham &amp; Sumner, 2013; Palma, 2011) divides the access of the best-served tenth of the weighted population by that of the worst-served four-tenths; people without statistical training generally find it easier to read than a Gini value (Cobham &amp; Sumner, 2013). Through these four measures the study reads SDG 10 in terms of access. Targets 10.2 and 10.3 concern inclusion regardless of age, disability, or economic status and less unequal outcomes (UNGA, 2015). An anchor-level Gini, Theil, or Palma value shows how far access to essential places is from that ideal. The same measures are later applied to free beds, to beds per person, and to the gaps of Section 2.11.</w:t>
      </w:r>
    </w:p>
    <w:bookmarkEnd w:id="74"/>
    <w:bookmarkStart w:id="78" w:name="vehicle-classes-and-the-ambulance"/>
    <w:p>
      <w:pPr>
        <w:pStyle w:val="Heading2"/>
      </w:pPr>
      <w:r>
        <w:t xml:space="preserve">2.5 Vehicle Classes and the Ambulance</w:t>
      </w:r>
    </w:p>
    <w:p>
      <w:pPr>
        <w:pStyle w:val="FirstParagraph"/>
      </w:pPr>
      <w:r>
        <w:rPr>
          <w:bCs/>
          <w:b/>
        </w:rPr>
        <w:t xml:space="preserve">Definition 11 (Vehicle class and feasible subgraph).</w:t>
      </w:r>
      <w:r>
        <w:t xml:space="preserve"> </w:t>
      </w:r>
      <w:r>
        <w:t xml:space="preserve">A vehicle class is a vector γ = (γ</w:t>
      </w:r>
      <w:r>
        <w:rPr>
          <w:iCs/>
          <w:i/>
          <w:vertAlign w:val="superscript"/>
        </w:rPr>
        <w:t xml:space="preserve">w</w:t>
      </w:r>
      <w:r>
        <w:t xml:space="preserve">, γ</w:t>
      </w:r>
      <w:r>
        <w:rPr>
          <w:iCs/>
          <w:i/>
          <w:vertAlign w:val="superscript"/>
        </w:rPr>
        <w:t xml:space="preserve">h</w:t>
      </w:r>
      <w:r>
        <w:t xml:space="preserve">, γ</w:t>
      </w:r>
      <w:r>
        <w:rPr>
          <w:iCs/>
          <w:i/>
          <w:vertAlign w:val="superscript"/>
        </w:rPr>
        <w:t xml:space="preserve">m</w:t>
      </w:r>
      <w:r>
        <w:t xml:space="preserve">, γ</w:t>
      </w:r>
      <w:r>
        <w:rPr>
          <w:iCs/>
          <w:i/>
          <w:vertAlign w:val="superscript"/>
        </w:rPr>
        <w:t xml:space="preserve">x</w:t>
      </w:r>
      <w:r>
        <w:t xml:space="preserve">) whose components give, in order, the width the vehicle needs, the clearance it needs, its gross mass, and the load on each axle. The vehicle may use the arcs in</w:t>
      </w:r>
    </w:p>
    <w:p>
      <w:pPr>
        <w:pStyle w:val="Equation"/>
      </w:pPr>
      <w:r>
        <w:tab/>
      </w:r>
      <w:r>
        <w:drawing>
          <wp:inline>
            <wp:extent cx="3859682" cy="192024"/>
            <wp:effectExtent b="0" l="0" r="0" t="0"/>
            <wp:docPr descr="" title="" id="76" name="Picture"/>
            <a:graphic>
              <a:graphicData uri="http://schemas.openxmlformats.org/drawingml/2006/picture">
                <pic:pic>
                  <pic:nvPicPr>
                    <pic:cNvPr descr="eq/eq08.png" id="77" name="Picture"/>
                    <pic:cNvPicPr>
                      <a:picLocks noChangeArrowheads="1" noChangeAspect="1"/>
                    </pic:cNvPicPr>
                  </pic:nvPicPr>
                  <pic:blipFill>
                    <a:blip r:embed="rId75"/>
                    <a:stretch>
                      <a:fillRect/>
                    </a:stretch>
                  </pic:blipFill>
                  <pic:spPr bwMode="auto">
                    <a:xfrm>
                      <a:off x="0" y="0"/>
                      <a:ext cx="3859682" cy="192024"/>
                    </a:xfrm>
                    <a:prstGeom prst="rect">
                      <a:avLst/>
                    </a:prstGeom>
                    <a:noFill/>
                    <a:ln w="9525">
                      <a:noFill/>
                      <a:headEnd/>
                      <a:tailEnd/>
                    </a:ln>
                  </pic:spPr>
                </pic:pic>
              </a:graphicData>
            </a:graphic>
          </wp:inline>
        </w:drawing>
      </w:r>
      <w:r/>
      <w:r/>
      <w:r>
        <w:rPr>
          <w:rFonts w:ascii="Times New Roman" w:hAnsi="Times New Roman"/>
          <w:sz w:val="24"/>
        </w:rPr>
        <w:tab/>
        <w:t>(8)</w:t>
      </w:r>
    </w:p>
    <w:p>
      <w:pPr>
        <w:pStyle w:val="Source"/>
      </w:pPr>
      <w:r>
        <w:t xml:space="preserve">Source: formulated in this study (Definition 11)</w:t>
      </w:r>
    </w:p>
    <w:p>
      <w:pPr>
        <w:pStyle w:val="BodyText"/>
      </w:pPr>
      <w:r>
        <w:t xml:space="preserve">so that</w:t>
      </w:r>
      <w:r>
        <w:t xml:space="preserve"> </w:t>
      </w:r>
      <w:r>
        <w:rPr>
          <w:iCs/>
          <w:i/>
        </w:rPr>
        <w:t xml:space="preserve">G</w:t>
      </w:r>
      <w:r>
        <w:rPr>
          <w:vertAlign w:val="subscript"/>
        </w:rPr>
        <w:t xml:space="preserve">γ</w:t>
      </w:r>
      <w:r>
        <w:t xml:space="preserve"> </w:t>
      </w:r>
      <w:r>
        <w:t xml:space="preserve">= (</w:t>
      </w:r>
      <w:r>
        <w:rPr>
          <w:iCs/>
          <w:i/>
        </w:rPr>
        <w:t xml:space="preserve">V</w:t>
      </w:r>
      <w:r>
        <w:rPr>
          <w:iCs/>
          <w:i/>
          <w:vertAlign w:val="subscript"/>
        </w:rPr>
        <w:t xml:space="preserve">R</w:t>
      </w:r>
      <w:r>
        <w:t xml:space="preserve">,</w:t>
      </w:r>
      <w:r>
        <w:t xml:space="preserve"> </w:t>
      </w:r>
      <w:r>
        <w:rPr>
          <w:iCs/>
          <w:i/>
        </w:rPr>
        <w:t xml:space="preserve">E</w:t>
      </w:r>
      <w:r>
        <w:rPr>
          <w:vertAlign w:val="subscript"/>
        </w:rPr>
        <w:t xml:space="preserve">γ</w:t>
      </w:r>
      <w:r>
        <w:t xml:space="preserve">) is its feasible subgraph, with shortest-path distance</w:t>
      </w:r>
      <w:r>
        <w:t xml:space="preserve"> </w:t>
      </w:r>
      <w:r>
        <w:rPr>
          <w:iCs/>
          <w:i/>
        </w:rPr>
        <w:t xml:space="preserve">d</w:t>
      </w:r>
      <w:r>
        <w:rPr>
          <w:vertAlign w:val="subscript"/>
        </w:rPr>
        <w:t xml:space="preserve">γ</w:t>
      </w:r>
      <w:r>
        <w:t xml:space="preserve">. Writing γ ≤ γ′ means that every component satisfies the inequality.</w:t>
      </w:r>
    </w:p>
    <w:p>
      <w:pPr>
        <w:pStyle w:val="BodyText"/>
      </w:pPr>
      <w:r>
        <w:t xml:space="preserve">The order is only partial. Every limit of the sedan is at most the matching limit of the sport utility vehicle, so the two are comparable. A sedan and a motorized tricycle are not: the sedan needs more width, while the tricycle needs more clearance because of its roof. To support hospital mode, the researchers added a van-type ambulance class γ</w:t>
      </w:r>
      <w:r>
        <w:rPr>
          <w:iCs/>
          <w:i/>
          <w:vertAlign w:val="subscript"/>
        </w:rPr>
        <w:t xml:space="preserve">amb</w:t>
      </w:r>
      <w:r>
        <w:t xml:space="preserve"> </w:t>
      </w:r>
      <w:r>
        <w:t xml:space="preserve">with declared design values. Routing by physical limits lets the system send ambulances and relief trucks only along roads they can actually use after a strong typhoon or an eruption of Mayon Volcano, which bears on target 9.1 and on disaster-risk reduction under target 11.5 (UNGA, 2015).</w:t>
      </w:r>
    </w:p>
    <w:p>
      <w:pPr>
        <w:pStyle w:val="TableCaption"/>
      </w:pPr>
      <w:r>
        <w:rPr>
          <w:bCs/>
          <w:b/>
        </w:rPr>
        <w:t xml:space="preserve">Table 5.</w:t>
      </w:r>
      <w:r>
        <w:t xml:space="preserve"> </w:t>
      </w:r>
      <w:r>
        <w:t xml:space="preserve">Vehicle classes used for routing. The entries are representative design values chosen by the researchers, not legal limits. Pedestrians carry a nominal 0.1 t point load; axle load is gross mass divided by the number of axles.</w:t>
      </w:r>
    </w:p>
    <w:tbl>
      <w:tblPr>
        <w:tblStyle w:val="Table"/>
        <w:tblW w:type="pct" w:w="5000"/>
        <w:jc w:val="center"/>
        <w:tblCaption w:val="Table 5. Vehicle classes used for routing. The entries are representative design values chosen by the researchers, not legal limits. Pedestrians carry a nominal 0.1 t point load; axle load is gross mass divided by the number of axles."/>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2568"/>
        <w:gridCol w:w="1070"/>
        <w:gridCol w:w="1070"/>
        <w:gridCol w:w="1070"/>
        <w:gridCol w:w="1070"/>
        <w:gridCol w:w="1070"/>
      </w:tblGrid>
      <w:tr>
        <w:trPr>
          <w:tblHeader w:val="true"/>
          <w:tblHeader/>
          <w:cantSplit/>
        </w:trPr>
        <w:tc>
          <w:tcPr/>
          <w:p>
            <w:pPr>
              <w:pStyle w:val="Compact"/>
              <w:jc w:val="left"/>
            </w:pPr>
            <w:r>
              <w:rPr>
                <w:b/>
              </w:rPr>
              <w:t xml:space="preserve">Class</w:t>
            </w:r>
          </w:p>
        </w:tc>
        <w:tc>
          <w:tcPr/>
          <w:p>
            <w:pPr>
              <w:pStyle w:val="Compact"/>
              <w:jc w:val="right"/>
            </w:pPr>
            <w:r>
              <w:rPr>
                <w:b/>
              </w:rPr>
              <w:t xml:space="preserve">Width (m)</w:t>
            </w:r>
          </w:p>
        </w:tc>
        <w:tc>
          <w:tcPr/>
          <w:p>
            <w:pPr>
              <w:pStyle w:val="Compact"/>
              <w:jc w:val="right"/>
            </w:pPr>
            <w:r>
              <w:rPr>
                <w:b/>
              </w:rPr>
              <w:t xml:space="preserve">Clearance (m)</w:t>
            </w:r>
          </w:p>
        </w:tc>
        <w:tc>
          <w:tcPr/>
          <w:p>
            <w:pPr>
              <w:pStyle w:val="Compact"/>
              <w:jc w:val="right"/>
            </w:pPr>
            <w:r>
              <w:rPr>
                <w:b/>
              </w:rPr>
              <w:t xml:space="preserve">Gross Mass (t)</w:t>
            </w:r>
          </w:p>
        </w:tc>
        <w:tc>
          <w:tcPr/>
          <w:p>
            <w:pPr>
              <w:pStyle w:val="Compact"/>
              <w:jc w:val="right"/>
            </w:pPr>
            <w:r>
              <w:rPr>
                <w:b/>
              </w:rPr>
              <w:t xml:space="preserve">Axles</w:t>
            </w:r>
          </w:p>
        </w:tc>
        <w:tc>
          <w:tcPr/>
          <w:p>
            <w:pPr>
              <w:pStyle w:val="Compact"/>
              <w:jc w:val="right"/>
            </w:pPr>
            <w:r>
              <w:rPr>
                <w:b/>
              </w:rPr>
              <w:t xml:space="preserve">Axle Load (t)</w:t>
            </w:r>
          </w:p>
        </w:tc>
      </w:tr>
      <w:tr>
        <w:trPr>
          <w:cantSplit/>
        </w:trPr>
        <w:tc>
          <w:tcPr/>
          <w:p>
            <w:pPr>
              <w:pStyle w:val="Compact"/>
              <w:jc w:val="left"/>
            </w:pPr>
            <w:r>
              <w:t xml:space="preserve">Pedestrian</w:t>
            </w:r>
          </w:p>
        </w:tc>
        <w:tc>
          <w:tcPr/>
          <w:p>
            <w:pPr>
              <w:pStyle w:val="Compact"/>
              <w:jc w:val="right"/>
            </w:pPr>
            <w:r>
              <w:t xml:space="preserve">0.8</w:t>
            </w:r>
          </w:p>
        </w:tc>
        <w:tc>
          <w:tcPr/>
          <w:p>
            <w:pPr>
              <w:pStyle w:val="Compact"/>
              <w:jc w:val="right"/>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rPr>
          <w:cantSplit/>
        </w:trPr>
        <w:tc>
          <w:tcPr/>
          <w:p>
            <w:pPr>
              <w:pStyle w:val="Compact"/>
              <w:jc w:val="left"/>
            </w:pPr>
            <w:r>
              <w:t xml:space="preserve">Motorcycle, tricycle</w:t>
            </w:r>
          </w:p>
        </w:tc>
        <w:tc>
          <w:tcPr/>
          <w:p>
            <w:pPr>
              <w:pStyle w:val="Compact"/>
              <w:jc w:val="right"/>
            </w:pPr>
            <w:r>
              <w:t xml:space="preserve">1.3</w:t>
            </w:r>
          </w:p>
        </w:tc>
        <w:tc>
          <w:tcPr/>
          <w:p>
            <w:pPr>
              <w:pStyle w:val="Compact"/>
              <w:jc w:val="right"/>
            </w:pPr>
            <w:r>
              <w:t xml:space="preserve">2.0</w:t>
            </w:r>
          </w:p>
        </w:tc>
        <w:tc>
          <w:tcPr/>
          <w:p>
            <w:pPr>
              <w:pStyle w:val="Compact"/>
              <w:jc w:val="right"/>
            </w:pPr>
            <w:r>
              <w:t xml:space="preserve">0.6</w:t>
            </w:r>
          </w:p>
        </w:tc>
        <w:tc>
          <w:tcPr/>
          <w:p>
            <w:pPr>
              <w:pStyle w:val="Compact"/>
              <w:jc w:val="right"/>
            </w:pPr>
            <w:r>
              <w:t xml:space="preserve">2</w:t>
            </w:r>
          </w:p>
        </w:tc>
        <w:tc>
          <w:tcPr/>
          <w:p>
            <w:pPr>
              <w:pStyle w:val="Compact"/>
              <w:jc w:val="right"/>
            </w:pPr>
            <w:r>
              <w:t xml:space="preserve">0.30</w:t>
            </w:r>
          </w:p>
        </w:tc>
      </w:tr>
      <w:tr>
        <w:trPr>
          <w:cantSplit/>
        </w:trPr>
        <w:tc>
          <w:tcPr/>
          <w:p>
            <w:pPr>
              <w:pStyle w:val="Compact"/>
              <w:jc w:val="left"/>
            </w:pPr>
            <w:r>
              <w:t xml:space="preserve">Sedan</w:t>
            </w:r>
          </w:p>
        </w:tc>
        <w:tc>
          <w:tcPr/>
          <w:p>
            <w:pPr>
              <w:pStyle w:val="Compact"/>
              <w:jc w:val="right"/>
            </w:pPr>
            <w:r>
              <w:t xml:space="preserve">1.8</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2</w:t>
            </w:r>
          </w:p>
        </w:tc>
        <w:tc>
          <w:tcPr/>
          <w:p>
            <w:pPr>
              <w:pStyle w:val="Compact"/>
              <w:jc w:val="right"/>
            </w:pPr>
            <w:r>
              <w:t xml:space="preserve">1.00</w:t>
            </w:r>
          </w:p>
        </w:tc>
      </w:tr>
      <w:tr>
        <w:trPr>
          <w:cantSplit/>
        </w:trPr>
        <w:tc>
          <w:tcPr/>
          <w:p>
            <w:pPr>
              <w:pStyle w:val="Compact"/>
              <w:jc w:val="left"/>
            </w:pPr>
            <w:r>
              <w:t xml:space="preserve">Sport utility, pickup</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3.0</w:t>
            </w:r>
          </w:p>
        </w:tc>
        <w:tc>
          <w:tcPr/>
          <w:p>
            <w:pPr>
              <w:pStyle w:val="Compact"/>
              <w:jc w:val="right"/>
            </w:pPr>
            <w:r>
              <w:t xml:space="preserve">2</w:t>
            </w:r>
          </w:p>
        </w:tc>
        <w:tc>
          <w:tcPr/>
          <w:p>
            <w:pPr>
              <w:pStyle w:val="Compact"/>
              <w:jc w:val="right"/>
            </w:pPr>
            <w:r>
              <w:t xml:space="preserve">1.50</w:t>
            </w:r>
          </w:p>
        </w:tc>
      </w:tr>
      <w:tr>
        <w:trPr>
          <w:cantSplit/>
        </w:trPr>
        <w:tc>
          <w:tcPr/>
          <w:p>
            <w:pPr>
              <w:pStyle w:val="Compact"/>
              <w:jc w:val="left"/>
            </w:pPr>
            <w:r>
              <w:t xml:space="preserve">Ambulance (van type)</w:t>
            </w:r>
          </w:p>
        </w:tc>
        <w:tc>
          <w:tcPr/>
          <w:p>
            <w:pPr>
              <w:pStyle w:val="Compact"/>
              <w:jc w:val="right"/>
            </w:pPr>
            <w:r>
              <w:t xml:space="preserve">2.0</w:t>
            </w:r>
          </w:p>
        </w:tc>
        <w:tc>
          <w:tcPr/>
          <w:p>
            <w:pPr>
              <w:pStyle w:val="Compact"/>
              <w:jc w:val="right"/>
            </w:pPr>
            <w:r>
              <w:t xml:space="preserve">2.6</w:t>
            </w:r>
          </w:p>
        </w:tc>
        <w:tc>
          <w:tcPr/>
          <w:p>
            <w:pPr>
              <w:pStyle w:val="Compact"/>
              <w:jc w:val="right"/>
            </w:pPr>
            <w:r>
              <w:t xml:space="preserve">3.5</w:t>
            </w:r>
          </w:p>
        </w:tc>
        <w:tc>
          <w:tcPr/>
          <w:p>
            <w:pPr>
              <w:pStyle w:val="Compact"/>
              <w:jc w:val="right"/>
            </w:pPr>
            <w:r>
              <w:t xml:space="preserve">2</w:t>
            </w:r>
          </w:p>
        </w:tc>
        <w:tc>
          <w:tcPr/>
          <w:p>
            <w:pPr>
              <w:pStyle w:val="Compact"/>
              <w:jc w:val="right"/>
            </w:pPr>
            <w:r>
              <w:t xml:space="preserve">1.75</w:t>
            </w:r>
          </w:p>
        </w:tc>
      </w:tr>
      <w:tr>
        <w:trPr>
          <w:cantSplit/>
        </w:trPr>
        <w:tc>
          <w:tcPr/>
          <w:p>
            <w:pPr>
              <w:pStyle w:val="Compact"/>
              <w:jc w:val="left"/>
            </w:pPr>
            <w:r>
              <w:t xml:space="preserve">Jeepney, UV van</w:t>
            </w:r>
          </w:p>
        </w:tc>
        <w:tc>
          <w:tcPr/>
          <w:p>
            <w:pPr>
              <w:pStyle w:val="Compact"/>
              <w:jc w:val="right"/>
            </w:pPr>
            <w:r>
              <w:t xml:space="preserve">2.1</w:t>
            </w:r>
          </w:p>
        </w:tc>
        <w:tc>
          <w:tcPr/>
          <w:p>
            <w:pPr>
              <w:pStyle w:val="Compact"/>
              <w:jc w:val="right"/>
            </w:pPr>
            <w:r>
              <w:t xml:space="preserve">2.6</w:t>
            </w:r>
          </w:p>
        </w:tc>
        <w:tc>
          <w:tcPr/>
          <w:p>
            <w:pPr>
              <w:pStyle w:val="Compact"/>
              <w:jc w:val="right"/>
            </w:pPr>
            <w:r>
              <w:t xml:space="preserve">4.5</w:t>
            </w:r>
          </w:p>
        </w:tc>
        <w:tc>
          <w:tcPr/>
          <w:p>
            <w:pPr>
              <w:pStyle w:val="Compact"/>
              <w:jc w:val="right"/>
            </w:pPr>
            <w:r>
              <w:t xml:space="preserve">2</w:t>
            </w:r>
          </w:p>
        </w:tc>
        <w:tc>
          <w:tcPr/>
          <w:p>
            <w:pPr>
              <w:pStyle w:val="Compact"/>
              <w:jc w:val="right"/>
            </w:pPr>
            <w:r>
              <w:t xml:space="preserve">2.25</w:t>
            </w:r>
          </w:p>
        </w:tc>
      </w:tr>
      <w:tr>
        <w:trPr>
          <w:cantSplit/>
        </w:trPr>
        <w:tc>
          <w:tcPr/>
          <w:p>
            <w:pPr>
              <w:pStyle w:val="Compact"/>
              <w:jc w:val="left"/>
            </w:pPr>
            <w:r>
              <w:t xml:space="preserve">Four-wheel truck</w:t>
            </w:r>
          </w:p>
        </w:tc>
        <w:tc>
          <w:tcPr/>
          <w:p>
            <w:pPr>
              <w:pStyle w:val="Compact"/>
              <w:jc w:val="right"/>
            </w:pPr>
            <w:r>
              <w:t xml:space="preserve">2.2</w:t>
            </w:r>
          </w:p>
        </w:tc>
        <w:tc>
          <w:tcPr/>
          <w:p>
            <w:pPr>
              <w:pStyle w:val="Compact"/>
              <w:jc w:val="right"/>
            </w:pPr>
            <w:r>
              <w:t xml:space="preserve">3.2</w:t>
            </w:r>
          </w:p>
        </w:tc>
        <w:tc>
          <w:tcPr/>
          <w:p>
            <w:pPr>
              <w:pStyle w:val="Compact"/>
              <w:jc w:val="right"/>
            </w:pPr>
            <w:r>
              <w:t xml:space="preserve">7.5</w:t>
            </w:r>
          </w:p>
        </w:tc>
        <w:tc>
          <w:tcPr/>
          <w:p>
            <w:pPr>
              <w:pStyle w:val="Compact"/>
              <w:jc w:val="right"/>
            </w:pPr>
            <w:r>
              <w:t xml:space="preserve">2</w:t>
            </w:r>
          </w:p>
        </w:tc>
        <w:tc>
          <w:tcPr/>
          <w:p>
            <w:pPr>
              <w:pStyle w:val="Compact"/>
              <w:jc w:val="right"/>
            </w:pPr>
            <w:r>
              <w:t xml:space="preserve">3.75</w:t>
            </w:r>
          </w:p>
        </w:tc>
      </w:tr>
      <w:tr>
        <w:trPr>
          <w:cantSplit/>
        </w:trPr>
        <w:tc>
          <w:tcPr/>
          <w:p>
            <w:pPr>
              <w:pStyle w:val="Compact"/>
              <w:jc w:val="left"/>
            </w:pPr>
            <w:r>
              <w:t xml:space="preserve">Six-wheel truck</w:t>
            </w:r>
          </w:p>
        </w:tc>
        <w:tc>
          <w:tcPr/>
          <w:p>
            <w:pPr>
              <w:pStyle w:val="Compact"/>
              <w:jc w:val="right"/>
            </w:pPr>
            <w:r>
              <w:t xml:space="preserve">2.5</w:t>
            </w:r>
          </w:p>
        </w:tc>
        <w:tc>
          <w:tcPr/>
          <w:p>
            <w:pPr>
              <w:pStyle w:val="Compact"/>
              <w:jc w:val="right"/>
            </w:pPr>
            <w:r>
              <w:t xml:space="preserve">3.8</w:t>
            </w:r>
          </w:p>
        </w:tc>
        <w:tc>
          <w:tcPr/>
          <w:p>
            <w:pPr>
              <w:pStyle w:val="Compact"/>
              <w:jc w:val="right"/>
            </w:pPr>
            <w:r>
              <w:t xml:space="preserve">15.0</w:t>
            </w:r>
          </w:p>
        </w:tc>
        <w:tc>
          <w:tcPr/>
          <w:p>
            <w:pPr>
              <w:pStyle w:val="Compact"/>
              <w:jc w:val="right"/>
            </w:pPr>
            <w:r>
              <w:t xml:space="preserve">3</w:t>
            </w:r>
          </w:p>
        </w:tc>
        <w:tc>
          <w:tcPr/>
          <w:p>
            <w:pPr>
              <w:pStyle w:val="Compact"/>
              <w:jc w:val="right"/>
            </w:pPr>
            <w:r>
              <w:t xml:space="preserve">5.00</w:t>
            </w:r>
          </w:p>
        </w:tc>
      </w:tr>
      <w:tr>
        <w:trPr>
          <w:cantSplit/>
        </w:trPr>
        <w:tc>
          <w:tcPr/>
          <w:p>
            <w:pPr>
              <w:pStyle w:val="Compact"/>
              <w:jc w:val="left"/>
            </w:pPr>
            <w:r>
              <w:t xml:space="preserve">Ten-wheel truck</w:t>
            </w:r>
          </w:p>
        </w:tc>
        <w:tc>
          <w:tcPr/>
          <w:p>
            <w:pPr>
              <w:pStyle w:val="Compact"/>
              <w:jc w:val="right"/>
            </w:pPr>
            <w:r>
              <w:t xml:space="preserve">2.5</w:t>
            </w:r>
          </w:p>
        </w:tc>
        <w:tc>
          <w:tcPr/>
          <w:p>
            <w:pPr>
              <w:pStyle w:val="Compact"/>
              <w:jc w:val="right"/>
            </w:pPr>
            <w:r>
              <w:t xml:space="preserve">4.2</w:t>
            </w:r>
          </w:p>
        </w:tc>
        <w:tc>
          <w:tcPr/>
          <w:p>
            <w:pPr>
              <w:pStyle w:val="Compact"/>
              <w:jc w:val="right"/>
            </w:pPr>
            <w:r>
              <w:t xml:space="preserve">26.0</w:t>
            </w:r>
          </w:p>
        </w:tc>
        <w:tc>
          <w:tcPr/>
          <w:p>
            <w:pPr>
              <w:pStyle w:val="Compact"/>
              <w:jc w:val="right"/>
            </w:pPr>
            <w:r>
              <w:t xml:space="preserve">5</w:t>
            </w:r>
          </w:p>
        </w:tc>
        <w:tc>
          <w:tcPr/>
          <w:p>
            <w:pPr>
              <w:pStyle w:val="Compact"/>
              <w:jc w:val="right"/>
            </w:pPr>
            <w:r>
              <w:t xml:space="preserve">5.20</w:t>
            </w:r>
          </w:p>
        </w:tc>
      </w:tr>
      <w:tr>
        <w:trPr>
          <w:cantSplit/>
        </w:trPr>
        <w:tc>
          <w:tcPr/>
          <w:p>
            <w:pPr>
              <w:pStyle w:val="Compact"/>
              <w:jc w:val="left"/>
            </w:pPr>
            <w:r>
              <w:t xml:space="preserve">Provincial bus</w:t>
            </w:r>
          </w:p>
        </w:tc>
        <w:tc>
          <w:tcPr/>
          <w:p>
            <w:pPr>
              <w:pStyle w:val="Compact"/>
              <w:jc w:val="right"/>
            </w:pPr>
            <w:r>
              <w:t xml:space="preserve">2.6</w:t>
            </w:r>
          </w:p>
        </w:tc>
        <w:tc>
          <w:tcPr/>
          <w:p>
            <w:pPr>
              <w:pStyle w:val="Compact"/>
              <w:jc w:val="right"/>
            </w:pPr>
            <w:r>
              <w:t xml:space="preserve">4.0</w:t>
            </w:r>
          </w:p>
        </w:tc>
        <w:tc>
          <w:tcPr/>
          <w:p>
            <w:pPr>
              <w:pStyle w:val="Compact"/>
              <w:jc w:val="right"/>
            </w:pPr>
            <w:r>
              <w:t xml:space="preserve">18.0</w:t>
            </w:r>
          </w:p>
        </w:tc>
        <w:tc>
          <w:tcPr/>
          <w:p>
            <w:pPr>
              <w:pStyle w:val="Compact"/>
              <w:jc w:val="right"/>
            </w:pPr>
            <w:r>
              <w:t xml:space="preserve">3</w:t>
            </w:r>
          </w:p>
        </w:tc>
        <w:tc>
          <w:tcPr/>
          <w:p>
            <w:pPr>
              <w:pStyle w:val="Compact"/>
              <w:jc w:val="right"/>
            </w:pPr>
            <w:r>
              <w:t xml:space="preserve">6.00</w:t>
            </w:r>
          </w:p>
        </w:tc>
      </w:tr>
    </w:tbl>
    <w:bookmarkEnd w:id="78"/>
    <w:bookmarkStart w:id="85" w:name="Xf222616bfc8f3f7a9cf54102a16de756c9a41a0"/>
    <w:p>
      <w:pPr>
        <w:pStyle w:val="Heading2"/>
      </w:pPr>
      <w:r>
        <w:t xml:space="preserve">2.6 Fare Model: What the Commuting Patient Pays</w:t>
      </w:r>
    </w:p>
    <w:p>
      <w:pPr>
        <w:pStyle w:val="FirstParagraph"/>
      </w:pPr>
      <w:r>
        <w:t xml:space="preserve">A patient without an ambulance pays a fare on every leg, and for a poor family the fare is part of the cost of care.</w:t>
      </w:r>
    </w:p>
    <w:p>
      <w:pPr>
        <w:pStyle w:val="BodyText"/>
      </w:pPr>
      <w:r>
        <w:rPr>
          <w:bCs/>
          <w:b/>
        </w:rPr>
        <w:t xml:space="preserve">Definition 12 (Regulated distance fare; Daguno-Bersamina, 2026; Nieto, 2026).</w:t>
      </w:r>
      <w:r>
        <w:t xml:space="preserve"> </w:t>
      </w:r>
      <w:r>
        <w:t xml:space="preserve">On a mode whose base fare</w:t>
      </w:r>
      <w:r>
        <w:t xml:space="preserve"> </w:t>
      </w:r>
      <w:r>
        <w:rPr>
          <w:iCs/>
          <w:i/>
        </w:rPr>
        <w:t xml:space="preserve">f</w:t>
      </w:r>
      <w:r>
        <w:rPr>
          <w:vertAlign w:val="subscript"/>
        </w:rPr>
        <w:t xml:space="preserve">0</w:t>
      </w:r>
      <w:r>
        <w:t xml:space="preserve"> </w:t>
      </w:r>
      <w:r>
        <w:t xml:space="preserve">covers the first</w:t>
      </w:r>
      <w:r>
        <w:t xml:space="preserve"> </w:t>
      </w:r>
      <w:r>
        <w:rPr>
          <w:iCs/>
          <w:i/>
        </w:rPr>
        <w:t xml:space="preserve">d</w:t>
      </w:r>
      <w:r>
        <w:rPr>
          <w:vertAlign w:val="subscript"/>
        </w:rPr>
        <w:t xml:space="preserve">0</w:t>
      </w:r>
      <w:r>
        <w:t xml:space="preserve"> </w:t>
      </w:r>
      <w:r>
        <w:t xml:space="preserve">kilometers and whose rate for each succeeding kilometer is</w:t>
      </w:r>
      <w:r>
        <w:t xml:space="preserve"> </w:t>
      </w:r>
      <w:r>
        <w:rPr>
          <w:iCs/>
          <w:i/>
        </w:rPr>
        <w:t xml:space="preserve">r</w:t>
      </w:r>
      <w:r>
        <w:t xml:space="preserve">, a leg</w:t>
      </w:r>
      <w:r>
        <w:t xml:space="preserve"> </w:t>
      </w:r>
      <w:r>
        <w:rPr>
          <w:iCs/>
          <w:i/>
        </w:rPr>
        <w:t xml:space="preserve">d</w:t>
      </w:r>
      <w:r>
        <w:t xml:space="preserve"> </w:t>
      </w:r>
      <w:r>
        <w:t xml:space="preserve">kilometers long costs</w:t>
      </w:r>
    </w:p>
    <w:p>
      <w:pPr>
        <w:pStyle w:val="Equation"/>
      </w:pPr>
      <w:r>
        <w:tab/>
      </w:r>
      <w:r>
        <w:drawing>
          <wp:inline>
            <wp:extent cx="2220163" cy="159105"/>
            <wp:effectExtent b="0" l="0" r="0" t="0"/>
            <wp:docPr descr="" title="" id="80" name="Picture"/>
            <a:graphic>
              <a:graphicData uri="http://schemas.openxmlformats.org/drawingml/2006/picture">
                <pic:pic>
                  <pic:nvPicPr>
                    <pic:cNvPr descr="eq/eq09.png" id="81" name="Picture"/>
                    <pic:cNvPicPr>
                      <a:picLocks noChangeArrowheads="1" noChangeAspect="1"/>
                    </pic:cNvPicPr>
                  </pic:nvPicPr>
                  <pic:blipFill>
                    <a:blip r:embed="rId79"/>
                    <a:stretch>
                      <a:fillRect/>
                    </a:stretch>
                  </pic:blipFill>
                  <pic:spPr bwMode="auto">
                    <a:xfrm>
                      <a:off x="0" y="0"/>
                      <a:ext cx="2220163" cy="159105"/>
                    </a:xfrm>
                    <a:prstGeom prst="rect">
                      <a:avLst/>
                    </a:prstGeom>
                    <a:noFill/>
                    <a:ln w="9525">
                      <a:noFill/>
                      <a:headEnd/>
                      <a:tailEnd/>
                    </a:ln>
                  </pic:spPr>
                </pic:pic>
              </a:graphicData>
            </a:graphic>
          </wp:inline>
        </w:drawing>
      </w:r>
      <w:r/>
      <w:r/>
      <w:r>
        <w:rPr>
          <w:rFonts w:ascii="Times New Roman" w:hAnsi="Times New Roman"/>
          <w:sz w:val="24"/>
        </w:rPr>
        <w:tab/>
        <w:t>(9)</w:t>
      </w:r>
    </w:p>
    <w:p>
      <w:pPr>
        <w:pStyle w:val="Source"/>
      </w:pPr>
      <w:r>
        <w:t xml:space="preserve">Source: fare structure and parameters reported by Daguno-Bersamina (2026) and Nieto (2026); see Table 6</w:t>
      </w:r>
    </w:p>
    <w:p>
      <w:pPr>
        <w:pStyle w:val="BodyText"/>
      </w:pPr>
      <w:r>
        <w:t xml:space="preserve">where any fraction of a succeeding kilometer is charged as a whole one, a rounding convention chosen for this study. For senior citizens, students, and persons with disabilities, who receive the statutory 20 percent discount (Section 1.4.13),</w:t>
      </w:r>
      <w:r>
        <w:t xml:space="preserve"> </w:t>
      </w:r>
      <w:r>
        <w:rPr>
          <w:iCs/>
          <w:i/>
        </w:rPr>
        <w:t xml:space="preserve">f</w:t>
      </w:r>
      <w:r>
        <w:rPr>
          <w:vertAlign w:val="subscript"/>
        </w:rPr>
        <w:t xml:space="preserve">δ</w:t>
      </w:r>
      <w:r>
        <w:t xml:space="preserve">(</w:t>
      </w:r>
      <w:r>
        <w:rPr>
          <w:iCs/>
          <w:i/>
        </w:rPr>
        <w:t xml:space="preserve">d</w:t>
      </w:r>
      <w:r>
        <w:t xml:space="preserve">) = (1 − δ)</w:t>
      </w:r>
      <w:r>
        <w:t xml:space="preserve"> </w:t>
      </w:r>
      <w:r>
        <w:rPr>
          <w:iCs/>
          <w:i/>
        </w:rPr>
        <w:t xml:space="preserve">f</w:t>
      </w:r>
      <w:r>
        <w:t xml:space="preserve">(</w:t>
      </w:r>
      <w:r>
        <w:rPr>
          <w:iCs/>
          <w:i/>
        </w:rPr>
        <w:t xml:space="preserve">d</w:t>
      </w:r>
      <w:r>
        <w:t xml:space="preserve">) with δ = 0.20. A journey</w:t>
      </w:r>
      <w:r>
        <w:t xml:space="preserve"> </w:t>
      </w:r>
      <w:r>
        <w:rPr>
          <w:iCs/>
          <w:i/>
        </w:rPr>
        <w:t xml:space="preserve">J</w:t>
      </w:r>
      <w:r>
        <w:t xml:space="preserve"> </w:t>
      </w:r>
      <w:r>
        <w:t xml:space="preserve">whose legs ℓ = 1, …,</w:t>
      </w:r>
      <w:r>
        <w:t xml:space="preserve"> </w:t>
      </w:r>
      <w:r>
        <w:rPr>
          <w:iCs/>
          <w:i/>
        </w:rPr>
        <w:t xml:space="preserve">n</w:t>
      </w:r>
      <w:r>
        <w:rPr>
          <w:iCs/>
          <w:i/>
          <w:vertAlign w:val="subscript"/>
        </w:rPr>
        <w:t xml:space="preserve">J</w:t>
      </w:r>
      <w:r>
        <w:t xml:space="preserve"> </w:t>
      </w:r>
      <w:r>
        <w:t xml:space="preserve">have lengths</w:t>
      </w:r>
      <w:r>
        <w:t xml:space="preserve"> </w:t>
      </w:r>
      <w:r>
        <w:rPr>
          <w:iCs/>
          <w:i/>
        </w:rPr>
        <w:t xml:space="preserve">d</w:t>
      </w:r>
      <w:r>
        <w:rPr>
          <w:vertAlign w:val="subscript"/>
        </w:rPr>
        <w:t xml:space="preserve">ℓ</w:t>
      </w:r>
      <w:r>
        <w:t xml:space="preserve"> </w:t>
      </w:r>
      <w:r>
        <w:t xml:space="preserve">and modes mode(ℓ) costs</w:t>
      </w:r>
    </w:p>
    <w:p>
      <w:pPr>
        <w:pStyle w:val="Equation"/>
      </w:pPr>
      <w:r>
        <w:tab/>
      </w:r>
      <w:r>
        <w:drawing>
          <wp:inline>
            <wp:extent cx="1570024" cy="457200"/>
            <wp:effectExtent b="0" l="0" r="0" t="0"/>
            <wp:docPr descr="" title="" id="83" name="Picture"/>
            <a:graphic>
              <a:graphicData uri="http://schemas.openxmlformats.org/drawingml/2006/picture">
                <pic:pic>
                  <pic:nvPicPr>
                    <pic:cNvPr descr="eq/eq10.png" id="84" name="Picture"/>
                    <pic:cNvPicPr>
                      <a:picLocks noChangeArrowheads="1" noChangeAspect="1"/>
                    </pic:cNvPicPr>
                  </pic:nvPicPr>
                  <pic:blipFill>
                    <a:blip r:embed="rId82"/>
                    <a:stretch>
                      <a:fillRect/>
                    </a:stretch>
                  </pic:blipFill>
                  <pic:spPr bwMode="auto">
                    <a:xfrm>
                      <a:off x="0" y="0"/>
                      <a:ext cx="1570024" cy="457200"/>
                    </a:xfrm>
                    <a:prstGeom prst="rect">
                      <a:avLst/>
                    </a:prstGeom>
                    <a:noFill/>
                    <a:ln w="9525">
                      <a:noFill/>
                      <a:headEnd/>
                      <a:tailEnd/>
                    </a:ln>
                  </pic:spPr>
                </pic:pic>
              </a:graphicData>
            </a:graphic>
          </wp:inline>
        </w:drawing>
      </w:r>
      <w:r/>
      <w:r/>
      <w:r>
        <w:rPr>
          <w:rFonts w:ascii="Times New Roman" w:hAnsi="Times New Roman"/>
          <w:sz w:val="24"/>
        </w:rPr>
        <w:tab/>
        <w:t>(10)</w:t>
      </w:r>
    </w:p>
    <w:p>
      <w:pPr>
        <w:pStyle w:val="Source"/>
      </w:pPr>
      <w:r>
        <w:t xml:space="preserve">Source: formulated in this study</w:t>
      </w:r>
    </w:p>
    <w:p>
      <w:pPr>
        <w:pStyle w:val="TableCaption"/>
      </w:pPr>
      <w:r>
        <w:rPr>
          <w:bCs/>
          <w:b/>
        </w:rPr>
        <w:t xml:space="preserve">Table 6.</w:t>
      </w:r>
      <w:r>
        <w:t xml:space="preserve"> </w:t>
      </w:r>
      <w:r>
        <w:t xml:space="preserve">Fare parameters in effect from September 28, 2026, approved by the LTFRB and reported by Daguno-Bersamina (2026) and Nieto (2026). Tricycle fares follow local ordinances and are gathered by municipality.</w:t>
      </w:r>
    </w:p>
    <w:tbl>
      <w:tblPr>
        <w:tblStyle w:val="Table"/>
        <w:tblW w:type="pct" w:w="5000"/>
        <w:jc w:val="center"/>
        <w:tblCaption w:val="Table 6. Fare parameters in effect from September 28, 2026, approved by the LTFRB and reported by Daguno-Bersamina (2026) and Nieto (2026). Tricycle fares follow local ordinances and are gathered by municipality."/>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3600"/>
        <w:gridCol w:w="1440"/>
        <w:gridCol w:w="1440"/>
        <w:gridCol w:w="1440"/>
      </w:tblGrid>
      <w:tr>
        <w:trPr>
          <w:tblHeader w:val="true"/>
          <w:tblHeader/>
          <w:cantSplit/>
        </w:trPr>
        <w:tc>
          <w:tcPr/>
          <w:p>
            <w:pPr>
              <w:pStyle w:val="Compact"/>
              <w:jc w:val="left"/>
            </w:pPr>
            <w:r>
              <w:rPr>
                <w:b/>
              </w:rPr>
              <w:t xml:space="preserve">Mode</w:t>
            </w:r>
          </w:p>
        </w:tc>
        <w:tc>
          <w:tcPr/>
          <w:p>
            <w:pPr>
              <w:pStyle w:val="Compact"/>
              <w:jc w:val="right"/>
            </w:pPr>
            <w:r>
              <w:rPr>
                <w:b/>
              </w:rPr>
              <w:t xml:space="preserve">Base Fare</w:t>
            </w:r>
            <w:r>
              <w:rPr>
                <w:b/>
              </w:rPr>
              <w:t xml:space="preserve"> </w:t>
            </w:r>
            <w:r>
              <w:rPr>
                <w:iCs/>
                <w:b/>
                <w:i/>
              </w:rPr>
              <w:t xml:space="preserve">f</w:t>
            </w:r>
            <w:r>
              <w:rPr>
                <w:b/>
                <w:vertAlign w:val="subscript"/>
              </w:rPr>
              <w:t xml:space="preserve">0</w:t>
            </w:r>
            <w:r>
              <w:rPr>
                <w:b/>
              </w:rPr>
              <w:t xml:space="preserve"> </w:t>
            </w:r>
            <w:r>
              <w:rPr>
                <w:b/>
              </w:rPr>
              <w:t xml:space="preserve">(₱)</w:t>
            </w:r>
          </w:p>
        </w:tc>
        <w:tc>
          <w:tcPr/>
          <w:p>
            <w:pPr>
              <w:pStyle w:val="Compact"/>
              <w:jc w:val="right"/>
            </w:pPr>
            <w:r>
              <w:rPr>
                <w:b/>
              </w:rPr>
              <w:t xml:space="preserve">Base Distance</w:t>
            </w:r>
            <w:r>
              <w:rPr>
                <w:b/>
              </w:rPr>
              <w:t xml:space="preserve"> </w:t>
            </w:r>
            <w:r>
              <w:rPr>
                <w:iCs/>
                <w:b/>
                <w:i/>
              </w:rPr>
              <w:t xml:space="preserve">d</w:t>
            </w:r>
            <w:r>
              <w:rPr>
                <w:b/>
                <w:vertAlign w:val="subscript"/>
              </w:rPr>
              <w:t xml:space="preserve">0</w:t>
            </w:r>
            <w:r>
              <w:rPr>
                <w:b/>
              </w:rPr>
              <w:t xml:space="preserve"> </w:t>
            </w:r>
            <w:r>
              <w:rPr>
                <w:b/>
              </w:rPr>
              <w:t xml:space="preserve">(km)</w:t>
            </w:r>
          </w:p>
        </w:tc>
        <w:tc>
          <w:tcPr/>
          <w:p>
            <w:pPr>
              <w:pStyle w:val="Compact"/>
              <w:jc w:val="right"/>
            </w:pPr>
            <w:r>
              <w:rPr>
                <w:b/>
              </w:rPr>
              <w:t xml:space="preserve">Rate</w:t>
            </w:r>
            <w:r>
              <w:rPr>
                <w:b/>
              </w:rPr>
              <w:t xml:space="preserve"> </w:t>
            </w:r>
            <w:r>
              <w:rPr>
                <w:iCs/>
                <w:b/>
                <w:i/>
              </w:rPr>
              <w:t xml:space="preserve">r</w:t>
            </w:r>
            <w:r>
              <w:rPr>
                <w:b/>
              </w:rPr>
              <w:t xml:space="preserve"> </w:t>
            </w:r>
            <w:r>
              <w:rPr>
                <w:b/>
              </w:rPr>
              <w:t xml:space="preserve">(₱/km)</w:t>
            </w:r>
          </w:p>
        </w:tc>
      </w:tr>
      <w:tr>
        <w:trPr>
          <w:cantSplit/>
        </w:trPr>
        <w:tc>
          <w:tcPr/>
          <w:p>
            <w:pPr>
              <w:pStyle w:val="Compact"/>
              <w:jc w:val="left"/>
            </w:pPr>
            <w:r>
              <w:t xml:space="preserve">Traditional jeepney</w:t>
            </w:r>
          </w:p>
        </w:tc>
        <w:tc>
          <w:tcPr/>
          <w:p>
            <w:pPr>
              <w:pStyle w:val="Compact"/>
              <w:jc w:val="right"/>
            </w:pPr>
            <w:r>
              <w:t xml:space="preserve">14.00</w:t>
            </w:r>
          </w:p>
        </w:tc>
        <w:tc>
          <w:tcPr/>
          <w:p>
            <w:pPr>
              <w:pStyle w:val="Compact"/>
              <w:jc w:val="right"/>
            </w:pPr>
            <w:r>
              <w:t xml:space="preserve">4</w:t>
            </w:r>
          </w:p>
        </w:tc>
        <w:tc>
          <w:tcPr/>
          <w:p>
            <w:pPr>
              <w:pStyle w:val="Compact"/>
              <w:jc w:val="right"/>
            </w:pPr>
            <w:r>
              <w:t xml:space="preserve">2.00</w:t>
            </w:r>
          </w:p>
        </w:tc>
      </w:tr>
      <w:tr>
        <w:trPr>
          <w:cantSplit/>
        </w:trPr>
        <w:tc>
          <w:tcPr/>
          <w:p>
            <w:pPr>
              <w:pStyle w:val="Compact"/>
              <w:jc w:val="left"/>
            </w:pPr>
            <w:r>
              <w:t xml:space="preserve">Modern jeepney</w:t>
            </w:r>
          </w:p>
        </w:tc>
        <w:tc>
          <w:tcPr/>
          <w:p>
            <w:pPr>
              <w:pStyle w:val="Compact"/>
              <w:jc w:val="right"/>
            </w:pPr>
            <w:r>
              <w:t xml:space="preserve">17.00</w:t>
            </w:r>
          </w:p>
        </w:tc>
        <w:tc>
          <w:tcPr/>
          <w:p>
            <w:pPr>
              <w:pStyle w:val="Compact"/>
              <w:jc w:val="right"/>
            </w:pPr>
            <w:r>
              <w:t xml:space="preserve">4</w:t>
            </w:r>
          </w:p>
        </w:tc>
        <w:tc>
          <w:tcPr/>
          <w:p>
            <w:pPr>
              <w:pStyle w:val="Compact"/>
              <w:jc w:val="right"/>
            </w:pPr>
            <w:r>
              <w:t xml:space="preserve">2.40</w:t>
            </w:r>
          </w:p>
        </w:tc>
      </w:tr>
      <w:tr>
        <w:trPr>
          <w:cantSplit/>
        </w:trPr>
        <w:tc>
          <w:tcPr/>
          <w:p>
            <w:pPr>
              <w:pStyle w:val="Compact"/>
              <w:jc w:val="left"/>
            </w:pPr>
            <w:r>
              <w:t xml:space="preserve">Provincial ordinary bus</w:t>
            </w:r>
          </w:p>
        </w:tc>
        <w:tc>
          <w:tcPr/>
          <w:p>
            <w:pPr>
              <w:pStyle w:val="Compact"/>
              <w:jc w:val="right"/>
            </w:pPr>
            <w:r>
              <w:t xml:space="preserve">12.00</w:t>
            </w:r>
          </w:p>
        </w:tc>
        <w:tc>
          <w:tcPr/>
          <w:p>
            <w:pPr>
              <w:pStyle w:val="Compact"/>
              <w:jc w:val="right"/>
            </w:pPr>
            <w:r>
              <w:t xml:space="preserve">5</w:t>
            </w:r>
          </w:p>
        </w:tc>
        <w:tc>
          <w:tcPr/>
          <w:p>
            <w:pPr>
              <w:pStyle w:val="Compact"/>
              <w:jc w:val="right"/>
            </w:pPr>
            <w:r>
              <w:t xml:space="preserve">2.20</w:t>
            </w:r>
          </w:p>
        </w:tc>
      </w:tr>
      <w:tr>
        <w:trPr>
          <w:cantSplit/>
        </w:trPr>
        <w:tc>
          <w:tcPr/>
          <w:p>
            <w:pPr>
              <w:pStyle w:val="Compact"/>
              <w:jc w:val="left"/>
            </w:pPr>
            <w:r>
              <w:t xml:space="preserve">Tricycle</w:t>
            </w:r>
          </w:p>
        </w:tc>
        <w:tc>
          <w:tcPr/>
          <w:p>
            <w:pPr>
              <w:pStyle w:val="Compact"/>
              <w:jc w:val="right"/>
            </w:pPr>
            <w:r>
              <w:t xml:space="preserve">set by ordinance</w:t>
            </w:r>
          </w:p>
        </w:tc>
        <w:tc>
          <w:tcPr/>
          <w:p>
            <w:pPr>
              <w:pStyle w:val="Compact"/>
              <w:jc w:val="right"/>
            </w:pPr>
            <w:r>
              <w:t xml:space="preserve">set by ordinance</w:t>
            </w:r>
          </w:p>
        </w:tc>
        <w:tc>
          <w:tcPr/>
          <w:p>
            <w:pPr>
              <w:pStyle w:val="Compact"/>
              <w:jc w:val="right"/>
            </w:pPr>
            <w:r>
              <w:t xml:space="preserve">set by ordinance</w:t>
            </w:r>
          </w:p>
        </w:tc>
      </w:tr>
    </w:tbl>
    <w:bookmarkEnd w:id="85"/>
    <w:bookmarkStart w:id="92" w:name="X1f1c1d53ce16982399c2e48b7e9d8716f3bdb54"/>
    <w:p>
      <w:pPr>
        <w:pStyle w:val="Heading2"/>
      </w:pPr>
      <w:r>
        <w:t xml:space="preserve">2.7 The Hospital Map: Capability, Services, and Cost Class</w:t>
      </w:r>
    </w:p>
    <w:p>
      <w:pPr>
        <w:pStyle w:val="FirstParagraph"/>
      </w:pPr>
      <w:r>
        <w:t xml:space="preserve">Sections 2.7 to 2.13 build the hospital layer. Nothing in Sections 2.1 to 2.6 changes: the hospital layer reads the same graphs, the same vehicle classes, and the same landmark set. It works on a subset of the essential destinations of Definition 1 and needs far more about each one than its size.</w:t>
      </w:r>
    </w:p>
    <w:p>
      <w:pPr>
        <w:pStyle w:val="BodyText"/>
      </w:pPr>
      <w:r>
        <w:rPr>
          <w:bCs/>
          <w:b/>
        </w:rPr>
        <w:t xml:space="preserve">Definition 13 (Hospital record).</w:t>
      </w:r>
      <w:r>
        <w:t xml:space="preserve"> </w:t>
      </w:r>
      <w:r>
        <w:t xml:space="preserve">Let</w:t>
      </w:r>
      <w:r>
        <w:t xml:space="preserve"> </w:t>
      </w:r>
      <w:r>
        <w:rPr>
          <w:iCs/>
          <w:i/>
        </w:rPr>
        <w:t xml:space="preserve">H</w:t>
      </w:r>
      <w:r>
        <w:t xml:space="preserve"> </w:t>
      </w:r>
      <w:r>
        <w:t xml:space="preserve">⊆</w:t>
      </w:r>
      <w:r>
        <w:t xml:space="preserve"> </w:t>
      </w:r>
      <w:r>
        <w:rPr>
          <w:iCs/>
          <w:i/>
        </w:rPr>
        <w:t xml:space="preserve">L</w:t>
      </w:r>
      <w:r>
        <w:rPr>
          <w:iCs/>
          <w:i/>
          <w:vertAlign w:val="subscript"/>
        </w:rPr>
        <w:t xml:space="preserve">d</w:t>
      </w:r>
      <w:r>
        <w:t xml:space="preserve"> </w:t>
      </w:r>
      <w:r>
        <w:t xml:space="preserve">be the hospitals and infirmaries in the destination set. Each</w:t>
      </w:r>
      <w:r>
        <w:t xml:space="preserve"> </w:t>
      </w:r>
      <w:r>
        <w:rPr>
          <w:iCs/>
          <w:i/>
        </w:rPr>
        <w:t xml:space="preserve">h</w:t>
      </w:r>
      <w:r>
        <w:t xml:space="preserve"> </w:t>
      </w:r>
      <w:r>
        <w:t xml:space="preserve">∈</w:t>
      </w:r>
      <w:r>
        <w:t xml:space="preserve"> </w:t>
      </w:r>
      <w:r>
        <w:rPr>
          <w:iCs/>
          <w:i/>
        </w:rPr>
        <w:t xml:space="preserve">H</w:t>
      </w:r>
      <w:r>
        <w:t xml:space="preserve"> </w:t>
      </w:r>
      <w:r>
        <w:t xml:space="preserve">carries its entrance node</w:t>
      </w:r>
      <w:r>
        <w:t xml:space="preserve"> </w:t>
      </w:r>
      <w:r>
        <w:rPr>
          <w:iCs/>
          <w:i/>
        </w:rPr>
        <w:t xml:space="preserve">v</w:t>
      </w:r>
      <w:r>
        <w:rPr>
          <w:iCs/>
          <w:i/>
          <w:vertAlign w:val="subscript"/>
        </w:rPr>
        <w:t xml:space="preserve">h</w:t>
      </w:r>
      <w:r>
        <w:t xml:space="preserve"> </w:t>
      </w:r>
      <w:r>
        <w:t xml:space="preserve">(Definition 1); its authorized bed capacity</w:t>
      </w:r>
      <w:r>
        <w:t xml:space="preserve"> </w:t>
      </w:r>
      <w:r>
        <w:rPr>
          <w:iCs/>
          <w:i/>
        </w:rPr>
        <w:t xml:space="preserve">c</w:t>
      </w:r>
      <w:r>
        <w:rPr>
          <w:iCs/>
          <w:i/>
          <w:vertAlign w:val="subscript"/>
        </w:rPr>
        <w:t xml:space="preserve">h</w:t>
      </w:r>
      <w:r>
        <w:t xml:space="preserve">; a service capability level η</w:t>
      </w:r>
      <w:r>
        <w:rPr>
          <w:iCs/>
          <w:i/>
          <w:vertAlign w:val="subscript"/>
        </w:rPr>
        <w:t xml:space="preserve">h</w:t>
      </w:r>
      <w:r>
        <w:t xml:space="preserve"> </w:t>
      </w:r>
      <w:r>
        <w:t xml:space="preserve">∈ {0, 1, 2, 3}, where 0 denotes an infirmary and 1 to 3 the hospital levels of Table 7; a service set Σ</w:t>
      </w:r>
      <w:r>
        <w:rPr>
          <w:iCs/>
          <w:i/>
          <w:vertAlign w:val="subscript"/>
        </w:rPr>
        <w:t xml:space="preserve">h</w:t>
      </w:r>
      <w:r>
        <w:t xml:space="preserve"> </w:t>
      </w:r>
      <w:r>
        <w:t xml:space="preserve">⊆ 𝒮, where 𝒮 is the list of services in Table 8; an emergency-room flag</w:t>
      </w:r>
      <w:r>
        <w:t xml:space="preserve"> </w:t>
      </w:r>
      <w:r>
        <w:rPr>
          <w:iCs/>
          <w:i/>
        </w:rPr>
        <w:t xml:space="preserve">e</w:t>
      </w:r>
      <w:r>
        <w:rPr>
          <w:iCs/>
          <w:i/>
          <w:vertAlign w:val="subscript"/>
        </w:rPr>
        <w:t xml:space="preserve">h</w:t>
      </w:r>
      <w:r>
        <w:t xml:space="preserve"> </w:t>
      </w:r>
      <w:r>
        <w:t xml:space="preserve">∈ {0, 1}; a cost class</w:t>
      </w:r>
      <w:r>
        <w:t xml:space="preserve"> </w:t>
      </w:r>
      <w:r>
        <w:rPr>
          <w:iCs/>
          <w:i/>
        </w:rPr>
        <w:t xml:space="preserve">q</w:t>
      </w:r>
      <w:r>
        <w:rPr>
          <w:iCs/>
          <w:i/>
          <w:vertAlign w:val="subscript"/>
        </w:rPr>
        <w:t xml:space="preserve">h</w:t>
      </w:r>
      <w:r>
        <w:t xml:space="preserve"> </w:t>
      </w:r>
      <w:r>
        <w:t xml:space="preserve">∈ {0, 1, 2, 3}; and a contact address</w:t>
      </w:r>
      <w:r>
        <w:t xml:space="preserve"> </w:t>
      </w:r>
      <w:r>
        <w:rPr>
          <w:iCs/>
          <w:i/>
        </w:rPr>
        <w:t xml:space="preserve">m</w:t>
      </w:r>
      <w:r>
        <w:rPr>
          <w:iCs/>
          <w:i/>
          <w:vertAlign w:val="subscript"/>
        </w:rPr>
        <w:t xml:space="preserve">h</w:t>
      </w:r>
      <w:r>
        <w:t xml:space="preserve">, the e-mail address that the facility publishes for official correspondence. The cost class follows the rule</w:t>
      </w:r>
    </w:p>
    <w:p>
      <w:pPr>
        <w:pStyle w:val="Equation"/>
      </w:pPr>
      <w:r>
        <w:tab/>
      </w:r>
      <w:r>
        <w:drawing>
          <wp:inline>
            <wp:extent cx="4560112" cy="733348"/>
            <wp:effectExtent b="0" l="0" r="0" t="0"/>
            <wp:docPr descr="" title="" id="87" name="Picture"/>
            <a:graphic>
              <a:graphicData uri="http://schemas.openxmlformats.org/drawingml/2006/picture">
                <pic:pic>
                  <pic:nvPicPr>
                    <pic:cNvPr descr="eq/eq11.png" id="88" name="Picture"/>
                    <pic:cNvPicPr>
                      <a:picLocks noChangeArrowheads="1" noChangeAspect="1"/>
                    </pic:cNvPicPr>
                  </pic:nvPicPr>
                  <pic:blipFill>
                    <a:blip r:embed="rId86"/>
                    <a:stretch>
                      <a:fillRect/>
                    </a:stretch>
                  </pic:blipFill>
                  <pic:spPr bwMode="auto">
                    <a:xfrm>
                      <a:off x="0" y="0"/>
                      <a:ext cx="4560112" cy="733348"/>
                    </a:xfrm>
                    <a:prstGeom prst="rect">
                      <a:avLst/>
                    </a:prstGeom>
                    <a:noFill/>
                    <a:ln w="9525">
                      <a:noFill/>
                      <a:headEnd/>
                      <a:tailEnd/>
                    </a:ln>
                  </pic:spPr>
                </pic:pic>
              </a:graphicData>
            </a:graphic>
          </wp:inline>
        </w:drawing>
      </w:r>
      <w:r/>
      <w:r/>
      <w:r>
        <w:rPr>
          <w:rFonts w:ascii="Times New Roman" w:hAnsi="Times New Roman"/>
          <w:sz w:val="24"/>
        </w:rPr>
        <w:tab/>
        <w:t>(11)</w:t>
      </w:r>
    </w:p>
    <w:p>
      <w:pPr>
        <w:pStyle w:val="Source"/>
      </w:pPr>
      <w:r>
        <w:t xml:space="preserve">Source: this study; program flags from Republic Acts No. 11223 and 11463 (2019)</w:t>
      </w:r>
    </w:p>
    <w:p>
      <w:pPr>
        <w:pStyle w:val="BodyText"/>
      </w:pPr>
      <w:r>
        <w:t xml:space="preserve">The ordering is a declared ranking of the expected out-of-pocket burden, not a price. Its inputs, namely ownership, PhilHealth accreditation, and the presence of a Malasakit Center, are all published (Appendix A), so any reader can check the class of any hospital.</w:t>
      </w:r>
    </w:p>
    <w:p>
      <w:pPr>
        <w:pStyle w:val="BodyText"/>
      </w:pPr>
      <w:r>
        <w:t xml:space="preserve">The service set starts from the default list of the hospital’s level, Σ(η</w:t>
      </w:r>
      <w:r>
        <w:rPr>
          <w:iCs/>
          <w:i/>
          <w:vertAlign w:val="subscript"/>
        </w:rPr>
        <w:t xml:space="preserve">h</w:t>
      </w:r>
      <w:r>
        <w:t xml:space="preserve">) in Table 8, and changes only where a published register entry for that facility says otherwise:</w:t>
      </w:r>
    </w:p>
    <w:p>
      <w:pPr>
        <w:pStyle w:val="Equation"/>
      </w:pPr>
      <w:r>
        <w:tab/>
      </w:r>
      <w:r>
        <w:drawing>
          <wp:inline>
            <wp:extent cx="1766620" cy="191109"/>
            <wp:effectExtent b="0" l="0" r="0" t="0"/>
            <wp:docPr descr="" title="" id="90" name="Picture"/>
            <a:graphic>
              <a:graphicData uri="http://schemas.openxmlformats.org/drawingml/2006/picture">
                <pic:pic>
                  <pic:nvPicPr>
                    <pic:cNvPr descr="eq/eq12.png" id="91" name="Picture"/>
                    <pic:cNvPicPr>
                      <a:picLocks noChangeArrowheads="1" noChangeAspect="1"/>
                    </pic:cNvPicPr>
                  </pic:nvPicPr>
                  <pic:blipFill>
                    <a:blip r:embed="rId89"/>
                    <a:stretch>
                      <a:fillRect/>
                    </a:stretch>
                  </pic:blipFill>
                  <pic:spPr bwMode="auto">
                    <a:xfrm>
                      <a:off x="0" y="0"/>
                      <a:ext cx="1766620" cy="191109"/>
                    </a:xfrm>
                    <a:prstGeom prst="rect">
                      <a:avLst/>
                    </a:prstGeom>
                    <a:noFill/>
                    <a:ln w="9525">
                      <a:noFill/>
                      <a:headEnd/>
                      <a:tailEnd/>
                    </a:ln>
                  </pic:spPr>
                </pic:pic>
              </a:graphicData>
            </a:graphic>
          </wp:inline>
        </w:drawing>
      </w:r>
      <w:r/>
      <w:r/>
      <w:r>
        <w:rPr>
          <w:rFonts w:ascii="Times New Roman" w:hAnsi="Times New Roman"/>
          <w:sz w:val="24"/>
        </w:rPr>
        <w:tab/>
        <w:t>(12)</w:t>
      </w:r>
    </w:p>
    <w:p>
      <w:pPr>
        <w:pStyle w:val="Source"/>
      </w:pPr>
      <w:r>
        <w:t xml:space="preserve">Source: formulated in this study; default lists from DOH (2012)</w:t>
      </w:r>
    </w:p>
    <w:p>
      <w:pPr>
        <w:pStyle w:val="BodyText"/>
      </w:pPr>
      <w:r>
        <w:t xml:space="preserve">where</w:t>
      </w:r>
      <w:r>
        <w:t xml:space="preserve"> </w:t>
      </w:r>
      <w:r>
        <w:rPr>
          <w:iCs/>
          <w:i/>
        </w:rPr>
        <w:t xml:space="preserve">X</w:t>
      </w:r>
      <w:r>
        <w:rPr>
          <w:vertAlign w:val="superscript"/>
        </w:rPr>
        <w:t xml:space="preserve">+</w:t>
      </w:r>
      <w:r>
        <w:rPr>
          <w:iCs/>
          <w:i/>
          <w:vertAlign w:val="subscript"/>
        </w:rPr>
        <w:t xml:space="preserve">h</w:t>
      </w:r>
      <w:r>
        <w:t xml:space="preserve"> </w:t>
      </w:r>
      <w:r>
        <w:t xml:space="preserve">holds services the register lists beyond the level default (for example, a separately licensed dialysis unit in a Level 2 hospital) and</w:t>
      </w:r>
      <w:r>
        <w:t xml:space="preserve"> </w:t>
      </w:r>
      <w:r>
        <w:rPr>
          <w:iCs/>
          <w:i/>
        </w:rPr>
        <w:t xml:space="preserve">X</w:t>
      </w:r>
      <w:r>
        <w:rPr>
          <w:vertAlign w:val="superscript"/>
        </w:rPr>
        <w:t xml:space="preserve">−</w:t>
      </w:r>
      <w:r>
        <w:rPr>
          <w:iCs/>
          <w:i/>
          <w:vertAlign w:val="subscript"/>
        </w:rPr>
        <w:t xml:space="preserve">h</w:t>
      </w:r>
      <w:r>
        <w:t xml:space="preserve"> </w:t>
      </w:r>
      <w:r>
        <w:t xml:space="preserve">holds default services that the register marks as unavailable. With no such entry, Σ</w:t>
      </w:r>
      <w:r>
        <w:rPr>
          <w:iCs/>
          <w:i/>
          <w:vertAlign w:val="subscript"/>
        </w:rPr>
        <w:t xml:space="preserve">h</w:t>
      </w:r>
      <w:r>
        <w:t xml:space="preserve"> </w:t>
      </w:r>
      <w:r>
        <w:t xml:space="preserve">= Σ(η</w:t>
      </w:r>
      <w:r>
        <w:rPr>
          <w:iCs/>
          <w:i/>
          <w:vertAlign w:val="subscript"/>
        </w:rPr>
        <w:t xml:space="preserve">h</w:t>
      </w:r>
      <w:r>
        <w:t xml:space="preserve">).</w:t>
      </w:r>
    </w:p>
    <w:p>
      <w:pPr>
        <w:pStyle w:val="TableCaption"/>
      </w:pPr>
      <w:r>
        <w:rPr>
          <w:bCs/>
          <w:b/>
        </w:rPr>
        <w:t xml:space="preserve">Table 7.</w:t>
      </w:r>
      <w:r>
        <w:t xml:space="preserve"> </w:t>
      </w:r>
      <w:r>
        <w:t xml:space="preserve">Service capability levels in the model, following the hospital classification of the DOH (2012).</w:t>
      </w:r>
    </w:p>
    <w:tbl>
      <w:tblPr>
        <w:tblStyle w:val="Table"/>
        <w:tblW w:type="pct" w:w="5000"/>
        <w:jc w:val="center"/>
        <w:tblCaption w:val="Table 7. Service capability levels in the model, following the hospital classification of the DOH (201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597"/>
        <w:gridCol w:w="1643"/>
        <w:gridCol w:w="5678"/>
      </w:tblGrid>
      <w:tr>
        <w:trPr>
          <w:tblHeader w:val="true"/>
          <w:tblHeader/>
          <w:cantSplit/>
        </w:trPr>
        <w:tc>
          <w:tcPr/>
          <w:p>
            <w:pPr>
              <w:pStyle w:val="Compact"/>
              <w:jc w:val="center"/>
            </w:pPr>
            <w:r>
              <w:rPr>
                <w:b/>
              </w:rPr>
              <w:t xml:space="preserve">η</w:t>
            </w:r>
            <w:r>
              <w:rPr>
                <w:iCs/>
                <w:b/>
                <w:i/>
                <w:vertAlign w:val="subscript"/>
              </w:rPr>
              <w:t xml:space="preserve">h</w:t>
            </w:r>
          </w:p>
        </w:tc>
        <w:tc>
          <w:tcPr/>
          <w:p>
            <w:pPr>
              <w:pStyle w:val="Compact"/>
              <w:jc w:val="left"/>
            </w:pPr>
            <w:r>
              <w:rPr>
                <w:b/>
              </w:rPr>
              <w:t xml:space="preserve">Facility</w:t>
            </w:r>
          </w:p>
        </w:tc>
        <w:tc>
          <w:tcPr/>
          <w:p>
            <w:pPr>
              <w:pStyle w:val="Compact"/>
              <w:jc w:val="left"/>
            </w:pPr>
            <w:r>
              <w:rPr>
                <w:b/>
              </w:rPr>
              <w:t xml:space="preserve">Services Relevant to Routing</w:t>
            </w:r>
          </w:p>
        </w:tc>
      </w:tr>
      <w:tr>
        <w:trPr>
          <w:cantSplit/>
        </w:trPr>
        <w:tc>
          <w:tcPr/>
          <w:p>
            <w:pPr>
              <w:pStyle w:val="Compact"/>
              <w:jc w:val="center"/>
            </w:pPr>
            <w:r>
              <w:t xml:space="preserve">0</w:t>
            </w:r>
          </w:p>
        </w:tc>
        <w:tc>
          <w:tcPr/>
          <w:p>
            <w:pPr>
              <w:pStyle w:val="Compact"/>
              <w:jc w:val="left"/>
            </w:pPr>
            <w:r>
              <w:t xml:space="preserve">Infirmary</w:t>
            </w:r>
          </w:p>
        </w:tc>
        <w:tc>
          <w:tcPr/>
          <w:p>
            <w:pPr>
              <w:pStyle w:val="Compact"/>
              <w:jc w:val="left"/>
            </w:pPr>
            <w:r>
              <w:t xml:space="preserve">Treated below Level 1 and offered only to profiles whose minimum level is 0</w:t>
            </w:r>
          </w:p>
        </w:tc>
      </w:tr>
      <w:tr>
        <w:trPr>
          <w:cantSplit/>
        </w:trPr>
        <w:tc>
          <w:tcPr/>
          <w:p>
            <w:pPr>
              <w:pStyle w:val="Compact"/>
              <w:jc w:val="center"/>
            </w:pPr>
            <w:r>
              <w:t xml:space="preserve">1</w:t>
            </w:r>
          </w:p>
        </w:tc>
        <w:tc>
          <w:tcPr/>
          <w:p>
            <w:pPr>
              <w:pStyle w:val="Compact"/>
              <w:jc w:val="left"/>
            </w:pPr>
            <w:r>
              <w:t xml:space="preserve">Level 1 hospital</w:t>
            </w:r>
          </w:p>
        </w:tc>
        <w:tc>
          <w:tcPr/>
          <w:p>
            <w:pPr>
              <w:pStyle w:val="Compact"/>
              <w:jc w:val="left"/>
            </w:pPr>
            <w:r>
              <w:t xml:space="preserve">Level 1 imaging, pharmacy and blood station, secondary clinical laboratory, isolation and maternity facilities, and an operating room with recovery room</w:t>
            </w:r>
          </w:p>
        </w:tc>
      </w:tr>
      <w:tr>
        <w:trPr>
          <w:cantSplit/>
        </w:trPr>
        <w:tc>
          <w:tcPr/>
          <w:p>
            <w:pPr>
              <w:pStyle w:val="Compact"/>
              <w:jc w:val="center"/>
            </w:pPr>
            <w:r>
              <w:t xml:space="preserve">2</w:t>
            </w:r>
          </w:p>
        </w:tc>
        <w:tc>
          <w:tcPr/>
          <w:p>
            <w:pPr>
              <w:pStyle w:val="Compact"/>
              <w:jc w:val="left"/>
            </w:pPr>
            <w:r>
              <w:t xml:space="preserve">Level 2 hospital</w:t>
            </w:r>
          </w:p>
        </w:tc>
        <w:tc>
          <w:tcPr/>
          <w:p>
            <w:pPr>
              <w:pStyle w:val="Compact"/>
              <w:jc w:val="left"/>
            </w:pPr>
            <w:r>
              <w:t xml:space="preserve">What Level 1 offers, plus a general ICU, a neonatal ICU, care for high-risk pregnancy, a tertiary clinical laboratory, and Level 2 imaging</w:t>
            </w:r>
          </w:p>
        </w:tc>
      </w:tr>
      <w:tr>
        <w:trPr>
          <w:cantSplit/>
        </w:trPr>
        <w:tc>
          <w:tcPr/>
          <w:p>
            <w:pPr>
              <w:pStyle w:val="Compact"/>
              <w:jc w:val="center"/>
            </w:pPr>
            <w:r>
              <w:t xml:space="preserve">3</w:t>
            </w:r>
          </w:p>
        </w:tc>
        <w:tc>
          <w:tcPr/>
          <w:p>
            <w:pPr>
              <w:pStyle w:val="Compact"/>
              <w:jc w:val="left"/>
            </w:pPr>
            <w:r>
              <w:t xml:space="preserve">Level 3 hospital</w:t>
            </w:r>
          </w:p>
        </w:tc>
        <w:tc>
          <w:tcPr/>
          <w:p>
            <w:pPr>
              <w:pStyle w:val="Compact"/>
              <w:jc w:val="left"/>
            </w:pPr>
            <w:r>
              <w:t xml:space="preserve">What Level 2 offers, plus dialysis, a blood bank, physical medicine and rehabilitation, accredited residency training, and Level 3 imaging, including interventional radiology</w:t>
            </w:r>
          </w:p>
        </w:tc>
      </w:tr>
    </w:tbl>
    <w:p>
      <w:pPr>
        <w:spacing w:before="200"/>
      </w:pPr>
    </w:p>
    <w:p>
      <w:pPr>
        <w:pStyle w:val="TableCaption"/>
      </w:pPr>
      <w:r>
        <w:rPr>
          <w:bCs/>
          <w:b/>
        </w:rPr>
        <w:t xml:space="preserve">Table 8.</w:t>
      </w:r>
      <w:r>
        <w:t xml:space="preserve"> </w:t>
      </w:r>
      <w:r>
        <w:t xml:space="preserve">The services a patient can require in the model, the lowest level that offers each by default, and examples of patients who need them. A need is entered from a plain description or from a referral slip; the application does not diagnose.</w:t>
      </w:r>
    </w:p>
    <w:tbl>
      <w:tblPr>
        <w:tblStyle w:val="Table"/>
        <w:tblW w:type="pct" w:w="5000"/>
        <w:jc w:val="center"/>
        <w:tblCaption w:val="Table 8. The services a patient can require in the model, the lowest level that offers each by default, and examples of patients who need them. A need is entered from a plain description or from a referral slip; the application does not diagnose."/>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766"/>
        <w:gridCol w:w="2171"/>
        <w:gridCol w:w="1021"/>
        <w:gridCol w:w="3960"/>
      </w:tblGrid>
      <w:tr>
        <w:trPr>
          <w:tblHeader w:val="true"/>
          <w:tblHeader/>
          <w:cantSplit/>
        </w:trPr>
        <w:tc>
          <w:tcPr/>
          <w:p>
            <w:pPr>
              <w:pStyle w:val="Compact"/>
              <w:jc w:val="left"/>
            </w:pPr>
            <w:r>
              <w:rPr>
                <w:b/>
              </w:rPr>
              <w:t xml:space="preserve">Code</w:t>
            </w:r>
          </w:p>
        </w:tc>
        <w:tc>
          <w:tcPr/>
          <w:p>
            <w:pPr>
              <w:pStyle w:val="Compact"/>
              <w:jc w:val="left"/>
            </w:pPr>
            <w:r>
              <w:rPr>
                <w:b/>
              </w:rPr>
              <w:t xml:space="preserve">Service</w:t>
            </w:r>
          </w:p>
        </w:tc>
        <w:tc>
          <w:tcPr/>
          <w:p>
            <w:pPr>
              <w:pStyle w:val="Compact"/>
              <w:jc w:val="center"/>
            </w:pPr>
            <w:r>
              <w:rPr>
                <w:b/>
              </w:rPr>
              <w:t xml:space="preserve">Default From</w:t>
            </w:r>
          </w:p>
        </w:tc>
        <w:tc>
          <w:tcPr/>
          <w:p>
            <w:pPr>
              <w:pStyle w:val="Compact"/>
              <w:jc w:val="left"/>
            </w:pPr>
            <w:r>
              <w:rPr>
                <w:b/>
              </w:rPr>
              <w:t xml:space="preserve">Example of a Patient Who Needs It</w:t>
            </w:r>
          </w:p>
        </w:tc>
      </w:tr>
      <w:tr>
        <w:trPr>
          <w:cantSplit/>
        </w:trPr>
        <w:tc>
          <w:tcPr/>
          <w:p>
            <w:pPr>
              <w:pStyle w:val="Compact"/>
              <w:jc w:val="left"/>
            </w:pPr>
            <w:r>
              <w:t xml:space="preserve">ISO</w:t>
            </w:r>
          </w:p>
        </w:tc>
        <w:tc>
          <w:tcPr/>
          <w:p>
            <w:pPr>
              <w:pStyle w:val="Compact"/>
              <w:jc w:val="left"/>
            </w:pPr>
            <w:r>
              <w:t xml:space="preserve">Isolation facilities</w:t>
            </w:r>
          </w:p>
        </w:tc>
        <w:tc>
          <w:tcPr/>
          <w:p>
            <w:pPr>
              <w:pStyle w:val="Compact"/>
              <w:jc w:val="center"/>
            </w:pPr>
            <w:r>
              <w:t xml:space="preserve">Level 1</w:t>
            </w:r>
          </w:p>
        </w:tc>
        <w:tc>
          <w:tcPr/>
          <w:p>
            <w:pPr>
              <w:pStyle w:val="Compact"/>
              <w:jc w:val="left"/>
            </w:pPr>
            <w:r>
              <w:t xml:space="preserve">A patient with a contagious illness who must be kept apart from others</w:t>
            </w:r>
          </w:p>
        </w:tc>
      </w:tr>
      <w:tr>
        <w:trPr>
          <w:cantSplit/>
        </w:trPr>
        <w:tc>
          <w:tcPr/>
          <w:p>
            <w:pPr>
              <w:pStyle w:val="Compact"/>
              <w:jc w:val="left"/>
            </w:pPr>
            <w:r>
              <w:t xml:space="preserve">MAT</w:t>
            </w:r>
          </w:p>
        </w:tc>
        <w:tc>
          <w:tcPr/>
          <w:p>
            <w:pPr>
              <w:pStyle w:val="Compact"/>
              <w:jc w:val="left"/>
            </w:pPr>
            <w:r>
              <w:t xml:space="preserve">Maternity care (normal delivery)</w:t>
            </w:r>
          </w:p>
        </w:tc>
        <w:tc>
          <w:tcPr/>
          <w:p>
            <w:pPr>
              <w:pStyle w:val="Compact"/>
              <w:jc w:val="center"/>
            </w:pPr>
            <w:r>
              <w:t xml:space="preserve">Level 1</w:t>
            </w:r>
          </w:p>
        </w:tc>
        <w:tc>
          <w:tcPr/>
          <w:p>
            <w:pPr>
              <w:pStyle w:val="Compact"/>
              <w:jc w:val="left"/>
            </w:pPr>
            <w:r>
              <w:t xml:space="preserve">A woman in uncomplicated labor</w:t>
            </w:r>
          </w:p>
        </w:tc>
      </w:tr>
      <w:tr>
        <w:trPr>
          <w:cantSplit/>
        </w:trPr>
        <w:tc>
          <w:tcPr/>
          <w:p>
            <w:pPr>
              <w:pStyle w:val="Compact"/>
              <w:jc w:val="left"/>
            </w:pPr>
            <w:r>
              <w:t xml:space="preserve">OR</w:t>
            </w:r>
          </w:p>
        </w:tc>
        <w:tc>
          <w:tcPr/>
          <w:p>
            <w:pPr>
              <w:pStyle w:val="Compact"/>
              <w:jc w:val="left"/>
            </w:pPr>
            <w:r>
              <w:t xml:space="preserve">Operating room with recovery room</w:t>
            </w:r>
          </w:p>
        </w:tc>
        <w:tc>
          <w:tcPr/>
          <w:p>
            <w:pPr>
              <w:pStyle w:val="Compact"/>
              <w:jc w:val="center"/>
            </w:pPr>
            <w:r>
              <w:t xml:space="preserve">Level 1</w:t>
            </w:r>
          </w:p>
        </w:tc>
        <w:tc>
          <w:tcPr/>
          <w:p>
            <w:pPr>
              <w:pStyle w:val="Compact"/>
              <w:jc w:val="left"/>
            </w:pPr>
            <w:r>
              <w:t xml:space="preserve">A patient whose condition needs an operation</w:t>
            </w:r>
          </w:p>
        </w:tc>
      </w:tr>
      <w:tr>
        <w:trPr>
          <w:cantSplit/>
        </w:trPr>
        <w:tc>
          <w:tcPr/>
          <w:p>
            <w:pPr>
              <w:pStyle w:val="Compact"/>
              <w:jc w:val="left"/>
            </w:pPr>
            <w:r>
              <w:t xml:space="preserve">ICU</w:t>
            </w:r>
          </w:p>
        </w:tc>
        <w:tc>
          <w:tcPr/>
          <w:p>
            <w:pPr>
              <w:pStyle w:val="Compact"/>
              <w:jc w:val="left"/>
            </w:pPr>
            <w:r>
              <w:t xml:space="preserve">General intensive care unit</w:t>
            </w:r>
          </w:p>
        </w:tc>
        <w:tc>
          <w:tcPr/>
          <w:p>
            <w:pPr>
              <w:pStyle w:val="Compact"/>
              <w:jc w:val="center"/>
            </w:pPr>
            <w:r>
              <w:t xml:space="preserve">Level 2</w:t>
            </w:r>
          </w:p>
        </w:tc>
        <w:tc>
          <w:tcPr/>
          <w:p>
            <w:pPr>
              <w:pStyle w:val="Compact"/>
              <w:jc w:val="left"/>
            </w:pPr>
            <w:r>
              <w:t xml:space="preserve">A patient who needs close monitoring or life support</w:t>
            </w:r>
          </w:p>
        </w:tc>
      </w:tr>
      <w:tr>
        <w:trPr>
          <w:cantSplit/>
        </w:trPr>
        <w:tc>
          <w:tcPr/>
          <w:p>
            <w:pPr>
              <w:pStyle w:val="Compact"/>
              <w:jc w:val="left"/>
            </w:pPr>
            <w:r>
              <w:t xml:space="preserve">NICU</w:t>
            </w:r>
          </w:p>
        </w:tc>
        <w:tc>
          <w:tcPr/>
          <w:p>
            <w:pPr>
              <w:pStyle w:val="Compact"/>
              <w:jc w:val="left"/>
            </w:pPr>
            <w:r>
              <w:t xml:space="preserve">Neonatal intensive care unit</w:t>
            </w:r>
          </w:p>
        </w:tc>
        <w:tc>
          <w:tcPr/>
          <w:p>
            <w:pPr>
              <w:pStyle w:val="Compact"/>
              <w:jc w:val="center"/>
            </w:pPr>
            <w:r>
              <w:t xml:space="preserve">Level 2</w:t>
            </w:r>
          </w:p>
        </w:tc>
        <w:tc>
          <w:tcPr/>
          <w:p>
            <w:pPr>
              <w:pStyle w:val="Compact"/>
              <w:jc w:val="left"/>
            </w:pPr>
            <w:r>
              <w:t xml:space="preserve">A premature or sick newborn</w:t>
            </w:r>
          </w:p>
        </w:tc>
      </w:tr>
      <w:tr>
        <w:trPr>
          <w:cantSplit/>
        </w:trPr>
        <w:tc>
          <w:tcPr/>
          <w:p>
            <w:pPr>
              <w:pStyle w:val="Compact"/>
              <w:jc w:val="left"/>
            </w:pPr>
            <w:r>
              <w:t xml:space="preserve">HRP</w:t>
            </w:r>
          </w:p>
        </w:tc>
        <w:tc>
          <w:tcPr/>
          <w:p>
            <w:pPr>
              <w:pStyle w:val="Compact"/>
              <w:jc w:val="left"/>
            </w:pPr>
            <w:r>
              <w:t xml:space="preserve">Care for high-risk pregnancy</w:t>
            </w:r>
          </w:p>
        </w:tc>
        <w:tc>
          <w:tcPr/>
          <w:p>
            <w:pPr>
              <w:pStyle w:val="Compact"/>
              <w:jc w:val="center"/>
            </w:pPr>
            <w:r>
              <w:t xml:space="preserve">Level 2</w:t>
            </w:r>
          </w:p>
        </w:tc>
        <w:tc>
          <w:tcPr/>
          <w:p>
            <w:pPr>
              <w:pStyle w:val="Compact"/>
              <w:jc w:val="left"/>
            </w:pPr>
            <w:r>
              <w:t xml:space="preserve">A pregnancy with complications such as bleeding or very high blood pressure</w:t>
            </w:r>
          </w:p>
        </w:tc>
      </w:tr>
      <w:tr>
        <w:trPr>
          <w:cantSplit/>
        </w:trPr>
        <w:tc>
          <w:tcPr/>
          <w:p>
            <w:pPr>
              <w:pStyle w:val="Compact"/>
              <w:jc w:val="left"/>
            </w:pPr>
            <w:r>
              <w:t xml:space="preserve">DIA</w:t>
            </w:r>
          </w:p>
        </w:tc>
        <w:tc>
          <w:tcPr/>
          <w:p>
            <w:pPr>
              <w:pStyle w:val="Compact"/>
              <w:jc w:val="left"/>
            </w:pPr>
            <w:r>
              <w:t xml:space="preserve">Dialysis</w:t>
            </w:r>
          </w:p>
        </w:tc>
        <w:tc>
          <w:tcPr/>
          <w:p>
            <w:pPr>
              <w:pStyle w:val="Compact"/>
              <w:jc w:val="center"/>
            </w:pPr>
            <w:r>
              <w:t xml:space="preserve">Level 3</w:t>
            </w:r>
          </w:p>
        </w:tc>
        <w:tc>
          <w:tcPr/>
          <w:p>
            <w:pPr>
              <w:pStyle w:val="Compact"/>
              <w:jc w:val="left"/>
            </w:pPr>
            <w:r>
              <w:t xml:space="preserve">A patient with kidney failure</w:t>
            </w:r>
          </w:p>
        </w:tc>
      </w:tr>
      <w:tr>
        <w:trPr>
          <w:cantSplit/>
        </w:trPr>
        <w:tc>
          <w:tcPr/>
          <w:p>
            <w:pPr>
              <w:pStyle w:val="Compact"/>
              <w:jc w:val="left"/>
            </w:pPr>
            <w:r>
              <w:t xml:space="preserve">BB</w:t>
            </w:r>
          </w:p>
        </w:tc>
        <w:tc>
          <w:tcPr/>
          <w:p>
            <w:pPr>
              <w:pStyle w:val="Compact"/>
              <w:jc w:val="left"/>
            </w:pPr>
            <w:r>
              <w:t xml:space="preserve">Blood bank</w:t>
            </w:r>
          </w:p>
        </w:tc>
        <w:tc>
          <w:tcPr/>
          <w:p>
            <w:pPr>
              <w:pStyle w:val="Compact"/>
              <w:jc w:val="center"/>
            </w:pPr>
            <w:r>
              <w:t xml:space="preserve">Level 3</w:t>
            </w:r>
          </w:p>
        </w:tc>
        <w:tc>
          <w:tcPr/>
          <w:p>
            <w:pPr>
              <w:pStyle w:val="Compact"/>
              <w:jc w:val="left"/>
            </w:pPr>
            <w:r>
              <w:t xml:space="preserve">A patient who has lost a large amount of blood</w:t>
            </w:r>
          </w:p>
        </w:tc>
      </w:tr>
    </w:tbl>
    <w:p>
      <w:pPr>
        <w:spacing w:before="200"/>
      </w:pPr>
    </w:p>
    <w:p>
      <w:pPr>
        <w:pStyle w:val="TableCaption"/>
      </w:pPr>
      <w:r>
        <w:rPr>
          <w:bCs/>
          <w:b/>
        </w:rPr>
        <w:t xml:space="preserve">Table 9.</w:t>
      </w:r>
      <w:r>
        <w:t xml:space="preserve"> </w:t>
      </w:r>
      <w:r>
        <w:t xml:space="preserve">Cost classes (Equation 11) and the payment classes from which users choose. Payment class ρ admits every hospital with</w:t>
      </w:r>
      <w:r>
        <w:t xml:space="preserve"> </w:t>
      </w:r>
      <w:r>
        <w:rPr>
          <w:iCs/>
          <w:i/>
        </w:rPr>
        <w:t xml:space="preserve">q</w:t>
      </w:r>
      <w:r>
        <w:rPr>
          <w:iCs/>
          <w:i/>
          <w:vertAlign w:val="subscript"/>
        </w:rPr>
        <w:t xml:space="preserve">h</w:t>
      </w:r>
      <w:r>
        <w:t xml:space="preserve"> </w:t>
      </w:r>
      <w:r>
        <w:t xml:space="preserve">≤ ρ.</w:t>
      </w:r>
    </w:p>
    <w:tbl>
      <w:tblPr>
        <w:tblStyle w:val="Table"/>
        <w:tblW w:type="pct" w:w="5000"/>
        <w:jc w:val="center"/>
        <w:tblCaption w:val="Table 9. Cost classes (Equation 11) and the payment classes from which users choose. Payment class ρ admits every hospital with qh ≤ ρ."/>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586"/>
        <w:gridCol w:w="2933"/>
        <w:gridCol w:w="2933"/>
        <w:gridCol w:w="1466"/>
      </w:tblGrid>
      <w:tr>
        <w:trPr>
          <w:tblHeader w:val="true"/>
          <w:tblHeader/>
          <w:cantSplit/>
        </w:trPr>
        <w:tc>
          <w:tcPr/>
          <w:p>
            <w:pPr>
              <w:pStyle w:val="Compact"/>
              <w:jc w:val="center"/>
            </w:pPr>
            <w:r>
              <w:rPr>
                <w:b/>
              </w:rPr>
              <w:t xml:space="preserve">Class</w:t>
            </w:r>
          </w:p>
        </w:tc>
        <w:tc>
          <w:tcPr/>
          <w:p>
            <w:pPr>
              <w:pStyle w:val="Compact"/>
              <w:jc w:val="left"/>
            </w:pPr>
            <w:r>
              <w:rPr>
                <w:b/>
              </w:rPr>
              <w:t xml:space="preserve">Hospital in Cost Class</w:t>
            </w:r>
            <w:r>
              <w:rPr>
                <w:b/>
              </w:rPr>
              <w:t xml:space="preserve"> </w:t>
            </w:r>
            <w:r>
              <w:rPr>
                <w:iCs/>
                <w:b/>
                <w:i/>
              </w:rPr>
              <w:t xml:space="preserve">q</w:t>
            </w:r>
            <w:r>
              <w:rPr>
                <w:iCs/>
                <w:b/>
                <w:i/>
                <w:vertAlign w:val="subscript"/>
              </w:rPr>
              <w:t xml:space="preserve">h</w:t>
            </w:r>
          </w:p>
        </w:tc>
        <w:tc>
          <w:tcPr/>
          <w:p>
            <w:pPr>
              <w:pStyle w:val="Compact"/>
              <w:jc w:val="left"/>
            </w:pPr>
            <w:r>
              <w:rPr>
                <w:b/>
              </w:rPr>
              <w:t xml:space="preserve">Patient’s Choice in Payment Class ρ</w:t>
            </w:r>
          </w:p>
        </w:tc>
        <w:tc>
          <w:tcPr/>
          <w:p>
            <w:pPr>
              <w:pStyle w:val="Compact"/>
              <w:jc w:val="center"/>
            </w:pPr>
            <w:r>
              <w:rPr>
                <w:b/>
              </w:rPr>
              <w:t xml:space="preserve">Hospitals Accepted</w:t>
            </w:r>
          </w:p>
        </w:tc>
      </w:tr>
      <w:tr>
        <w:trPr>
          <w:cantSplit/>
        </w:trPr>
        <w:tc>
          <w:tcPr/>
          <w:p>
            <w:pPr>
              <w:pStyle w:val="Compact"/>
              <w:jc w:val="center"/>
            </w:pPr>
            <w:r>
              <w:t xml:space="preserve">0</w:t>
            </w:r>
          </w:p>
        </w:tc>
        <w:tc>
          <w:tcPr/>
          <w:p>
            <w:pPr>
              <w:pStyle w:val="Compact"/>
              <w:jc w:val="left"/>
            </w:pPr>
            <w:r>
              <w:t xml:space="preserve">Public hospital that hosts a Malasakit Center</w:t>
            </w:r>
          </w:p>
        </w:tc>
        <w:tc>
          <w:tcPr/>
          <w:p>
            <w:pPr>
              <w:pStyle w:val="Compact"/>
              <w:jc w:val="left"/>
            </w:pPr>
            <w:r>
              <w:t xml:space="preserve">“</w:t>
            </w:r>
            <w:r>
              <w:t xml:space="preserve">Free or assisted care only</w:t>
            </w:r>
            <w:r>
              <w:t xml:space="preserve">”</w:t>
            </w:r>
          </w:p>
        </w:tc>
        <w:tc>
          <w:tcPr/>
          <w:p>
            <w:pPr>
              <w:pStyle w:val="Compact"/>
              <w:jc w:val="center"/>
            </w:pPr>
            <w:r>
              <w:rPr>
                <w:iCs/>
                <w:i/>
              </w:rPr>
              <w:t xml:space="preserve">q</w:t>
            </w:r>
            <w:r>
              <w:rPr>
                <w:iCs/>
                <w:i/>
                <w:vertAlign w:val="subscript"/>
              </w:rPr>
              <w:t xml:space="preserve">h</w:t>
            </w:r>
            <w:r>
              <w:t xml:space="preserve"> </w:t>
            </w:r>
            <w:r>
              <w:t xml:space="preserve">= 0</w:t>
            </w:r>
          </w:p>
        </w:tc>
      </w:tr>
      <w:tr>
        <w:trPr>
          <w:cantSplit/>
        </w:trPr>
        <w:tc>
          <w:tcPr/>
          <w:p>
            <w:pPr>
              <w:pStyle w:val="Compact"/>
              <w:jc w:val="center"/>
            </w:pPr>
            <w:r>
              <w:t xml:space="preserve">1</w:t>
            </w:r>
          </w:p>
        </w:tc>
        <w:tc>
          <w:tcPr/>
          <w:p>
            <w:pPr>
              <w:pStyle w:val="Compact"/>
              <w:jc w:val="left"/>
            </w:pPr>
            <w:r>
              <w:t xml:space="preserve">Public hospital with no Malasakit Center</w:t>
            </w:r>
          </w:p>
        </w:tc>
        <w:tc>
          <w:tcPr/>
          <w:p>
            <w:pPr>
              <w:pStyle w:val="Compact"/>
              <w:jc w:val="left"/>
            </w:pPr>
            <w:r>
              <w:t xml:space="preserve">“</w:t>
            </w:r>
            <w:r>
              <w:t xml:space="preserve">Public hospitals</w:t>
            </w:r>
            <w:r>
              <w:t xml:space="preserve">”</w:t>
            </w:r>
          </w:p>
        </w:tc>
        <w:tc>
          <w:tcPr/>
          <w:p>
            <w:pPr>
              <w:pStyle w:val="Compact"/>
              <w:jc w:val="center"/>
            </w:pPr>
            <w:r>
              <w:rPr>
                <w:iCs/>
                <w:i/>
              </w:rPr>
              <w:t xml:space="preserve">q</w:t>
            </w:r>
            <w:r>
              <w:rPr>
                <w:iCs/>
                <w:i/>
                <w:vertAlign w:val="subscript"/>
              </w:rPr>
              <w:t xml:space="preserve">h</w:t>
            </w:r>
            <w:r>
              <w:t xml:space="preserve"> </w:t>
            </w:r>
            <w:r>
              <w:t xml:space="preserve">≤ 1</w:t>
            </w:r>
          </w:p>
        </w:tc>
      </w:tr>
      <w:tr>
        <w:trPr>
          <w:cantSplit/>
        </w:trPr>
        <w:tc>
          <w:tcPr/>
          <w:p>
            <w:pPr>
              <w:pStyle w:val="Compact"/>
              <w:jc w:val="center"/>
            </w:pPr>
            <w:r>
              <w:t xml:space="preserve">2</w:t>
            </w:r>
          </w:p>
        </w:tc>
        <w:tc>
          <w:tcPr/>
          <w:p>
            <w:pPr>
              <w:pStyle w:val="Compact"/>
              <w:jc w:val="left"/>
            </w:pPr>
            <w:r>
              <w:t xml:space="preserve">Private, PhilHealth-accredited hospital</w:t>
            </w:r>
          </w:p>
        </w:tc>
        <w:tc>
          <w:tcPr/>
          <w:p>
            <w:pPr>
              <w:pStyle w:val="Compact"/>
              <w:jc w:val="left"/>
            </w:pPr>
            <w:r>
              <w:t xml:space="preserve">“</w:t>
            </w:r>
            <w:r>
              <w:t xml:space="preserve">Private hospitals that accept PhilHealth</w:t>
            </w:r>
            <w:r>
              <w:t xml:space="preserve">”</w:t>
            </w:r>
          </w:p>
        </w:tc>
        <w:tc>
          <w:tcPr/>
          <w:p>
            <w:pPr>
              <w:pStyle w:val="Compact"/>
              <w:jc w:val="center"/>
            </w:pPr>
            <w:r>
              <w:rPr>
                <w:iCs/>
                <w:i/>
              </w:rPr>
              <w:t xml:space="preserve">q</w:t>
            </w:r>
            <w:r>
              <w:rPr>
                <w:iCs/>
                <w:i/>
                <w:vertAlign w:val="subscript"/>
              </w:rPr>
              <w:t xml:space="preserve">h</w:t>
            </w:r>
            <w:r>
              <w:t xml:space="preserve"> </w:t>
            </w:r>
            <w:r>
              <w:t xml:space="preserve">≤ 2</w:t>
            </w:r>
          </w:p>
        </w:tc>
      </w:tr>
      <w:tr>
        <w:trPr>
          <w:cantSplit/>
        </w:trPr>
        <w:tc>
          <w:tcPr/>
          <w:p>
            <w:pPr>
              <w:pStyle w:val="Compact"/>
              <w:jc w:val="center"/>
            </w:pPr>
            <w:r>
              <w:t xml:space="preserve">3</w:t>
            </w:r>
          </w:p>
        </w:tc>
        <w:tc>
          <w:tcPr/>
          <w:p>
            <w:pPr>
              <w:pStyle w:val="Compact"/>
              <w:jc w:val="left"/>
            </w:pPr>
            <w:r>
              <w:t xml:space="preserve">Private hospital lacking accreditation</w:t>
            </w:r>
          </w:p>
        </w:tc>
        <w:tc>
          <w:tcPr/>
          <w:p>
            <w:pPr>
              <w:pStyle w:val="Compact"/>
              <w:jc w:val="left"/>
            </w:pPr>
            <w:r>
              <w:t xml:space="preserve">“</w:t>
            </w:r>
            <w:r>
              <w:t xml:space="preserve">Any hospital</w:t>
            </w:r>
            <w:r>
              <w:t xml:space="preserve">”</w:t>
            </w:r>
          </w:p>
        </w:tc>
        <w:tc>
          <w:tcPr/>
          <w:p>
            <w:pPr>
              <w:pStyle w:val="Compact"/>
              <w:jc w:val="center"/>
            </w:pPr>
            <w:r>
              <w:rPr>
                <w:iCs/>
                <w:i/>
              </w:rPr>
              <w:t xml:space="preserve">q</w:t>
            </w:r>
            <w:r>
              <w:rPr>
                <w:iCs/>
                <w:i/>
                <w:vertAlign w:val="subscript"/>
              </w:rPr>
              <w:t xml:space="preserve">h</w:t>
            </w:r>
            <w:r>
              <w:t xml:space="preserve"> </w:t>
            </w:r>
            <w:r>
              <w:t xml:space="preserve">≤ 3</w:t>
            </w:r>
          </w:p>
        </w:tc>
      </w:tr>
    </w:tbl>
    <w:bookmarkEnd w:id="92"/>
    <w:bookmarkStart w:id="105" w:name="agent-network-for-live-bed-availability"/>
    <w:p>
      <w:pPr>
        <w:pStyle w:val="Heading2"/>
      </w:pPr>
      <w:r>
        <w:t xml:space="preserve">2.8 Agent Network for Live Bed Availability</w:t>
      </w:r>
    </w:p>
    <w:p>
      <w:pPr>
        <w:pStyle w:val="FirstParagraph"/>
      </w:pPr>
      <w:r>
        <w:t xml:space="preserve">The registers of Appendix A record authorized beds, not free ones. To learn the free count, the researchers built six kinds of software agents that write to the hospitals and ask (Table 10, Figure 2). An agent here is a small program with one job. All of them read from one database, which only the Registry agent may change, and they pass work through one message queue. A person keeps the one job that no fixed rule can do safely: reading any reply whose meaning the rules cannot pin down. The live table of free beds that the agents keep is the part of the application aimed at SDG target 3.d.</w:t>
      </w:r>
    </w:p>
    <w:p>
      <w:pPr>
        <w:pStyle w:val="TableCaption"/>
      </w:pPr>
      <w:r>
        <w:rPr>
          <w:bCs/>
          <w:b/>
        </w:rPr>
        <w:t xml:space="preserve">Table 10.</w:t>
      </w:r>
      <w:r>
        <w:t xml:space="preserve"> </w:t>
      </w:r>
      <w:r>
        <w:t xml:space="preserve">Who does what in the bed-availability network.</w:t>
      </w:r>
    </w:p>
    <w:tbl>
      <w:tblPr>
        <w:tblStyle w:val="Table"/>
        <w:tblW w:type="pct" w:w="5000"/>
        <w:jc w:val="center"/>
        <w:tblCaption w:val="Table 10. Who does what in the bed-availability network."/>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1638"/>
        <w:gridCol w:w="6281"/>
      </w:tblGrid>
      <w:tr>
        <w:trPr>
          <w:tblHeader w:val="true"/>
          <w:tblHeader/>
          <w:cantSplit/>
        </w:trPr>
        <w:tc>
          <w:tcPr/>
          <w:p>
            <w:pPr>
              <w:pStyle w:val="Compact"/>
              <w:jc w:val="left"/>
            </w:pPr>
            <w:r>
              <w:rPr>
                <w:b/>
              </w:rPr>
              <w:t xml:space="preserve">Agent</w:t>
            </w:r>
          </w:p>
        </w:tc>
        <w:tc>
          <w:tcPr/>
          <w:p>
            <w:pPr>
              <w:pStyle w:val="Compact"/>
              <w:jc w:val="left"/>
            </w:pPr>
            <w:r>
              <w:rPr>
                <w:b/>
              </w:rPr>
              <w:t xml:space="preserve">Task</w:t>
            </w:r>
          </w:p>
        </w:tc>
      </w:tr>
      <w:tr>
        <w:trPr>
          <w:cantSplit/>
        </w:trPr>
        <w:tc>
          <w:tcPr/>
          <w:p>
            <w:pPr>
              <w:pStyle w:val="Compact"/>
              <w:jc w:val="left"/>
            </w:pPr>
            <w:r>
              <w:t xml:space="preserve">Registry</w:t>
            </w:r>
          </w:p>
        </w:tc>
        <w:tc>
          <w:tcPr/>
          <w:p>
            <w:pPr>
              <w:pStyle w:val="Compact"/>
              <w:jc w:val="left"/>
            </w:pPr>
            <w:r>
              <w:t xml:space="preserve">Holds the hospital records of Definition 13, the opt-out list, and the bed-status table. No other agent may write to the database.</w:t>
            </w:r>
          </w:p>
        </w:tc>
      </w:tr>
      <w:tr>
        <w:trPr>
          <w:cantSplit/>
        </w:trPr>
        <w:tc>
          <w:tcPr/>
          <w:p>
            <w:pPr>
              <w:pStyle w:val="Compact"/>
              <w:jc w:val="left"/>
            </w:pPr>
            <w:r>
              <w:t xml:space="preserve">Coordinator</w:t>
            </w:r>
          </w:p>
        </w:tc>
        <w:tc>
          <w:tcPr/>
          <w:p>
            <w:pPr>
              <w:pStyle w:val="Compact"/>
              <w:jc w:val="left"/>
            </w:pPr>
            <w:r>
              <w:t xml:space="preserve">Opens every inquiry cycle on the schedule of Definition 14, enforces the opt-out list and the message limits, hands inquiries to the inquiry agents, and decides whether a reminder is due.</w:t>
            </w:r>
          </w:p>
        </w:tc>
      </w:tr>
      <w:tr>
        <w:trPr>
          <w:cantSplit/>
        </w:trPr>
        <w:tc>
          <w:tcPr/>
          <w:p>
            <w:pPr>
              <w:pStyle w:val="Compact"/>
              <w:jc w:val="left"/>
            </w:pPr>
            <w:r>
              <w:t xml:space="preserve">Inquiry (one per legislative district)</w:t>
            </w:r>
          </w:p>
        </w:tc>
        <w:tc>
          <w:tcPr/>
          <w:p>
            <w:pPr>
              <w:pStyle w:val="Compact"/>
              <w:jc w:val="left"/>
            </w:pPr>
            <w:r>
              <w:t xml:space="preserve">Prepares the inquiry of Appendix F, attaches a one-time reference token, and sends it by SMTP to the hospital’s contact address.</w:t>
            </w:r>
          </w:p>
        </w:tc>
      </w:tr>
      <w:tr>
        <w:trPr>
          <w:cantSplit/>
        </w:trPr>
        <w:tc>
          <w:tcPr/>
          <w:p>
            <w:pPr>
              <w:pStyle w:val="Compact"/>
              <w:jc w:val="left"/>
            </w:pPr>
            <w:r>
              <w:t xml:space="preserve">Reader</w:t>
            </w:r>
          </w:p>
        </w:tc>
        <w:tc>
          <w:tcPr/>
          <w:p>
            <w:pPr>
              <w:pStyle w:val="Compact"/>
              <w:jc w:val="left"/>
            </w:pPr>
            <w:r>
              <w:t xml:space="preserve">Polls the project mailbox over IMAP every 10 minutes and once more just before any send. It picks out opt-outs, pairs each reply with its token and sender, and extracts the numbers by fixed rules. It never guesses: anything it cannot read with certainty goes to the human review queue.</w:t>
            </w:r>
          </w:p>
        </w:tc>
      </w:tr>
      <w:tr>
        <w:trPr>
          <w:cantSplit/>
        </w:trPr>
        <w:tc>
          <w:tcPr/>
          <w:p>
            <w:pPr>
              <w:pStyle w:val="Compact"/>
              <w:jc w:val="left"/>
            </w:pPr>
            <w:r>
              <w:t xml:space="preserve">Validator</w:t>
            </w:r>
          </w:p>
        </w:tc>
        <w:tc>
          <w:tcPr/>
          <w:p>
            <w:pPr>
              <w:pStyle w:val="Compact"/>
              <w:jc w:val="left"/>
            </w:pPr>
            <w:r>
              <w:t xml:space="preserve">Tests each reply against rules V1 to V5 of Table 11 and passes accepted reports to the Registry.</w:t>
            </w:r>
          </w:p>
        </w:tc>
      </w:tr>
      <w:tr>
        <w:trPr>
          <w:cantSplit/>
        </w:trPr>
        <w:tc>
          <w:tcPr/>
          <w:p>
            <w:pPr>
              <w:pStyle w:val="Compact"/>
              <w:jc w:val="left"/>
            </w:pPr>
            <w:r>
              <w:t xml:space="preserve">Status</w:t>
            </w:r>
          </w:p>
        </w:tc>
        <w:tc>
          <w:tcPr/>
          <w:p>
            <w:pPr>
              <w:pStyle w:val="Compact"/>
              <w:jc w:val="left"/>
            </w:pPr>
            <w:r>
              <w:t xml:space="preserve">On request from the application, computes bed status and free beds and reports the age of Definition 15.</w:t>
            </w:r>
          </w:p>
        </w:tc>
      </w:tr>
      <w:tr>
        <w:trPr>
          <w:cantSplit/>
        </w:trPr>
        <w:tc>
          <w:tcPr/>
          <w:p>
            <w:pPr>
              <w:pStyle w:val="Compact"/>
              <w:jc w:val="left"/>
            </w:pPr>
            <w:r>
              <w:t xml:space="preserve">Human reviewer (a person, not an agent)</w:t>
            </w:r>
          </w:p>
        </w:tc>
        <w:tc>
          <w:tcPr/>
          <w:p>
            <w:pPr>
              <w:pStyle w:val="Compact"/>
              <w:jc w:val="left"/>
            </w:pPr>
            <w:r>
              <w:t xml:space="preserve">A researcher who clears the review queue. A figure keyed in by hand passes through the Validator exactly like any other figure.</w:t>
            </w:r>
          </w:p>
        </w:tc>
      </w:tr>
    </w:tbl>
    <w:p>
      <w:pPr>
        <w:pStyle w:val="BodyText"/>
        <w:spacing w:before="200"/>
      </w:pPr>
      <w:r>
        <w:rPr>
          <w:bCs/>
          <w:b/>
        </w:rPr>
        <w:t xml:space="preserve">Definition 14 (Inquiry protocol).</w:t>
      </w:r>
      <w:r>
        <w:t xml:space="preserve"> </w:t>
      </w:r>
      <w:r>
        <w:t xml:space="preserve">For hospital</w:t>
      </w:r>
      <w:r>
        <w:t xml:space="preserve"> </w:t>
      </w:r>
      <w:r>
        <w:rPr>
          <w:iCs/>
          <w:i/>
        </w:rPr>
        <w:t xml:space="preserve">h</w:t>
      </w:r>
      <w:r>
        <w:t xml:space="preserve">, cycle</w:t>
      </w:r>
      <w:r>
        <w:t xml:space="preserve"> </w:t>
      </w:r>
      <w:r>
        <w:rPr>
          <w:iCs/>
          <w:i/>
        </w:rPr>
        <w:t xml:space="preserve">k</w:t>
      </w:r>
      <w:r>
        <w:t xml:space="preserve"> </w:t>
      </w:r>
      <w:r>
        <w:t xml:space="preserve">opens at</w:t>
      </w:r>
    </w:p>
    <w:p>
      <w:pPr>
        <w:pStyle w:val="Equation"/>
      </w:pPr>
      <w:r>
        <w:tab/>
      </w:r>
      <w:r>
        <w:drawing>
          <wp:inline>
            <wp:extent cx="4703673" cy="366674"/>
            <wp:effectExtent b="0" l="0" r="0" t="0"/>
            <wp:docPr descr="" title="" id="94" name="Picture"/>
            <a:graphic>
              <a:graphicData uri="http://schemas.openxmlformats.org/drawingml/2006/picture">
                <pic:pic>
                  <pic:nvPicPr>
                    <pic:cNvPr descr="eq/eq13.png" id="95" name="Picture"/>
                    <pic:cNvPicPr>
                      <a:picLocks noChangeArrowheads="1" noChangeAspect="1"/>
                    </pic:cNvPicPr>
                  </pic:nvPicPr>
                  <pic:blipFill>
                    <a:blip r:embed="rId93"/>
                    <a:stretch>
                      <a:fillRect/>
                    </a:stretch>
                  </pic:blipFill>
                  <pic:spPr bwMode="auto">
                    <a:xfrm>
                      <a:off x="0" y="0"/>
                      <a:ext cx="4703673" cy="366674"/>
                    </a:xfrm>
                    <a:prstGeom prst="rect">
                      <a:avLst/>
                    </a:prstGeom>
                    <a:noFill/>
                    <a:ln w="9525">
                      <a:noFill/>
                      <a:headEnd/>
                      <a:tailEnd/>
                    </a:ln>
                  </pic:spPr>
                </pic:pic>
              </a:graphicData>
            </a:graphic>
          </wp:inline>
        </w:drawing>
      </w:r>
      <w:r/>
      <w:r/>
      <w:r>
        <w:rPr>
          <w:rFonts w:ascii="Times New Roman" w:hAnsi="Times New Roman"/>
          <w:sz w:val="24"/>
        </w:rPr>
        <w:tab/>
        <w:t>(13)</w:t>
      </w:r>
    </w:p>
    <w:p>
      <w:pPr>
        <w:pStyle w:val="Source"/>
      </w:pPr>
      <w:r>
        <w:t xml:space="preserve">Source: formulated in this study (Definition 14)</w:t>
      </w:r>
    </w:p>
    <w:p>
      <w:pPr>
        <w:pStyle w:val="BodyText"/>
      </w:pPr>
      <w:r>
        <w:t xml:space="preserve">The default period is</w:t>
      </w:r>
      <w:r>
        <w:t xml:space="preserve"> </w:t>
      </w:r>
      <w:r>
        <w:rPr>
          <w:iCs/>
          <w:i/>
        </w:rPr>
        <w:t xml:space="preserve">P</w:t>
      </w:r>
      <w:r>
        <w:rPr>
          <w:iCs/>
          <w:i/>
          <w:vertAlign w:val="subscript"/>
        </w:rPr>
        <w:t xml:space="preserve">h</w:t>
      </w:r>
      <w:r>
        <w:t xml:space="preserve"> </w:t>
      </w:r>
      <w:r>
        <w:t xml:space="preserve">= 8 h, one cycle per standard nursing shift. A facility that prefers a single daily inquiry is set to</w:t>
      </w:r>
      <w:r>
        <w:t xml:space="preserve"> </w:t>
      </w:r>
      <w:r>
        <w:rPr>
          <w:iCs/>
          <w:i/>
        </w:rPr>
        <w:t xml:space="preserve">P</w:t>
      </w:r>
      <w:r>
        <w:rPr>
          <w:iCs/>
          <w:i/>
          <w:vertAlign w:val="subscript"/>
        </w:rPr>
        <w:t xml:space="preserve">h</w:t>
      </w:r>
      <w:r>
        <w:t xml:space="preserve"> </w:t>
      </w:r>
      <w:r>
        <w:t xml:space="preserve">= 24 h. At the opening of each cycle the Coordinator sends an inquiry with a fresh token to every hospital not on the opt-out list. If no validated reply quoting that token has arrived by</w:t>
      </w:r>
      <w:r>
        <w:t xml:space="preserve"> </w:t>
      </w:r>
      <w:r>
        <w:rPr>
          <w:iCs/>
          <w:i/>
        </w:rPr>
        <w:t xml:space="preserve">t</w:t>
      </w:r>
      <w:r>
        <w:rPr>
          <w:iCs/>
          <w:i/>
          <w:vertAlign w:val="subscript"/>
        </w:rPr>
        <w:t xml:space="preserve">k</w:t>
      </w:r>
      <w:r>
        <w:t xml:space="preserve"> </w:t>
      </w:r>
      <w:r>
        <w:t xml:space="preserve">+</w:t>
      </w:r>
      <w:r>
        <w:t xml:space="preserve"> </w:t>
      </w:r>
      <w:r>
        <w:rPr>
          <w:iCs/>
          <w:i/>
        </w:rPr>
        <w:t xml:space="preserve">R</w:t>
      </w:r>
      <w:r>
        <w:rPr>
          <w:iCs/>
          <w:i/>
          <w:vertAlign w:val="subscript"/>
        </w:rPr>
        <w:t xml:space="preserve">rem</w:t>
      </w:r>
      <w:r>
        <w:t xml:space="preserve">, one reminder (</w:t>
      </w:r>
      <w:r>
        <w:rPr>
          <w:iCs/>
          <w:i/>
        </w:rPr>
        <w:t xml:space="preserve">n</w:t>
      </w:r>
      <w:r>
        <w:rPr>
          <w:iCs/>
          <w:i/>
          <w:vertAlign w:val="subscript"/>
        </w:rPr>
        <w:t xml:space="preserve">rem</w:t>
      </w:r>
      <w:r>
        <w:t xml:space="preserve"> </w:t>
      </w:r>
      <w:r>
        <w:t xml:space="preserve">= 1) is sent with the same token, and nothing more is sent until the next cycle. The reminder delay</w:t>
      </w:r>
      <w:r>
        <w:t xml:space="preserve"> </w:t>
      </w:r>
      <w:r>
        <w:rPr>
          <w:iCs/>
          <w:i/>
        </w:rPr>
        <w:t xml:space="preserve">R</w:t>
      </w:r>
      <w:r>
        <w:rPr>
          <w:iCs/>
          <w:i/>
          <w:vertAlign w:val="subscript"/>
        </w:rPr>
        <w:t xml:space="preserve">rem</w:t>
      </w:r>
      <w:r>
        <w:t xml:space="preserve"> </w:t>
      </w:r>
      <w:r>
        <w:t xml:space="preserve">is a configuration value; any value with</w:t>
      </w:r>
      <w:r>
        <w:t xml:space="preserve"> </w:t>
      </w:r>
      <w:r>
        <w:rPr>
          <w:iCs/>
          <w:i/>
        </w:rPr>
        <w:t xml:space="preserve">n</w:t>
      </w:r>
      <w:r>
        <w:rPr>
          <w:iCs/>
          <w:i/>
          <w:vertAlign w:val="subscript"/>
        </w:rPr>
        <w:t xml:space="preserve">rem</w:t>
      </w:r>
      <w:r>
        <w:t xml:space="preserve"> </w:t>
      </w:r>
      <w:r>
        <w:rPr>
          <w:iCs/>
          <w:i/>
        </w:rPr>
        <w:t xml:space="preserve">R</w:t>
      </w:r>
      <w:r>
        <w:rPr>
          <w:iCs/>
          <w:i/>
          <w:vertAlign w:val="subscript"/>
        </w:rPr>
        <w:t xml:space="preserve">rem</w:t>
      </w:r>
      <w:r>
        <w:t xml:space="preserve"> </w:t>
      </w:r>
      <w:r>
        <w:t xml:space="preserve">&lt;</w:t>
      </w:r>
      <w:r>
        <w:t xml:space="preserve"> </w:t>
      </w:r>
      <w:r>
        <w:rPr>
          <w:iCs/>
          <w:i/>
        </w:rPr>
        <w:t xml:space="preserve">P</w:t>
      </w:r>
      <w:r>
        <w:rPr>
          <w:iCs/>
          <w:i/>
          <w:vertAlign w:val="subscript"/>
        </w:rPr>
        <w:t xml:space="preserve">h</w:t>
      </w:r>
      <w:r>
        <w:t xml:space="preserve"> </w:t>
      </w:r>
      <w:r>
        <w:t xml:space="preserve">satisfies Proposition 12. A hospital may send an update at any time by quoting any active token, and tokens stay valid for 24 hours to allow for late replies. Opting out is automatic: a reply that contains a recognized opt-out phrase removes the facility from all later cycles. Before any send, the Reader clears every message waiting in the inbox.</w:t>
      </w:r>
    </w:p>
    <w:p>
      <w:pPr>
        <w:pStyle w:val="CaptionedFigure"/>
      </w:pPr>
      <w:r>
        <w:drawing>
          <wp:inline>
            <wp:extent cx="5760720" cy="3391956"/>
            <wp:effectExtent b="0" l="0" r="0" t="0"/>
            <wp:docPr descr="Figure 2. Structure of the bed-availability network. Solid arrows are inquiries, replies, and reports; dashed arrows are opt-outs and figures entered after human review." title="" id="97" name="Picture"/>
            <a:graphic>
              <a:graphicData uri="http://schemas.openxmlformats.org/drawingml/2006/picture">
                <pic:pic>
                  <pic:nvPicPr>
                    <pic:cNvPr descr="fig/fig2_agents.png" id="98" name="Picture"/>
                    <pic:cNvPicPr>
                      <a:picLocks noChangeArrowheads="1" noChangeAspect="1"/>
                    </pic:cNvPicPr>
                  </pic:nvPicPr>
                  <pic:blipFill>
                    <a:blip r:embed="rId96"/>
                    <a:stretch>
                      <a:fillRect/>
                    </a:stretch>
                  </pic:blipFill>
                  <pic:spPr bwMode="auto">
                    <a:xfrm>
                      <a:off x="0" y="0"/>
                      <a:ext cx="5760720" cy="3391956"/>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Structure of the bed-availability network. Solid arrows are inquiries, replies, and reports; dashed arrows are opt-outs and figures entered after human review.</w:t>
      </w:r>
    </w:p>
    <w:p>
      <w:pPr>
        <w:pStyle w:val="TableCaption"/>
      </w:pPr>
      <w:r>
        <w:rPr>
          <w:bCs/>
          <w:b/>
        </w:rPr>
        <w:t xml:space="preserve">Table 11.</w:t>
      </w:r>
      <w:r>
        <w:t xml:space="preserve"> </w:t>
      </w:r>
      <w:r>
        <w:t xml:space="preserve">The five checks run by the Validator agent on every reply.</w:t>
      </w:r>
    </w:p>
    <w:tbl>
      <w:tblPr>
        <w:tblStyle w:val="Table"/>
        <w:tblW w:type="pct" w:w="5000"/>
        <w:jc w:val="center"/>
        <w:tblCaption w:val="Table 11. The five checks run by the Validator agent on every reply."/>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638"/>
        <w:gridCol w:w="1405"/>
        <w:gridCol w:w="3960"/>
        <w:gridCol w:w="1916"/>
      </w:tblGrid>
      <w:tr>
        <w:trPr>
          <w:tblHeader w:val="true"/>
          <w:tblHeader/>
          <w:cantSplit/>
        </w:trPr>
        <w:tc>
          <w:tcPr/>
          <w:p>
            <w:pPr>
              <w:pStyle w:val="Compact"/>
              <w:jc w:val="left"/>
            </w:pPr>
            <w:r>
              <w:rPr>
                <w:b/>
              </w:rPr>
              <w:t xml:space="preserve">Rule</w:t>
            </w:r>
          </w:p>
        </w:tc>
        <w:tc>
          <w:tcPr/>
          <w:p>
            <w:pPr>
              <w:pStyle w:val="Compact"/>
              <w:jc w:val="left"/>
            </w:pPr>
            <w:r>
              <w:rPr>
                <w:b/>
              </w:rPr>
              <w:t xml:space="preserve">Name</w:t>
            </w:r>
          </w:p>
        </w:tc>
        <w:tc>
          <w:tcPr/>
          <w:p>
            <w:pPr>
              <w:pStyle w:val="Compact"/>
              <w:jc w:val="left"/>
            </w:pPr>
            <w:r>
              <w:rPr>
                <w:b/>
              </w:rPr>
              <w:t xml:space="preserve">Check</w:t>
            </w:r>
          </w:p>
        </w:tc>
        <w:tc>
          <w:tcPr/>
          <w:p>
            <w:pPr>
              <w:pStyle w:val="Compact"/>
              <w:jc w:val="left"/>
            </w:pPr>
            <w:r>
              <w:rPr>
                <w:b/>
              </w:rPr>
              <w:t xml:space="preserve">If the Check Fails</w:t>
            </w:r>
          </w:p>
        </w:tc>
      </w:tr>
      <w:tr>
        <w:trPr>
          <w:cantSplit/>
        </w:trPr>
        <w:tc>
          <w:tcPr/>
          <w:p>
            <w:pPr>
              <w:pStyle w:val="Compact"/>
              <w:jc w:val="left"/>
            </w:pPr>
            <w:r>
              <w:t xml:space="preserve">V1</w:t>
            </w:r>
          </w:p>
        </w:tc>
        <w:tc>
          <w:tcPr/>
          <w:p>
            <w:pPr>
              <w:pStyle w:val="Compact"/>
              <w:jc w:val="left"/>
            </w:pPr>
            <w:r>
              <w:t xml:space="preserve">Authenticity</w:t>
            </w:r>
          </w:p>
        </w:tc>
        <w:tc>
          <w:tcPr/>
          <w:p>
            <w:pPr>
              <w:pStyle w:val="Compact"/>
              <w:jc w:val="left"/>
            </w:pPr>
            <w:r>
              <w:t xml:space="preserve">The subject line shows a token issued to</w:t>
            </w:r>
            <w:r>
              <w:t xml:space="preserve"> </w:t>
            </w:r>
            <w:r>
              <w:rPr>
                <w:iCs/>
                <w:i/>
              </w:rPr>
              <w:t xml:space="preserve">h</w:t>
            </w:r>
            <w:r>
              <w:t xml:space="preserve"> </w:t>
            </w:r>
            <w:r>
              <w:t xml:space="preserve">less than 24 h ago, and the sender is the registered address</w:t>
            </w:r>
            <w:r>
              <w:t xml:space="preserve"> </w:t>
            </w:r>
            <w:r>
              <w:rPr>
                <w:iCs/>
                <w:i/>
              </w:rPr>
              <w:t xml:space="preserve">m</w:t>
            </w:r>
            <w:r>
              <w:rPr>
                <w:iCs/>
                <w:i/>
                <w:vertAlign w:val="subscript"/>
              </w:rPr>
              <w:t xml:space="preserve">h</w:t>
            </w:r>
            <w:r>
              <w:t xml:space="preserve">.</w:t>
            </w:r>
          </w:p>
        </w:tc>
        <w:tc>
          <w:tcPr/>
          <w:p>
            <w:pPr>
              <w:pStyle w:val="Compact"/>
              <w:jc w:val="left"/>
            </w:pPr>
            <w:r>
              <w:t xml:space="preserve">Discarded; nothing stored</w:t>
            </w:r>
          </w:p>
        </w:tc>
      </w:tr>
      <w:tr>
        <w:trPr>
          <w:cantSplit/>
        </w:trPr>
        <w:tc>
          <w:tcPr/>
          <w:p>
            <w:pPr>
              <w:pStyle w:val="Compact"/>
              <w:jc w:val="left"/>
            </w:pPr>
            <w:r>
              <w:t xml:space="preserve">V2</w:t>
            </w:r>
          </w:p>
        </w:tc>
        <w:tc>
          <w:tcPr/>
          <w:p>
            <w:pPr>
              <w:pStyle w:val="Compact"/>
              <w:jc w:val="left"/>
            </w:pPr>
            <w:r>
              <w:t xml:space="preserve">Completeness</w:t>
            </w:r>
          </w:p>
        </w:tc>
        <w:tc>
          <w:tcPr/>
          <w:p>
            <w:pPr>
              <w:pStyle w:val="Compact"/>
              <w:jc w:val="left"/>
            </w:pPr>
            <w:r>
              <w:t xml:space="preserve">The reply yields one capacity figure and one figure for either occupied or free beds (occupied beds are derived in the second case). Inconsistent figures count as unreadable.</w:t>
            </w:r>
          </w:p>
        </w:tc>
        <w:tc>
          <w:tcPr/>
          <w:p>
            <w:pPr>
              <w:pStyle w:val="Compact"/>
              <w:jc w:val="left"/>
            </w:pPr>
            <w:r>
              <w:t xml:space="preserve">Referred to human review</w:t>
            </w:r>
          </w:p>
        </w:tc>
      </w:tr>
      <w:tr>
        <w:trPr>
          <w:cantSplit/>
        </w:trPr>
        <w:tc>
          <w:tcPr/>
          <w:p>
            <w:pPr>
              <w:pStyle w:val="Compact"/>
              <w:jc w:val="left"/>
            </w:pPr>
            <w:r>
              <w:t xml:space="preserve">V3</w:t>
            </w:r>
          </w:p>
        </w:tc>
        <w:tc>
          <w:tcPr/>
          <w:p>
            <w:pPr>
              <w:pStyle w:val="Compact"/>
              <w:jc w:val="left"/>
            </w:pPr>
            <w:r>
              <w:t xml:space="preserve">Capacity plausibility</w:t>
            </w:r>
          </w:p>
        </w:tc>
        <w:tc>
          <w:tcPr/>
          <w:p>
            <w:pPr>
              <w:pStyle w:val="Compact"/>
              <w:jc w:val="left"/>
            </w:pPr>
            <w:r>
              <w:t xml:space="preserve">0.5</w:t>
            </w:r>
            <w:r>
              <w:t xml:space="preserve"> </w:t>
            </w:r>
            <w:r>
              <w:rPr>
                <w:iCs/>
                <w:i/>
              </w:rPr>
              <w:t xml:space="preserve">c</w:t>
            </w:r>
            <w:r>
              <w:rPr>
                <w:iCs/>
                <w:i/>
                <w:vertAlign w:val="subscript"/>
              </w:rPr>
              <w:t xml:space="preserve">h</w:t>
            </w:r>
            <w:r>
              <w:t xml:space="preserve"> </w:t>
            </w:r>
            <w:r>
              <w:t xml:space="preserve">≤</w:t>
            </w:r>
            <w:r>
              <w:t xml:space="preserve"> </w:t>
            </w:r>
            <w:r>
              <w:rPr>
                <w:iCs/>
                <w:i/>
              </w:rPr>
              <w:t xml:space="preserve">ĉ</w:t>
            </w:r>
            <w:r>
              <w:rPr>
                <w:iCs/>
                <w:i/>
                <w:vertAlign w:val="subscript"/>
              </w:rPr>
              <w:t xml:space="preserve">h</w:t>
            </w:r>
            <w:r>
              <w:t xml:space="preserve"> </w:t>
            </w:r>
            <w:r>
              <w:t xml:space="preserve">≤ 2</w:t>
            </w:r>
            <w:r>
              <w:t xml:space="preserve"> </w:t>
            </w:r>
            <w:r>
              <w:rPr>
                <w:iCs/>
                <w:i/>
              </w:rPr>
              <w:t xml:space="preserve">c</w:t>
            </w:r>
            <w:r>
              <w:rPr>
                <w:iCs/>
                <w:i/>
                <w:vertAlign w:val="subscript"/>
              </w:rPr>
              <w:t xml:space="preserve">h</w:t>
            </w:r>
            <w:r>
              <w:t xml:space="preserve">, where</w:t>
            </w:r>
            <w:r>
              <w:t xml:space="preserve"> </w:t>
            </w:r>
            <w:r>
              <w:rPr>
                <w:iCs/>
                <w:i/>
              </w:rPr>
              <w:t xml:space="preserve">ĉ</w:t>
            </w:r>
            <w:r>
              <w:rPr>
                <w:iCs/>
                <w:i/>
                <w:vertAlign w:val="subscript"/>
              </w:rPr>
              <w:t xml:space="preserve">h</w:t>
            </w:r>
            <w:r>
              <w:t xml:space="preserve"> </w:t>
            </w:r>
            <w:r>
              <w:t xml:space="preserve">is the capacity stated in the reply.</w:t>
            </w:r>
          </w:p>
        </w:tc>
        <w:tc>
          <w:tcPr/>
          <w:p>
            <w:pPr>
              <w:pStyle w:val="Compact"/>
              <w:jc w:val="left"/>
            </w:pPr>
            <w:r>
              <w:t xml:space="preserve">Held, as a possible typing error or a different idea of a bed</w:t>
            </w:r>
          </w:p>
        </w:tc>
      </w:tr>
      <w:tr>
        <w:trPr>
          <w:cantSplit/>
        </w:trPr>
        <w:tc>
          <w:tcPr/>
          <w:p>
            <w:pPr>
              <w:pStyle w:val="Compact"/>
              <w:jc w:val="left"/>
            </w:pPr>
            <w:r>
              <w:t xml:space="preserve">V4</w:t>
            </w:r>
          </w:p>
        </w:tc>
        <w:tc>
          <w:tcPr/>
          <w:p>
            <w:pPr>
              <w:pStyle w:val="Compact"/>
              <w:jc w:val="left"/>
            </w:pPr>
            <w:r>
              <w:t xml:space="preserve">Occupancy plausibility</w:t>
            </w:r>
          </w:p>
        </w:tc>
        <w:tc>
          <w:tcPr/>
          <w:p>
            <w:pPr>
              <w:pStyle w:val="Compact"/>
              <w:jc w:val="left"/>
            </w:pPr>
            <w:r>
              <w:t xml:space="preserve">0 ≤</w:t>
            </w:r>
            <w:r>
              <w:t xml:space="preserve"> </w:t>
            </w:r>
            <w:r>
              <w:rPr>
                <w:iCs/>
                <w:i/>
              </w:rPr>
              <w:t xml:space="preserve">ô</w:t>
            </w:r>
            <w:r>
              <w:rPr>
                <w:iCs/>
                <w:i/>
                <w:vertAlign w:val="subscript"/>
              </w:rPr>
              <w:t xml:space="preserve">h</w:t>
            </w:r>
            <w:r>
              <w:t xml:space="preserve"> </w:t>
            </w:r>
            <w:r>
              <w:t xml:space="preserve">≤ 2</w:t>
            </w:r>
            <w:r>
              <w:t xml:space="preserve"> </w:t>
            </w:r>
            <w:r>
              <w:rPr>
                <w:iCs/>
                <w:i/>
              </w:rPr>
              <w:t xml:space="preserve">ĉ</w:t>
            </w:r>
            <w:r>
              <w:rPr>
                <w:iCs/>
                <w:i/>
                <w:vertAlign w:val="subscript"/>
              </w:rPr>
              <w:t xml:space="preserve">h</w:t>
            </w:r>
            <w:r>
              <w:t xml:space="preserve">. A count above</w:t>
            </w:r>
            <w:r>
              <w:t xml:space="preserve"> </w:t>
            </w:r>
            <w:r>
              <w:rPr>
                <w:iCs/>
                <w:i/>
              </w:rPr>
              <w:t xml:space="preserve">ĉ</w:t>
            </w:r>
            <w:r>
              <w:rPr>
                <w:iCs/>
                <w:i/>
                <w:vertAlign w:val="subscript"/>
              </w:rPr>
              <w:t xml:space="preserve">h</w:t>
            </w:r>
            <w:r>
              <w:t xml:space="preserve"> </w:t>
            </w:r>
            <w:r>
              <w:t xml:space="preserve">is read as</w:t>
            </w:r>
            <w:r>
              <w:t xml:space="preserve"> </w:t>
            </w:r>
            <w:r>
              <w:t xml:space="preserve">“</w:t>
            </w:r>
            <w:r>
              <w:t xml:space="preserve">over capacity.</w:t>
            </w:r>
            <w:r>
              <w:t xml:space="preserve">”</w:t>
            </w:r>
          </w:p>
        </w:tc>
        <w:tc>
          <w:tcPr/>
          <w:p>
            <w:pPr>
              <w:pStyle w:val="Compact"/>
              <w:jc w:val="left"/>
            </w:pPr>
            <w:r>
              <w:t xml:space="preserve">Held</w:t>
            </w:r>
          </w:p>
        </w:tc>
      </w:tr>
      <w:tr>
        <w:trPr>
          <w:cantSplit/>
        </w:trPr>
        <w:tc>
          <w:tcPr/>
          <w:p>
            <w:pPr>
              <w:pStyle w:val="Compact"/>
              <w:jc w:val="left"/>
            </w:pPr>
            <w:r>
              <w:t xml:space="preserve">V5</w:t>
            </w:r>
          </w:p>
        </w:tc>
        <w:tc>
          <w:tcPr/>
          <w:p>
            <w:pPr>
              <w:pStyle w:val="Compact"/>
              <w:jc w:val="left"/>
            </w:pPr>
            <w:r>
              <w:t xml:space="preserve">Recency</w:t>
            </w:r>
          </w:p>
        </w:tc>
        <w:tc>
          <w:tcPr/>
          <w:p>
            <w:pPr>
              <w:pStyle w:val="Compact"/>
              <w:jc w:val="left"/>
            </w:pPr>
            <w:r>
              <w:t xml:space="preserve">The reply is newer than the report already on file.</w:t>
            </w:r>
          </w:p>
        </w:tc>
        <w:tc>
          <w:tcPr/>
          <w:p>
            <w:pPr>
              <w:pStyle w:val="Compact"/>
              <w:jc w:val="left"/>
            </w:pPr>
            <w:r>
              <w:t xml:space="preserve">Added to the history only</w:t>
            </w:r>
          </w:p>
        </w:tc>
      </w:tr>
    </w:tbl>
    <w:p>
      <w:pPr>
        <w:pStyle w:val="BodyText"/>
        <w:spacing w:before="200"/>
      </w:pPr>
      <w:r>
        <w:t xml:space="preserve">Rule V4 lets occupancy exceed the stated capacity. During surges, patients are often treated on stretchers in hallways or in shared spaces, and a count above capacity reflects that. Such a hospital is treated as full.</w:t>
      </w:r>
    </w:p>
    <w:p>
      <w:pPr>
        <w:pStyle w:val="BodyText"/>
      </w:pPr>
      <w:r>
        <w:rPr>
          <w:bCs/>
          <w:b/>
        </w:rPr>
        <w:t xml:space="preserve">Definition 15 (Bed status and report age).</w:t>
      </w:r>
      <w:r>
        <w:t xml:space="preserve"> </w:t>
      </w:r>
      <w:r>
        <w:t xml:space="preserve">For hospital</w:t>
      </w:r>
      <w:r>
        <w:t xml:space="preserve"> </w:t>
      </w:r>
      <w:r>
        <w:rPr>
          <w:iCs/>
          <w:i/>
        </w:rPr>
        <w:t xml:space="preserve">h</w:t>
      </w:r>
      <w:r>
        <w:t xml:space="preserve">, a validated report is a tuple</w:t>
      </w:r>
      <w:r>
        <w:t xml:space="preserve"> </w:t>
      </w:r>
      <w:r>
        <w:rPr>
          <w:iCs/>
          <w:i/>
        </w:rPr>
        <w:t xml:space="preserve">r</w:t>
      </w:r>
      <w:r>
        <w:rPr>
          <w:iCs/>
          <w:i/>
          <w:vertAlign w:val="subscript"/>
        </w:rPr>
        <w:t xml:space="preserve">h</w:t>
      </w:r>
      <w:r>
        <w:t xml:space="preserve"> </w:t>
      </w:r>
      <w:r>
        <w:t xml:space="preserve">= (</w:t>
      </w:r>
      <w:r>
        <w:rPr>
          <w:iCs/>
          <w:i/>
        </w:rPr>
        <w:t xml:space="preserve">t</w:t>
      </w:r>
      <w:r>
        <w:rPr>
          <w:iCs/>
          <w:i/>
          <w:vertAlign w:val="superscript"/>
        </w:rPr>
        <w:t xml:space="preserve">r</w:t>
      </w:r>
      <w:r>
        <w:rPr>
          <w:iCs/>
          <w:i/>
          <w:vertAlign w:val="subscript"/>
        </w:rPr>
        <w:t xml:space="preserve">h</w:t>
      </w:r>
      <w:r>
        <w:t xml:space="preserve">,</w:t>
      </w:r>
      <w:r>
        <w:t xml:space="preserve"> </w:t>
      </w:r>
      <w:r>
        <w:rPr>
          <w:iCs/>
          <w:i/>
        </w:rPr>
        <w:t xml:space="preserve">ĉ</w:t>
      </w:r>
      <w:r>
        <w:rPr>
          <w:iCs/>
          <w:i/>
          <w:vertAlign w:val="subscript"/>
        </w:rPr>
        <w:t xml:space="preserve">h</w:t>
      </w:r>
      <w:r>
        <w:t xml:space="preserve">,</w:t>
      </w:r>
      <w:r>
        <w:t xml:space="preserve"> </w:t>
      </w:r>
      <w:r>
        <w:rPr>
          <w:iCs/>
          <w:i/>
        </w:rPr>
        <w:t xml:space="preserve">ô</w:t>
      </w:r>
      <w:r>
        <w:rPr>
          <w:iCs/>
          <w:i/>
          <w:vertAlign w:val="subscript"/>
        </w:rPr>
        <w:t xml:space="preserve">h</w:t>
      </w:r>
      <w:r>
        <w:t xml:space="preserve">,</w:t>
      </w:r>
      <w:r>
        <w:t xml:space="preserve"> </w:t>
      </w:r>
      <w:r>
        <w:rPr>
          <w:iCs/>
          <w:i/>
        </w:rPr>
        <w:t xml:space="preserve">ê</w:t>
      </w:r>
      <w:r>
        <w:rPr>
          <w:iCs/>
          <w:i/>
          <w:vertAlign w:val="subscript"/>
        </w:rPr>
        <w:t xml:space="preserve">h</w:t>
      </w:r>
      <w:r>
        <w:t xml:space="preserve">): the time of the reply, the reported capacity, the reported occupancy, and an optional emergency-room status (</w:t>
      </w:r>
      <w:r>
        <w:rPr>
          <w:iCs/>
          <w:i/>
        </w:rPr>
        <w:t xml:space="preserve">ê</w:t>
      </w:r>
      <w:r>
        <w:rPr>
          <w:iCs/>
          <w:i/>
          <w:vertAlign w:val="subscript"/>
        </w:rPr>
        <w:t xml:space="preserve">h</w:t>
      </w:r>
      <w:r>
        <w:t xml:space="preserve"> </w:t>
      </w:r>
      <w:r>
        <w:t xml:space="preserve">∈ {ACCEPTING, FULL}). From the most recent validated report,</w:t>
      </w:r>
    </w:p>
    <w:p>
      <w:pPr>
        <w:pStyle w:val="Equation"/>
      </w:pPr>
      <w:r>
        <w:tab/>
      </w:r>
      <w:r>
        <w:drawing>
          <wp:inline>
            <wp:extent cx="3135477" cy="172821"/>
            <wp:effectExtent b="0" l="0" r="0" t="0"/>
            <wp:docPr descr="" title="" id="100" name="Picture"/>
            <a:graphic>
              <a:graphicData uri="http://schemas.openxmlformats.org/drawingml/2006/picture">
                <pic:pic>
                  <pic:nvPicPr>
                    <pic:cNvPr descr="eq/eq14.png" id="101" name="Picture"/>
                    <pic:cNvPicPr>
                      <a:picLocks noChangeArrowheads="1" noChangeAspect="1"/>
                    </pic:cNvPicPr>
                  </pic:nvPicPr>
                  <pic:blipFill>
                    <a:blip r:embed="rId99"/>
                    <a:stretch>
                      <a:fillRect/>
                    </a:stretch>
                  </pic:blipFill>
                  <pic:spPr bwMode="auto">
                    <a:xfrm>
                      <a:off x="0" y="0"/>
                      <a:ext cx="3135477" cy="172821"/>
                    </a:xfrm>
                    <a:prstGeom prst="rect">
                      <a:avLst/>
                    </a:prstGeom>
                    <a:noFill/>
                    <a:ln w="9525">
                      <a:noFill/>
                      <a:headEnd/>
                      <a:tailEnd/>
                    </a:ln>
                  </pic:spPr>
                </pic:pic>
              </a:graphicData>
            </a:graphic>
          </wp:inline>
        </w:drawing>
      </w:r>
      <w:r/>
      <w:r/>
      <w:r>
        <w:rPr>
          <w:rFonts w:ascii="Times New Roman" w:hAnsi="Times New Roman"/>
          <w:sz w:val="24"/>
        </w:rPr>
        <w:tab/>
        <w:t>(14)</w:t>
      </w:r>
    </w:p>
    <w:p>
      <w:pPr>
        <w:pStyle w:val="Equation"/>
      </w:pPr>
      <w:r>
        <w:tab/>
      </w:r>
      <w:r>
        <w:drawing>
          <wp:inline>
            <wp:extent cx="5170932" cy="574243"/>
            <wp:effectExtent b="0" l="0" r="0" t="0"/>
            <wp:docPr descr="" title="" id="103" name="Picture"/>
            <a:graphic>
              <a:graphicData uri="http://schemas.openxmlformats.org/drawingml/2006/picture">
                <pic:pic>
                  <pic:nvPicPr>
                    <pic:cNvPr descr="eq/eq15.png" id="104" name="Picture"/>
                    <pic:cNvPicPr>
                      <a:picLocks noChangeArrowheads="1" noChangeAspect="1"/>
                    </pic:cNvPicPr>
                  </pic:nvPicPr>
                  <pic:blipFill>
                    <a:blip r:embed="rId102"/>
                    <a:stretch>
                      <a:fillRect/>
                    </a:stretch>
                  </pic:blipFill>
                  <pic:spPr bwMode="auto">
                    <a:xfrm>
                      <a:off x="0" y="0"/>
                      <a:ext cx="5170932" cy="574243"/>
                    </a:xfrm>
                    <a:prstGeom prst="rect">
                      <a:avLst/>
                    </a:prstGeom>
                    <a:noFill/>
                    <a:ln w="9525">
                      <a:noFill/>
                      <a:headEnd/>
                      <a:tailEnd/>
                    </a:ln>
                  </pic:spPr>
                </pic:pic>
              </a:graphicData>
            </a:graphic>
          </wp:inline>
        </w:drawing>
      </w:r>
      <w:r/>
      <w:r/>
      <w:r>
        <w:rPr>
          <w:rFonts w:ascii="Times New Roman" w:hAnsi="Times New Roman"/>
          <w:sz w:val="24"/>
        </w:rPr>
        <w:tab/>
        <w:t>(15)</w:t>
      </w:r>
    </w:p>
    <w:p>
      <w:pPr>
        <w:pStyle w:val="Source"/>
      </w:pPr>
      <w:r>
        <w:t xml:space="preserve">Source: formulated in this study (Definition 15)</w:t>
      </w:r>
    </w:p>
    <w:p>
      <w:pPr>
        <w:pStyle w:val="BodyText"/>
      </w:pPr>
      <w:r>
        <w:t xml:space="preserve">with</w:t>
      </w:r>
      <w:r>
        <w:t xml:space="preserve"> </w:t>
      </w:r>
      <w:r>
        <w:rPr>
          <w:iCs/>
          <w:i/>
        </w:rPr>
        <w:t xml:space="preserve">age</w:t>
      </w:r>
      <w:r>
        <w:rPr>
          <w:vertAlign w:val="subscript"/>
        </w:rPr>
        <w:t xml:space="preserve">max</w:t>
      </w:r>
      <w:r>
        <w:t xml:space="preserve"> </w:t>
      </w:r>
      <w:r>
        <w:t xml:space="preserve">= 12 h. The application never shows a status without its age, for example</w:t>
      </w:r>
      <w:r>
        <w:t xml:space="preserve"> </w:t>
      </w:r>
      <w:r>
        <w:t xml:space="preserve">“</w:t>
      </w:r>
      <w:r>
        <w:t xml:space="preserve">9 free beds, reported 1 h 40 min ago.</w:t>
      </w:r>
      <w:r>
        <w:t xml:space="preserve">”</w:t>
      </w:r>
    </w:p>
    <w:bookmarkEnd w:id="105"/>
    <w:bookmarkStart w:id="106" w:name="Xbd9b285d9b710ea73790a7b03cd6cff99aa541f"/>
    <w:p>
      <w:pPr>
        <w:pStyle w:val="Heading2"/>
      </w:pPr>
      <w:r>
        <w:t xml:space="preserve">2.9 The Patient Profile: Acuity, Needs, Ability to Pay, and Mobility</w:t>
      </w:r>
    </w:p>
    <w:p>
      <w:pPr>
        <w:pStyle w:val="FirstParagraph"/>
      </w:pPr>
      <w:r>
        <w:t xml:space="preserve">The earlier version of hospital mode described a patient by two numbers, acuity and payment class. That leaves out two things that decide where a real patient can go: the specific service the patient needs, and how far the patient can walk to and from a stop.</w:t>
      </w:r>
    </w:p>
    <w:p>
      <w:pPr>
        <w:pStyle w:val="BodyText"/>
      </w:pPr>
      <w:r>
        <w:rPr>
          <w:bCs/>
          <w:b/>
        </w:rPr>
        <w:t xml:space="preserve">Definition 16 (Patient profile).</w:t>
      </w:r>
      <w:r>
        <w:t xml:space="preserve"> </w:t>
      </w:r>
      <w:r>
        <w:t xml:space="preserve">A profile is π = (κ,</w:t>
      </w:r>
      <w:r>
        <w:t xml:space="preserve"> </w:t>
      </w:r>
      <w:r>
        <w:rPr>
          <w:iCs/>
          <w:i/>
        </w:rPr>
        <w:t xml:space="preserve">N</w:t>
      </w:r>
      <w:r>
        <w:t xml:space="preserve">, ρ,</w:t>
      </w:r>
      <w:r>
        <w:t xml:space="preserve"> </w:t>
      </w:r>
      <w:r>
        <w:rPr>
          <w:iCs/>
          <w:i/>
        </w:rPr>
        <w:t xml:space="preserve">m</w:t>
      </w:r>
      <w:r>
        <w:t xml:space="preserve">), where</w:t>
      </w:r>
    </w:p>
    <w:p>
      <w:pPr>
        <w:numPr>
          <w:ilvl w:val="0"/>
          <w:numId w:val="1004"/>
        </w:numPr>
        <w:pStyle w:val="BodyText"/>
        <w:spacing w:after="80"/>
      </w:pPr>
      <w:r>
        <w:t xml:space="preserve">κ ∈ {1, …, 5} is the acuity level from the Emergency Severity Index, on which level 1 is the most urgent (Gilboy et al., 2011);</w:t>
      </w:r>
    </w:p>
    <w:p>
      <w:pPr>
        <w:numPr>
          <w:ilvl w:val="0"/>
          <w:numId w:val="1004"/>
        </w:numPr>
        <w:pStyle w:val="BodyText"/>
        <w:spacing w:after="80"/>
      </w:pPr>
      <w:r>
        <w:rPr>
          <w:iCs/>
          <w:i/>
        </w:rPr>
        <w:t xml:space="preserve">N</w:t>
      </w:r>
      <w:r>
        <w:t xml:space="preserve"> </w:t>
      </w:r>
      <w:r>
        <w:t xml:space="preserve">⊆ 𝒮 is the set of services the patient needs, from Table 8 (</w:t>
      </w:r>
      <w:r>
        <w:rPr>
          <w:iCs/>
          <w:i/>
        </w:rPr>
        <w:t xml:space="preserve">N</w:t>
      </w:r>
      <w:r>
        <w:t xml:space="preserve"> </w:t>
      </w:r>
      <w:r>
        <w:t xml:space="preserve">= ∅ when no particular service is required);</w:t>
      </w:r>
    </w:p>
    <w:p>
      <w:pPr>
        <w:numPr>
          <w:ilvl w:val="0"/>
          <w:numId w:val="1004"/>
        </w:numPr>
        <w:pStyle w:val="BodyText"/>
        <w:spacing w:after="80"/>
      </w:pPr>
      <w:r>
        <w:t xml:space="preserve">ρ ∈ {0, 1, 2, 3} is the payment class of Table 9, with ρ</w:t>
      </w:r>
      <w:r>
        <w:rPr>
          <w:vertAlign w:val="subscript"/>
        </w:rPr>
        <w:t xml:space="preserve">max</w:t>
      </w:r>
      <w:r>
        <w:t xml:space="preserve"> </w:t>
      </w:r>
      <w:r>
        <w:t xml:space="preserve">= 3; and</w:t>
      </w:r>
    </w:p>
    <w:p>
      <w:pPr>
        <w:numPr>
          <w:ilvl w:val="0"/>
          <w:numId w:val="1004"/>
        </w:numPr>
        <w:pStyle w:val="BodyText"/>
        <w:spacing w:after="80"/>
      </w:pPr>
      <w:r>
        <w:rPr>
          <w:iCs/>
          <w:i/>
        </w:rPr>
        <w:t xml:space="preserve">m</w:t>
      </w:r>
      <w:r>
        <w:t xml:space="preserve"> </w:t>
      </w:r>
      <w:r>
        <w:t xml:space="preserve">∈ {standard, slow} is the mobility class, which fixes the walking speed</w:t>
      </w:r>
      <w:r>
        <w:t xml:space="preserve"> </w:t>
      </w:r>
      <w:r>
        <w:rPr>
          <w:iCs/>
          <w:i/>
        </w:rPr>
        <w:t xml:space="preserve">v</w:t>
      </w:r>
      <w:r>
        <w:rPr>
          <w:iCs/>
          <w:i/>
          <w:vertAlign w:val="subscript"/>
        </w:rPr>
        <w:t xml:space="preserve">m</w:t>
      </w:r>
      <w:r>
        <w:t xml:space="preserve"> </w:t>
      </w:r>
      <w:r>
        <w:t xml:space="preserve">and the walking cap</w:t>
      </w:r>
      <w:r>
        <w:t xml:space="preserve"> </w:t>
      </w:r>
      <w:r>
        <w:rPr>
          <w:iCs/>
          <w:i/>
        </w:rPr>
        <w:t xml:space="preserve">t̄</w:t>
      </w:r>
      <w:r>
        <w:rPr>
          <w:iCs/>
          <w:i/>
          <w:vertAlign w:val="subscript"/>
        </w:rPr>
        <w:t xml:space="preserve">m</w:t>
      </w:r>
      <w:r>
        <w:t xml:space="preserve"> </w:t>
      </w:r>
      <w:r>
        <w:t xml:space="preserve">used in patient mode: (</w:t>
      </w:r>
      <w:r>
        <w:rPr>
          <w:iCs/>
          <w:i/>
        </w:rPr>
        <w:t xml:space="preserve">v</w:t>
      </w:r>
      <w:r>
        <w:rPr>
          <w:vertAlign w:val="subscript"/>
        </w:rPr>
        <w:t xml:space="preserve">standard</w:t>
      </w:r>
      <w:r>
        <w:t xml:space="preserve">,</w:t>
      </w:r>
      <w:r>
        <w:t xml:space="preserve"> </w:t>
      </w:r>
      <w:r>
        <w:rPr>
          <w:iCs/>
          <w:i/>
        </w:rPr>
        <w:t xml:space="preserve">t̄</w:t>
      </w:r>
      <w:r>
        <w:rPr>
          <w:vertAlign w:val="subscript"/>
        </w:rPr>
        <w:t xml:space="preserve">standard</w:t>
      </w:r>
      <w:r>
        <w:t xml:space="preserve">) = (4.5 km/h, 15 min), the values of Definition 3, and (</w:t>
      </w:r>
      <w:r>
        <w:rPr>
          <w:iCs/>
          <w:i/>
        </w:rPr>
        <w:t xml:space="preserve">v</w:t>
      </w:r>
      <w:r>
        <w:rPr>
          <w:vertAlign w:val="subscript"/>
        </w:rPr>
        <w:t xml:space="preserve">slow</w:t>
      </w:r>
      <w:r>
        <w:t xml:space="preserve">,</w:t>
      </w:r>
      <w:r>
        <w:t xml:space="preserve"> </w:t>
      </w:r>
      <w:r>
        <w:rPr>
          <w:iCs/>
          <w:i/>
        </w:rPr>
        <w:t xml:space="preserve">t̄</w:t>
      </w:r>
      <w:r>
        <w:rPr>
          <w:vertAlign w:val="subscript"/>
        </w:rPr>
        <w:t xml:space="preserve">slow</w:t>
      </w:r>
      <w:r>
        <w:t xml:space="preserve">) = (3.0 km/h, 10 min).</w:t>
      </w:r>
    </w:p>
    <w:p>
      <w:pPr>
        <w:pStyle w:val="FirstParagraph"/>
      </w:pPr>
      <w:r>
        <w:t xml:space="preserve">The slow class is meant for a patient who walks more slowly than the healthy adults behind Definition 3, such as an older person, a woman in late pregnancy, or a person with a disability or an injury. Its two values are declared design parameters, to be replaced when local data exist. Each acuity level κ is paired with a minimum service level λ(κ) (Table 12). Levels 1 and 2 make up the emergency set</w:t>
      </w:r>
      <w:r>
        <w:t xml:space="preserve"> </w:t>
      </w:r>
      <w:r>
        <w:rPr>
          <w:iCs/>
          <w:i/>
        </w:rPr>
        <w:t xml:space="preserve">K</w:t>
      </w:r>
      <w:r>
        <w:rPr>
          <w:iCs/>
          <w:i/>
          <w:vertAlign w:val="subscript"/>
        </w:rPr>
        <w:t xml:space="preserve">E</w:t>
      </w:r>
      <w:r>
        <w:t xml:space="preserve"> </w:t>
      </w:r>
      <w:r>
        <w:t xml:space="preserve">= {1, 2}, which stands for what Republic Act No. 10932 (2017) calls</w:t>
      </w:r>
      <w:r>
        <w:t xml:space="preserve"> </w:t>
      </w:r>
      <w:r>
        <w:t xml:space="preserve">“</w:t>
      </w:r>
      <w:r>
        <w:t xml:space="preserve">emergency or serious cases.</w:t>
      </w:r>
      <w:r>
        <w:t xml:space="preserve">”</w:t>
      </w:r>
      <w:r>
        <w:t xml:space="preserve"> </w:t>
      </w:r>
      <w:r>
        <w:t xml:space="preserve">Trips use one of two modes:</w:t>
      </w:r>
      <w:r>
        <w:t xml:space="preserve"> </w:t>
      </w:r>
      <w:r>
        <w:rPr>
          <w:iCs/>
          <w:i/>
        </w:rPr>
        <w:t xml:space="preserve">x</w:t>
      </w:r>
      <w:r>
        <w:t xml:space="preserve"> </w:t>
      </w:r>
      <w:r>
        <w:t xml:space="preserve">=</w:t>
      </w:r>
      <w:r>
        <w:t xml:space="preserve"> </w:t>
      </w:r>
      <w:r>
        <w:rPr>
          <w:iCs/>
          <w:i/>
        </w:rPr>
        <w:t xml:space="preserve">amb</w:t>
      </w:r>
      <w:r>
        <w:t xml:space="preserve">, an ambulance on the road network, or</w:t>
      </w:r>
      <w:r>
        <w:t xml:space="preserve"> </w:t>
      </w:r>
      <w:r>
        <w:rPr>
          <w:iCs/>
          <w:i/>
        </w:rPr>
        <w:t xml:space="preserve">x</w:t>
      </w:r>
      <w:r>
        <w:t xml:space="preserve"> </w:t>
      </w:r>
      <w:r>
        <w:t xml:space="preserve">=</w:t>
      </w:r>
      <w:r>
        <w:t xml:space="preserve"> </w:t>
      </w:r>
      <w:r>
        <w:rPr>
          <w:iCs/>
          <w:i/>
        </w:rPr>
        <w:t xml:space="preserve">pt</w:t>
      </w:r>
      <w:r>
        <w:t xml:space="preserve">, a patient riding public transport and walking.</w:t>
      </w:r>
    </w:p>
    <w:p>
      <w:pPr>
        <w:pStyle w:val="BodyText"/>
      </w:pPr>
      <w:r>
        <w:t xml:space="preserve">The acuity level is entered by the ambulance crew or chosen by the user from the plain descriptions in Table 12. The needs are chosen from the plain descriptions in Table 8 or copied from a referral slip. The mobility class is a single switch. The application never triages, diagnoses, or recommends treatment.</w:t>
      </w:r>
    </w:p>
    <w:p>
      <w:pPr>
        <w:pStyle w:val="TableCaption"/>
      </w:pPr>
      <w:r>
        <w:rPr>
          <w:bCs/>
          <w:b/>
        </w:rPr>
        <w:t xml:space="preserve">Table 12.</w:t>
      </w:r>
      <w:r>
        <w:t xml:space="preserve"> </w:t>
      </w:r>
      <w:r>
        <w:t xml:space="preserve">Minimum service level and emergency flag for each acuity level. Descriptions adapted from Gilboy et al. (2011); λ and</w:t>
      </w:r>
      <w:r>
        <w:t xml:space="preserve"> </w:t>
      </w:r>
      <w:r>
        <w:rPr>
          <w:iCs/>
          <w:i/>
        </w:rPr>
        <w:t xml:space="preserve">K</w:t>
      </w:r>
      <w:r>
        <w:rPr>
          <w:iCs/>
          <w:i/>
          <w:vertAlign w:val="subscript"/>
        </w:rPr>
        <w:t xml:space="preserve">E</w:t>
      </w:r>
      <w:r>
        <w:t xml:space="preserve"> </w:t>
      </w:r>
      <w:r>
        <w:t xml:space="preserve">are declared design parameters.</w:t>
      </w:r>
    </w:p>
    <w:tbl>
      <w:tblPr>
        <w:tblStyle w:val="Table"/>
        <w:tblW w:type="pct" w:w="5000"/>
        <w:jc w:val="center"/>
        <w:tblCaption w:val="Table 12. Minimum service level and emergency flag for each acuity level. Descriptions adapted from Gilboy et al. (2011); λ and KE are declared design parameters."/>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633"/>
        <w:gridCol w:w="6019"/>
        <w:gridCol w:w="633"/>
        <w:gridCol w:w="633"/>
      </w:tblGrid>
      <w:tr>
        <w:trPr>
          <w:tblHeader w:val="true"/>
          <w:tblHeader/>
          <w:cantSplit/>
        </w:trPr>
        <w:tc>
          <w:tcPr/>
          <w:p>
            <w:pPr>
              <w:pStyle w:val="Compact"/>
              <w:jc w:val="center"/>
            </w:pPr>
            <w:r>
              <w:rPr>
                <w:b/>
              </w:rPr>
              <w:t xml:space="preserve">κ</w:t>
            </w:r>
          </w:p>
        </w:tc>
        <w:tc>
          <w:tcPr/>
          <w:p>
            <w:pPr>
              <w:pStyle w:val="Compact"/>
              <w:jc w:val="left"/>
            </w:pPr>
            <w:r>
              <w:rPr>
                <w:b/>
              </w:rPr>
              <w:t xml:space="preserve">Description</w:t>
            </w:r>
          </w:p>
        </w:tc>
        <w:tc>
          <w:tcPr/>
          <w:p>
            <w:pPr>
              <w:pStyle w:val="Compact"/>
              <w:jc w:val="center"/>
            </w:pPr>
            <w:r>
              <w:rPr>
                <w:b/>
              </w:rPr>
              <w:t xml:space="preserve">λ(κ)</w:t>
            </w:r>
          </w:p>
        </w:tc>
        <w:tc>
          <w:tcPr/>
          <w:p>
            <w:pPr>
              <w:pStyle w:val="Compact"/>
              <w:jc w:val="center"/>
            </w:pPr>
            <w:r>
              <w:rPr>
                <w:b/>
              </w:rPr>
              <w:t xml:space="preserve">In</w:t>
            </w:r>
            <w:r>
              <w:rPr>
                <w:b/>
              </w:rPr>
              <w:t xml:space="preserve"> </w:t>
            </w:r>
            <w:r>
              <w:rPr>
                <w:iCs/>
                <w:b/>
                <w:i/>
              </w:rPr>
              <w:t xml:space="preserve">K</w:t>
            </w:r>
            <w:r>
              <w:rPr>
                <w:iCs/>
                <w:b/>
                <w:i/>
                <w:vertAlign w:val="subscript"/>
              </w:rPr>
              <w:t xml:space="preserve">E</w:t>
            </w:r>
          </w:p>
        </w:tc>
      </w:tr>
      <w:tr>
        <w:trPr>
          <w:cantSplit/>
        </w:trPr>
        <w:tc>
          <w:tcPr/>
          <w:p>
            <w:pPr>
              <w:pStyle w:val="Compact"/>
              <w:jc w:val="center"/>
            </w:pPr>
            <w:r>
              <w:t xml:space="preserve">1</w:t>
            </w:r>
          </w:p>
        </w:tc>
        <w:tc>
          <w:tcPr/>
          <w:p>
            <w:pPr>
              <w:pStyle w:val="Compact"/>
              <w:jc w:val="left"/>
            </w:pPr>
            <w:r>
              <w:t xml:space="preserve">Life-saving treatment needed at once</w:t>
            </w:r>
          </w:p>
        </w:tc>
        <w:tc>
          <w:tcPr/>
          <w:p>
            <w:pPr>
              <w:pStyle w:val="Compact"/>
              <w:jc w:val="center"/>
            </w:pPr>
            <w:r>
              <w:t xml:space="preserve">3</w:t>
            </w:r>
          </w:p>
        </w:tc>
        <w:tc>
          <w:tcPr/>
          <w:p>
            <w:pPr>
              <w:pStyle w:val="Compact"/>
              <w:jc w:val="center"/>
            </w:pPr>
            <w:r>
              <w:t xml:space="preserve">yes</w:t>
            </w:r>
          </w:p>
        </w:tc>
      </w:tr>
      <w:tr>
        <w:trPr>
          <w:cantSplit/>
        </w:trPr>
        <w:tc>
          <w:tcPr/>
          <w:p>
            <w:pPr>
              <w:pStyle w:val="Compact"/>
              <w:jc w:val="center"/>
            </w:pPr>
            <w:r>
              <w:t xml:space="preserve">2</w:t>
            </w:r>
          </w:p>
        </w:tc>
        <w:tc>
          <w:tcPr/>
          <w:p>
            <w:pPr>
              <w:pStyle w:val="Compact"/>
              <w:jc w:val="left"/>
            </w:pPr>
            <w:r>
              <w:t xml:space="preserve">High-risk situation; new confusion, lethargy, or disorientation; or severe pain or distress</w:t>
            </w:r>
          </w:p>
        </w:tc>
        <w:tc>
          <w:tcPr/>
          <w:p>
            <w:pPr>
              <w:pStyle w:val="Compact"/>
              <w:jc w:val="center"/>
            </w:pPr>
            <w:r>
              <w:t xml:space="preserve">2</w:t>
            </w:r>
          </w:p>
        </w:tc>
        <w:tc>
          <w:tcPr/>
          <w:p>
            <w:pPr>
              <w:pStyle w:val="Compact"/>
              <w:jc w:val="center"/>
            </w:pPr>
            <w:r>
              <w:t xml:space="preserve">yes</w:t>
            </w:r>
          </w:p>
        </w:tc>
      </w:tr>
      <w:tr>
        <w:trPr>
          <w:cantSplit/>
        </w:trPr>
        <w:tc>
          <w:tcPr/>
          <w:p>
            <w:pPr>
              <w:pStyle w:val="Compact"/>
              <w:jc w:val="center"/>
            </w:pPr>
            <w:r>
              <w:t xml:space="preserve">3</w:t>
            </w:r>
          </w:p>
        </w:tc>
        <w:tc>
          <w:tcPr/>
          <w:p>
            <w:pPr>
              <w:pStyle w:val="Compact"/>
              <w:jc w:val="left"/>
            </w:pPr>
            <w:r>
              <w:t xml:space="preserve">Stable; probably needs two or more hospital resources</w:t>
            </w:r>
          </w:p>
        </w:tc>
        <w:tc>
          <w:tcPr/>
          <w:p>
            <w:pPr>
              <w:pStyle w:val="Compact"/>
              <w:jc w:val="center"/>
            </w:pPr>
            <w:r>
              <w:t xml:space="preserve">1</w:t>
            </w:r>
          </w:p>
        </w:tc>
        <w:tc>
          <w:tcPr/>
          <w:p>
            <w:pPr>
              <w:pStyle w:val="Compact"/>
              <w:jc w:val="center"/>
            </w:pPr>
            <w:r>
              <w:t xml:space="preserve">no</w:t>
            </w:r>
          </w:p>
        </w:tc>
      </w:tr>
      <w:tr>
        <w:trPr>
          <w:cantSplit/>
        </w:trPr>
        <w:tc>
          <w:tcPr/>
          <w:p>
            <w:pPr>
              <w:pStyle w:val="Compact"/>
              <w:jc w:val="center"/>
            </w:pPr>
            <w:r>
              <w:t xml:space="preserve">4</w:t>
            </w:r>
          </w:p>
        </w:tc>
        <w:tc>
          <w:tcPr/>
          <w:p>
            <w:pPr>
              <w:pStyle w:val="Compact"/>
              <w:jc w:val="left"/>
            </w:pPr>
            <w:r>
              <w:t xml:space="preserve">Stable; probably needs one resource</w:t>
            </w:r>
          </w:p>
        </w:tc>
        <w:tc>
          <w:tcPr/>
          <w:p>
            <w:pPr>
              <w:pStyle w:val="Compact"/>
              <w:jc w:val="center"/>
            </w:pPr>
            <w:r>
              <w:t xml:space="preserve">1</w:t>
            </w:r>
          </w:p>
        </w:tc>
        <w:tc>
          <w:tcPr/>
          <w:p>
            <w:pPr>
              <w:pStyle w:val="Compact"/>
              <w:jc w:val="center"/>
            </w:pPr>
            <w:r>
              <w:t xml:space="preserve">no</w:t>
            </w:r>
          </w:p>
        </w:tc>
      </w:tr>
      <w:tr>
        <w:trPr>
          <w:cantSplit/>
        </w:trPr>
        <w:tc>
          <w:tcPr/>
          <w:p>
            <w:pPr>
              <w:pStyle w:val="Compact"/>
              <w:jc w:val="center"/>
            </w:pPr>
            <w:r>
              <w:t xml:space="preserve">5</w:t>
            </w:r>
          </w:p>
        </w:tc>
        <w:tc>
          <w:tcPr/>
          <w:p>
            <w:pPr>
              <w:pStyle w:val="Compact"/>
              <w:jc w:val="left"/>
            </w:pPr>
            <w:r>
              <w:t xml:space="preserve">Stable; probably needs no resources</w:t>
            </w:r>
          </w:p>
        </w:tc>
        <w:tc>
          <w:tcPr/>
          <w:p>
            <w:pPr>
              <w:pStyle w:val="Compact"/>
              <w:jc w:val="center"/>
            </w:pPr>
            <w:r>
              <w:t xml:space="preserve">0</w:t>
            </w:r>
          </w:p>
        </w:tc>
        <w:tc>
          <w:tcPr/>
          <w:p>
            <w:pPr>
              <w:pStyle w:val="Compact"/>
              <w:jc w:val="center"/>
            </w:pPr>
            <w:r>
              <w:t xml:space="preserve">no</w:t>
            </w:r>
          </w:p>
        </w:tc>
      </w:tr>
    </w:tbl>
    <w:p>
      <w:pPr>
        <w:pStyle w:val="BodyText"/>
        <w:spacing w:before="200"/>
      </w:pPr>
      <w:r>
        <w:t xml:space="preserve">Table 12 is a placeholder for a referral policy that the Provincial Health Office may issue. The proofs in Section 3.2 use only one property of λ: it never decreases as urgency increases, so a more urgent patient never needs a lower service level.</w:t>
      </w:r>
    </w:p>
    <w:bookmarkEnd w:id="106"/>
    <w:bookmarkStart w:id="119" w:name="Xdad42e5adb158814ecd7d36a6c2edded606cea8"/>
    <w:p>
      <w:pPr>
        <w:pStyle w:val="Heading2"/>
      </w:pPr>
      <w:r>
        <w:t xml:space="preserve">2.10 Finding the Nearest Suitable Hospital and Its Backups</w:t>
      </w:r>
    </w:p>
    <w:p>
      <w:pPr>
        <w:pStyle w:val="FirstParagraph"/>
      </w:pPr>
      <w:r>
        <w:rPr>
          <w:bCs/>
          <w:b/>
        </w:rPr>
        <w:t xml:space="preserve">Definition 17 (Suitable hospital).</w:t>
      </w:r>
      <w:r>
        <w:t xml:space="preserve"> </w:t>
      </w:r>
      <w:r>
        <w:t xml:space="preserve">At time</w:t>
      </w:r>
      <w:r>
        <w:t xml:space="preserve"> </w:t>
      </w:r>
      <w:r>
        <w:rPr>
          <w:iCs/>
          <w:i/>
        </w:rPr>
        <w:t xml:space="preserve">t</w:t>
      </w:r>
      <w:r>
        <w:t xml:space="preserve">, hospital</w:t>
      </w:r>
      <w:r>
        <w:t xml:space="preserve"> </w:t>
      </w:r>
      <w:r>
        <w:rPr>
          <w:iCs/>
          <w:i/>
        </w:rPr>
        <w:t xml:space="preserve">h</w:t>
      </w:r>
      <w:r>
        <w:t xml:space="preserve"> </w:t>
      </w:r>
      <w:r>
        <w:t xml:space="preserve">suits profile π when Φ(</w:t>
      </w:r>
      <w:r>
        <w:rPr>
          <w:iCs/>
          <w:i/>
        </w:rPr>
        <w:t xml:space="preserve">h</w:t>
      </w:r>
      <w:r>
        <w:t xml:space="preserve">; π,</w:t>
      </w:r>
      <w:r>
        <w:t xml:space="preserve"> </w:t>
      </w:r>
      <w:r>
        <w:rPr>
          <w:iCs/>
          <w:i/>
        </w:rPr>
        <w:t xml:space="preserve">t</w:t>
      </w:r>
      <w:r>
        <w:t xml:space="preserve">) = 1, where</w:t>
      </w:r>
    </w:p>
    <w:p>
      <w:pPr>
        <w:pStyle w:val="Equation"/>
      </w:pPr>
      <w:r>
        <w:tab/>
      </w:r>
      <w:r>
        <w:drawing>
          <wp:inline>
            <wp:extent cx="4020616" cy="366674"/>
            <wp:effectExtent b="0" l="0" r="0" t="0"/>
            <wp:docPr descr="" title="" id="108" name="Picture"/>
            <a:graphic>
              <a:graphicData uri="http://schemas.openxmlformats.org/drawingml/2006/picture">
                <pic:pic>
                  <pic:nvPicPr>
                    <pic:cNvPr descr="eq/eq16.png" id="109" name="Picture"/>
                    <pic:cNvPicPr>
                      <a:picLocks noChangeArrowheads="1" noChangeAspect="1"/>
                    </pic:cNvPicPr>
                  </pic:nvPicPr>
                  <pic:blipFill>
                    <a:blip r:embed="rId107"/>
                    <a:stretch>
                      <a:fillRect/>
                    </a:stretch>
                  </pic:blipFill>
                  <pic:spPr bwMode="auto">
                    <a:xfrm>
                      <a:off x="0" y="0"/>
                      <a:ext cx="4020616" cy="366674"/>
                    </a:xfrm>
                    <a:prstGeom prst="rect">
                      <a:avLst/>
                    </a:prstGeom>
                    <a:noFill/>
                    <a:ln w="9525">
                      <a:noFill/>
                      <a:headEnd/>
                      <a:tailEnd/>
                    </a:ln>
                  </pic:spPr>
                </pic:pic>
              </a:graphicData>
            </a:graphic>
          </wp:inline>
        </w:drawing>
      </w:r>
      <w:r/>
      <w:r/>
      <w:r>
        <w:rPr>
          <w:rFonts w:ascii="Times New Roman" w:hAnsi="Times New Roman"/>
          <w:sz w:val="24"/>
        </w:rPr>
        <w:tab/>
        <w:t>(16)</w:t>
      </w:r>
    </w:p>
    <w:p>
      <w:pPr>
        <w:pStyle w:val="Source"/>
      </w:pPr>
      <w:r>
        <w:t xml:space="preserve">Source: formulated in this study; service levels from DOH (2012), acuity levels from Gilboy et al. (2011), emergency exception from Republic Act No. 10932 (2017)</w:t>
      </w:r>
    </w:p>
    <w:p>
      <w:pPr>
        <w:pStyle w:val="BodyText"/>
      </w:pPr>
      <w:r>
        <w:t xml:space="preserve">and</w:t>
      </w:r>
      <w:r>
        <w:t xml:space="preserve"> </w:t>
      </w:r>
      <w:r>
        <w:rPr>
          <w:iCs/>
          <w:i/>
        </w:rPr>
        <w:t xml:space="preserve">H</w:t>
      </w:r>
      <w:r>
        <w:rPr>
          <w:vertAlign w:val="subscript"/>
        </w:rPr>
        <w:t xml:space="preserve">π</w:t>
      </w:r>
      <w:r>
        <w:t xml:space="preserve">(</w:t>
      </w:r>
      <w:r>
        <w:rPr>
          <w:iCs/>
          <w:i/>
        </w:rPr>
        <w:t xml:space="preserve">t</w:t>
      </w:r>
      <w:r>
        <w:t xml:space="preserve">) = {</w:t>
      </w:r>
      <w:r>
        <w:t xml:space="preserve"> </w:t>
      </w:r>
      <w:r>
        <w:rPr>
          <w:iCs/>
          <w:i/>
        </w:rPr>
        <w:t xml:space="preserve">h</w:t>
      </w:r>
      <w:r>
        <w:t xml:space="preserve"> </w:t>
      </w:r>
      <w:r>
        <w:t xml:space="preserve">∈</w:t>
      </w:r>
      <w:r>
        <w:t xml:space="preserve"> </w:t>
      </w:r>
      <w:r>
        <w:rPr>
          <w:iCs/>
          <w:i/>
        </w:rPr>
        <w:t xml:space="preserve">H</w:t>
      </w:r>
      <w:r>
        <w:t xml:space="preserve"> </w:t>
      </w:r>
      <w:r>
        <w:t xml:space="preserve">: Φ(</w:t>
      </w:r>
      <w:r>
        <w:rPr>
          <w:iCs/>
          <w:i/>
        </w:rPr>
        <w:t xml:space="preserve">h</w:t>
      </w:r>
      <w:r>
        <w:t xml:space="preserve">; π,</w:t>
      </w:r>
      <w:r>
        <w:t xml:space="preserve"> </w:t>
      </w:r>
      <w:r>
        <w:rPr>
          <w:iCs/>
          <w:i/>
        </w:rPr>
        <w:t xml:space="preserve">t</w:t>
      </w:r>
      <w:r>
        <w:t xml:space="preserve">) = 1 } is the suitable set. The five factors check, in order, the hospital’s level, its services, its emergency room, its beds, and its cost.</w:t>
      </w:r>
    </w:p>
    <w:p>
      <w:pPr>
        <w:pStyle w:val="BodyText"/>
      </w:pPr>
      <w:r>
        <w:t xml:space="preserve">Three choices in Equation (16) need explaining. First, a hospital whose status is UNKNOWN stays in the suitable set. A missing or late reply is a clerical fact, not proof that the wards are full, and dropping such hospitals would punish nearby patients for someone else’s paperwork. The application therefore shows UNKNOWN hospitals together with the age of their last report. Second, the cost factor equals 1 for every emergency case (κ ∈</w:t>
      </w:r>
      <w:r>
        <w:t xml:space="preserve"> </w:t>
      </w:r>
      <w:r>
        <w:rPr>
          <w:iCs/>
          <w:i/>
        </w:rPr>
        <w:t xml:space="preserve">K</w:t>
      </w:r>
      <w:r>
        <w:rPr>
          <w:iCs/>
          <w:i/>
          <w:vertAlign w:val="subscript"/>
        </w:rPr>
        <w:t xml:space="preserve">E</w:t>
      </w:r>
      <w:r>
        <w:t xml:space="preserve">), whatever the patient can pay. Republic Act No. 10932 (2017) forbids hospitals from demanding a deposit or advance payment before giving basic emergency care, so filtering emergency patients by cost would contradict the law. Under the same law the attending physician, not the application, decides what counts as an emergency; the acuity entered in the profile only steers the route. Equation (16) thus puts target 3.8 into practice by applying the cost filter to non-emergency trips alone. Third, the service factor stays on in emergencies. Cost is a barrier the law removes; a missing neonatal ICU is not. For the most critical patients, the stabilization rule of Definition 19 handles the case where the right hospital is far away.</w:t>
      </w:r>
    </w:p>
    <w:p>
      <w:pPr>
        <w:pStyle w:val="BodyText"/>
      </w:pPr>
      <w:r>
        <w:rPr>
          <w:bCs/>
          <w:b/>
        </w:rPr>
        <w:t xml:space="preserve">Definition 18 (Nearest suitable hospital and backup list).</w:t>
      </w:r>
      <w:r>
        <w:t xml:space="preserve"> </w:t>
      </w:r>
      <w:r>
        <w:t xml:space="preserve">For an origin</w:t>
      </w:r>
      <w:r>
        <w:t xml:space="preserve"> </w:t>
      </w:r>
      <w:r>
        <w:rPr>
          <w:iCs/>
          <w:i/>
        </w:rPr>
        <w:t xml:space="preserve">o</w:t>
      </w:r>
      <w:r>
        <w:t xml:space="preserve">, a time</w:t>
      </w:r>
      <w:r>
        <w:t xml:space="preserve"> </w:t>
      </w:r>
      <w:r>
        <w:rPr>
          <w:iCs/>
          <w:i/>
        </w:rPr>
        <w:t xml:space="preserve">t</w:t>
      </w:r>
      <w:r>
        <w:t xml:space="preserve">, a profile π, and a mode</w:t>
      </w:r>
      <w:r>
        <w:t xml:space="preserve"> </w:t>
      </w:r>
      <w:r>
        <w:rPr>
          <w:iCs/>
          <w:i/>
        </w:rPr>
        <w:t xml:space="preserve">x</w:t>
      </w:r>
      <w:r>
        <w:t xml:space="preserve">, let</w:t>
      </w:r>
      <w:r>
        <w:t xml:space="preserve"> </w:t>
      </w:r>
      <w:r>
        <w:rPr>
          <w:iCs/>
          <w:i/>
        </w:rPr>
        <w:t xml:space="preserve">T</w:t>
      </w:r>
      <w:r>
        <w:rPr>
          <w:iCs/>
          <w:i/>
          <w:vertAlign w:val="subscript"/>
        </w:rPr>
        <w:t xml:space="preserve">x</w:t>
      </w:r>
      <w:r>
        <w:t xml:space="preserve">(</w:t>
      </w:r>
      <w:r>
        <w:rPr>
          <w:iCs/>
          <w:i/>
        </w:rPr>
        <w:t xml:space="preserve">o</w:t>
      </w:r>
      <w:r>
        <w:t xml:space="preserve">,</w:t>
      </w:r>
      <w:r>
        <w:t xml:space="preserve"> </w:t>
      </w:r>
      <w:r>
        <w:rPr>
          <w:iCs/>
          <w:i/>
        </w:rPr>
        <w:t xml:space="preserve">h</w:t>
      </w:r>
      <w:r>
        <w:t xml:space="preserve">,</w:t>
      </w:r>
      <w:r>
        <w:t xml:space="preserve"> </w:t>
      </w:r>
      <w:r>
        <w:rPr>
          <w:iCs/>
          <w:i/>
        </w:rPr>
        <w:t xml:space="preserve">t</w:t>
      </w:r>
      <w:r>
        <w:t xml:space="preserve">) be the travel time from</w:t>
      </w:r>
      <w:r>
        <w:t xml:space="preserve"> </w:t>
      </w:r>
      <w:r>
        <w:rPr>
          <w:iCs/>
          <w:i/>
        </w:rPr>
        <w:t xml:space="preserve">o</w:t>
      </w:r>
      <w:r>
        <w:t xml:space="preserve"> </w:t>
      </w:r>
      <w:r>
        <w:t xml:space="preserve">to hospital</w:t>
      </w:r>
      <w:r>
        <w:t xml:space="preserve"> </w:t>
      </w:r>
      <w:r>
        <w:rPr>
          <w:iCs/>
          <w:i/>
        </w:rPr>
        <w:t xml:space="preserve">h</w:t>
      </w:r>
      <w:r>
        <w:t xml:space="preserve">. In ambulance mode it is the shortest-path time from</w:t>
      </w:r>
      <w:r>
        <w:t xml:space="preserve"> </w:t>
      </w:r>
      <w:r>
        <w:rPr>
          <w:iCs/>
          <w:i/>
        </w:rPr>
        <w:t xml:space="preserve">o</w:t>
      </w:r>
      <w:r>
        <w:t xml:space="preserve"> </w:t>
      </w:r>
      <w:r>
        <w:t xml:space="preserve">to</w:t>
      </w:r>
      <w:r>
        <w:t xml:space="preserve"> </w:t>
      </w:r>
      <w:r>
        <w:rPr>
          <w:iCs/>
          <w:i/>
        </w:rPr>
        <w:t xml:space="preserve">v</w:t>
      </w:r>
      <w:r>
        <w:rPr>
          <w:iCs/>
          <w:i/>
          <w:vertAlign w:val="subscript"/>
        </w:rPr>
        <w:t xml:space="preserve">h</w:t>
      </w:r>
      <w:r>
        <w:t xml:space="preserve"> </w:t>
      </w:r>
      <w:r>
        <w:t xml:space="preserve">on the ambulance subgraph</w:t>
      </w:r>
      <w:r>
        <w:t xml:space="preserve"> </w:t>
      </w:r>
      <w:r>
        <w:rPr>
          <w:iCs/>
          <w:i/>
        </w:rPr>
        <w:t xml:space="preserve">G</w:t>
      </w:r>
      <w:r>
        <w:rPr>
          <w:vertAlign w:val="subscript"/>
        </w:rPr>
        <w:t xml:space="preserve">γ</w:t>
      </w:r>
      <w:r>
        <w:rPr>
          <w:iCs/>
          <w:i/>
          <w:vertAlign w:val="subscript"/>
        </w:rPr>
        <w:t xml:space="preserve">amb</w:t>
      </w:r>
      <w:r>
        <w:t xml:space="preserve"> </w:t>
      </w:r>
      <w:r>
        <w:t xml:space="preserve">of Definition 11, with arc times ℓ</w:t>
      </w:r>
      <w:r>
        <w:rPr>
          <w:iCs/>
          <w:i/>
          <w:vertAlign w:val="subscript"/>
        </w:rPr>
        <w:t xml:space="preserve">e</w:t>
      </w:r>
      <w:r>
        <w:t xml:space="preserve"> </w:t>
      </w:r>
      <w:r>
        <w:t xml:space="preserve">/</w:t>
      </w:r>
      <w:r>
        <w:t xml:space="preserve"> </w:t>
      </w:r>
      <w:r>
        <w:rPr>
          <w:iCs/>
          <w:i/>
        </w:rPr>
        <w:t xml:space="preserve">v</w:t>
      </w:r>
      <w:r>
        <w:rPr>
          <w:iCs/>
          <w:i/>
          <w:vertAlign w:val="subscript"/>
        </w:rPr>
        <w:t xml:space="preserve">e</w:t>
      </w:r>
      <w:r>
        <w:t xml:space="preserve">. In patient mode a sink vertex</w:t>
      </w:r>
      <w:r>
        <w:t xml:space="preserve"> </w:t>
      </w:r>
      <w:r>
        <w:rPr>
          <w:iCs/>
          <w:i/>
        </w:rPr>
        <w:t xml:space="preserve">z</w:t>
      </w:r>
      <w:r>
        <w:rPr>
          <w:iCs/>
          <w:i/>
          <w:vertAlign w:val="subscript"/>
        </w:rPr>
        <w:t xml:space="preserve">h</w:t>
      </w:r>
      <w:r>
        <w:t xml:space="preserve"> </w:t>
      </w:r>
      <w:r>
        <w:t xml:space="preserve">is added to the graph of Definition 5 for every hospital. The sink is reached from each arrival event at a stop within walking distance of</w:t>
      </w:r>
      <w:r>
        <w:t xml:space="preserve"> </w:t>
      </w:r>
      <w:r>
        <w:rPr>
          <w:iCs/>
          <w:i/>
        </w:rPr>
        <w:t xml:space="preserve">h</w:t>
      </w:r>
      <w:r>
        <w:t xml:space="preserve"> </w:t>
      </w:r>
      <w:r>
        <w:t xml:space="preserve">by an arc whose duration is the walking time to the hospital, computed with the walking speed</w:t>
      </w:r>
      <w:r>
        <w:t xml:space="preserve"> </w:t>
      </w:r>
      <w:r>
        <w:rPr>
          <w:iCs/>
          <w:i/>
        </w:rPr>
        <w:t xml:space="preserve">v</w:t>
      </w:r>
      <w:r>
        <w:rPr>
          <w:iCs/>
          <w:i/>
          <w:vertAlign w:val="subscript"/>
        </w:rPr>
        <w:t xml:space="preserve">m</w:t>
      </w:r>
      <w:r>
        <w:t xml:space="preserve"> </w:t>
      </w:r>
      <w:r>
        <w:t xml:space="preserve">and capped at</w:t>
      </w:r>
      <w:r>
        <w:t xml:space="preserve"> </w:t>
      </w:r>
      <w:r>
        <w:rPr>
          <w:iCs/>
          <w:i/>
        </w:rPr>
        <w:t xml:space="preserve">t̄</w:t>
      </w:r>
      <w:r>
        <w:rPr>
          <w:iCs/>
          <w:i/>
          <w:vertAlign w:val="subscript"/>
        </w:rPr>
        <w:t xml:space="preserve">m</w:t>
      </w:r>
      <w:r>
        <w:t xml:space="preserve"> </w:t>
      </w:r>
      <w:r>
        <w:t xml:space="preserve">of the patient’s mobility class; walk arcs between stops use the same two values. Then</w:t>
      </w:r>
      <w:r>
        <w:t xml:space="preserve"> </w:t>
      </w:r>
      <w:r>
        <w:rPr>
          <w:iCs/>
          <w:i/>
        </w:rPr>
        <w:t xml:space="preserve">T</w:t>
      </w:r>
      <w:r>
        <w:rPr>
          <w:iCs/>
          <w:i/>
          <w:vertAlign w:val="subscript"/>
        </w:rPr>
        <w:t xml:space="preserve">pt</w:t>
      </w:r>
      <w:r>
        <w:t xml:space="preserve">(</w:t>
      </w:r>
      <w:r>
        <w:rPr>
          <w:iCs/>
          <w:i/>
        </w:rPr>
        <w:t xml:space="preserve">o</w:t>
      </w:r>
      <w:r>
        <w:t xml:space="preserve">,</w:t>
      </w:r>
      <w:r>
        <w:t xml:space="preserve"> </w:t>
      </w:r>
      <w:r>
        <w:rPr>
          <w:iCs/>
          <w:i/>
        </w:rPr>
        <w:t xml:space="preserve">h</w:t>
      </w:r>
      <w:r>
        <w:t xml:space="preserve">,</w:t>
      </w:r>
      <w:r>
        <w:t xml:space="preserve"> </w:t>
      </w:r>
      <w:r>
        <w:rPr>
          <w:iCs/>
          <w:i/>
        </w:rPr>
        <w:t xml:space="preserve">t</w:t>
      </w:r>
      <w:r>
        <w:t xml:space="preserve">) = τ</w:t>
      </w:r>
      <w:r>
        <w:rPr>
          <w:vertAlign w:val="superscript"/>
        </w:rPr>
        <w:t xml:space="preserve">∗</w:t>
      </w:r>
      <w:r>
        <w:rPr>
          <w:iCs/>
          <w:i/>
          <w:vertAlign w:val="subscript"/>
        </w:rPr>
        <w:t xml:space="preserve">m</w:t>
      </w:r>
      <w:r>
        <w:t xml:space="preserve">(</w:t>
      </w:r>
      <w:r>
        <w:rPr>
          <w:iCs/>
          <w:i/>
        </w:rPr>
        <w:t xml:space="preserve">o</w:t>
      </w:r>
      <w:r>
        <w:t xml:space="preserve">,</w:t>
      </w:r>
      <w:r>
        <w:t xml:space="preserve"> </w:t>
      </w:r>
      <w:r>
        <w:rPr>
          <w:iCs/>
          <w:i/>
        </w:rPr>
        <w:t xml:space="preserve">z</w:t>
      </w:r>
      <w:r>
        <w:rPr>
          <w:iCs/>
          <w:i/>
          <w:vertAlign w:val="subscript"/>
        </w:rPr>
        <w:t xml:space="preserve">h</w:t>
      </w:r>
      <w:r>
        <w:t xml:space="preserve">,</w:t>
      </w:r>
      <w:r>
        <w:t xml:space="preserve"> </w:t>
      </w:r>
      <w:r>
        <w:rPr>
          <w:iCs/>
          <w:i/>
        </w:rPr>
        <w:t xml:space="preserve">t</w:t>
      </w:r>
      <w:r>
        <w:t xml:space="preserve">) −</w:t>
      </w:r>
      <w:r>
        <w:t xml:space="preserve"> </w:t>
      </w:r>
      <w:r>
        <w:rPr>
          <w:iCs/>
          <w:i/>
        </w:rPr>
        <w:t xml:space="preserve">t</w:t>
      </w:r>
      <w:r>
        <w:t xml:space="preserve">. Rank the suitable hospitals by the key</w:t>
      </w:r>
    </w:p>
    <w:p>
      <w:pPr>
        <w:pStyle w:val="Equation"/>
      </w:pPr>
      <w:r>
        <w:tab/>
      </w:r>
      <w:r>
        <w:drawing>
          <wp:inline>
            <wp:extent cx="4253788" cy="514807"/>
            <wp:effectExtent b="0" l="0" r="0" t="0"/>
            <wp:docPr descr="" title="" id="111" name="Picture"/>
            <a:graphic>
              <a:graphicData uri="http://schemas.openxmlformats.org/drawingml/2006/picture">
                <pic:pic>
                  <pic:nvPicPr>
                    <pic:cNvPr descr="eq/eq17.png" id="112" name="Picture"/>
                    <pic:cNvPicPr>
                      <a:picLocks noChangeArrowheads="1" noChangeAspect="1"/>
                    </pic:cNvPicPr>
                  </pic:nvPicPr>
                  <pic:blipFill>
                    <a:blip r:embed="rId110"/>
                    <a:stretch>
                      <a:fillRect/>
                    </a:stretch>
                  </pic:blipFill>
                  <pic:spPr bwMode="auto">
                    <a:xfrm>
                      <a:off x="0" y="0"/>
                      <a:ext cx="4253788" cy="514807"/>
                    </a:xfrm>
                    <a:prstGeom prst="rect">
                      <a:avLst/>
                    </a:prstGeom>
                    <a:noFill/>
                    <a:ln w="9525">
                      <a:noFill/>
                      <a:headEnd/>
                      <a:tailEnd/>
                    </a:ln>
                  </pic:spPr>
                </pic:pic>
              </a:graphicData>
            </a:graphic>
          </wp:inline>
        </w:drawing>
      </w:r>
      <w:r/>
      <w:r/>
      <w:r>
        <w:rPr>
          <w:rFonts w:ascii="Times New Roman" w:hAnsi="Times New Roman"/>
          <w:sz w:val="24"/>
        </w:rPr>
        <w:tab/>
        <w:t>(17)</w:t>
      </w:r>
    </w:p>
    <w:p>
      <w:pPr>
        <w:pStyle w:val="Source"/>
      </w:pPr>
      <w:r>
        <w:t xml:space="preserve">Source: formulated in this study (Definition 18)</w:t>
      </w:r>
    </w:p>
    <w:p>
      <w:pPr>
        <w:pStyle w:val="BodyText"/>
      </w:pPr>
      <w:r>
        <w:t xml:space="preserve">compared lexicographically. Ties in travel time go to the hospital with more free beds, and then to the smaller identifier; a hospital with UNKNOWN status counts as having zero free beds for this purpose. The backup list of length</w:t>
      </w:r>
      <w:r>
        <w:t xml:space="preserve"> </w:t>
      </w:r>
      <w:r>
        <w:rPr>
          <w:iCs/>
          <w:i/>
        </w:rPr>
        <w:t xml:space="preserve">k</w:t>
      </w:r>
      <w:r>
        <w:t xml:space="preserve"> </w:t>
      </w:r>
      <w:r>
        <w:t xml:space="preserve">is (</w:t>
      </w:r>
      <w:r>
        <w:rPr>
          <w:iCs/>
          <w:i/>
        </w:rPr>
        <w:t xml:space="preserve">h</w:t>
      </w:r>
      <w:r>
        <w:rPr>
          <w:vertAlign w:val="subscript"/>
        </w:rPr>
        <w:t xml:space="preserve">(1)</w:t>
      </w:r>
      <w:r>
        <w:t xml:space="preserve">,</w:t>
      </w:r>
      <w:r>
        <w:t xml:space="preserve"> </w:t>
      </w:r>
      <w:r>
        <w:rPr>
          <w:iCs/>
          <w:i/>
        </w:rPr>
        <w:t xml:space="preserve">h</w:t>
      </w:r>
      <w:r>
        <w:rPr>
          <w:vertAlign w:val="subscript"/>
        </w:rPr>
        <w:t xml:space="preserve">(2)</w:t>
      </w:r>
      <w:r>
        <w:t xml:space="preserve">, …,</w:t>
      </w:r>
      <w:r>
        <w:t xml:space="preserve"> </w:t>
      </w:r>
      <w:r>
        <w:rPr>
          <w:iCs/>
          <w:i/>
        </w:rPr>
        <w:t xml:space="preserve">h</w:t>
      </w:r>
      <w:r>
        <w:rPr>
          <w:vertAlign w:val="subscript"/>
        </w:rPr>
        <w:t xml:space="preserve">(</w:t>
      </w:r>
      <w:r>
        <w:rPr>
          <w:iCs/>
          <w:i/>
          <w:vertAlign w:val="subscript"/>
        </w:rPr>
        <w:t xml:space="preserve">k</w:t>
      </w:r>
      <w:r>
        <w:rPr>
          <w:vertAlign w:val="subscript"/>
        </w:rPr>
        <w:t xml:space="preserve">)</w:t>
      </w:r>
      <w:r>
        <w:t xml:space="preserve">), the first</w:t>
      </w:r>
      <w:r>
        <w:t xml:space="preserve"> </w:t>
      </w:r>
      <w:r>
        <w:rPr>
          <w:iCs/>
          <w:i/>
        </w:rPr>
        <w:t xml:space="preserve">k</w:t>
      </w:r>
      <w:r>
        <w:t xml:space="preserve"> </w:t>
      </w:r>
      <w:r>
        <w:t xml:space="preserve">suitable hospitals in key order, with</w:t>
      </w:r>
      <w:r>
        <w:t xml:space="preserve"> </w:t>
      </w:r>
      <w:r>
        <w:rPr>
          <w:iCs/>
          <w:i/>
        </w:rPr>
        <w:t xml:space="preserve">h</w:t>
      </w:r>
      <w:r>
        <w:rPr>
          <w:vertAlign w:val="subscript"/>
        </w:rPr>
        <w:t xml:space="preserve">(1)</w:t>
      </w:r>
      <w:r>
        <w:t xml:space="preserve"> </w:t>
      </w:r>
      <w:r>
        <w:t xml:space="preserve">=</w:t>
      </w:r>
      <w:r>
        <w:t xml:space="preserve"> </w:t>
      </w:r>
      <w:r>
        <w:rPr>
          <w:iCs/>
          <w:i/>
        </w:rPr>
        <w:t xml:space="preserve">h</w:t>
      </w:r>
      <w:r>
        <w:rPr>
          <w:vertAlign w:val="superscript"/>
        </w:rPr>
        <w:t xml:space="preserve">∗</w:t>
      </w:r>
      <w:r>
        <w:t xml:space="preserve">; the default is</w:t>
      </w:r>
      <w:r>
        <w:t xml:space="preserve"> </w:t>
      </w:r>
      <w:r>
        <w:rPr>
          <w:iCs/>
          <w:i/>
        </w:rPr>
        <w:t xml:space="preserve">k</w:t>
      </w:r>
      <w:r>
        <w:t xml:space="preserve"> </w:t>
      </w:r>
      <w:r>
        <w:t xml:space="preserve">= 3. If no suitable hospital can be reached,</w:t>
      </w:r>
      <w:r>
        <w:t xml:space="preserve"> </w:t>
      </w:r>
      <w:r>
        <w:rPr>
          <w:iCs/>
          <w:i/>
        </w:rPr>
        <w:t xml:space="preserve">T</w:t>
      </w:r>
      <w:r>
        <w:rPr>
          <w:vertAlign w:val="superscript"/>
        </w:rPr>
        <w:t xml:space="preserve">∗</w:t>
      </w:r>
      <w:r>
        <w:t xml:space="preserve"> </w:t>
      </w:r>
      <w:r>
        <w:t xml:space="preserve">= +∞ and the list is empty. In the application the origin</w:t>
      </w:r>
      <w:r>
        <w:t xml:space="preserve"> </w:t>
      </w:r>
      <w:r>
        <w:rPr>
          <w:iCs/>
          <w:i/>
        </w:rPr>
        <w:t xml:space="preserve">o</w:t>
      </w:r>
      <w:r>
        <w:t xml:space="preserve"> </w:t>
      </w:r>
      <w:r>
        <w:t xml:space="preserve">is the user’s GPS position snapped to the nearest road vertex or stop, and</w:t>
      </w:r>
      <w:r>
        <w:t xml:space="preserve"> </w:t>
      </w:r>
      <w:r>
        <w:rPr>
          <w:iCs/>
          <w:i/>
        </w:rPr>
        <w:t xml:space="preserve">t</w:t>
      </w:r>
      <w:r>
        <w:t xml:space="preserve"> </w:t>
      </w:r>
      <w:r>
        <w:t xml:space="preserve">is the current time. Single queries use one departure time; the averaging grid of Equation (3) is used only for atlas-level results.</w:t>
      </w:r>
    </w:p>
    <w:p>
      <w:pPr>
        <w:pStyle w:val="BodyText"/>
      </w:pPr>
      <w:r>
        <w:t xml:space="preserve">The backup list answers problem P8. A hospital may become full between its last report and the patient’s arrival, and an ambulance crew turned away at the door should already know where to go next and how much longer that trip takes.</w:t>
      </w:r>
    </w:p>
    <w:p>
      <w:pPr>
        <w:pStyle w:val="BodyText"/>
      </w:pPr>
      <w:r>
        <w:rPr>
          <w:bCs/>
          <w:b/>
        </w:rPr>
        <w:t xml:space="preserve">Definition 19 (Stabilization rule).</w:t>
      </w:r>
      <w:r>
        <w:t xml:space="preserve"> </w:t>
      </w:r>
      <w:r>
        <w:t xml:space="preserve">The rule applies only when κ = 1. Let</w:t>
      </w:r>
      <w:r>
        <w:t xml:space="preserve"> </w:t>
      </w:r>
      <w:r>
        <w:rPr>
          <w:iCs/>
          <w:i/>
        </w:rPr>
        <w:t xml:space="preserve">h</w:t>
      </w:r>
      <w:r>
        <w:t xml:space="preserve">° be the nearest hospital with an emergency room (</w:t>
      </w:r>
      <w:r>
        <w:rPr>
          <w:iCs/>
          <w:i/>
        </w:rPr>
        <w:t xml:space="preserve">e</w:t>
      </w:r>
      <w:r>
        <w:rPr>
          <w:iCs/>
          <w:i/>
          <w:vertAlign w:val="subscript"/>
        </w:rPr>
        <w:t xml:space="preserve">h</w:t>
      </w:r>
      <w:r>
        <w:t xml:space="preserve"> </w:t>
      </w:r>
      <w:r>
        <w:t xml:space="preserve">= 1) whose status is not FULL, ignoring its level, services, and cost class. If such a hospital exists and</w:t>
      </w:r>
    </w:p>
    <w:p>
      <w:pPr>
        <w:pStyle w:val="Equation"/>
      </w:pPr>
      <w:r>
        <w:tab/>
      </w:r>
      <w:r>
        <w:drawing>
          <wp:inline>
            <wp:extent cx="2157069" cy="159105"/>
            <wp:effectExtent b="0" l="0" r="0" t="0"/>
            <wp:docPr descr="" title="" id="114" name="Picture"/>
            <a:graphic>
              <a:graphicData uri="http://schemas.openxmlformats.org/drawingml/2006/picture">
                <pic:pic>
                  <pic:nvPicPr>
                    <pic:cNvPr descr="eq/eq18.png" id="115" name="Picture"/>
                    <pic:cNvPicPr>
                      <a:picLocks noChangeArrowheads="1" noChangeAspect="1"/>
                    </pic:cNvPicPr>
                  </pic:nvPicPr>
                  <pic:blipFill>
                    <a:blip r:embed="rId113"/>
                    <a:stretch>
                      <a:fillRect/>
                    </a:stretch>
                  </pic:blipFill>
                  <pic:spPr bwMode="auto">
                    <a:xfrm>
                      <a:off x="0" y="0"/>
                      <a:ext cx="2157069" cy="159105"/>
                    </a:xfrm>
                    <a:prstGeom prst="rect">
                      <a:avLst/>
                    </a:prstGeom>
                    <a:noFill/>
                    <a:ln w="9525">
                      <a:noFill/>
                      <a:headEnd/>
                      <a:tailEnd/>
                    </a:ln>
                  </pic:spPr>
                </pic:pic>
              </a:graphicData>
            </a:graphic>
          </wp:inline>
        </w:drawing>
      </w:r>
      <w:r/>
      <w:r/>
      <w:r>
        <w:rPr>
          <w:rFonts w:ascii="Times New Roman" w:hAnsi="Times New Roman"/>
          <w:sz w:val="24"/>
        </w:rPr>
        <w:tab/>
        <w:t>(18)</w:t>
      </w:r>
    </w:p>
    <w:p>
      <w:pPr>
        <w:pStyle w:val="Source"/>
      </w:pPr>
      <w:r>
        <w:t xml:space="preserve">Source: formulated in this study (Definition 19)</w:t>
      </w:r>
    </w:p>
    <w:p>
      <w:pPr>
        <w:pStyle w:val="BodyText"/>
      </w:pPr>
      <w:r>
        <w:t xml:space="preserve">the application returns</w:t>
      </w:r>
      <w:r>
        <w:t xml:space="preserve"> </w:t>
      </w:r>
      <w:r>
        <w:rPr>
          <w:iCs/>
          <w:i/>
        </w:rPr>
        <w:t xml:space="preserve">h</w:t>
      </w:r>
      <w:r>
        <w:t xml:space="preserve">° first, with the message</w:t>
      </w:r>
      <w:r>
        <w:t xml:space="preserve"> </w:t>
      </w:r>
      <w:r>
        <w:t xml:space="preserve">“</w:t>
      </w:r>
      <w:r>
        <w:t xml:space="preserve">stabilize, then transfer to</w:t>
      </w:r>
      <w:r>
        <w:t xml:space="preserve"> </w:t>
      </w:r>
      <w:r>
        <w:rPr>
          <w:iCs/>
          <w:i/>
        </w:rPr>
        <w:t xml:space="preserve">h</w:t>
      </w:r>
      <w:r>
        <w:rPr>
          <w:vertAlign w:val="superscript"/>
        </w:rPr>
        <w:t xml:space="preserve">∗</w:t>
      </w:r>
      <w:r>
        <w:t xml:space="preserve">,</w:t>
      </w:r>
      <w:r>
        <w:t xml:space="preserve">”</w:t>
      </w:r>
      <w:r>
        <w:t xml:space="preserve"> </w:t>
      </w:r>
      <w:r>
        <w:t xml:space="preserve">and</w:t>
      </w:r>
      <w:r>
        <w:t xml:space="preserve"> </w:t>
      </w:r>
      <w:r>
        <w:rPr>
          <w:iCs/>
          <w:i/>
        </w:rPr>
        <w:t xml:space="preserve">h</w:t>
      </w:r>
      <w:r>
        <w:rPr>
          <w:vertAlign w:val="superscript"/>
        </w:rPr>
        <w:t xml:space="preserve">∗</w:t>
      </w:r>
      <w:r>
        <w:t xml:space="preserve"> </w:t>
      </w:r>
      <w:r>
        <w:t xml:space="preserve">second. A patient who needs immediate life-saving care should not pass an open emergency room on the way to a Level 3 hospital. The margin θ</w:t>
      </w:r>
      <w:r>
        <w:rPr>
          <w:iCs/>
          <w:i/>
          <w:vertAlign w:val="subscript"/>
        </w:rPr>
        <w:t xml:space="preserve">stab</w:t>
      </w:r>
      <w:r>
        <w:t xml:space="preserve">, set to 15 min in this study, stands in for the provincial referral protocol.</w:t>
      </w:r>
    </w:p>
    <w:p>
      <w:pPr>
        <w:pStyle w:val="BodyText"/>
      </w:pPr>
      <w:r>
        <w:t xml:space="preserve">Figure 3 shows the steps of hospital mode, and Algorithm 1 gives the search.</w:t>
      </w:r>
    </w:p>
    <w:p>
      <w:pPr>
        <w:pStyle w:val="CaptionedFigure"/>
      </w:pPr>
      <w:r>
        <w:drawing>
          <wp:inline>
            <wp:extent cx="5943600" cy="2964569"/>
            <wp:effectExtent b="0" l="0" r="0" t="0"/>
            <wp:docPr descr="Figure 3. Steps of hospital mode, from the patient’s inputs to the recommendation. Orange boxes depend on the agent network or are shown to the user." title="" id="117" name="Picture"/>
            <a:graphic>
              <a:graphicData uri="http://schemas.openxmlformats.org/drawingml/2006/picture">
                <pic:pic>
                  <pic:nvPicPr>
                    <pic:cNvPr descr="fig/fig3_hospital_mode.png" id="118" name="Picture"/>
                    <pic:cNvPicPr>
                      <a:picLocks noChangeArrowheads="1" noChangeAspect="1"/>
                    </pic:cNvPicPr>
                  </pic:nvPicPr>
                  <pic:blipFill>
                    <a:blip r:embed="rId116"/>
                    <a:stretch>
                      <a:fillRect/>
                    </a:stretch>
                  </pic:blipFill>
                  <pic:spPr bwMode="auto">
                    <a:xfrm>
                      <a:off x="0" y="0"/>
                      <a:ext cx="5943600" cy="2964569"/>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Steps of hospital mode, from the patient’s inputs to the recommendation. Orange boxes depend on the agent network or are shown to the user.</w:t>
      </w:r>
    </w:p>
    <w:p>
      <w:pPr>
        <w:pStyle w:val="AlgoTitle"/>
      </w:pPr>
      <w:r>
        <w:rPr>
          <w:bCs/>
          <w:b/>
        </w:rPr>
        <w:t xml:space="preserve">Algorithm 1.</w:t>
      </w:r>
      <w:r>
        <w:t xml:space="preserve"> </w:t>
      </w:r>
      <w:r>
        <w:t xml:space="preserve">Hospital mode for one patient (early-stopping search with backups)</w:t>
      </w:r>
    </w:p>
    <w:p>
      <w:pPr>
        <w:pStyle w:val="SourceCode"/>
      </w:pPr>
      <w:r>
        <w:rPr>
          <w:rStyle w:val="VerbatimChar"/>
        </w:rPr>
        <w:t xml:space="preserve">Input : origin o, time t, profile pi = (kappa, N, rho, m), mode x, backups k</w:t>
      </w:r>
      <w:r>
        <w:br/>
      </w:r>
      <w:r>
        <w:rPr>
          <w:rStyle w:val="VerbatimChar"/>
        </w:rPr>
        <w:t xml:space="preserve">Output: up to k suitable hospitals in key order, with travel times</w:t>
      </w:r>
      <w:r>
        <w:br/>
      </w:r>
      <w:r>
        <w:rPr>
          <w:rStyle w:val="VerbatimChar"/>
        </w:rPr>
        <w:t xml:space="preserve"> 1  if x = amb: graph &lt;- ambulance subgraph, arc time = length / speed</w:t>
      </w:r>
      <w:r>
        <w:br/>
      </w:r>
      <w:r>
        <w:rPr>
          <w:rStyle w:val="VerbatimChar"/>
        </w:rPr>
        <w:t xml:space="preserve"> 2  else:       graph &lt;- time-expanded graph with hospital sinks,</w:t>
      </w:r>
      <w:r>
        <w:br/>
      </w:r>
      <w:r>
        <w:rPr>
          <w:rStyle w:val="VerbatimChar"/>
        </w:rPr>
        <w:t xml:space="preserve">                         walking speed v_m and walking cap t_m</w:t>
      </w:r>
      <w:r>
        <w:br/>
      </w:r>
      <w:r>
        <w:rPr>
          <w:rStyle w:val="VerbatimChar"/>
        </w:rPr>
        <w:t xml:space="preserve"> 3  Q &lt;- priority queue holding the origin with label t</w:t>
      </w:r>
      <w:r>
        <w:br/>
      </w:r>
      <w:r>
        <w:rPr>
          <w:rStyle w:val="VerbatimChar"/>
        </w:rPr>
        <w:t xml:space="preserve"> 4  found &lt;- empty list;  bound &lt;- +infinity</w:t>
      </w:r>
      <w:r>
        <w:br/>
      </w:r>
      <w:r>
        <w:rPr>
          <w:rStyle w:val="VerbatimChar"/>
        </w:rPr>
        <w:t xml:space="preserve"> 5  while Q is not empty:</w:t>
      </w:r>
      <w:r>
        <w:br/>
      </w:r>
      <w:r>
        <w:rPr>
          <w:rStyle w:val="VerbatimChar"/>
        </w:rPr>
        <w:t xml:space="preserve"> 6      (label, u) &lt;- extract the smallest label from Q</w:t>
      </w:r>
      <w:r>
        <w:br/>
      </w:r>
      <w:r>
        <w:rPr>
          <w:rStyle w:val="VerbatimChar"/>
        </w:rPr>
        <w:t xml:space="preserve"> 7      if label &gt; bound: stop</w:t>
      </w:r>
      <w:r>
        <w:br/>
      </w:r>
      <w:r>
        <w:rPr>
          <w:rStyle w:val="VerbatimChar"/>
        </w:rPr>
        <w:t xml:space="preserve"> 8      if u is the vertex (or sink) of hospital h and Phi(h; pi, t) = 1:</w:t>
      </w:r>
      <w:r>
        <w:br/>
      </w:r>
      <w:r>
        <w:rPr>
          <w:rStyle w:val="VerbatimChar"/>
        </w:rPr>
        <w:t xml:space="preserve"> 9          add (label - t, -b_h(t), id_h) to found</w:t>
      </w:r>
      <w:r>
        <w:br/>
      </w:r>
      <w:r>
        <w:rPr>
          <w:rStyle w:val="VerbatimChar"/>
        </w:rPr>
        <w:t xml:space="preserve">10          if found has k entries and bound = +infinity: bound &lt;- label</w:t>
      </w:r>
      <w:r>
        <w:br/>
      </w:r>
      <w:r>
        <w:rPr>
          <w:rStyle w:val="VerbatimChar"/>
        </w:rPr>
        <w:t xml:space="preserve">11      relax every arc leaving u</w:t>
      </w:r>
      <w:r>
        <w:br/>
      </w:r>
      <w:r>
        <w:rPr>
          <w:rStyle w:val="VerbatimChar"/>
        </w:rPr>
        <w:t xml:space="preserve">12  sort found by key; keep the first k</w:t>
      </w:r>
      <w:r>
        <w:br/>
      </w:r>
      <w:r>
        <w:rPr>
          <w:rStyle w:val="VerbatimChar"/>
        </w:rPr>
        <w:t xml:space="preserve">13  if kappa = 1: apply the stabilization rule (Definition 19)</w:t>
      </w:r>
      <w:r>
        <w:br/>
      </w:r>
      <w:r>
        <w:rPr>
          <w:rStyle w:val="VerbatimChar"/>
        </w:rPr>
        <w:t xml:space="preserve">14  return found</w:t>
      </w:r>
    </w:p>
    <w:bookmarkEnd w:id="119"/>
    <w:bookmarkStart w:id="135" w:name="Xfeb44c18ee1d73fe99e5a06e06d5c87f2a00765"/>
    <w:p>
      <w:pPr>
        <w:pStyle w:val="Heading2"/>
      </w:pPr>
      <w:r>
        <w:t xml:space="preserve">2.11 Gaps, Catchments, and Bed Access per Person</w:t>
      </w:r>
    </w:p>
    <w:p>
      <w:pPr>
        <w:pStyle w:val="FirstParagraph"/>
      </w:pPr>
      <w:r>
        <w:t xml:space="preserve">The quantities in this section turn single routes into maps and summary figures for planners.</w:t>
      </w:r>
    </w:p>
    <w:p>
      <w:pPr>
        <w:pStyle w:val="BodyText"/>
      </w:pPr>
      <w:r>
        <w:rPr>
          <w:bCs/>
          <w:b/>
        </w:rPr>
        <w:t xml:space="preserve">Definition 20 (Payment, need, and mobility gaps).</w:t>
      </w:r>
      <w:r>
        <w:t xml:space="preserve"> </w:t>
      </w:r>
      <w:r>
        <w:t xml:space="preserve">At origin</w:t>
      </w:r>
      <w:r>
        <w:t xml:space="preserve"> </w:t>
      </w:r>
      <w:r>
        <w:rPr>
          <w:iCs/>
          <w:i/>
        </w:rPr>
        <w:t xml:space="preserve">o</w:t>
      </w:r>
      <w:r>
        <w:t xml:space="preserve"> </w:t>
      </w:r>
      <w:r>
        <w:t xml:space="preserve">and time</w:t>
      </w:r>
      <w:r>
        <w:t xml:space="preserve"> </w:t>
      </w:r>
      <w:r>
        <w:rPr>
          <w:iCs/>
          <w:i/>
        </w:rPr>
        <w:t xml:space="preserve">t</w:t>
      </w:r>
      <w:r>
        <w:t xml:space="preserve">, for a profile π = (κ,</w:t>
      </w:r>
      <w:r>
        <w:t xml:space="preserve"> </w:t>
      </w:r>
      <w:r>
        <w:rPr>
          <w:iCs/>
          <w:i/>
        </w:rPr>
        <w:t xml:space="preserve">N</w:t>
      </w:r>
      <w:r>
        <w:t xml:space="preserve">, ρ,</w:t>
      </w:r>
      <w:r>
        <w:t xml:space="preserve"> </w:t>
      </w:r>
      <w:r>
        <w:rPr>
          <w:iCs/>
          <w:i/>
        </w:rPr>
        <w:t xml:space="preserve">m</w:t>
      </w:r>
      <w:r>
        <w:t xml:space="preserve">),</w:t>
      </w:r>
    </w:p>
    <w:p>
      <w:pPr>
        <w:pStyle w:val="Equation"/>
      </w:pPr>
      <w:r>
        <w:tab/>
      </w:r>
      <w:r>
        <w:drawing>
          <wp:inline>
            <wp:extent cx="4252874" cy="191109"/>
            <wp:effectExtent b="0" l="0" r="0" t="0"/>
            <wp:docPr descr="" title="" id="121" name="Picture"/>
            <a:graphic>
              <a:graphicData uri="http://schemas.openxmlformats.org/drawingml/2006/picture">
                <pic:pic>
                  <pic:nvPicPr>
                    <pic:cNvPr descr="eq/eq19.png" id="122" name="Picture"/>
                    <pic:cNvPicPr>
                      <a:picLocks noChangeArrowheads="1" noChangeAspect="1"/>
                    </pic:cNvPicPr>
                  </pic:nvPicPr>
                  <pic:blipFill>
                    <a:blip r:embed="rId120"/>
                    <a:stretch>
                      <a:fillRect/>
                    </a:stretch>
                  </pic:blipFill>
                  <pic:spPr bwMode="auto">
                    <a:xfrm>
                      <a:off x="0" y="0"/>
                      <a:ext cx="4252874" cy="191109"/>
                    </a:xfrm>
                    <a:prstGeom prst="rect">
                      <a:avLst/>
                    </a:prstGeom>
                    <a:noFill/>
                    <a:ln w="9525">
                      <a:noFill/>
                      <a:headEnd/>
                      <a:tailEnd/>
                    </a:ln>
                  </pic:spPr>
                </pic:pic>
              </a:graphicData>
            </a:graphic>
          </wp:inline>
        </w:drawing>
      </w:r>
      <w:r/>
      <w:r/>
      <w:r>
        <w:rPr>
          <w:rFonts w:ascii="Times New Roman" w:hAnsi="Times New Roman"/>
          <w:sz w:val="24"/>
        </w:rPr>
        <w:tab/>
        <w:t>(19)</w:t>
      </w:r>
    </w:p>
    <w:p>
      <w:pPr>
        <w:pStyle w:val="Equation"/>
      </w:pPr>
      <w:r>
        <w:tab/>
      </w:r>
      <w:r>
        <w:drawing>
          <wp:inline>
            <wp:extent cx="4750308" cy="436168"/>
            <wp:effectExtent b="0" l="0" r="0" t="0"/>
            <wp:docPr descr="" title="" id="124" name="Picture"/>
            <a:graphic>
              <a:graphicData uri="http://schemas.openxmlformats.org/drawingml/2006/picture">
                <pic:pic>
                  <pic:nvPicPr>
                    <pic:cNvPr descr="eq/eq20.png" id="125" name="Picture"/>
                    <pic:cNvPicPr>
                      <a:picLocks noChangeArrowheads="1" noChangeAspect="1"/>
                    </pic:cNvPicPr>
                  </pic:nvPicPr>
                  <pic:blipFill>
                    <a:blip r:embed="rId123"/>
                    <a:stretch>
                      <a:fillRect/>
                    </a:stretch>
                  </pic:blipFill>
                  <pic:spPr bwMode="auto">
                    <a:xfrm>
                      <a:off x="0" y="0"/>
                      <a:ext cx="4750308" cy="436168"/>
                    </a:xfrm>
                    <a:prstGeom prst="rect">
                      <a:avLst/>
                    </a:prstGeom>
                    <a:noFill/>
                    <a:ln w="9525">
                      <a:noFill/>
                      <a:headEnd/>
                      <a:tailEnd/>
                    </a:ln>
                  </pic:spPr>
                </pic:pic>
              </a:graphicData>
            </a:graphic>
          </wp:inline>
        </w:drawing>
      </w:r>
      <w:r/>
      <w:r/>
      <w:r>
        <w:rPr>
          <w:rFonts w:ascii="Times New Roman" w:hAnsi="Times New Roman"/>
          <w:sz w:val="24"/>
        </w:rPr>
        <w:tab/>
        <w:t>(20)</w:t>
      </w:r>
    </w:p>
    <w:p>
      <w:pPr>
        <w:pStyle w:val="Source"/>
      </w:pPr>
      <w:r>
        <w:t xml:space="preserve">Source: formulated in this study (Definition 20)</w:t>
      </w:r>
    </w:p>
    <w:p>
      <w:pPr>
        <w:pStyle w:val="BodyText"/>
      </w:pPr>
      <w:r>
        <w:t xml:space="preserve">with the convention ∞ − ∞ := 0. The payment gap is the extra travel time a patient bears because of what the family can pay. The need gap is the extra time caused by needing a particular service, and the mobility gap is the extra time caused by walking slowly. A gap of +∞ is reported on its own, for example as</w:t>
      </w:r>
      <w:r>
        <w:t xml:space="preserve"> </w:t>
      </w:r>
      <w:r>
        <w:t xml:space="preserve">“</w:t>
      </w:r>
      <w:r>
        <w:t xml:space="preserve">no affordable suitable hospital reachable.</w:t>
      </w:r>
      <w:r>
        <w:t xml:space="preserve">”</w:t>
      </w:r>
    </w:p>
    <w:p>
      <w:pPr>
        <w:pStyle w:val="BodyText"/>
      </w:pPr>
      <w:r>
        <w:rPr>
          <w:bCs/>
          <w:b/>
        </w:rPr>
        <w:t xml:space="preserve">Definition 21 (Free-bed accessibility).</w:t>
      </w:r>
      <w:r>
        <w:t xml:space="preserve"> </w:t>
      </w:r>
      <w:r>
        <w:t xml:space="preserve">The free-bed analogues of Definition 7 count the free beds, and the free beds that a patient in payment class ρ may use, within budget θ of anchor</w:t>
      </w:r>
      <w:r>
        <w:t xml:space="preserve"> </w:t>
      </w:r>
      <w:r>
        <w:rPr>
          <w:iCs/>
          <w:i/>
        </w:rPr>
        <w:t xml:space="preserve">a</w:t>
      </w:r>
      <w:r>
        <w:t xml:space="preserve">:</w:t>
      </w:r>
    </w:p>
    <w:p>
      <w:pPr>
        <w:pStyle w:val="Equation"/>
      </w:pPr>
      <w:r>
        <w:tab/>
      </w:r>
      <w:r>
        <w:drawing>
          <wp:inline>
            <wp:extent cx="2643530" cy="828446"/>
            <wp:effectExtent b="0" l="0" r="0" t="0"/>
            <wp:docPr descr="" title="" id="127" name="Picture"/>
            <a:graphic>
              <a:graphicData uri="http://schemas.openxmlformats.org/drawingml/2006/picture">
                <pic:pic>
                  <pic:nvPicPr>
                    <pic:cNvPr descr="eq/eq21.png" id="128" name="Picture"/>
                    <pic:cNvPicPr>
                      <a:picLocks noChangeArrowheads="1" noChangeAspect="1"/>
                    </pic:cNvPicPr>
                  </pic:nvPicPr>
                  <pic:blipFill>
                    <a:blip r:embed="rId126"/>
                    <a:stretch>
                      <a:fillRect/>
                    </a:stretch>
                  </pic:blipFill>
                  <pic:spPr bwMode="auto">
                    <a:xfrm>
                      <a:off x="0" y="0"/>
                      <a:ext cx="2643530" cy="828446"/>
                    </a:xfrm>
                    <a:prstGeom prst="rect">
                      <a:avLst/>
                    </a:prstGeom>
                    <a:noFill/>
                    <a:ln w="9525">
                      <a:noFill/>
                      <a:headEnd/>
                      <a:tailEnd/>
                    </a:ln>
                  </pic:spPr>
                </pic:pic>
              </a:graphicData>
            </a:graphic>
          </wp:inline>
        </w:drawing>
      </w:r>
      <w:r/>
      <w:r/>
      <w:r>
        <w:rPr>
          <w:rFonts w:ascii="Times New Roman" w:hAnsi="Times New Roman"/>
          <w:sz w:val="24"/>
        </w:rPr>
        <w:tab/>
        <w:t>(21)</w:t>
      </w:r>
    </w:p>
    <w:p>
      <w:pPr>
        <w:pStyle w:val="Source"/>
      </w:pPr>
      <w:r>
        <w:t xml:space="preserve">Source: formulated in this study by applying Wachs and Kumagai (1973) to free beds</w:t>
      </w:r>
    </w:p>
    <w:p>
      <w:pPr>
        <w:pStyle w:val="BodyText"/>
      </w:pPr>
      <w:r>
        <w:rPr>
          <w:bCs/>
          <w:b/>
        </w:rPr>
        <w:t xml:space="preserve">Definition 22 (Hospital catchment map).</w:t>
      </w:r>
      <w:r>
        <w:t xml:space="preserve"> </w:t>
      </w:r>
      <w:r>
        <w:t xml:space="preserve">For a profile π and time</w:t>
      </w:r>
      <w:r>
        <w:t xml:space="preserve"> </w:t>
      </w:r>
      <w:r>
        <w:rPr>
          <w:iCs/>
          <w:i/>
        </w:rPr>
        <w:t xml:space="preserve">t</w:t>
      </w:r>
      <w:r>
        <w:t xml:space="preserve"> </w:t>
      </w:r>
      <w:r>
        <w:t xml:space="preserve">in ambulance mode, the catchment of hospital</w:t>
      </w:r>
      <w:r>
        <w:t xml:space="preserve"> </w:t>
      </w:r>
      <w:r>
        <w:rPr>
          <w:iCs/>
          <w:i/>
        </w:rPr>
        <w:t xml:space="preserve">h</w:t>
      </w:r>
      <w:r>
        <w:t xml:space="preserve"> </w:t>
      </w:r>
      <w:r>
        <w:t xml:space="preserve">is</w:t>
      </w:r>
    </w:p>
    <w:p>
      <w:pPr>
        <w:pStyle w:val="Equation"/>
      </w:pPr>
      <w:r>
        <w:tab/>
      </w:r>
      <w:r>
        <w:drawing>
          <wp:inline>
            <wp:extent cx="2515514" cy="159105"/>
            <wp:effectExtent b="0" l="0" r="0" t="0"/>
            <wp:docPr descr="" title="" id="130" name="Picture"/>
            <a:graphic>
              <a:graphicData uri="http://schemas.openxmlformats.org/drawingml/2006/picture">
                <pic:pic>
                  <pic:nvPicPr>
                    <pic:cNvPr descr="eq/eq22.png" id="131" name="Picture"/>
                    <pic:cNvPicPr>
                      <a:picLocks noChangeArrowheads="1" noChangeAspect="1"/>
                    </pic:cNvPicPr>
                  </pic:nvPicPr>
                  <pic:blipFill>
                    <a:blip r:embed="rId129"/>
                    <a:stretch>
                      <a:fillRect/>
                    </a:stretch>
                  </pic:blipFill>
                  <pic:spPr bwMode="auto">
                    <a:xfrm>
                      <a:off x="0" y="0"/>
                      <a:ext cx="2515514" cy="159105"/>
                    </a:xfrm>
                    <a:prstGeom prst="rect">
                      <a:avLst/>
                    </a:prstGeom>
                    <a:noFill/>
                    <a:ln w="9525">
                      <a:noFill/>
                      <a:headEnd/>
                      <a:tailEnd/>
                    </a:ln>
                  </pic:spPr>
                </pic:pic>
              </a:graphicData>
            </a:graphic>
          </wp:inline>
        </w:drawing>
      </w:r>
      <w:r/>
      <w:r/>
      <w:r>
        <w:rPr>
          <w:rFonts w:ascii="Times New Roman" w:hAnsi="Times New Roman"/>
          <w:sz w:val="24"/>
        </w:rPr>
        <w:tab/>
        <w:t>(22)</w:t>
      </w:r>
    </w:p>
    <w:p>
      <w:pPr>
        <w:pStyle w:val="Source"/>
      </w:pPr>
      <w:r>
        <w:t xml:space="preserve">Source: formulated in this study; a network Voronoi diagram in the sense of Okabe et al. (2000) and Erwig (2000), restricted to suitable hospitals</w:t>
      </w:r>
    </w:p>
    <w:p>
      <w:pPr>
        <w:pStyle w:val="BodyText"/>
      </w:pPr>
      <w:r>
        <w:t xml:space="preserve">The catchments are disjoint, and together they cover every road vertex that can reach a suitable hospital. Each catchment is the area that a given hospital would serve for that kind of patient. The map changes with the profile: the catchments for a woman in uncomplicated labor differ from those for a patient who needs dialysis, and both change when a hospital reports FULL.</w:t>
      </w:r>
    </w:p>
    <w:p>
      <w:pPr>
        <w:pStyle w:val="BodyText"/>
      </w:pPr>
      <w:r>
        <w:rPr>
          <w:bCs/>
          <w:b/>
        </w:rPr>
        <w:t xml:space="preserve">Definition 23 (Bed-to-population ratio and bed desert).</w:t>
      </w:r>
      <w:r>
        <w:t xml:space="preserve"> </w:t>
      </w:r>
      <w:r>
        <w:t xml:space="preserve">Following the two-step floating catchment area method of Luo and Wang (2003), let</w:t>
      </w:r>
      <w:r>
        <w:t xml:space="preserve"> </w:t>
      </w:r>
      <w:r>
        <w:rPr>
          <w:iCs/>
          <w:i/>
        </w:rPr>
        <w:t xml:space="preserve">s</w:t>
      </w:r>
      <w:r>
        <w:rPr>
          <w:iCs/>
          <w:i/>
          <w:vertAlign w:val="subscript"/>
        </w:rPr>
        <w:t xml:space="preserve">h</w:t>
      </w:r>
      <w:r>
        <w:t xml:space="preserve"> </w:t>
      </w:r>
      <w:r>
        <w:t xml:space="preserve">be the supply of hospital</w:t>
      </w:r>
      <w:r>
        <w:t xml:space="preserve"> </w:t>
      </w:r>
      <w:r>
        <w:rPr>
          <w:iCs/>
          <w:i/>
        </w:rPr>
        <w:t xml:space="preserve">h</w:t>
      </w:r>
      <w:r>
        <w:t xml:space="preserve"> </w:t>
      </w:r>
      <w:r>
        <w:t xml:space="preserve">(its authorized beds</w:t>
      </w:r>
      <w:r>
        <w:t xml:space="preserve"> </w:t>
      </w:r>
      <w:r>
        <w:rPr>
          <w:iCs/>
          <w:i/>
        </w:rPr>
        <w:t xml:space="preserve">c</w:t>
      </w:r>
      <w:r>
        <w:rPr>
          <w:iCs/>
          <w:i/>
          <w:vertAlign w:val="subscript"/>
        </w:rPr>
        <w:t xml:space="preserve">h</w:t>
      </w:r>
      <w:r>
        <w:t xml:space="preserve"> </w:t>
      </w:r>
      <w:r>
        <w:t xml:space="preserve">or its free beds</w:t>
      </w:r>
      <w:r>
        <w:t xml:space="preserve"> </w:t>
      </w:r>
      <w:r>
        <w:rPr>
          <w:iCs/>
          <w:i/>
        </w:rPr>
        <w:t xml:space="preserve">b</w:t>
      </w:r>
      <w:r>
        <w:rPr>
          <w:iCs/>
          <w:i/>
          <w:vertAlign w:val="subscript"/>
        </w:rPr>
        <w:t xml:space="preserve">h</w:t>
      </w:r>
      <w:r>
        <w:t xml:space="preserve">(</w:t>
      </w:r>
      <w:r>
        <w:rPr>
          <w:iCs/>
          <w:i/>
        </w:rPr>
        <w:t xml:space="preserve">t</w:t>
      </w:r>
      <w:r>
        <w:t xml:space="preserve">)) and, for budget θ,</w:t>
      </w:r>
    </w:p>
    <w:p>
      <w:pPr>
        <w:pStyle w:val="Equation"/>
      </w:pPr>
      <w:r>
        <w:tab/>
      </w:r>
      <w:r>
        <w:drawing>
          <wp:inline>
            <wp:extent cx="3771900" cy="425196"/>
            <wp:effectExtent b="0" l="0" r="0" t="0"/>
            <wp:docPr descr="" title="" id="133" name="Picture"/>
            <a:graphic>
              <a:graphicData uri="http://schemas.openxmlformats.org/drawingml/2006/picture">
                <pic:pic>
                  <pic:nvPicPr>
                    <pic:cNvPr descr="eq/eq23.png" id="134" name="Picture"/>
                    <pic:cNvPicPr>
                      <a:picLocks noChangeArrowheads="1" noChangeAspect="1"/>
                    </pic:cNvPicPr>
                  </pic:nvPicPr>
                  <pic:blipFill>
                    <a:blip r:embed="rId132"/>
                    <a:stretch>
                      <a:fillRect/>
                    </a:stretch>
                  </pic:blipFill>
                  <pic:spPr bwMode="auto">
                    <a:xfrm>
                      <a:off x="0" y="0"/>
                      <a:ext cx="3771900" cy="425196"/>
                    </a:xfrm>
                    <a:prstGeom prst="rect">
                      <a:avLst/>
                    </a:prstGeom>
                    <a:noFill/>
                    <a:ln w="9525">
                      <a:noFill/>
                      <a:headEnd/>
                      <a:tailEnd/>
                    </a:ln>
                  </pic:spPr>
                </pic:pic>
              </a:graphicData>
            </a:graphic>
          </wp:inline>
        </w:drawing>
      </w:r>
      <w:r/>
      <w:r/>
      <w:r>
        <w:rPr>
          <w:rFonts w:ascii="Times New Roman" w:hAnsi="Times New Roman"/>
          <w:sz w:val="24"/>
        </w:rPr>
        <w:tab/>
        <w:t>(23)</w:t>
      </w:r>
    </w:p>
    <w:p>
      <w:pPr>
        <w:pStyle w:val="Source"/>
      </w:pPr>
      <w:r>
        <w:t xml:space="preserve">Source: Luo and Wang (2003), applied in this study to anchors and to free beds</w:t>
      </w:r>
    </w:p>
    <w:p>
      <w:pPr>
        <w:pStyle w:val="BodyText"/>
      </w:pPr>
      <w:r>
        <w:t xml:space="preserve">with</w:t>
      </w:r>
      <w:r>
        <w:t xml:space="preserve"> </w:t>
      </w:r>
      <w:r>
        <w:rPr>
          <w:iCs/>
          <w:i/>
        </w:rPr>
        <w:t xml:space="preserve">R</w:t>
      </w:r>
      <w:r>
        <w:rPr>
          <w:iCs/>
          <w:i/>
          <w:vertAlign w:val="subscript"/>
        </w:rPr>
        <w:t xml:space="preserve">h</w:t>
      </w:r>
      <w:r>
        <w:t xml:space="preserve">(θ) = 0 when no anchor lies within θ of</w:t>
      </w:r>
      <w:r>
        <w:t xml:space="preserve"> </w:t>
      </w:r>
      <w:r>
        <w:rPr>
          <w:iCs/>
          <w:i/>
        </w:rPr>
        <w:t xml:space="preserve">h</w:t>
      </w:r>
      <w:r>
        <w:t xml:space="preserve">.</w:t>
      </w:r>
      <w:r>
        <w:t xml:space="preserve"> </w:t>
      </w:r>
      <w:r>
        <w:rPr>
          <w:iCs/>
          <w:i/>
        </w:rPr>
        <w:t xml:space="preserve">R</w:t>
      </w:r>
      <w:r>
        <w:rPr>
          <w:iCs/>
          <w:i/>
          <w:vertAlign w:val="subscript"/>
        </w:rPr>
        <w:t xml:space="preserve">h</w:t>
      </w:r>
      <w:r>
        <w:t xml:space="preserve"> </w:t>
      </w:r>
      <w:r>
        <w:t xml:space="preserve">is the number of beds per person in the hospital’s reach, and</w:t>
      </w:r>
      <w:r>
        <w:t xml:space="preserve"> </w:t>
      </w:r>
      <w:r>
        <w:rPr>
          <w:iCs/>
          <w:i/>
        </w:rPr>
        <w:t xml:space="preserve">A</w:t>
      </w:r>
      <w:r>
        <w:rPr>
          <w:iCs/>
          <w:i/>
          <w:vertAlign w:val="superscript"/>
        </w:rPr>
        <w:t xml:space="preserve">F</w:t>
      </w:r>
      <w:r>
        <w:rPr>
          <w:iCs/>
          <w:i/>
          <w:vertAlign w:val="subscript"/>
        </w:rPr>
        <w:t xml:space="preserve">a</w:t>
      </w:r>
      <w:r>
        <w:t xml:space="preserve"> </w:t>
      </w:r>
      <w:r>
        <w:t xml:space="preserve">is the number of beds per person that anchor</w:t>
      </w:r>
      <w:r>
        <w:t xml:space="preserve"> </w:t>
      </w:r>
      <w:r>
        <w:rPr>
          <w:iCs/>
          <w:i/>
        </w:rPr>
        <w:t xml:space="preserve">a</w:t>
      </w:r>
      <w:r>
        <w:t xml:space="preserve"> </w:t>
      </w:r>
      <w:r>
        <w:t xml:space="preserve">can draw on. Results are reported per 10,000 people. An anchor</w:t>
      </w:r>
      <w:r>
        <w:t xml:space="preserve"> </w:t>
      </w:r>
      <w:r>
        <w:rPr>
          <w:iCs/>
          <w:i/>
        </w:rPr>
        <w:t xml:space="preserve">a</w:t>
      </w:r>
      <w:r>
        <w:t xml:space="preserve"> </w:t>
      </w:r>
      <w:r>
        <w:t xml:space="preserve">is a bed desert for payment class ρ at budget θ if</w:t>
      </w:r>
      <w:r>
        <w:t xml:space="preserve"> </w:t>
      </w:r>
      <w:r>
        <w:rPr>
          <w:iCs/>
          <w:i/>
        </w:rPr>
        <w:t xml:space="preserve">B</w:t>
      </w:r>
      <w:r>
        <w:rPr>
          <w:vertAlign w:val="superscript"/>
        </w:rPr>
        <w:t xml:space="preserve">ρ</w:t>
      </w:r>
      <w:r>
        <w:rPr>
          <w:iCs/>
          <w:i/>
          <w:vertAlign w:val="subscript"/>
        </w:rPr>
        <w:t xml:space="preserve">a</w:t>
      </w:r>
      <w:r>
        <w:t xml:space="preserve">(θ) = 0, that is, if no free bed that the patient may use lies within θ. The weight share of bed deserts is the share of the population living around such anchors.</w:t>
      </w:r>
    </w:p>
    <w:p>
      <w:pPr>
        <w:pStyle w:val="BodyText"/>
      </w:pPr>
      <w:r>
        <w:t xml:space="preserve">The difference between Equations (4) and (23) matters to patients. In Equation (4), one bed counts once for every anchor that can reach it, so a bed shared by fifty thousand people looks the same as a bed shared by five hundred. Equation (23) divides each bed among the people who can reach it, so crowding lowers the score (Proposition 15).</w:t>
      </w:r>
    </w:p>
    <w:p>
      <w:pPr>
        <w:pStyle w:val="BodyText"/>
      </w:pPr>
      <w:r>
        <w:t xml:space="preserve">Algorithm 2 builds the whole catchment map in one search, and Proposition 14 proves it correct.</w:t>
      </w:r>
    </w:p>
    <w:p>
      <w:pPr>
        <w:pStyle w:val="AlgoTitle"/>
      </w:pPr>
      <w:r>
        <w:rPr>
          <w:bCs/>
          <w:b/>
        </w:rPr>
        <w:t xml:space="preserve">Algorithm 2.</w:t>
      </w:r>
      <w:r>
        <w:t xml:space="preserve"> </w:t>
      </w:r>
      <w:r>
        <w:t xml:space="preserve">Catchment map for one profile from a single search</w:t>
      </w:r>
    </w:p>
    <w:p>
      <w:pPr>
        <w:pStyle w:val="SourceCode"/>
      </w:pPr>
      <w:r>
        <w:rPr>
          <w:rStyle w:val="VerbatimChar"/>
        </w:rPr>
        <w:t xml:space="preserve">Input : ambulance subgraph, profile pi, time t</w:t>
      </w:r>
      <w:r>
        <w:br/>
      </w:r>
      <w:r>
        <w:rPr>
          <w:rStyle w:val="VerbatimChar"/>
        </w:rPr>
        <w:t xml:space="preserve">Output: for every road vertex v: h*(v), T*(v); shortest-path forest F</w:t>
      </w:r>
      <w:r>
        <w:br/>
      </w:r>
      <w:r>
        <w:rPr>
          <w:rStyle w:val="VerbatimChar"/>
        </w:rPr>
        <w:t xml:space="preserve"> 1  reverse every arc of the ambulance subgraph</w:t>
      </w:r>
      <w:r>
        <w:br/>
      </w:r>
      <w:r>
        <w:rPr>
          <w:rStyle w:val="VerbatimChar"/>
        </w:rPr>
        <w:t xml:space="preserve"> 2  for each hospital h with Phi(h; pi, t) = 1:</w:t>
      </w:r>
      <w:r>
        <w:br/>
      </w:r>
      <w:r>
        <w:rPr>
          <w:rStyle w:val="VerbatimChar"/>
        </w:rPr>
        <w:t xml:space="preserve"> 3      insert v_h into Q with label (0, -b_h(t), id_h) and no parent</w:t>
      </w:r>
      <w:r>
        <w:br/>
      </w:r>
      <w:r>
        <w:rPr>
          <w:rStyle w:val="VerbatimChar"/>
        </w:rPr>
        <w:t xml:space="preserve"> 4  while Q is not empty:</w:t>
      </w:r>
      <w:r>
        <w:br/>
      </w:r>
      <w:r>
        <w:rPr>
          <w:rStyle w:val="VerbatimChar"/>
        </w:rPr>
        <w:t xml:space="preserve"> 5      ((d, beta, i), u, p) &lt;- extract the smallest label (lexicographic)</w:t>
      </w:r>
      <w:r>
        <w:br/>
      </w:r>
      <w:r>
        <w:rPr>
          <w:rStyle w:val="VerbatimChar"/>
        </w:rPr>
        <w:t xml:space="preserve"> 6      if u is already labeled: continue</w:t>
      </w:r>
      <w:r>
        <w:br/>
      </w:r>
      <w:r>
        <w:rPr>
          <w:rStyle w:val="VerbatimChar"/>
        </w:rPr>
        <w:t xml:space="preserve"> 7      label(u) &lt;- (d, beta, i);  parent(u) &lt;- p</w:t>
      </w:r>
      <w:r>
        <w:br/>
      </w:r>
      <w:r>
        <w:rPr>
          <w:rStyle w:val="VerbatimChar"/>
        </w:rPr>
        <w:t xml:space="preserve"> 8      for each reversed arc (u, w) with travel time delta:</w:t>
      </w:r>
      <w:r>
        <w:br/>
      </w:r>
      <w:r>
        <w:rPr>
          <w:rStyle w:val="VerbatimChar"/>
        </w:rPr>
        <w:t xml:space="preserve"> 9          if w is unlabeled: push w, label (d + delta, beta, i), parent u</w:t>
      </w:r>
      <w:r>
        <w:br/>
      </w:r>
      <w:r>
        <w:rPr>
          <w:rStyle w:val="VerbatimChar"/>
        </w:rPr>
        <w:t xml:space="preserve">10  F &lt;- { road segment between u and parent(u) : parent(u) exists }</w:t>
      </w:r>
      <w:r>
        <w:br/>
      </w:r>
      <w:r>
        <w:rPr>
          <w:rStyle w:val="VerbatimChar"/>
        </w:rPr>
        <w:t xml:space="preserve">11  return labels and F      (hospital i is h*(u); d is T*(u))</w:t>
      </w:r>
    </w:p>
    <w:bookmarkEnd w:id="135"/>
    <w:bookmarkStart w:id="139" w:name="surge-assignment-many-patients-few-beds"/>
    <w:p>
      <w:pPr>
        <w:pStyle w:val="Heading2"/>
      </w:pPr>
      <w:r>
        <w:t xml:space="preserve">2.12 Surge Assignment: Many Patients, Few Beds</w:t>
      </w:r>
    </w:p>
    <w:p>
      <w:pPr>
        <w:pStyle w:val="FirstParagraph"/>
      </w:pPr>
      <w:r>
        <w:t xml:space="preserve">Hospital mode answers one patient at a time. During a typhoon, an eruption, or a large road crash, many patients need beds at once, and the free beds are shared. If each patient goes to his or her own nearest suitable hospital, several ambulances may arrive at a hospital that had only one bed left (problem P10).</w:t>
      </w:r>
    </w:p>
    <w:p>
      <w:pPr>
        <w:pStyle w:val="BodyText"/>
      </w:pPr>
      <w:r>
        <w:rPr>
          <w:bCs/>
          <w:b/>
        </w:rPr>
        <w:t xml:space="preserve">Definition 24 (Surge assignment).</w:t>
      </w:r>
      <w:r>
        <w:t xml:space="preserve"> </w:t>
      </w:r>
      <w:r>
        <w:t xml:space="preserve">Let patients</w:t>
      </w:r>
      <w:r>
        <w:t xml:space="preserve"> </w:t>
      </w:r>
      <w:r>
        <w:rPr>
          <w:iCs/>
          <w:i/>
        </w:rPr>
        <w:t xml:space="preserve">i</w:t>
      </w:r>
      <w:r>
        <w:t xml:space="preserve"> </w:t>
      </w:r>
      <w:r>
        <w:t xml:space="preserve">= 1, …,</w:t>
      </w:r>
      <w:r>
        <w:t xml:space="preserve"> </w:t>
      </w:r>
      <w:r>
        <w:rPr>
          <w:iCs/>
          <w:i/>
        </w:rPr>
        <w:t xml:space="preserve">n</w:t>
      </w:r>
      <w:r>
        <w:t xml:space="preserve"> </w:t>
      </w:r>
      <w:r>
        <w:t xml:space="preserve">wait at origins</w:t>
      </w:r>
      <w:r>
        <w:t xml:space="preserve"> </w:t>
      </w:r>
      <w:r>
        <w:rPr>
          <w:iCs/>
          <w:i/>
        </w:rPr>
        <w:t xml:space="preserve">o</w:t>
      </w:r>
      <w:r>
        <w:rPr>
          <w:iCs/>
          <w:i/>
          <w:vertAlign w:val="subscript"/>
        </w:rPr>
        <w:t xml:space="preserve">i</w:t>
      </w:r>
      <w:r>
        <w:t xml:space="preserve"> </w:t>
      </w:r>
      <w:r>
        <w:t xml:space="preserve">with profiles π</w:t>
      </w:r>
      <w:r>
        <w:rPr>
          <w:iCs/>
          <w:i/>
          <w:vertAlign w:val="subscript"/>
        </w:rPr>
        <w:t xml:space="preserve">i</w:t>
      </w:r>
      <w:r>
        <w:t xml:space="preserve">, and let each hospital</w:t>
      </w:r>
      <w:r>
        <w:t xml:space="preserve"> </w:t>
      </w:r>
      <w:r>
        <w:rPr>
          <w:iCs/>
          <w:i/>
        </w:rPr>
        <w:t xml:space="preserve">h</w:t>
      </w:r>
      <w:r>
        <w:t xml:space="preserve"> </w:t>
      </w:r>
      <w:r>
        <w:t xml:space="preserve">have</w:t>
      </w:r>
      <w:r>
        <w:t xml:space="preserve"> </w:t>
      </w:r>
      <w:r>
        <w:rPr>
          <w:iCs/>
          <w:i/>
        </w:rPr>
        <w:t xml:space="preserve">b</w:t>
      </w:r>
      <w:r>
        <w:rPr>
          <w:iCs/>
          <w:i/>
          <w:vertAlign w:val="subscript"/>
        </w:rPr>
        <w:t xml:space="preserve">h</w:t>
      </w:r>
      <w:r>
        <w:t xml:space="preserve"> </w:t>
      </w:r>
      <w:r>
        <w:t xml:space="preserve">≥ 0 free beds. Let Φ′(</w:t>
      </w:r>
      <w:r>
        <w:rPr>
          <w:iCs/>
          <w:i/>
        </w:rPr>
        <w:t xml:space="preserve">h</w:t>
      </w:r>
      <w:r>
        <w:t xml:space="preserve">; π</w:t>
      </w:r>
      <w:r>
        <w:rPr>
          <w:iCs/>
          <w:i/>
          <w:vertAlign w:val="subscript"/>
        </w:rPr>
        <w:t xml:space="preserve">i</w:t>
      </w:r>
      <w:r>
        <w:t xml:space="preserve">,</w:t>
      </w:r>
      <w:r>
        <w:t xml:space="preserve"> </w:t>
      </w:r>
      <w:r>
        <w:rPr>
          <w:iCs/>
          <w:i/>
        </w:rPr>
        <w:t xml:space="preserve">t</w:t>
      </w:r>
      <w:r>
        <w:t xml:space="preserve">) be Equation (16) without the FULL factor, since capacity is now handled by</w:t>
      </w:r>
      <w:r>
        <w:t xml:space="preserve"> </w:t>
      </w:r>
      <w:r>
        <w:rPr>
          <w:iCs/>
          <w:i/>
        </w:rPr>
        <w:t xml:space="preserve">b</w:t>
      </w:r>
      <w:r>
        <w:rPr>
          <w:iCs/>
          <w:i/>
          <w:vertAlign w:val="subscript"/>
        </w:rPr>
        <w:t xml:space="preserve">h</w:t>
      </w:r>
      <w:r>
        <w:t xml:space="preserve"> </w:t>
      </w:r>
      <w:r>
        <w:t xml:space="preserve">directly, and let</w:t>
      </w:r>
      <w:r>
        <w:t xml:space="preserve"> </w:t>
      </w:r>
      <w:r>
        <w:rPr>
          <w:iCs/>
          <w:i/>
        </w:rPr>
        <w:t xml:space="preserve">c</w:t>
      </w:r>
      <w:r>
        <w:rPr>
          <w:iCs/>
          <w:i/>
          <w:vertAlign w:val="subscript"/>
        </w:rPr>
        <w:t xml:space="preserve">ih</w:t>
      </w:r>
      <w:r>
        <w:t xml:space="preserve"> </w:t>
      </w:r>
      <w:r>
        <w:t xml:space="preserve">=</w:t>
      </w:r>
      <w:r>
        <w:t xml:space="preserve"> </w:t>
      </w:r>
      <w:r>
        <w:rPr>
          <w:iCs/>
          <w:i/>
        </w:rPr>
        <w:t xml:space="preserve">T</w:t>
      </w:r>
      <w:r>
        <w:rPr>
          <w:iCs/>
          <w:i/>
          <w:vertAlign w:val="subscript"/>
        </w:rPr>
        <w:t xml:space="preserve">x</w:t>
      </w:r>
      <w:r>
        <w:t xml:space="preserve">(</w:t>
      </w:r>
      <w:r>
        <w:rPr>
          <w:iCs/>
          <w:i/>
        </w:rPr>
        <w:t xml:space="preserve">o</w:t>
      </w:r>
      <w:r>
        <w:rPr>
          <w:iCs/>
          <w:i/>
          <w:vertAlign w:val="subscript"/>
        </w:rPr>
        <w:t xml:space="preserve">i</w:t>
      </w:r>
      <w:r>
        <w:t xml:space="preserve">,</w:t>
      </w:r>
      <w:r>
        <w:t xml:space="preserve"> </w:t>
      </w:r>
      <w:r>
        <w:rPr>
          <w:iCs/>
          <w:i/>
        </w:rPr>
        <w:t xml:space="preserve">h</w:t>
      </w:r>
      <w:r>
        <w:t xml:space="preserve">,</w:t>
      </w:r>
      <w:r>
        <w:t xml:space="preserve"> </w:t>
      </w:r>
      <w:r>
        <w:rPr>
          <w:iCs/>
          <w:i/>
        </w:rPr>
        <w:t xml:space="preserve">t</w:t>
      </w:r>
      <w:r>
        <w:t xml:space="preserve">). The surge assignment chooses</w:t>
      </w:r>
      <w:r>
        <w:t xml:space="preserve"> </w:t>
      </w:r>
      <w:r>
        <w:rPr>
          <w:iCs/>
          <w:i/>
        </w:rPr>
        <w:t xml:space="preserve">x</w:t>
      </w:r>
      <w:r>
        <w:rPr>
          <w:iCs/>
          <w:i/>
          <w:vertAlign w:val="subscript"/>
        </w:rPr>
        <w:t xml:space="preserve">ih</w:t>
      </w:r>
      <w:r>
        <w:t xml:space="preserve"> </w:t>
      </w:r>
      <w:r>
        <w:t xml:space="preserve">∈ {0, 1} to</w:t>
      </w:r>
    </w:p>
    <w:p>
      <w:pPr>
        <w:pStyle w:val="Equation"/>
      </w:pPr>
      <w:r>
        <w:tab/>
      </w:r>
      <w:r>
        <w:drawing>
          <wp:inline>
            <wp:extent cx="4469587" cy="986637"/>
            <wp:effectExtent b="0" l="0" r="0" t="0"/>
            <wp:docPr descr="" title="" id="137" name="Picture"/>
            <a:graphic>
              <a:graphicData uri="http://schemas.openxmlformats.org/drawingml/2006/picture">
                <pic:pic>
                  <pic:nvPicPr>
                    <pic:cNvPr descr="eq/eq24.png" id="138" name="Picture"/>
                    <pic:cNvPicPr>
                      <a:picLocks noChangeArrowheads="1" noChangeAspect="1"/>
                    </pic:cNvPicPr>
                  </pic:nvPicPr>
                  <pic:blipFill>
                    <a:blip r:embed="rId136"/>
                    <a:stretch>
                      <a:fillRect/>
                    </a:stretch>
                  </pic:blipFill>
                  <pic:spPr bwMode="auto">
                    <a:xfrm>
                      <a:off x="0" y="0"/>
                      <a:ext cx="4469587" cy="986637"/>
                    </a:xfrm>
                    <a:prstGeom prst="rect">
                      <a:avLst/>
                    </a:prstGeom>
                    <a:noFill/>
                    <a:ln w="9525">
                      <a:noFill/>
                      <a:headEnd/>
                      <a:tailEnd/>
                    </a:ln>
                  </pic:spPr>
                </pic:pic>
              </a:graphicData>
            </a:graphic>
          </wp:inline>
        </w:drawing>
      </w:r>
      <w:r/>
      <w:r/>
      <w:r>
        <w:rPr>
          <w:rFonts w:ascii="Times New Roman" w:hAnsi="Times New Roman"/>
          <w:sz w:val="24"/>
        </w:rPr>
        <w:tab/>
        <w:t>(24)</w:t>
      </w:r>
    </w:p>
    <w:p>
      <w:pPr>
        <w:pStyle w:val="Source"/>
      </w:pPr>
      <w:r>
        <w:t xml:space="preserve">Source: formulated in this study as a transportation problem (Ahuja et al., 1993)</w:t>
      </w:r>
    </w:p>
    <w:p>
      <w:pPr>
        <w:pStyle w:val="BodyText"/>
      </w:pPr>
      <w:r>
        <w:t xml:space="preserve">where</w:t>
      </w:r>
      <w:r>
        <w:t xml:space="preserve"> </w:t>
      </w:r>
      <w:r>
        <w:rPr>
          <w:iCs/>
          <w:i/>
        </w:rPr>
        <w:t xml:space="preserve">U</w:t>
      </w:r>
      <w:r>
        <w:rPr>
          <w:iCs/>
          <w:i/>
          <w:vertAlign w:val="subscript"/>
        </w:rPr>
        <w:t xml:space="preserve">i</w:t>
      </w:r>
      <w:r>
        <w:t xml:space="preserve"> </w:t>
      </w:r>
      <w:r>
        <w:t xml:space="preserve">is the penalty for leaving patient</w:t>
      </w:r>
      <w:r>
        <w:t xml:space="preserve"> </w:t>
      </w:r>
      <w:r>
        <w:rPr>
          <w:iCs/>
          <w:i/>
        </w:rPr>
        <w:t xml:space="preserve">i</w:t>
      </w:r>
      <w:r>
        <w:t xml:space="preserve"> </w:t>
      </w:r>
      <w:r>
        <w:t xml:space="preserve">unplaced. With</w:t>
      </w:r>
      <w:r>
        <w:t xml:space="preserve"> </w:t>
      </w:r>
      <w:r>
        <w:rPr>
          <w:iCs/>
          <w:i/>
        </w:rPr>
        <w:t xml:space="preserve">ĉ</w:t>
      </w:r>
      <w:r>
        <w:t xml:space="preserve"> </w:t>
      </w:r>
      <w:r>
        <w:t xml:space="preserve">the largest finite</w:t>
      </w:r>
      <w:r>
        <w:t xml:space="preserve"> </w:t>
      </w:r>
      <w:r>
        <w:rPr>
          <w:iCs/>
          <w:i/>
        </w:rPr>
        <w:t xml:space="preserve">c</w:t>
      </w:r>
      <w:r>
        <w:rPr>
          <w:iCs/>
          <w:i/>
          <w:vertAlign w:val="subscript"/>
        </w:rPr>
        <w:t xml:space="preserve">ih</w:t>
      </w:r>
      <w:r>
        <w:t xml:space="preserve">, the penalties are set to</w:t>
      </w:r>
      <w:r>
        <w:t xml:space="preserve"> </w:t>
      </w:r>
      <w:r>
        <w:rPr>
          <w:iCs/>
          <w:i/>
        </w:rPr>
        <w:t xml:space="preserve">U</w:t>
      </w:r>
      <w:r>
        <w:rPr>
          <w:iCs/>
          <w:i/>
          <w:vertAlign w:val="subscript"/>
        </w:rPr>
        <w:t xml:space="preserve">i</w:t>
      </w:r>
      <w:r>
        <w:t xml:space="preserve"> </w:t>
      </w:r>
      <w:r>
        <w:t xml:space="preserve">=</w:t>
      </w:r>
      <w:r>
        <w:t xml:space="preserve"> </w:t>
      </w:r>
      <w:r>
        <w:rPr>
          <w:iCs/>
          <w:i/>
        </w:rPr>
        <w:t xml:space="preserve">U</w:t>
      </w:r>
      <w:r>
        <w:rPr>
          <w:vertAlign w:val="subscript"/>
        </w:rPr>
        <w:t xml:space="preserve">0</w:t>
      </w:r>
      <w:r>
        <w:t xml:space="preserve"> </w:t>
      </w:r>
      <w:r>
        <w:t xml:space="preserve">&gt;</w:t>
      </w:r>
      <w:r>
        <w:t xml:space="preserve"> </w:t>
      </w:r>
      <w:r>
        <w:rPr>
          <w:iCs/>
          <w:i/>
        </w:rPr>
        <w:t xml:space="preserve">n</w:t>
      </w:r>
      <w:r>
        <w:t xml:space="preserve"> </w:t>
      </w:r>
      <w:r>
        <w:rPr>
          <w:iCs/>
          <w:i/>
        </w:rPr>
        <w:t xml:space="preserve">ĉ</w:t>
      </w:r>
      <w:r>
        <w:t xml:space="preserve"> </w:t>
      </w:r>
      <w:r>
        <w:t xml:space="preserve">for non-emergency patients and</w:t>
      </w:r>
      <w:r>
        <w:t xml:space="preserve"> </w:t>
      </w:r>
      <w:r>
        <w:rPr>
          <w:iCs/>
          <w:i/>
        </w:rPr>
        <w:t xml:space="preserve">U</w:t>
      </w:r>
      <w:r>
        <w:rPr>
          <w:iCs/>
          <w:i/>
          <w:vertAlign w:val="subscript"/>
        </w:rPr>
        <w:t xml:space="preserve">i</w:t>
      </w:r>
      <w:r>
        <w:t xml:space="preserve"> </w:t>
      </w:r>
      <w:r>
        <w:t xml:space="preserve">=</w:t>
      </w:r>
      <w:r>
        <w:t xml:space="preserve"> </w:t>
      </w:r>
      <w:r>
        <w:rPr>
          <w:iCs/>
          <w:i/>
        </w:rPr>
        <w:t xml:space="preserve">U</w:t>
      </w:r>
      <w:r>
        <w:rPr>
          <w:iCs/>
          <w:i/>
          <w:vertAlign w:val="subscript"/>
        </w:rPr>
        <w:t xml:space="preserve">E</w:t>
      </w:r>
      <w:r>
        <w:t xml:space="preserve"> </w:t>
      </w:r>
      <w:r>
        <w:t xml:space="preserve">&gt;</w:t>
      </w:r>
      <w:r>
        <w:t xml:space="preserve"> </w:t>
      </w:r>
      <w:r>
        <w:rPr>
          <w:iCs/>
          <w:i/>
        </w:rPr>
        <w:t xml:space="preserve">n</w:t>
      </w:r>
      <w:r>
        <w:t xml:space="preserve"> </w:t>
      </w:r>
      <w:r>
        <w:t xml:space="preserve">(</w:t>
      </w:r>
      <w:r>
        <w:rPr>
          <w:iCs/>
          <w:i/>
        </w:rPr>
        <w:t xml:space="preserve">U</w:t>
      </w:r>
      <w:r>
        <w:rPr>
          <w:vertAlign w:val="subscript"/>
        </w:rPr>
        <w:t xml:space="preserve">0</w:t>
      </w:r>
      <w:r>
        <w:t xml:space="preserve"> </w:t>
      </w:r>
      <w:r>
        <w:t xml:space="preserve">+</w:t>
      </w:r>
      <w:r>
        <w:t xml:space="preserve"> </w:t>
      </w:r>
      <w:r>
        <w:rPr>
          <w:iCs/>
          <w:i/>
        </w:rPr>
        <w:t xml:space="preserve">ĉ</w:t>
      </w:r>
      <w:r>
        <w:t xml:space="preserve">) for patients with κ</w:t>
      </w:r>
      <w:r>
        <w:rPr>
          <w:iCs/>
          <w:i/>
          <w:vertAlign w:val="subscript"/>
        </w:rPr>
        <w:t xml:space="preserve">i</w:t>
      </w:r>
      <w:r>
        <w:t xml:space="preserve"> </w:t>
      </w:r>
      <w:r>
        <w:t xml:space="preserve">∈</w:t>
      </w:r>
      <w:r>
        <w:t xml:space="preserve"> </w:t>
      </w:r>
      <w:r>
        <w:rPr>
          <w:iCs/>
          <w:i/>
        </w:rPr>
        <w:t xml:space="preserve">K</w:t>
      </w:r>
      <w:r>
        <w:rPr>
          <w:iCs/>
          <w:i/>
          <w:vertAlign w:val="subscript"/>
        </w:rPr>
        <w:t xml:space="preserve">E</w:t>
      </w:r>
      <w:r>
        <w:t xml:space="preserve">. These sizes make the objective lexicographic: place as many emergency patients as possible, then as many other patients as possible, and only then reduce travel time.</w:t>
      </w:r>
    </w:p>
    <w:p>
      <w:pPr>
        <w:pStyle w:val="AlgoTitle"/>
      </w:pPr>
      <w:r>
        <w:rPr>
          <w:bCs/>
          <w:b/>
        </w:rPr>
        <w:t xml:space="preserve">Algorithm 3.</w:t>
      </w:r>
      <w:r>
        <w:t xml:space="preserve"> </w:t>
      </w:r>
      <w:r>
        <w:t xml:space="preserve">Surge assignment</w:t>
      </w:r>
    </w:p>
    <w:p>
      <w:pPr>
        <w:pStyle w:val="SourceCode"/>
      </w:pPr>
      <w:r>
        <w:rPr>
          <w:rStyle w:val="VerbatimChar"/>
        </w:rPr>
        <w:t xml:space="preserve">Input : patients i with origins o_i and profiles pi_i; free beds b_h</w:t>
      </w:r>
      <w:r>
        <w:br/>
      </w:r>
      <w:r>
        <w:rPr>
          <w:rStyle w:val="VerbatimChar"/>
        </w:rPr>
        <w:t xml:space="preserve">Output: a hospital, or "not placed", for each patient</w:t>
      </w:r>
      <w:r>
        <w:br/>
      </w:r>
      <w:r>
        <w:rPr>
          <w:rStyle w:val="VerbatimChar"/>
        </w:rPr>
        <w:t xml:space="preserve"> 1  for each patient i and hospital h:</w:t>
      </w:r>
      <w:r>
        <w:br/>
      </w:r>
      <w:r>
        <w:rPr>
          <w:rStyle w:val="VerbatimChar"/>
        </w:rPr>
        <w:t xml:space="preserve"> 2      cost(i, h) &lt;- T_x(o_i, h, t) if h suits pi_i (ignoring FULL)</w:t>
      </w:r>
      <w:r>
        <w:br/>
      </w:r>
      <w:r>
        <w:rPr>
          <w:rStyle w:val="VerbatimChar"/>
        </w:rPr>
        <w:t xml:space="preserve">                      and is reachable; otherwise forbidden</w:t>
      </w:r>
      <w:r>
        <w:br/>
      </w:r>
      <w:r>
        <w:rPr>
          <w:rStyle w:val="VerbatimChar"/>
        </w:rPr>
        <w:t xml:space="preserve"> 3  make b_h copies ("bed slots") of each hospital h</w:t>
      </w:r>
      <w:r>
        <w:br/>
      </w:r>
      <w:r>
        <w:rPr>
          <w:rStyle w:val="VerbatimChar"/>
        </w:rPr>
        <w:t xml:space="preserve"> 4  give each patient i one private "not placed" slot with cost U_i</w:t>
      </w:r>
      <w:r>
        <w:br/>
      </w:r>
      <w:r>
        <w:rPr>
          <w:rStyle w:val="VerbatimChar"/>
        </w:rPr>
        <w:t xml:space="preserve"> 5  solve the assignment problem on patients x slots</w:t>
      </w:r>
      <w:r>
        <w:br/>
      </w:r>
      <w:r>
        <w:rPr>
          <w:rStyle w:val="VerbatimChar"/>
        </w:rPr>
        <w:t xml:space="preserve">        (Hungarian method, Kuhn, 1955, or minimum-cost flow)</w:t>
      </w:r>
      <w:r>
        <w:br/>
      </w:r>
      <w:r>
        <w:rPr>
          <w:rStyle w:val="VerbatimChar"/>
        </w:rPr>
        <w:t xml:space="preserve"> 6  return the hospital of each patient's slot, or "not placed"</w:t>
      </w:r>
    </w:p>
    <w:bookmarkEnd w:id="139"/>
    <w:bookmarkStart w:id="146" w:name="X33061b043199c16272d699ad6f4a0dd59d963b9"/>
    <w:p>
      <w:pPr>
        <w:pStyle w:val="Heading2"/>
      </w:pPr>
      <w:r>
        <w:t xml:space="preserve">2.13 Planning Measures: Critical Roads and Where to Add Care</w:t>
      </w:r>
    </w:p>
    <w:p>
      <w:pPr>
        <w:pStyle w:val="FirstParagraph"/>
      </w:pPr>
      <w:r>
        <w:rPr>
          <w:bCs/>
          <w:b/>
        </w:rPr>
        <w:t xml:space="preserve">Definition 25 (Segment criticality).</w:t>
      </w:r>
      <w:r>
        <w:t xml:space="preserve"> </w:t>
      </w:r>
      <w:r>
        <w:t xml:space="preserve">For a profile π and time</w:t>
      </w:r>
      <w:r>
        <w:t xml:space="preserve"> </w:t>
      </w:r>
      <w:r>
        <w:rPr>
          <w:iCs/>
          <w:i/>
        </w:rPr>
        <w:t xml:space="preserve">t</w:t>
      </w:r>
      <w:r>
        <w:t xml:space="preserve">, let</w:t>
      </w:r>
      <w:r>
        <w:t xml:space="preserve"> </w:t>
      </w:r>
      <w:r>
        <w:rPr>
          <w:iCs/>
          <w:i/>
        </w:rPr>
        <w:t xml:space="preserve">G</w:t>
      </w:r>
      <w:r>
        <w:t xml:space="preserve"> </w:t>
      </w:r>
      <w:r>
        <w:t xml:space="preserve">−</w:t>
      </w:r>
      <w:r>
        <w:t xml:space="preserve"> </w:t>
      </w:r>
      <w:r>
        <w:rPr>
          <w:iCs/>
          <w:i/>
        </w:rPr>
        <w:t xml:space="preserve">e</w:t>
      </w:r>
      <w:r>
        <w:t xml:space="preserve"> </w:t>
      </w:r>
      <w:r>
        <w:t xml:space="preserve">be the ambulance subgraph with road segment</w:t>
      </w:r>
      <w:r>
        <w:t xml:space="preserve"> </w:t>
      </w:r>
      <w:r>
        <w:rPr>
          <w:iCs/>
          <w:i/>
        </w:rPr>
        <w:t xml:space="preserve">e</w:t>
      </w:r>
      <w:r>
        <w:t xml:space="preserve"> </w:t>
      </w:r>
      <w:r>
        <w:t xml:space="preserve">closed in both directions. The criticality of</w:t>
      </w:r>
      <w:r>
        <w:t xml:space="preserve"> </w:t>
      </w:r>
      <w:r>
        <w:rPr>
          <w:iCs/>
          <w:i/>
        </w:rPr>
        <w:t xml:space="preserve">e</w:t>
      </w:r>
      <w:r>
        <w:t xml:space="preserve"> </w:t>
      </w:r>
      <w:r>
        <w:t xml:space="preserve">is</w:t>
      </w:r>
    </w:p>
    <w:p>
      <w:pPr>
        <w:pStyle w:val="Equation"/>
      </w:pPr>
      <w:r>
        <w:tab/>
      </w:r>
      <w:r>
        <w:drawing>
          <wp:inline>
            <wp:extent cx="3233318" cy="360273"/>
            <wp:effectExtent b="0" l="0" r="0" t="0"/>
            <wp:docPr descr="" title="" id="141" name="Picture"/>
            <a:graphic>
              <a:graphicData uri="http://schemas.openxmlformats.org/drawingml/2006/picture">
                <pic:pic>
                  <pic:nvPicPr>
                    <pic:cNvPr descr="eq/eq25.png" id="142" name="Picture"/>
                    <pic:cNvPicPr>
                      <a:picLocks noChangeArrowheads="1" noChangeAspect="1"/>
                    </pic:cNvPicPr>
                  </pic:nvPicPr>
                  <pic:blipFill>
                    <a:blip r:embed="rId140"/>
                    <a:stretch>
                      <a:fillRect/>
                    </a:stretch>
                  </pic:blipFill>
                  <pic:spPr bwMode="auto">
                    <a:xfrm>
                      <a:off x="0" y="0"/>
                      <a:ext cx="3233318" cy="360273"/>
                    </a:xfrm>
                    <a:prstGeom prst="rect">
                      <a:avLst/>
                    </a:prstGeom>
                    <a:noFill/>
                    <a:ln w="9525">
                      <a:noFill/>
                      <a:headEnd/>
                      <a:tailEnd/>
                    </a:ln>
                  </pic:spPr>
                </pic:pic>
              </a:graphicData>
            </a:graphic>
          </wp:inline>
        </w:drawing>
      </w:r>
      <w:r/>
      <w:r/>
      <w:r>
        <w:rPr>
          <w:rFonts w:ascii="Times New Roman" w:hAnsi="Times New Roman"/>
          <w:sz w:val="24"/>
        </w:rPr>
        <w:tab/>
        <w:t>(25)</w:t>
      </w:r>
    </w:p>
    <w:p>
      <w:pPr>
        <w:pStyle w:val="Source"/>
      </w:pPr>
      <w:r>
        <w:t xml:space="preserve">Source: formulated in this study, after the link-importance measure of Jenelius et al. (2006)</w:t>
      </w:r>
    </w:p>
    <w:p>
      <w:pPr>
        <w:pStyle w:val="BodyText"/>
      </w:pPr>
      <w:r>
        <w:t xml:space="preserve">with ∞ − ∞ := 0, and</w:t>
      </w:r>
      <w:r>
        <w:t xml:space="preserve"> </w:t>
      </w:r>
      <w:r>
        <w:rPr>
          <w:iCs/>
          <w:i/>
        </w:rPr>
        <w:t xml:space="preserve">D</w:t>
      </w:r>
      <w:r>
        <w:rPr>
          <w:iCs/>
          <w:i/>
          <w:vertAlign w:val="subscript"/>
        </w:rPr>
        <w:t xml:space="preserve">e</w:t>
      </w:r>
      <w:r>
        <w:t xml:space="preserve"> </w:t>
      </w:r>
      <w:r>
        <w:t xml:space="preserve">= +∞ when closing</w:t>
      </w:r>
      <w:r>
        <w:t xml:space="preserve"> </w:t>
      </w:r>
      <w:r>
        <w:rPr>
          <w:iCs/>
          <w:i/>
        </w:rPr>
        <w:t xml:space="preserve">e</w:t>
      </w:r>
      <w:r>
        <w:t xml:space="preserve"> </w:t>
      </w:r>
      <w:r>
        <w:t xml:space="preserve">cuts some anchor off from every suitable hospital. Segments with large</w:t>
      </w:r>
      <w:r>
        <w:t xml:space="preserve"> </w:t>
      </w:r>
      <w:r>
        <w:rPr>
          <w:iCs/>
          <w:i/>
        </w:rPr>
        <w:t xml:space="preserve">D</w:t>
      </w:r>
      <w:r>
        <w:rPr>
          <w:iCs/>
          <w:i/>
          <w:vertAlign w:val="subscript"/>
        </w:rPr>
        <w:t xml:space="preserve">e</w:t>
      </w:r>
      <w:r>
        <w:t xml:space="preserve"> </w:t>
      </w:r>
      <w:r>
        <w:t xml:space="preserve">are the ones to clear first after a typhoon and to protect before one.</w:t>
      </w:r>
    </w:p>
    <w:p>
      <w:pPr>
        <w:pStyle w:val="BodyText"/>
      </w:pPr>
      <w:r>
        <w:rPr>
          <w:bCs/>
          <w:b/>
        </w:rPr>
        <w:t xml:space="preserve">Definition 26 (Site selection by coverage).</w:t>
      </w:r>
      <w:r>
        <w:t xml:space="preserve"> </w:t>
      </w:r>
      <w:r>
        <w:t xml:space="preserve">Fix a budget θ and a profile for a patient in payment class 0, for example κ = 3 and</w:t>
      </w:r>
      <w:r>
        <w:t xml:space="preserve"> </w:t>
      </w:r>
      <w:r>
        <w:rPr>
          <w:iCs/>
          <w:i/>
        </w:rPr>
        <w:t xml:space="preserve">N</w:t>
      </w:r>
      <w:r>
        <w:t xml:space="preserve"> </w:t>
      </w:r>
      <w:r>
        <w:t xml:space="preserve">= ∅. Let</w:t>
      </w:r>
      <w:r>
        <w:t xml:space="preserve"> </w:t>
      </w:r>
      <w:r>
        <w:rPr>
          <w:iCs/>
          <w:i/>
        </w:rPr>
        <w:t xml:space="preserve">C</w:t>
      </w:r>
      <w:r>
        <w:rPr>
          <w:vertAlign w:val="subscript"/>
        </w:rPr>
        <w:t xml:space="preserve">0</w:t>
      </w:r>
      <w:r>
        <w:t xml:space="preserve"> </w:t>
      </w:r>
      <w:r>
        <w:t xml:space="preserve">be the anchors already within θ of a suitable hospital of cost class 0, let</w:t>
      </w:r>
      <w:r>
        <w:t xml:space="preserve"> </w:t>
      </w:r>
      <w:r>
        <w:rPr>
          <w:iCs/>
          <w:i/>
        </w:rPr>
        <w:t xml:space="preserve">Q</w:t>
      </w:r>
      <w:r>
        <w:t xml:space="preserve"> </w:t>
      </w:r>
      <w:r>
        <w:t xml:space="preserve">be the candidate sites (for example, public hospitals of cost class 1 that could host a new Malasakit Center), and let</w:t>
      </w:r>
      <w:r>
        <w:t xml:space="preserve"> </w:t>
      </w:r>
      <w:r>
        <w:rPr>
          <w:iCs/>
          <w:i/>
        </w:rPr>
        <w:t xml:space="preserve">C</w:t>
      </w:r>
      <w:r>
        <w:rPr>
          <w:iCs/>
          <w:i/>
          <w:vertAlign w:val="subscript"/>
        </w:rPr>
        <w:t xml:space="preserve">j</w:t>
      </w:r>
      <w:r>
        <w:t xml:space="preserve"> </w:t>
      </w:r>
      <w:r>
        <w:t xml:space="preserve">= {</w:t>
      </w:r>
      <w:r>
        <w:t xml:space="preserve"> </w:t>
      </w:r>
      <w:r>
        <w:rPr>
          <w:iCs/>
          <w:i/>
        </w:rPr>
        <w:t xml:space="preserve">a</w:t>
      </w:r>
      <w:r>
        <w:t xml:space="preserve"> </w:t>
      </w:r>
      <w:r>
        <w:t xml:space="preserve">:</w:t>
      </w:r>
      <w:r>
        <w:t xml:space="preserve"> </w:t>
      </w:r>
      <w:r>
        <w:rPr>
          <w:iCs/>
          <w:i/>
        </w:rPr>
        <w:t xml:space="preserve">T̄</w:t>
      </w:r>
      <w:r>
        <w:t xml:space="preserve">(</w:t>
      </w:r>
      <w:r>
        <w:rPr>
          <w:iCs/>
          <w:i/>
        </w:rPr>
        <w:t xml:space="preserve">o</w:t>
      </w:r>
      <w:r>
        <w:rPr>
          <w:iCs/>
          <w:i/>
          <w:vertAlign w:val="subscript"/>
        </w:rPr>
        <w:t xml:space="preserve">a</w:t>
      </w:r>
      <w:r>
        <w:t xml:space="preserve">,</w:t>
      </w:r>
      <w:r>
        <w:t xml:space="preserve"> </w:t>
      </w:r>
      <w:r>
        <w:rPr>
          <w:iCs/>
          <w:i/>
        </w:rPr>
        <w:t xml:space="preserve">j</w:t>
      </w:r>
      <w:r>
        <w:t xml:space="preserve">) ≤ θ } for</w:t>
      </w:r>
      <w:r>
        <w:t xml:space="preserve"> </w:t>
      </w:r>
      <w:r>
        <w:rPr>
          <w:iCs/>
          <w:i/>
        </w:rPr>
        <w:t xml:space="preserve">j</w:t>
      </w:r>
      <w:r>
        <w:t xml:space="preserve"> </w:t>
      </w:r>
      <w:r>
        <w:t xml:space="preserve">∈</w:t>
      </w:r>
      <w:r>
        <w:t xml:space="preserve"> </w:t>
      </w:r>
      <w:r>
        <w:rPr>
          <w:iCs/>
          <w:i/>
        </w:rPr>
        <w:t xml:space="preserve">Q</w:t>
      </w:r>
      <w:r>
        <w:t xml:space="preserve">. The coverage gained by a set of sites</w:t>
      </w:r>
      <w:r>
        <w:t xml:space="preserve"> </w:t>
      </w:r>
      <w:r>
        <w:rPr>
          <w:iCs/>
          <w:i/>
        </w:rPr>
        <w:t xml:space="preserve">S</w:t>
      </w:r>
      <w:r>
        <w:t xml:space="preserve"> </w:t>
      </w:r>
      <w:r>
        <w:t xml:space="preserve">⊆</w:t>
      </w:r>
      <w:r>
        <w:t xml:space="preserve"> </w:t>
      </w:r>
      <w:r>
        <w:rPr>
          <w:iCs/>
          <w:i/>
        </w:rPr>
        <w:t xml:space="preserve">Q</w:t>
      </w:r>
      <w:r>
        <w:t xml:space="preserve"> </w:t>
      </w:r>
      <w:r>
        <w:t xml:space="preserve">is</w:t>
      </w:r>
    </w:p>
    <w:p>
      <w:pPr>
        <w:pStyle w:val="Equation"/>
      </w:pPr>
      <w:r>
        <w:tab/>
      </w:r>
      <w:r>
        <w:drawing>
          <wp:inline>
            <wp:extent cx="3004718" cy="378561"/>
            <wp:effectExtent b="0" l="0" r="0" t="0"/>
            <wp:docPr descr="" title="" id="144" name="Picture"/>
            <a:graphic>
              <a:graphicData uri="http://schemas.openxmlformats.org/drawingml/2006/picture">
                <pic:pic>
                  <pic:nvPicPr>
                    <pic:cNvPr descr="eq/eq26.png" id="145" name="Picture"/>
                    <pic:cNvPicPr>
                      <a:picLocks noChangeArrowheads="1" noChangeAspect="1"/>
                    </pic:cNvPicPr>
                  </pic:nvPicPr>
                  <pic:blipFill>
                    <a:blip r:embed="rId143"/>
                    <a:stretch>
                      <a:fillRect/>
                    </a:stretch>
                  </pic:blipFill>
                  <pic:spPr bwMode="auto">
                    <a:xfrm>
                      <a:off x="0" y="0"/>
                      <a:ext cx="3004718" cy="378561"/>
                    </a:xfrm>
                    <a:prstGeom prst="rect">
                      <a:avLst/>
                    </a:prstGeom>
                    <a:noFill/>
                    <a:ln w="9525">
                      <a:noFill/>
                      <a:headEnd/>
                      <a:tailEnd/>
                    </a:ln>
                  </pic:spPr>
                </pic:pic>
              </a:graphicData>
            </a:graphic>
          </wp:inline>
        </w:drawing>
      </w:r>
      <w:r/>
      <w:r/>
      <w:r>
        <w:rPr>
          <w:rFonts w:ascii="Times New Roman" w:hAnsi="Times New Roman"/>
          <w:sz w:val="24"/>
        </w:rPr>
        <w:tab/>
        <w:t>(26)</w:t>
      </w:r>
    </w:p>
    <w:p>
      <w:pPr>
        <w:pStyle w:val="Source"/>
      </w:pPr>
      <w:r>
        <w:t xml:space="preserve">Source: formulated in this study after the maximal covering location problem of Church and ReVelle (1974)</w:t>
      </w:r>
    </w:p>
    <w:p>
      <w:pPr>
        <w:pStyle w:val="BodyText"/>
      </w:pPr>
      <w:r>
        <w:t xml:space="preserve">and the task is to choose |</w:t>
      </w:r>
      <w:r>
        <w:rPr>
          <w:iCs/>
          <w:i/>
        </w:rPr>
        <w:t xml:space="preserve">S</w:t>
      </w:r>
      <w:r>
        <w:t xml:space="preserve">| =</w:t>
      </w:r>
      <w:r>
        <w:t xml:space="preserve"> </w:t>
      </w:r>
      <w:r>
        <w:rPr>
          <w:iCs/>
          <w:i/>
        </w:rPr>
        <w:t xml:space="preserve">k</w:t>
      </w:r>
      <w:r>
        <w:t xml:space="preserve"> </w:t>
      </w:r>
      <w:r>
        <w:t xml:space="preserve">sites with the largest</w:t>
      </w:r>
      <w:r>
        <w:t xml:space="preserve"> </w:t>
      </w:r>
      <w:r>
        <w:rPr>
          <w:iCs/>
          <w:i/>
        </w:rPr>
        <w:t xml:space="preserve">f</w:t>
      </w:r>
      <w:r>
        <w:t xml:space="preserve">(</w:t>
      </w:r>
      <w:r>
        <w:rPr>
          <w:iCs/>
          <w:i/>
        </w:rPr>
        <w:t xml:space="preserve">S</w:t>
      </w:r>
      <w:r>
        <w:t xml:space="preserve">). Algorithm 4 does this greedily, and Proposition 18 bounds how far it can fall short. The effect of adding beds to an existing hospital is measured instead by recomputing the bed-to-population ratios of Equation (23), since added beds change supply per person rather than coverage.</w:t>
      </w:r>
    </w:p>
    <w:p>
      <w:pPr>
        <w:pStyle w:val="AlgoTitle"/>
      </w:pPr>
      <w:r>
        <w:rPr>
          <w:bCs/>
          <w:b/>
        </w:rPr>
        <w:t xml:space="preserve">Algorithm 4.</w:t>
      </w:r>
      <w:r>
        <w:t xml:space="preserve"> </w:t>
      </w:r>
      <w:r>
        <w:t xml:space="preserve">Greedy site selection</w:t>
      </w:r>
    </w:p>
    <w:p>
      <w:pPr>
        <w:pStyle w:val="SourceCode"/>
      </w:pPr>
      <w:r>
        <w:rPr>
          <w:rStyle w:val="VerbatimChar"/>
        </w:rPr>
        <w:t xml:space="preserve">Input : anchors a with weights P_a; candidate sites Q; covered set C_0;</w:t>
      </w:r>
      <w:r>
        <w:br/>
      </w:r>
      <w:r>
        <w:rPr>
          <w:rStyle w:val="VerbatimChar"/>
        </w:rPr>
        <w:t xml:space="preserve">        coverage sets C_j; number of sites k</w:t>
      </w:r>
      <w:r>
        <w:br/>
      </w:r>
      <w:r>
        <w:rPr>
          <w:rStyle w:val="VerbatimChar"/>
        </w:rPr>
        <w:t xml:space="preserve">Output: chosen sites S</w:t>
      </w:r>
      <w:r>
        <w:br/>
      </w:r>
      <w:r>
        <w:rPr>
          <w:rStyle w:val="VerbatimChar"/>
        </w:rPr>
        <w:t xml:space="preserve"> 1  S &lt;- empty set;  U &lt;- C_0</w:t>
      </w:r>
      <w:r>
        <w:br/>
      </w:r>
      <w:r>
        <w:rPr>
          <w:rStyle w:val="VerbatimChar"/>
        </w:rPr>
        <w:t xml:space="preserve"> 2  repeat k times:</w:t>
      </w:r>
      <w:r>
        <w:br/>
      </w:r>
      <w:r>
        <w:rPr>
          <w:rStyle w:val="VerbatimChar"/>
        </w:rPr>
        <w:t xml:space="preserve"> 3      for each j in Q not in S:  gain(j) &lt;- sum of P_a over a in C_j, a not in U</w:t>
      </w:r>
      <w:r>
        <w:br/>
      </w:r>
      <w:r>
        <w:rPr>
          <w:rStyle w:val="VerbatimChar"/>
        </w:rPr>
        <w:t xml:space="preserve"> 4      j* &lt;- the j with the largest gain (smallest index on ties)</w:t>
      </w:r>
      <w:r>
        <w:br/>
      </w:r>
      <w:r>
        <w:rPr>
          <w:rStyle w:val="VerbatimChar"/>
        </w:rPr>
        <w:t xml:space="preserve"> 5      S &lt;- S plus j*;  U &lt;- U plus C_j*</w:t>
      </w:r>
      <w:r>
        <w:br/>
      </w:r>
      <w:r>
        <w:rPr>
          <w:rStyle w:val="VerbatimChar"/>
        </w:rPr>
        <w:t xml:space="preserve"> 6  return S</w:t>
      </w:r>
    </w:p>
    <w:bookmarkEnd w:id="146"/>
    <w:bookmarkStart w:id="147" w:name="assumptions"/>
    <w:p>
      <w:pPr>
        <w:pStyle w:val="Heading2"/>
      </w:pPr>
      <w:r>
        <w:t xml:space="preserve">2.14 Assumptions</w:t>
      </w:r>
    </w:p>
    <w:p>
      <w:pPr>
        <w:pStyle w:val="FirstParagraph"/>
      </w:pPr>
      <w:r>
        <w:t xml:space="preserve">Shortest-path searches on time-dependent networks keep their optimality only if the first-in, first-out property holds (Kaufman &amp; Smith, 1993; Pyrga et al., 2008). The first two assumptions secure it; the others fix the scope of the model.</w:t>
      </w:r>
    </w:p>
    <w:p>
      <w:pPr>
        <w:numPr>
          <w:ilvl w:val="0"/>
          <w:numId w:val="1005"/>
        </w:numPr>
        <w:pStyle w:val="BodyText"/>
        <w:spacing w:after="80"/>
      </w:pPr>
      <w:r>
        <w:rPr>
          <w:bCs/>
          <w:b/>
        </w:rPr>
        <w:t xml:space="preserve">Assumption 1 (Nonnegative traversal).</w:t>
      </w:r>
      <w:r>
        <w:t xml:space="preserve"> </w:t>
      </w:r>
      <w:r>
        <w:t xml:space="preserve">A journey never goes back in time, because no arc of</w:t>
      </w:r>
      <w:r>
        <w:t xml:space="preserve"> </w:t>
      </w:r>
      <w:r>
        <w:rPr>
          <w:iCs/>
          <w:i/>
        </w:rPr>
        <w:t xml:space="preserve">G</w:t>
      </w:r>
      <w:r>
        <w:t xml:space="preserve"> </w:t>
      </w:r>
      <w:r>
        <w:t xml:space="preserve">has</w:t>
      </w:r>
      <w:r>
        <w:t xml:space="preserve"> </w:t>
      </w:r>
      <w:r>
        <w:rPr>
          <w:iCs/>
          <w:i/>
        </w:rPr>
        <w:t xml:space="preserve">t</w:t>
      </w:r>
      <w:r>
        <w:t xml:space="preserve">(head) &lt;</w:t>
      </w:r>
      <w:r>
        <w:t xml:space="preserve"> </w:t>
      </w:r>
      <w:r>
        <w:rPr>
          <w:iCs/>
          <w:i/>
        </w:rPr>
        <w:t xml:space="preserve">t</w:t>
      </w:r>
      <w:r>
        <w:t xml:space="preserve">(tail).</w:t>
      </w:r>
    </w:p>
    <w:p>
      <w:pPr>
        <w:numPr>
          <w:ilvl w:val="0"/>
          <w:numId w:val="1005"/>
        </w:numPr>
        <w:pStyle w:val="BodyText"/>
        <w:spacing w:after="80"/>
      </w:pPr>
      <w:r>
        <w:rPr>
          <w:bCs/>
          <w:b/>
        </w:rPr>
        <w:t xml:space="preserve">Assumption 2 (No overtaking within a route).</w:t>
      </w:r>
      <w:r>
        <w:t xml:space="preserve"> </w:t>
      </w:r>
      <w:r>
        <w:t xml:space="preserve">On any given route, a vehicle that leaves earlier does not arrive later than one that leaves after it.</w:t>
      </w:r>
    </w:p>
    <w:p>
      <w:pPr>
        <w:numPr>
          <w:ilvl w:val="0"/>
          <w:numId w:val="1005"/>
        </w:numPr>
        <w:pStyle w:val="BodyText"/>
        <w:spacing w:after="80"/>
      </w:pPr>
      <w:r>
        <w:rPr>
          <w:bCs/>
          <w:b/>
        </w:rPr>
        <w:t xml:space="preserve">Assumption 3 (Frequency of service).</w:t>
      </w:r>
      <w:r>
        <w:t xml:space="preserve"> </w:t>
      </w:r>
      <w:r>
        <w:t xml:space="preserve">On routes with no fixed schedule, departures are placed at the average headway. The sensitivity tests compare the resulting waits with a half-headway baseline.</w:t>
      </w:r>
    </w:p>
    <w:p>
      <w:pPr>
        <w:numPr>
          <w:ilvl w:val="0"/>
          <w:numId w:val="1005"/>
        </w:numPr>
        <w:pStyle w:val="BodyText"/>
        <w:spacing w:after="80"/>
      </w:pPr>
      <w:r>
        <w:rPr>
          <w:bCs/>
          <w:b/>
        </w:rPr>
        <w:t xml:space="preserve">Assumption 4 (No queue at the destination).</w:t>
      </w:r>
      <w:r>
        <w:t xml:space="preserve"> </w:t>
      </w:r>
      <w:r>
        <w:t xml:space="preserve">On arrival at a landmark, no one waits in line or meets a capacity limit. This is standard in cumulative accessibility studies (Geurs &amp; van Wee, 2004). Hospital mode relaxes it through live bed reports, and the surge assignment relaxes it further for patients who travel at the same time.</w:t>
      </w:r>
    </w:p>
    <w:p>
      <w:pPr>
        <w:numPr>
          <w:ilvl w:val="0"/>
          <w:numId w:val="1005"/>
        </w:numPr>
        <w:pStyle w:val="BodyText"/>
        <w:spacing w:after="80"/>
      </w:pPr>
      <w:r>
        <w:rPr>
          <w:bCs/>
          <w:b/>
        </w:rPr>
        <w:t xml:space="preserve">Assumption 5 (Open data only).</w:t>
      </w:r>
      <w:r>
        <w:t xml:space="preserve"> </w:t>
      </w:r>
      <w:r>
        <w:t xml:space="preserve">Every number in this paper comes from one of four sources: a mathematical derivation, a declared model parameter, a public register (Appendix A), or a synthetic data set made only for testing. No facility was interviewed and no field measurement was taken.</w:t>
      </w:r>
    </w:p>
    <w:p>
      <w:pPr>
        <w:numPr>
          <w:ilvl w:val="0"/>
          <w:numId w:val="1005"/>
        </w:numPr>
        <w:pStyle w:val="BodyText"/>
        <w:spacing w:after="80"/>
      </w:pPr>
      <w:r>
        <w:rPr>
          <w:bCs/>
          <w:b/>
        </w:rPr>
        <w:t xml:space="preserve">Assumption 6 (Reported bed counts).</w:t>
      </w:r>
      <w:r>
        <w:t xml:space="preserve"> </w:t>
      </w:r>
      <w:r>
        <w:t xml:space="preserve">In live operation, bed counts are entered by the hospitals themselves. The Validator checks their form and range (Table 11) but cannot confirm them.</w:t>
      </w:r>
    </w:p>
    <w:p>
      <w:pPr>
        <w:numPr>
          <w:ilvl w:val="0"/>
          <w:numId w:val="1005"/>
        </w:numPr>
        <w:pStyle w:val="BodyText"/>
        <w:spacing w:after="80"/>
      </w:pPr>
      <w:r>
        <w:rPr>
          <w:bCs/>
          <w:b/>
        </w:rPr>
        <w:t xml:space="preserve">Assumption 7 (Emergency care).</w:t>
      </w:r>
      <w:r>
        <w:t xml:space="preserve"> </w:t>
      </w:r>
      <w:r>
        <w:t xml:space="preserve">Hospitals with an emergency room follow Republic Act No. 10932 (2017) and give basic emergency care in emergency or serious cases without first asking for a deposit or advance payment. The payment filter is therefore dropped for κ ∈</w:t>
      </w:r>
      <w:r>
        <w:t xml:space="preserve"> </w:t>
      </w:r>
      <w:r>
        <w:rPr>
          <w:iCs/>
          <w:i/>
        </w:rPr>
        <w:t xml:space="preserve">K</w:t>
      </w:r>
      <w:r>
        <w:rPr>
          <w:iCs/>
          <w:i/>
          <w:vertAlign w:val="subscript"/>
        </w:rPr>
        <w:t xml:space="preserve">E</w:t>
      </w:r>
      <w:r>
        <w:t xml:space="preserve">.</w:t>
      </w:r>
    </w:p>
    <w:p>
      <w:pPr>
        <w:numPr>
          <w:ilvl w:val="0"/>
          <w:numId w:val="1005"/>
        </w:numPr>
        <w:pStyle w:val="BodyText"/>
        <w:spacing w:after="80"/>
      </w:pPr>
      <w:r>
        <w:rPr>
          <w:bCs/>
          <w:b/>
        </w:rPr>
        <w:t xml:space="preserve">Assumption 8 (Ambulance travel time).</w:t>
      </w:r>
      <w:r>
        <w:t xml:space="preserve"> </w:t>
      </w:r>
      <w:r>
        <w:t xml:space="preserve">Ambulance times use the free-flow speeds of Definition 2. Dispatch time, handover time, emergency driving, and traffic delay are not included.</w:t>
      </w:r>
    </w:p>
    <w:p>
      <w:pPr>
        <w:numPr>
          <w:ilvl w:val="0"/>
          <w:numId w:val="1005"/>
        </w:numPr>
        <w:pStyle w:val="BodyText"/>
        <w:spacing w:after="80"/>
      </w:pPr>
      <w:r>
        <w:rPr>
          <w:bCs/>
          <w:b/>
        </w:rPr>
        <w:t xml:space="preserve">Assumption 9 (Service lists).</w:t>
      </w:r>
      <w:r>
        <w:t xml:space="preserve"> </w:t>
      </w:r>
      <w:r>
        <w:t xml:space="preserve">A hospital offers the services of its level unless a published register entry for that facility says otherwise (Equation 12).</w:t>
      </w:r>
    </w:p>
    <w:p>
      <w:pPr>
        <w:numPr>
          <w:ilvl w:val="0"/>
          <w:numId w:val="1005"/>
        </w:numPr>
        <w:pStyle w:val="BodyText"/>
        <w:spacing w:after="80"/>
      </w:pPr>
      <w:r>
        <w:rPr>
          <w:bCs/>
          <w:b/>
        </w:rPr>
        <w:t xml:space="preserve">Assumption 10 (Surge requests).</w:t>
      </w:r>
      <w:r>
        <w:t xml:space="preserve"> </w:t>
      </w:r>
      <w:r>
        <w:t xml:space="preserve">In the surge assignment, the free beds are known when the assignment is made and the patients’ requests are handled together, in one batch.</w:t>
      </w:r>
    </w:p>
    <w:bookmarkEnd w:id="147"/>
    <w:bookmarkStart w:id="148" w:name="notation"/>
    <w:p>
      <w:pPr>
        <w:pStyle w:val="Heading2"/>
      </w:pPr>
      <w:r>
        <w:t xml:space="preserve">2.15 Notation</w:t>
      </w:r>
    </w:p>
    <w:p>
      <w:pPr>
        <w:pStyle w:val="TableCaption"/>
      </w:pPr>
      <w:r>
        <w:rPr>
          <w:bCs/>
          <w:b/>
        </w:rPr>
        <w:t xml:space="preserve">Table 13.</w:t>
      </w:r>
      <w:r>
        <w:t xml:space="preserve"> </w:t>
      </w:r>
      <w:r>
        <w:t xml:space="preserve">Symbols and their meanings.</w:t>
      </w:r>
    </w:p>
    <w:tbl>
      <w:tblPr>
        <w:tblStyle w:val="Table"/>
        <w:tblW w:type="pct" w:w="5000"/>
        <w:jc w:val="center"/>
        <w:tblCaption w:val="Table 13. Symbols and their meanings."/>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2227"/>
        <w:gridCol w:w="5692"/>
      </w:tblGrid>
      <w:tr>
        <w:trPr>
          <w:tblHeader w:val="true"/>
          <w:tblHeader/>
          <w:cantSplit/>
        </w:trPr>
        <w:tc>
          <w:tcPr/>
          <w:p>
            <w:pPr>
              <w:pStyle w:val="Compact"/>
              <w:jc w:val="left"/>
            </w:pPr>
            <w:r>
              <w:rPr>
                <w:b/>
              </w:rPr>
              <w:t xml:space="preserve">Symbol</w:t>
            </w:r>
          </w:p>
        </w:tc>
        <w:tc>
          <w:tcPr/>
          <w:p>
            <w:pPr>
              <w:pStyle w:val="Compact"/>
              <w:jc w:val="left"/>
            </w:pPr>
            <w:r>
              <w:rPr>
                <w:b/>
              </w:rPr>
              <w:t xml:space="preserve">Meaning</w:t>
            </w:r>
          </w:p>
        </w:tc>
      </w:tr>
      <w:tr>
        <w:trPr>
          <w:cantSplit/>
        </w:trPr>
        <w:tc>
          <w:tcPr/>
          <w:p>
            <w:pPr>
              <w:pStyle w:val="Compact"/>
              <w:jc w:val="left"/>
            </w:pPr>
            <w:r>
              <w:rPr>
                <w:iCs/>
                <w:i/>
              </w:rPr>
              <w:t xml:space="preserve">L</w:t>
            </w:r>
            <w:r>
              <w:t xml:space="preserve">,</w:t>
            </w:r>
            <w:r>
              <w:t xml:space="preserve"> </w:t>
            </w:r>
            <w:r>
              <w:rPr>
                <w:iCs/>
                <w:i/>
              </w:rPr>
              <w:t xml:space="preserve">L</w:t>
            </w:r>
            <w:r>
              <w:rPr>
                <w:iCs/>
                <w:i/>
                <w:vertAlign w:val="subscript"/>
              </w:rPr>
              <w:t xml:space="preserve">a</w:t>
            </w:r>
            <w:r>
              <w:t xml:space="preserve">,</w:t>
            </w:r>
            <w:r>
              <w:t xml:space="preserve"> </w:t>
            </w:r>
            <w:r>
              <w:rPr>
                <w:iCs/>
                <w:i/>
              </w:rPr>
              <w:t xml:space="preserve">L</w:t>
            </w:r>
            <w:r>
              <w:rPr>
                <w:iCs/>
                <w:i/>
                <w:vertAlign w:val="subscript"/>
              </w:rPr>
              <w:t xml:space="preserve">d</w:t>
            </w:r>
          </w:p>
        </w:tc>
        <w:tc>
          <w:tcPr/>
          <w:p>
            <w:pPr>
              <w:pStyle w:val="Compact"/>
              <w:jc w:val="left"/>
            </w:pPr>
            <w:r>
              <w:t xml:space="preserve">all landmarks; anchors; essential destinations</w:t>
            </w:r>
          </w:p>
        </w:tc>
      </w:tr>
      <w:tr>
        <w:trPr>
          <w:cantSplit/>
        </w:trPr>
        <w:tc>
          <w:tcPr/>
          <w:p>
            <w:pPr>
              <w:pStyle w:val="Compact"/>
              <w:jc w:val="left"/>
            </w:pPr>
            <w:r>
              <w:rPr>
                <w:iCs/>
                <w:i/>
              </w:rPr>
              <w:t xml:space="preserve">N</w:t>
            </w:r>
            <w:r>
              <w:rPr>
                <w:iCs/>
                <w:i/>
                <w:vertAlign w:val="subscript"/>
              </w:rPr>
              <w:t xml:space="preserve">a</w:t>
            </w:r>
            <w:r>
              <w:t xml:space="preserve">;</w:t>
            </w:r>
            <w:r>
              <w:t xml:space="preserve"> </w:t>
            </w:r>
            <w:r>
              <w:rPr>
                <w:iCs/>
                <w:i/>
              </w:rPr>
              <w:t xml:space="preserve">P</w:t>
            </w:r>
            <w:r>
              <w:rPr>
                <w:iCs/>
                <w:i/>
                <w:vertAlign w:val="subscript"/>
              </w:rPr>
              <w:t xml:space="preserve">a</w:t>
            </w:r>
            <w:r>
              <w:t xml:space="preserve">,</w:t>
            </w:r>
            <w:r>
              <w:t xml:space="preserve"> </w:t>
            </w:r>
            <w:r>
              <w:rPr>
                <w:iCs/>
                <w:i/>
              </w:rPr>
              <w:t xml:space="preserve">W</w:t>
            </w:r>
          </w:p>
        </w:tc>
        <w:tc>
          <w:tcPr/>
          <w:p>
            <w:pPr>
              <w:pStyle w:val="Compact"/>
              <w:jc w:val="left"/>
            </w:pPr>
            <w:r>
              <w:t xml:space="preserve">number of anchors; weight of anchor</w:t>
            </w:r>
            <w:r>
              <w:t xml:space="preserve"> </w:t>
            </w:r>
            <w:r>
              <w:rPr>
                <w:iCs/>
                <w:i/>
              </w:rPr>
              <w:t xml:space="preserve">a</w:t>
            </w:r>
            <w:r>
              <w:t xml:space="preserve">; sum of all weights</w:t>
            </w:r>
          </w:p>
        </w:tc>
      </w:tr>
      <w:tr>
        <w:trPr>
          <w:cantSplit/>
        </w:trPr>
        <w:tc>
          <w:tcPr/>
          <w:p>
            <w:pPr>
              <w:pStyle w:val="Compact"/>
              <w:jc w:val="left"/>
            </w:pPr>
            <w:r>
              <w:rPr>
                <w:iCs/>
                <w:i/>
              </w:rPr>
              <w:t xml:space="preserve">S</w:t>
            </w:r>
            <w:r>
              <w:t xml:space="preserve">,</w:t>
            </w:r>
            <w:r>
              <w:t xml:space="preserve"> </w:t>
            </w:r>
            <w:r>
              <w:rPr>
                <w:iCs/>
                <w:i/>
              </w:rPr>
              <w:t xml:space="preserve">C</w:t>
            </w:r>
          </w:p>
        </w:tc>
        <w:tc>
          <w:tcPr/>
          <w:p>
            <w:pPr>
              <w:pStyle w:val="Compact"/>
              <w:jc w:val="left"/>
            </w:pPr>
            <w:r>
              <w:t xml:space="preserve">stops; connections</w:t>
            </w:r>
          </w:p>
        </w:tc>
      </w:tr>
      <w:tr>
        <w:trPr>
          <w:cantSplit/>
        </w:trPr>
        <w:tc>
          <w:tcPr/>
          <w:p>
            <w:pPr>
              <w:pStyle w:val="Compact"/>
              <w:jc w:val="left"/>
            </w:pPr>
            <w:r>
              <w:rPr>
                <w:iCs/>
                <w:i/>
              </w:rPr>
              <w:t xml:space="preserve">G</w:t>
            </w:r>
            <w:r>
              <w:t xml:space="preserve"> </w:t>
            </w:r>
            <w:r>
              <w:t xml:space="preserve">= (</w:t>
            </w:r>
            <w:r>
              <w:rPr>
                <w:iCs/>
                <w:i/>
              </w:rPr>
              <w:t xml:space="preserve">V</w:t>
            </w:r>
            <w:r>
              <w:t xml:space="preserve">,</w:t>
            </w:r>
            <w:r>
              <w:t xml:space="preserve"> </w:t>
            </w:r>
            <w:r>
              <w:rPr>
                <w:iCs/>
                <w:i/>
              </w:rPr>
              <w:t xml:space="preserve">E</w:t>
            </w:r>
            <w:r>
              <w:t xml:space="preserve">)</w:t>
            </w:r>
          </w:p>
        </w:tc>
        <w:tc>
          <w:tcPr/>
          <w:p>
            <w:pPr>
              <w:pStyle w:val="Compact"/>
              <w:jc w:val="left"/>
            </w:pPr>
            <w:r>
              <w:t xml:space="preserve">the time-expanded timetable graph</w:t>
            </w:r>
          </w:p>
        </w:tc>
      </w:tr>
      <w:tr>
        <w:trPr>
          <w:cantSplit/>
        </w:trPr>
        <w:tc>
          <w:tcPr/>
          <w:p>
            <w:pPr>
              <w:pStyle w:val="Compact"/>
              <w:jc w:val="left"/>
            </w:pPr>
            <w:r>
              <w:t xml:space="preserve">θ</w:t>
            </w:r>
            <w:r>
              <w:rPr>
                <w:iCs/>
                <w:i/>
                <w:vertAlign w:val="subscript"/>
              </w:rPr>
              <w:t xml:space="preserve">ch</w:t>
            </w:r>
          </w:p>
        </w:tc>
        <w:tc>
          <w:tcPr/>
          <w:p>
            <w:pPr>
              <w:pStyle w:val="Compact"/>
              <w:jc w:val="left"/>
            </w:pPr>
            <w:r>
              <w:t xml:space="preserve">minimum change time between trips</w:t>
            </w:r>
          </w:p>
        </w:tc>
      </w:tr>
      <w:tr>
        <w:trPr>
          <w:cantSplit/>
        </w:trPr>
        <w:tc>
          <w:tcPr/>
          <w:p>
            <w:pPr>
              <w:pStyle w:val="Compact"/>
              <w:jc w:val="left"/>
            </w:pPr>
            <w:r>
              <w:t xml:space="preserve">τ</w:t>
            </w:r>
            <w:r>
              <w:rPr>
                <w:vertAlign w:val="superscript"/>
              </w:rPr>
              <w:t xml:space="preserve">∗</w:t>
            </w:r>
            <w:r>
              <w:t xml:space="preserve">(</w:t>
            </w:r>
            <w:r>
              <w:rPr>
                <w:iCs/>
                <w:i/>
              </w:rPr>
              <w:t xml:space="preserve">o</w:t>
            </w:r>
            <w:r>
              <w:t xml:space="preserve">,</w:t>
            </w:r>
            <w:r>
              <w:t xml:space="preserve"> </w:t>
            </w:r>
            <w:r>
              <w:rPr>
                <w:iCs/>
                <w:i/>
              </w:rPr>
              <w:t xml:space="preserve">d</w:t>
            </w:r>
            <w:r>
              <w:t xml:space="preserve">,</w:t>
            </w:r>
            <w:r>
              <w:t xml:space="preserve"> </w:t>
            </w:r>
            <w:r>
              <w:rPr>
                <w:iCs/>
                <w:i/>
              </w:rPr>
              <w:t xml:space="preserve">t</w:t>
            </w:r>
            <w:r>
              <w:rPr>
                <w:vertAlign w:val="subscript"/>
              </w:rPr>
              <w:t xml:space="preserve">0</w:t>
            </w:r>
            <w:r>
              <w:t xml:space="preserve">);</w:t>
            </w:r>
            <w:r>
              <w:t xml:space="preserve"> </w:t>
            </w:r>
            <w:r>
              <w:rPr>
                <w:iCs/>
                <w:i/>
              </w:rPr>
              <w:t xml:space="preserve">T</w:t>
            </w:r>
            <w:r>
              <w:t xml:space="preserve">,</w:t>
            </w:r>
            <w:r>
              <w:t xml:space="preserve"> </w:t>
            </w:r>
            <w:r>
              <w:rPr>
                <w:iCs/>
                <w:i/>
              </w:rPr>
              <w:t xml:space="preserve">T̄</w:t>
            </w:r>
          </w:p>
        </w:tc>
        <w:tc>
          <w:tcPr/>
          <w:p>
            <w:pPr>
              <w:pStyle w:val="Compact"/>
              <w:jc w:val="left"/>
            </w:pPr>
            <w:r>
              <w:t xml:space="preserve">earliest arrival; door-to-door travel time; its mean over departure times</w:t>
            </w:r>
          </w:p>
        </w:tc>
      </w:tr>
      <w:tr>
        <w:trPr>
          <w:cantSplit/>
        </w:trPr>
        <w:tc>
          <w:tcPr/>
          <w:p>
            <w:pPr>
              <w:pStyle w:val="Compact"/>
              <w:jc w:val="left"/>
            </w:pPr>
            <w:r>
              <w:t xml:space="preserve">θ</w:t>
            </w:r>
          </w:p>
        </w:tc>
        <w:tc>
          <w:tcPr/>
          <w:p>
            <w:pPr>
              <w:pStyle w:val="Compact"/>
              <w:jc w:val="left"/>
            </w:pPr>
            <w:r>
              <w:t xml:space="preserve">travel-time budget</w:t>
            </w:r>
          </w:p>
        </w:tc>
      </w:tr>
      <w:tr>
        <w:trPr>
          <w:cantSplit/>
        </w:trPr>
        <w:tc>
          <w:tcPr/>
          <w:p>
            <w:pPr>
              <w:pStyle w:val="Compact"/>
              <w:jc w:val="left"/>
            </w:pPr>
            <w:r>
              <w:rPr>
                <w:iCs/>
                <w:i/>
              </w:rPr>
              <w:t xml:space="preserve">A</w:t>
            </w:r>
            <w:r>
              <w:rPr>
                <w:iCs/>
                <w:i/>
                <w:vertAlign w:val="superscript"/>
              </w:rPr>
              <w:t xml:space="preserve">k</w:t>
            </w:r>
            <w:r>
              <w:rPr>
                <w:iCs/>
                <w:i/>
                <w:vertAlign w:val="subscript"/>
              </w:rPr>
              <w:t xml:space="preserve">a</w:t>
            </w:r>
            <w:r>
              <w:t xml:space="preserve">(θ)</w:t>
            </w:r>
          </w:p>
        </w:tc>
        <w:tc>
          <w:tcPr/>
          <w:p>
            <w:pPr>
              <w:pStyle w:val="Compact"/>
              <w:jc w:val="left"/>
            </w:pPr>
            <w:r>
              <w:t xml:space="preserve">total size of category-</w:t>
            </w:r>
            <w:r>
              <w:rPr>
                <w:iCs/>
                <w:i/>
              </w:rPr>
              <w:t xml:space="preserve">k</w:t>
            </w:r>
            <w:r>
              <w:t xml:space="preserve"> </w:t>
            </w:r>
            <w:r>
              <w:t xml:space="preserve">destinations reachable from anchor</w:t>
            </w:r>
            <w:r>
              <w:t xml:space="preserve"> </w:t>
            </w:r>
            <w:r>
              <w:rPr>
                <w:iCs/>
                <w:i/>
              </w:rPr>
              <w:t xml:space="preserve">a</w:t>
            </w:r>
            <w:r>
              <w:t xml:space="preserve"> </w:t>
            </w:r>
            <w:r>
              <w:t xml:space="preserve">within θ</w:t>
            </w:r>
          </w:p>
        </w:tc>
      </w:tr>
      <w:tr>
        <w:trPr>
          <w:cantSplit/>
        </w:trPr>
        <w:tc>
          <w:tcPr/>
          <w:p>
            <w:pPr>
              <w:pStyle w:val="Compact"/>
              <w:jc w:val="left"/>
            </w:pPr>
            <w:r>
              <w:t xml:space="preserve">μ;</w:t>
            </w:r>
            <w:r>
              <w:t xml:space="preserve"> </w:t>
            </w:r>
            <w:r>
              <w:rPr>
                <w:iCs/>
                <w:i/>
              </w:rPr>
              <w:t xml:space="preserve">G</w:t>
            </w:r>
            <w:r>
              <w:t xml:space="preserve">(</w:t>
            </w:r>
            <w:r>
              <w:rPr>
                <w:iCs/>
                <w:i/>
              </w:rPr>
              <w:t xml:space="preserve">A</w:t>
            </w:r>
            <w:r>
              <w:t xml:space="preserve">,</w:t>
            </w:r>
            <w:r>
              <w:t xml:space="preserve"> </w:t>
            </w:r>
            <w:r>
              <w:rPr>
                <w:iCs/>
                <w:i/>
              </w:rPr>
              <w:t xml:space="preserve">P</w:t>
            </w:r>
            <w:r>
              <w:t xml:space="preserve">),</w:t>
            </w:r>
            <w:r>
              <w:t xml:space="preserve"> </w:t>
            </w:r>
            <w:r>
              <w:rPr>
                <w:iCs/>
                <w:i/>
              </w:rPr>
              <w:t xml:space="preserve">T</w:t>
            </w:r>
            <w:r>
              <w:t xml:space="preserve">(</w:t>
            </w:r>
            <w:r>
              <w:rPr>
                <w:iCs/>
                <w:i/>
              </w:rPr>
              <w:t xml:space="preserve">A</w:t>
            </w:r>
            <w:r>
              <w:t xml:space="preserve">,</w:t>
            </w:r>
            <w:r>
              <w:t xml:space="preserve"> </w:t>
            </w:r>
            <w:r>
              <w:rPr>
                <w:iCs/>
                <w:i/>
              </w:rPr>
              <w:t xml:space="preserve">P</w:t>
            </w:r>
            <w:r>
              <w:t xml:space="preserve">)</w:t>
            </w:r>
          </w:p>
        </w:tc>
        <w:tc>
          <w:tcPr/>
          <w:p>
            <w:pPr>
              <w:pStyle w:val="Compact"/>
              <w:jc w:val="left"/>
            </w:pPr>
            <w:r>
              <w:t xml:space="preserve">weighted mean access; Gini coefficient; Theil index</w:t>
            </w:r>
          </w:p>
        </w:tc>
      </w:tr>
      <w:tr>
        <w:trPr>
          <w:cantSplit/>
        </w:trPr>
        <w:tc>
          <w:tcPr/>
          <w:p>
            <w:pPr>
              <w:pStyle w:val="Compact"/>
              <w:jc w:val="left"/>
            </w:pPr>
            <w:r>
              <w:t xml:space="preserve">γ,</w:t>
            </w:r>
            <w:r>
              <w:t xml:space="preserve"> </w:t>
            </w:r>
            <w:r>
              <w:rPr>
                <w:iCs/>
                <w:i/>
              </w:rPr>
              <w:t xml:space="preserve">E</w:t>
            </w:r>
            <w:r>
              <w:rPr>
                <w:vertAlign w:val="subscript"/>
              </w:rPr>
              <w:t xml:space="preserve">γ</w:t>
            </w:r>
            <w:r>
              <w:t xml:space="preserve">,</w:t>
            </w:r>
            <w:r>
              <w:t xml:space="preserve"> </w:t>
            </w:r>
            <w:r>
              <w:rPr>
                <w:iCs/>
                <w:i/>
              </w:rPr>
              <w:t xml:space="preserve">d</w:t>
            </w:r>
            <w:r>
              <w:rPr>
                <w:vertAlign w:val="subscript"/>
              </w:rPr>
              <w:t xml:space="preserve">γ</w:t>
            </w:r>
            <w:r>
              <w:t xml:space="preserve">; γ</w:t>
            </w:r>
            <w:r>
              <w:rPr>
                <w:iCs/>
                <w:i/>
                <w:vertAlign w:val="subscript"/>
              </w:rPr>
              <w:t xml:space="preserve">amb</w:t>
            </w:r>
          </w:p>
        </w:tc>
        <w:tc>
          <w:tcPr/>
          <w:p>
            <w:pPr>
              <w:pStyle w:val="Compact"/>
              <w:jc w:val="left"/>
            </w:pPr>
            <w:r>
              <w:t xml:space="preserve">vehicle class, arcs open to it, its shortest-path distance; the ambulance class</w:t>
            </w:r>
          </w:p>
        </w:tc>
      </w:tr>
      <w:tr>
        <w:trPr>
          <w:cantSplit/>
        </w:trPr>
        <w:tc>
          <w:tcPr/>
          <w:p>
            <w:pPr>
              <w:pStyle w:val="Compact"/>
              <w:jc w:val="left"/>
            </w:pPr>
            <w:r>
              <w:rPr>
                <w:iCs/>
                <w:i/>
              </w:rPr>
              <w:t xml:space="preserve">f</w:t>
            </w:r>
            <w:r>
              <w:t xml:space="preserve">(</w:t>
            </w:r>
            <w:r>
              <w:rPr>
                <w:iCs/>
                <w:i/>
              </w:rPr>
              <w:t xml:space="preserve">d</w:t>
            </w:r>
            <w:r>
              <w:t xml:space="preserve">),</w:t>
            </w:r>
            <w:r>
              <w:t xml:space="preserve"> </w:t>
            </w:r>
            <w:r>
              <w:rPr>
                <w:iCs/>
                <w:i/>
              </w:rPr>
              <w:t xml:space="preserve">F</w:t>
            </w:r>
            <w:r>
              <w:t xml:space="preserve">(</w:t>
            </w:r>
            <w:r>
              <w:rPr>
                <w:iCs/>
                <w:i/>
              </w:rPr>
              <w:t xml:space="preserve">J</w:t>
            </w:r>
            <w:r>
              <w:t xml:space="preserve">)</w:t>
            </w:r>
          </w:p>
        </w:tc>
        <w:tc>
          <w:tcPr/>
          <w:p>
            <w:pPr>
              <w:pStyle w:val="Compact"/>
              <w:jc w:val="left"/>
            </w:pPr>
            <w:r>
              <w:t xml:space="preserve">fare for a leg; fare for a journey</w:t>
            </w:r>
          </w:p>
        </w:tc>
      </w:tr>
      <w:tr>
        <w:trPr>
          <w:cantSplit/>
        </w:trPr>
        <w:tc>
          <w:tcPr/>
          <w:p>
            <w:pPr>
              <w:pStyle w:val="Compact"/>
              <w:jc w:val="left"/>
            </w:pPr>
            <w:r>
              <w:rPr>
                <w:iCs/>
                <w:i/>
              </w:rPr>
              <w:t xml:space="preserve">H</w:t>
            </w:r>
            <w:r>
              <w:t xml:space="preserve">,</w:t>
            </w:r>
            <w:r>
              <w:t xml:space="preserve"> </w:t>
            </w:r>
            <w:r>
              <w:rPr>
                <w:iCs/>
                <w:i/>
              </w:rPr>
              <w:t xml:space="preserve">v</w:t>
            </w:r>
            <w:r>
              <w:rPr>
                <w:iCs/>
                <w:i/>
                <w:vertAlign w:val="subscript"/>
              </w:rPr>
              <w:t xml:space="preserve">h</w:t>
            </w:r>
            <w:r>
              <w:t xml:space="preserve">,</w:t>
            </w:r>
            <w:r>
              <w:t xml:space="preserve"> </w:t>
            </w:r>
            <w:r>
              <w:rPr>
                <w:iCs/>
                <w:i/>
              </w:rPr>
              <w:t xml:space="preserve">c</w:t>
            </w:r>
            <w:r>
              <w:rPr>
                <w:iCs/>
                <w:i/>
                <w:vertAlign w:val="subscript"/>
              </w:rPr>
              <w:t xml:space="preserve">h</w:t>
            </w:r>
          </w:p>
        </w:tc>
        <w:tc>
          <w:tcPr/>
          <w:p>
            <w:pPr>
              <w:pStyle w:val="Compact"/>
              <w:jc w:val="left"/>
            </w:pPr>
            <w:r>
              <w:t xml:space="preserve">hospitals; entrance node; authorized beds</w:t>
            </w:r>
          </w:p>
        </w:tc>
      </w:tr>
      <w:tr>
        <w:trPr>
          <w:cantSplit/>
        </w:trPr>
        <w:tc>
          <w:tcPr/>
          <w:p>
            <w:pPr>
              <w:pStyle w:val="Compact"/>
              <w:jc w:val="left"/>
            </w:pPr>
            <w:r>
              <w:t xml:space="preserve">η</w:t>
            </w:r>
            <w:r>
              <w:rPr>
                <w:iCs/>
                <w:i/>
                <w:vertAlign w:val="subscript"/>
              </w:rPr>
              <w:t xml:space="preserve">h</w:t>
            </w:r>
            <w:r>
              <w:t xml:space="preserve">, Σ</w:t>
            </w:r>
            <w:r>
              <w:rPr>
                <w:iCs/>
                <w:i/>
                <w:vertAlign w:val="subscript"/>
              </w:rPr>
              <w:t xml:space="preserve">h</w:t>
            </w:r>
            <w:r>
              <w:t xml:space="preserve">,</w:t>
            </w:r>
            <w:r>
              <w:t xml:space="preserve"> </w:t>
            </w:r>
            <w:r>
              <w:rPr>
                <w:iCs/>
                <w:i/>
              </w:rPr>
              <w:t xml:space="preserve">e</w:t>
            </w:r>
            <w:r>
              <w:rPr>
                <w:iCs/>
                <w:i/>
                <w:vertAlign w:val="subscript"/>
              </w:rPr>
              <w:t xml:space="preserve">h</w:t>
            </w:r>
            <w:r>
              <w:t xml:space="preserve">,</w:t>
            </w:r>
            <w:r>
              <w:t xml:space="preserve"> </w:t>
            </w:r>
            <w:r>
              <w:rPr>
                <w:iCs/>
                <w:i/>
              </w:rPr>
              <w:t xml:space="preserve">q</w:t>
            </w:r>
            <w:r>
              <w:rPr>
                <w:iCs/>
                <w:i/>
                <w:vertAlign w:val="subscript"/>
              </w:rPr>
              <w:t xml:space="preserve">h</w:t>
            </w:r>
            <w:r>
              <w:t xml:space="preserve">,</w:t>
            </w:r>
            <w:r>
              <w:t xml:space="preserve"> </w:t>
            </w:r>
            <w:r>
              <w:rPr>
                <w:iCs/>
                <w:i/>
              </w:rPr>
              <w:t xml:space="preserve">m</w:t>
            </w:r>
            <w:r>
              <w:rPr>
                <w:iCs/>
                <w:i/>
                <w:vertAlign w:val="subscript"/>
              </w:rPr>
              <w:t xml:space="preserve">h</w:t>
            </w:r>
          </w:p>
        </w:tc>
        <w:tc>
          <w:tcPr/>
          <w:p>
            <w:pPr>
              <w:pStyle w:val="Compact"/>
              <w:jc w:val="left"/>
            </w:pPr>
            <w:r>
              <w:t xml:space="preserve">service level; service set; emergency-room flag; cost class; contact address</w:t>
            </w:r>
          </w:p>
        </w:tc>
      </w:tr>
      <w:tr>
        <w:trPr>
          <w:cantSplit/>
        </w:trPr>
        <w:tc>
          <w:tcPr/>
          <w:p>
            <w:pPr>
              <w:pStyle w:val="Compact"/>
              <w:jc w:val="left"/>
            </w:pPr>
            <w:r>
              <w:t xml:space="preserve">𝒮; Σ(η)</w:t>
            </w:r>
          </w:p>
        </w:tc>
        <w:tc>
          <w:tcPr/>
          <w:p>
            <w:pPr>
              <w:pStyle w:val="Compact"/>
              <w:jc w:val="left"/>
            </w:pPr>
            <w:r>
              <w:t xml:space="preserve">list of services (Table 8); default service set of level η</w:t>
            </w:r>
          </w:p>
        </w:tc>
      </w:tr>
      <w:tr>
        <w:trPr>
          <w:cantSplit/>
        </w:trPr>
        <w:tc>
          <w:tcPr/>
          <w:p>
            <w:pPr>
              <w:pStyle w:val="Compact"/>
              <w:jc w:val="left"/>
            </w:pPr>
            <w:r>
              <w:rPr>
                <w:iCs/>
                <w:i/>
              </w:rPr>
              <w:t xml:space="preserve">P</w:t>
            </w:r>
            <w:r>
              <w:rPr>
                <w:iCs/>
                <w:i/>
                <w:vertAlign w:val="subscript"/>
              </w:rPr>
              <w:t xml:space="preserve">h</w:t>
            </w:r>
            <w:r>
              <w:t xml:space="preserve">,</w:t>
            </w:r>
            <w:r>
              <w:t xml:space="preserve"> </w:t>
            </w:r>
            <w:r>
              <w:rPr>
                <w:iCs/>
                <w:i/>
              </w:rPr>
              <w:t xml:space="preserve">R</w:t>
            </w:r>
            <w:r>
              <w:rPr>
                <w:iCs/>
                <w:i/>
                <w:vertAlign w:val="subscript"/>
              </w:rPr>
              <w:t xml:space="preserve">rem</w:t>
            </w:r>
            <w:r>
              <w:t xml:space="preserve">,</w:t>
            </w:r>
            <w:r>
              <w:t xml:space="preserve"> </w:t>
            </w:r>
            <w:r>
              <w:rPr>
                <w:iCs/>
                <w:i/>
              </w:rPr>
              <w:t xml:space="preserve">n</w:t>
            </w:r>
            <w:r>
              <w:rPr>
                <w:iCs/>
                <w:i/>
                <w:vertAlign w:val="subscript"/>
              </w:rPr>
              <w:t xml:space="preserve">rem</w:t>
            </w:r>
            <w:r>
              <w:t xml:space="preserve">,</w:t>
            </w:r>
            <w:r>
              <w:t xml:space="preserve"> </w:t>
            </w:r>
            <w:r>
              <w:rPr>
                <w:iCs/>
                <w:i/>
              </w:rPr>
              <w:t xml:space="preserve">D</w:t>
            </w:r>
            <w:r>
              <w:rPr>
                <w:iCs/>
                <w:i/>
                <w:vertAlign w:val="subscript"/>
              </w:rPr>
              <w:t xml:space="preserve">rep</w:t>
            </w:r>
          </w:p>
        </w:tc>
        <w:tc>
          <w:tcPr/>
          <w:p>
            <w:pPr>
              <w:pStyle w:val="Compact"/>
              <w:jc w:val="left"/>
            </w:pPr>
            <w:r>
              <w:t xml:space="preserve">inquiry period; reminder delay; reminders allowed per cycle; longest reply delay assumed</w:t>
            </w:r>
          </w:p>
        </w:tc>
      </w:tr>
      <w:tr>
        <w:trPr>
          <w:cantSplit/>
        </w:trPr>
        <w:tc>
          <w:tcPr/>
          <w:p>
            <w:pPr>
              <w:pStyle w:val="Compact"/>
              <w:jc w:val="left"/>
            </w:pPr>
            <w:r>
              <w:rPr>
                <w:iCs/>
                <w:i/>
              </w:rPr>
              <w:t xml:space="preserve">ĉ</w:t>
            </w:r>
            <w:r>
              <w:rPr>
                <w:iCs/>
                <w:i/>
                <w:vertAlign w:val="subscript"/>
              </w:rPr>
              <w:t xml:space="preserve">h</w:t>
            </w:r>
            <w:r>
              <w:t xml:space="preserve">,</w:t>
            </w:r>
            <w:r>
              <w:t xml:space="preserve"> </w:t>
            </w:r>
            <w:r>
              <w:rPr>
                <w:iCs/>
                <w:i/>
              </w:rPr>
              <w:t xml:space="preserve">ô</w:t>
            </w:r>
            <w:r>
              <w:rPr>
                <w:iCs/>
                <w:i/>
                <w:vertAlign w:val="subscript"/>
              </w:rPr>
              <w:t xml:space="preserve">h</w:t>
            </w:r>
            <w:r>
              <w:t xml:space="preserve">,</w:t>
            </w:r>
            <w:r>
              <w:t xml:space="preserve"> </w:t>
            </w:r>
            <w:r>
              <w:rPr>
                <w:iCs/>
                <w:i/>
              </w:rPr>
              <w:t xml:space="preserve">ê</w:t>
            </w:r>
            <w:r>
              <w:rPr>
                <w:iCs/>
                <w:i/>
                <w:vertAlign w:val="subscript"/>
              </w:rPr>
              <w:t xml:space="preserve">h</w:t>
            </w:r>
            <w:r>
              <w:t xml:space="preserve">,</w:t>
            </w:r>
            <w:r>
              <w:t xml:space="preserve"> </w:t>
            </w:r>
            <w:r>
              <w:rPr>
                <w:iCs/>
                <w:i/>
              </w:rPr>
              <w:t xml:space="preserve">b</w:t>
            </w:r>
            <w:r>
              <w:rPr>
                <w:iCs/>
                <w:i/>
                <w:vertAlign w:val="subscript"/>
              </w:rPr>
              <w:t xml:space="preserve">h</w:t>
            </w:r>
            <w:r>
              <w:t xml:space="preserve">(</w:t>
            </w:r>
            <w:r>
              <w:rPr>
                <w:iCs/>
                <w:i/>
              </w:rPr>
              <w:t xml:space="preserve">t</w:t>
            </w:r>
            <w:r>
              <w:t xml:space="preserve">)</w:t>
            </w:r>
          </w:p>
        </w:tc>
        <w:tc>
          <w:tcPr/>
          <w:p>
            <w:pPr>
              <w:pStyle w:val="Compact"/>
              <w:jc w:val="left"/>
            </w:pPr>
            <w:r>
              <w:t xml:space="preserve">reported capacity, occupied beds, and emergency-room status; free beds</w:t>
            </w:r>
          </w:p>
        </w:tc>
      </w:tr>
      <w:tr>
        <w:trPr>
          <w:cantSplit/>
        </w:trPr>
        <w:tc>
          <w:tcPr/>
          <w:p>
            <w:pPr>
              <w:pStyle w:val="Compact"/>
              <w:jc w:val="left"/>
            </w:pPr>
            <w:r>
              <w:t xml:space="preserve">σ</w:t>
            </w:r>
            <w:r>
              <w:rPr>
                <w:iCs/>
                <w:i/>
                <w:vertAlign w:val="subscript"/>
              </w:rPr>
              <w:t xml:space="preserve">h</w:t>
            </w:r>
            <w:r>
              <w:t xml:space="preserve">(</w:t>
            </w:r>
            <w:r>
              <w:rPr>
                <w:iCs/>
                <w:i/>
              </w:rPr>
              <w:t xml:space="preserve">t</w:t>
            </w:r>
            <w:r>
              <w:t xml:space="preserve">),</w:t>
            </w:r>
            <w:r>
              <w:t xml:space="preserve"> </w:t>
            </w:r>
            <w:r>
              <w:rPr>
                <w:iCs/>
                <w:i/>
              </w:rPr>
              <w:t xml:space="preserve">age</w:t>
            </w:r>
            <w:r>
              <w:rPr>
                <w:iCs/>
                <w:i/>
                <w:vertAlign w:val="subscript"/>
              </w:rPr>
              <w:t xml:space="preserve">h</w:t>
            </w:r>
            <w:r>
              <w:t xml:space="preserve">(</w:t>
            </w:r>
            <w:r>
              <w:rPr>
                <w:iCs/>
                <w:i/>
              </w:rPr>
              <w:t xml:space="preserve">t</w:t>
            </w:r>
            <w:r>
              <w:t xml:space="preserve">),</w:t>
            </w:r>
            <w:r>
              <w:t xml:space="preserve"> </w:t>
            </w:r>
            <w:r>
              <w:rPr>
                <w:iCs/>
                <w:i/>
              </w:rPr>
              <w:t xml:space="preserve">age</w:t>
            </w:r>
            <w:r>
              <w:rPr>
                <w:vertAlign w:val="subscript"/>
              </w:rPr>
              <w:t xml:space="preserve">max</w:t>
            </w:r>
          </w:p>
        </w:tc>
        <w:tc>
          <w:tcPr/>
          <w:p>
            <w:pPr>
              <w:pStyle w:val="Compact"/>
              <w:jc w:val="left"/>
            </w:pPr>
            <w:r>
              <w:t xml:space="preserve">bed status; age of the report; limit on age</w:t>
            </w:r>
          </w:p>
        </w:tc>
      </w:tr>
      <w:tr>
        <w:trPr>
          <w:cantSplit/>
        </w:trPr>
        <w:tc>
          <w:tcPr/>
          <w:p>
            <w:pPr>
              <w:pStyle w:val="Compact"/>
              <w:jc w:val="left"/>
            </w:pPr>
            <w:r>
              <w:t xml:space="preserve">π = (κ,</w:t>
            </w:r>
            <w:r>
              <w:t xml:space="preserve"> </w:t>
            </w:r>
            <w:r>
              <w:rPr>
                <w:iCs/>
                <w:i/>
              </w:rPr>
              <w:t xml:space="preserve">N</w:t>
            </w:r>
            <w:r>
              <w:t xml:space="preserve">, ρ,</w:t>
            </w:r>
            <w:r>
              <w:t xml:space="preserve"> </w:t>
            </w:r>
            <w:r>
              <w:rPr>
                <w:iCs/>
                <w:i/>
              </w:rPr>
              <w:t xml:space="preserve">m</w:t>
            </w:r>
            <w:r>
              <w:t xml:space="preserve">)</w:t>
            </w:r>
          </w:p>
        </w:tc>
        <w:tc>
          <w:tcPr/>
          <w:p>
            <w:pPr>
              <w:pStyle w:val="Compact"/>
              <w:jc w:val="left"/>
            </w:pPr>
            <w:r>
              <w:t xml:space="preserve">patient profile: acuity, needed services, payment class, mobility class</w:t>
            </w:r>
          </w:p>
        </w:tc>
      </w:tr>
      <w:tr>
        <w:trPr>
          <w:cantSplit/>
        </w:trPr>
        <w:tc>
          <w:tcPr/>
          <w:p>
            <w:pPr>
              <w:pStyle w:val="Compact"/>
              <w:jc w:val="left"/>
            </w:pPr>
            <w:r>
              <w:t xml:space="preserve">λ(κ),</w:t>
            </w:r>
            <w:r>
              <w:t xml:space="preserve"> </w:t>
            </w:r>
            <w:r>
              <w:rPr>
                <w:iCs/>
                <w:i/>
              </w:rPr>
              <w:t xml:space="preserve">K</w:t>
            </w:r>
            <w:r>
              <w:rPr>
                <w:iCs/>
                <w:i/>
                <w:vertAlign w:val="subscript"/>
              </w:rPr>
              <w:t xml:space="preserve">E</w:t>
            </w:r>
          </w:p>
        </w:tc>
        <w:tc>
          <w:tcPr/>
          <w:p>
            <w:pPr>
              <w:pStyle w:val="Compact"/>
              <w:jc w:val="left"/>
            </w:pPr>
            <w:r>
              <w:t xml:space="preserve">lowest acceptable service level; emergency set</w:t>
            </w:r>
          </w:p>
        </w:tc>
      </w:tr>
      <w:tr>
        <w:trPr>
          <w:cantSplit/>
        </w:trPr>
        <w:tc>
          <w:tcPr/>
          <w:p>
            <w:pPr>
              <w:pStyle w:val="Compact"/>
              <w:jc w:val="left"/>
            </w:pPr>
            <w:r>
              <w:rPr>
                <w:iCs/>
                <w:i/>
              </w:rPr>
              <w:t xml:space="preserve">v</w:t>
            </w:r>
            <w:r>
              <w:rPr>
                <w:iCs/>
                <w:i/>
                <w:vertAlign w:val="subscript"/>
              </w:rPr>
              <w:t xml:space="preserve">m</w:t>
            </w:r>
            <w:r>
              <w:t xml:space="preserve">,</w:t>
            </w:r>
            <w:r>
              <w:t xml:space="preserve"> </w:t>
            </w:r>
            <w:r>
              <w:rPr>
                <w:iCs/>
                <w:i/>
              </w:rPr>
              <w:t xml:space="preserve">t̄</w:t>
            </w:r>
            <w:r>
              <w:rPr>
                <w:iCs/>
                <w:i/>
                <w:vertAlign w:val="subscript"/>
              </w:rPr>
              <w:t xml:space="preserve">m</w:t>
            </w:r>
          </w:p>
        </w:tc>
        <w:tc>
          <w:tcPr/>
          <w:p>
            <w:pPr>
              <w:pStyle w:val="Compact"/>
              <w:jc w:val="left"/>
            </w:pPr>
            <w:r>
              <w:t xml:space="preserve">walking speed and walking cap of mobility class</w:t>
            </w:r>
            <w:r>
              <w:t xml:space="preserve"> </w:t>
            </w:r>
            <w:r>
              <w:rPr>
                <w:iCs/>
                <w:i/>
              </w:rPr>
              <w:t xml:space="preserve">m</w:t>
            </w:r>
          </w:p>
        </w:tc>
      </w:tr>
      <w:tr>
        <w:trPr>
          <w:cantSplit/>
        </w:trPr>
        <w:tc>
          <w:tcPr/>
          <w:p>
            <w:pPr>
              <w:pStyle w:val="Compact"/>
              <w:jc w:val="left"/>
            </w:pPr>
            <w:r>
              <w:t xml:space="preserve">Φ,</w:t>
            </w:r>
            <w:r>
              <w:t xml:space="preserve"> </w:t>
            </w:r>
            <w:r>
              <w:rPr>
                <w:iCs/>
                <w:i/>
              </w:rPr>
              <w:t xml:space="preserve">H</w:t>
            </w:r>
            <w:r>
              <w:rPr>
                <w:vertAlign w:val="subscript"/>
              </w:rPr>
              <w:t xml:space="preserve">π</w:t>
            </w:r>
            <w:r>
              <w:t xml:space="preserve">(</w:t>
            </w:r>
            <w:r>
              <w:rPr>
                <w:iCs/>
                <w:i/>
              </w:rPr>
              <w:t xml:space="preserve">t</w:t>
            </w:r>
            <w:r>
              <w:t xml:space="preserve">)</w:t>
            </w:r>
          </w:p>
        </w:tc>
        <w:tc>
          <w:tcPr/>
          <w:p>
            <w:pPr>
              <w:pStyle w:val="Compact"/>
              <w:jc w:val="left"/>
            </w:pPr>
            <w:r>
              <w:t xml:space="preserve">suitability indicator; set of suitable hospitals</w:t>
            </w:r>
          </w:p>
        </w:tc>
      </w:tr>
      <w:tr>
        <w:trPr>
          <w:cantSplit/>
        </w:trPr>
        <w:tc>
          <w:tcPr/>
          <w:p>
            <w:pPr>
              <w:pStyle w:val="Compact"/>
              <w:jc w:val="left"/>
            </w:pPr>
            <w:r>
              <w:rPr>
                <w:iCs/>
                <w:i/>
              </w:rPr>
              <w:t xml:space="preserve">T</w:t>
            </w:r>
            <w:r>
              <w:rPr>
                <w:iCs/>
                <w:i/>
                <w:vertAlign w:val="subscript"/>
              </w:rPr>
              <w:t xml:space="preserve">x</w:t>
            </w:r>
            <w:r>
              <w:t xml:space="preserve">,</w:t>
            </w:r>
            <w:r>
              <w:t xml:space="preserve"> </w:t>
            </w:r>
            <w:r>
              <w:rPr>
                <w:iCs/>
                <w:i/>
              </w:rPr>
              <w:t xml:space="preserve">h</w:t>
            </w:r>
            <w:r>
              <w:rPr>
                <w:vertAlign w:val="superscript"/>
              </w:rPr>
              <w:t xml:space="preserve">∗</w:t>
            </w:r>
            <w:r>
              <w:t xml:space="preserve">,</w:t>
            </w:r>
            <w:r>
              <w:t xml:space="preserve"> </w:t>
            </w:r>
            <w:r>
              <w:rPr>
                <w:iCs/>
                <w:i/>
              </w:rPr>
              <w:t xml:space="preserve">T</w:t>
            </w:r>
            <w:r>
              <w:rPr>
                <w:vertAlign w:val="superscript"/>
              </w:rPr>
              <w:t xml:space="preserve">∗</w:t>
            </w:r>
            <w:r>
              <w:t xml:space="preserve">;</w:t>
            </w:r>
            <w:r>
              <w:t xml:space="preserve"> </w:t>
            </w:r>
            <w:r>
              <w:rPr>
                <w:iCs/>
                <w:i/>
              </w:rPr>
              <w:t xml:space="preserve">h</w:t>
            </w:r>
            <w:r>
              <w:rPr>
                <w:vertAlign w:val="subscript"/>
              </w:rPr>
              <w:t xml:space="preserve">(1)</w:t>
            </w:r>
            <w:r>
              <w:t xml:space="preserve">, …,</w:t>
            </w:r>
            <w:r>
              <w:t xml:space="preserve"> </w:t>
            </w:r>
            <w:r>
              <w:rPr>
                <w:iCs/>
                <w:i/>
              </w:rPr>
              <w:t xml:space="preserve">h</w:t>
            </w:r>
            <w:r>
              <w:rPr>
                <w:vertAlign w:val="subscript"/>
              </w:rPr>
              <w:t xml:space="preserve">(</w:t>
            </w:r>
            <w:r>
              <w:rPr>
                <w:iCs/>
                <w:i/>
                <w:vertAlign w:val="subscript"/>
              </w:rPr>
              <w:t xml:space="preserve">k</w:t>
            </w:r>
            <w:r>
              <w:rPr>
                <w:vertAlign w:val="subscript"/>
              </w:rPr>
              <w:t xml:space="preserve">)</w:t>
            </w:r>
          </w:p>
        </w:tc>
        <w:tc>
          <w:tcPr/>
          <w:p>
            <w:pPr>
              <w:pStyle w:val="Compact"/>
              <w:jc w:val="left"/>
            </w:pPr>
            <w:r>
              <w:t xml:space="preserve">travel time in mode</w:t>
            </w:r>
            <w:r>
              <w:t xml:space="preserve"> </w:t>
            </w:r>
            <w:r>
              <w:rPr>
                <w:iCs/>
                <w:i/>
              </w:rPr>
              <w:t xml:space="preserve">x</w:t>
            </w:r>
            <w:r>
              <w:t xml:space="preserve">; nearest suitable hospital; time to reach it; backup list</w:t>
            </w:r>
          </w:p>
        </w:tc>
      </w:tr>
      <w:tr>
        <w:trPr>
          <w:cantSplit/>
        </w:trPr>
        <w:tc>
          <w:tcPr/>
          <w:p>
            <w:pPr>
              <w:pStyle w:val="Compact"/>
              <w:jc w:val="left"/>
            </w:pPr>
            <w:r>
              <w:rPr>
                <w:iCs/>
                <w:i/>
              </w:rPr>
              <w:t xml:space="preserve">h</w:t>
            </w:r>
            <w:r>
              <w:t xml:space="preserve">°, θ</w:t>
            </w:r>
            <w:r>
              <w:rPr>
                <w:iCs/>
                <w:i/>
                <w:vertAlign w:val="subscript"/>
              </w:rPr>
              <w:t xml:space="preserve">stab</w:t>
            </w:r>
          </w:p>
        </w:tc>
        <w:tc>
          <w:tcPr/>
          <w:p>
            <w:pPr>
              <w:pStyle w:val="Compact"/>
              <w:jc w:val="left"/>
            </w:pPr>
            <w:r>
              <w:t xml:space="preserve">nearest open emergency room; margin for stabilization</w:t>
            </w:r>
          </w:p>
        </w:tc>
      </w:tr>
      <w:tr>
        <w:trPr>
          <w:cantSplit/>
        </w:trPr>
        <w:tc>
          <w:tcPr/>
          <w:p>
            <w:pPr>
              <w:pStyle w:val="Compact"/>
              <w:jc w:val="left"/>
            </w:pPr>
            <w:r>
              <w:t xml:space="preserve">Δ</w:t>
            </w:r>
            <w:r>
              <w:rPr>
                <w:iCs/>
                <w:i/>
                <w:vertAlign w:val="subscript"/>
              </w:rPr>
              <w:t xml:space="preserve">pay</w:t>
            </w:r>
            <w:r>
              <w:t xml:space="preserve">, Δ</w:t>
            </w:r>
            <w:r>
              <w:rPr>
                <w:iCs/>
                <w:i/>
                <w:vertAlign w:val="subscript"/>
              </w:rPr>
              <w:t xml:space="preserve">need</w:t>
            </w:r>
            <w:r>
              <w:t xml:space="preserve">, Δ</w:t>
            </w:r>
            <w:r>
              <w:rPr>
                <w:iCs/>
                <w:i/>
                <w:vertAlign w:val="subscript"/>
              </w:rPr>
              <w:t xml:space="preserve">mob</w:t>
            </w:r>
          </w:p>
        </w:tc>
        <w:tc>
          <w:tcPr/>
          <w:p>
            <w:pPr>
              <w:pStyle w:val="Compact"/>
              <w:jc w:val="left"/>
            </w:pPr>
            <w:r>
              <w:t xml:space="preserve">payment gap; need gap; mobility gap</w:t>
            </w:r>
          </w:p>
        </w:tc>
      </w:tr>
      <w:tr>
        <w:trPr>
          <w:cantSplit/>
        </w:trPr>
        <w:tc>
          <w:tcPr/>
          <w:p>
            <w:pPr>
              <w:pStyle w:val="Compact"/>
              <w:jc w:val="left"/>
            </w:pPr>
            <w:r>
              <w:rPr>
                <w:iCs/>
                <w:i/>
              </w:rPr>
              <w:t xml:space="preserve">B</w:t>
            </w:r>
            <w:r>
              <w:rPr>
                <w:iCs/>
                <w:i/>
                <w:vertAlign w:val="subscript"/>
              </w:rPr>
              <w:t xml:space="preserve">a</w:t>
            </w:r>
            <w:r>
              <w:t xml:space="preserve">,</w:t>
            </w:r>
            <w:r>
              <w:t xml:space="preserve"> </w:t>
            </w:r>
            <w:r>
              <w:rPr>
                <w:iCs/>
                <w:i/>
              </w:rPr>
              <w:t xml:space="preserve">B</w:t>
            </w:r>
            <w:r>
              <w:rPr>
                <w:vertAlign w:val="superscript"/>
              </w:rPr>
              <w:t xml:space="preserve">ρ</w:t>
            </w:r>
            <w:r>
              <w:rPr>
                <w:iCs/>
                <w:i/>
                <w:vertAlign w:val="subscript"/>
              </w:rPr>
              <w:t xml:space="preserve">a</w:t>
            </w:r>
          </w:p>
        </w:tc>
        <w:tc>
          <w:tcPr/>
          <w:p>
            <w:pPr>
              <w:pStyle w:val="Compact"/>
              <w:jc w:val="left"/>
            </w:pPr>
            <w:r>
              <w:t xml:space="preserve">free beds reachable; free beds reachable that payment class ρ accepts</w:t>
            </w:r>
          </w:p>
        </w:tc>
      </w:tr>
      <w:tr>
        <w:trPr>
          <w:cantSplit/>
        </w:trPr>
        <w:tc>
          <w:tcPr/>
          <w:p>
            <w:pPr>
              <w:pStyle w:val="Compact"/>
              <w:jc w:val="left"/>
            </w:pPr>
            <w:r>
              <w:rPr>
                <w:iCs/>
                <w:i/>
              </w:rPr>
              <w:t xml:space="preserve">C</w:t>
            </w:r>
            <w:r>
              <w:rPr>
                <w:iCs/>
                <w:i/>
                <w:vertAlign w:val="subscript"/>
              </w:rPr>
              <w:t xml:space="preserve">h</w:t>
            </w:r>
            <w:r>
              <w:t xml:space="preserve">(π,</w:t>
            </w:r>
            <w:r>
              <w:t xml:space="preserve"> </w:t>
            </w:r>
            <w:r>
              <w:rPr>
                <w:iCs/>
                <w:i/>
              </w:rPr>
              <w:t xml:space="preserve">t</w:t>
            </w:r>
            <w:r>
              <w:t xml:space="preserve">)</w:t>
            </w:r>
          </w:p>
        </w:tc>
        <w:tc>
          <w:tcPr/>
          <w:p>
            <w:pPr>
              <w:pStyle w:val="Compact"/>
              <w:jc w:val="left"/>
            </w:pPr>
            <w:r>
              <w:t xml:space="preserve">catchment of hospital</w:t>
            </w:r>
            <w:r>
              <w:t xml:space="preserve"> </w:t>
            </w:r>
            <w:r>
              <w:rPr>
                <w:iCs/>
                <w:i/>
              </w:rPr>
              <w:t xml:space="preserve">h</w:t>
            </w:r>
          </w:p>
        </w:tc>
      </w:tr>
      <w:tr>
        <w:trPr>
          <w:cantSplit/>
        </w:trPr>
        <w:tc>
          <w:tcPr/>
          <w:p>
            <w:pPr>
              <w:pStyle w:val="Compact"/>
              <w:jc w:val="left"/>
            </w:pPr>
            <w:r>
              <w:rPr>
                <w:iCs/>
                <w:i/>
              </w:rPr>
              <w:t xml:space="preserve">R</w:t>
            </w:r>
            <w:r>
              <w:rPr>
                <w:iCs/>
                <w:i/>
                <w:vertAlign w:val="subscript"/>
              </w:rPr>
              <w:t xml:space="preserve">h</w:t>
            </w:r>
            <w:r>
              <w:t xml:space="preserve">,</w:t>
            </w:r>
            <w:r>
              <w:t xml:space="preserve"> </w:t>
            </w:r>
            <w:r>
              <w:rPr>
                <w:iCs/>
                <w:i/>
              </w:rPr>
              <w:t xml:space="preserve">A</w:t>
            </w:r>
            <w:r>
              <w:rPr>
                <w:iCs/>
                <w:i/>
                <w:vertAlign w:val="superscript"/>
              </w:rPr>
              <w:t xml:space="preserve">F</w:t>
            </w:r>
            <w:r>
              <w:rPr>
                <w:iCs/>
                <w:i/>
                <w:vertAlign w:val="subscript"/>
              </w:rPr>
              <w:t xml:space="preserve">a</w:t>
            </w:r>
          </w:p>
        </w:tc>
        <w:tc>
          <w:tcPr/>
          <w:p>
            <w:pPr>
              <w:pStyle w:val="Compact"/>
              <w:jc w:val="left"/>
            </w:pPr>
            <w:r>
              <w:t xml:space="preserve">beds per person in the reach of</w:t>
            </w:r>
            <w:r>
              <w:t xml:space="preserve"> </w:t>
            </w:r>
            <w:r>
              <w:rPr>
                <w:iCs/>
                <w:i/>
              </w:rPr>
              <w:t xml:space="preserve">h</w:t>
            </w:r>
            <w:r>
              <w:t xml:space="preserve">; beds per person available to anchor</w:t>
            </w:r>
            <w:r>
              <w:t xml:space="preserve"> </w:t>
            </w:r>
            <w:r>
              <w:rPr>
                <w:iCs/>
                <w:i/>
              </w:rPr>
              <w:t xml:space="preserve">a</w:t>
            </w:r>
          </w:p>
        </w:tc>
      </w:tr>
      <w:tr>
        <w:trPr>
          <w:cantSplit/>
        </w:trPr>
        <w:tc>
          <w:tcPr/>
          <w:p>
            <w:pPr>
              <w:pStyle w:val="Compact"/>
              <w:jc w:val="left"/>
            </w:pPr>
            <w:r>
              <w:rPr>
                <w:iCs/>
                <w:i/>
              </w:rPr>
              <w:t xml:space="preserve">x</w:t>
            </w:r>
            <w:r>
              <w:rPr>
                <w:iCs/>
                <w:i/>
                <w:vertAlign w:val="subscript"/>
              </w:rPr>
              <w:t xml:space="preserve">ih</w:t>
            </w:r>
            <w:r>
              <w:t xml:space="preserve">,</w:t>
            </w:r>
            <w:r>
              <w:t xml:space="preserve"> </w:t>
            </w:r>
            <w:r>
              <w:rPr>
                <w:iCs/>
                <w:i/>
              </w:rPr>
              <w:t xml:space="preserve">U</w:t>
            </w:r>
            <w:r>
              <w:rPr>
                <w:iCs/>
                <w:i/>
                <w:vertAlign w:val="subscript"/>
              </w:rPr>
              <w:t xml:space="preserve">i</w:t>
            </w:r>
          </w:p>
        </w:tc>
        <w:tc>
          <w:tcPr/>
          <w:p>
            <w:pPr>
              <w:pStyle w:val="Compact"/>
              <w:jc w:val="left"/>
            </w:pPr>
            <w:r>
              <w:t xml:space="preserve">assignment of patient</w:t>
            </w:r>
            <w:r>
              <w:t xml:space="preserve"> </w:t>
            </w:r>
            <w:r>
              <w:rPr>
                <w:iCs/>
                <w:i/>
              </w:rPr>
              <w:t xml:space="preserve">i</w:t>
            </w:r>
            <w:r>
              <w:t xml:space="preserve"> </w:t>
            </w:r>
            <w:r>
              <w:t xml:space="preserve">to hospital</w:t>
            </w:r>
            <w:r>
              <w:t xml:space="preserve"> </w:t>
            </w:r>
            <w:r>
              <w:rPr>
                <w:iCs/>
                <w:i/>
              </w:rPr>
              <w:t xml:space="preserve">h</w:t>
            </w:r>
            <w:r>
              <w:t xml:space="preserve">; penalty for leaving</w:t>
            </w:r>
            <w:r>
              <w:t xml:space="preserve"> </w:t>
            </w:r>
            <w:r>
              <w:rPr>
                <w:iCs/>
                <w:i/>
              </w:rPr>
              <w:t xml:space="preserve">i</w:t>
            </w:r>
            <w:r>
              <w:t xml:space="preserve"> </w:t>
            </w:r>
            <w:r>
              <w:t xml:space="preserve">unplaced</w:t>
            </w:r>
          </w:p>
        </w:tc>
      </w:tr>
      <w:tr>
        <w:trPr>
          <w:cantSplit/>
        </w:trPr>
        <w:tc>
          <w:tcPr/>
          <w:p>
            <w:pPr>
              <w:pStyle w:val="Compact"/>
              <w:jc w:val="left"/>
            </w:pPr>
            <w:r>
              <w:rPr>
                <w:iCs/>
                <w:i/>
              </w:rPr>
              <w:t xml:space="preserve">D</w:t>
            </w:r>
            <w:r>
              <w:rPr>
                <w:iCs/>
                <w:i/>
                <w:vertAlign w:val="subscript"/>
              </w:rPr>
              <w:t xml:space="preserve">e</w:t>
            </w:r>
          </w:p>
        </w:tc>
        <w:tc>
          <w:tcPr/>
          <w:p>
            <w:pPr>
              <w:pStyle w:val="Compact"/>
              <w:jc w:val="left"/>
            </w:pPr>
            <w:r>
              <w:t xml:space="preserve">criticality of road segment</w:t>
            </w:r>
            <w:r>
              <w:t xml:space="preserve"> </w:t>
            </w:r>
            <w:r>
              <w:rPr>
                <w:iCs/>
                <w:i/>
              </w:rPr>
              <w:t xml:space="preserve">e</w:t>
            </w:r>
          </w:p>
        </w:tc>
      </w:tr>
      <w:tr>
        <w:trPr>
          <w:cantSplit/>
        </w:trPr>
        <w:tc>
          <w:tcPr/>
          <w:p>
            <w:pPr>
              <w:pStyle w:val="Compact"/>
              <w:jc w:val="left"/>
            </w:pPr>
            <w:r>
              <w:rPr>
                <w:iCs/>
                <w:i/>
              </w:rPr>
              <w:t xml:space="preserve">Q</w:t>
            </w:r>
            <w:r>
              <w:t xml:space="preserve">,</w:t>
            </w:r>
            <w:r>
              <w:t xml:space="preserve"> </w:t>
            </w:r>
            <w:r>
              <w:rPr>
                <w:iCs/>
                <w:i/>
              </w:rPr>
              <w:t xml:space="preserve">C</w:t>
            </w:r>
            <w:r>
              <w:rPr>
                <w:iCs/>
                <w:i/>
                <w:vertAlign w:val="subscript"/>
              </w:rPr>
              <w:t xml:space="preserve">j</w:t>
            </w:r>
            <w:r>
              <w:t xml:space="preserve">,</w:t>
            </w:r>
            <w:r>
              <w:t xml:space="preserve"> </w:t>
            </w:r>
            <w:r>
              <w:rPr>
                <w:iCs/>
                <w:i/>
              </w:rPr>
              <w:t xml:space="preserve">C</w:t>
            </w:r>
            <w:r>
              <w:rPr>
                <w:vertAlign w:val="subscript"/>
              </w:rPr>
              <w:t xml:space="preserve">0</w:t>
            </w:r>
            <w:r>
              <w:t xml:space="preserve">,</w:t>
            </w:r>
            <w:r>
              <w:t xml:space="preserve"> </w:t>
            </w:r>
            <w:r>
              <w:rPr>
                <w:iCs/>
                <w:i/>
              </w:rPr>
              <w:t xml:space="preserve">f</w:t>
            </w:r>
            <w:r>
              <w:t xml:space="preserve">(</w:t>
            </w:r>
            <w:r>
              <w:rPr>
                <w:iCs/>
                <w:i/>
              </w:rPr>
              <w:t xml:space="preserve">S</w:t>
            </w:r>
            <w:r>
              <w:t xml:space="preserve">)</w:t>
            </w:r>
          </w:p>
        </w:tc>
        <w:tc>
          <w:tcPr/>
          <w:p>
            <w:pPr>
              <w:pStyle w:val="Compact"/>
              <w:jc w:val="left"/>
            </w:pPr>
            <w:r>
              <w:t xml:space="preserve">candidate sites; anchors covered by site</w:t>
            </w:r>
            <w:r>
              <w:t xml:space="preserve"> </w:t>
            </w:r>
            <w:r>
              <w:rPr>
                <w:iCs/>
                <w:i/>
              </w:rPr>
              <w:t xml:space="preserve">j</w:t>
            </w:r>
            <w:r>
              <w:t xml:space="preserve">; anchors already covered; coverage gained by sites</w:t>
            </w:r>
            <w:r>
              <w:t xml:space="preserve"> </w:t>
            </w:r>
            <w:r>
              <w:rPr>
                <w:iCs/>
                <w:i/>
              </w:rPr>
              <w:t xml:space="preserve">S</w:t>
            </w:r>
          </w:p>
        </w:tc>
      </w:tr>
    </w:tbl>
    <w:p>
      <w:pPr>
        <w:pStyle w:val="BodyText"/>
        <w:spacing w:before="200"/>
      </w:pPr>
      <w:r>
        <w:rPr>
          <w:bCs/>
          <w:b/>
        </w:rPr>
        <w:t xml:space="preserve">Sources of the equations.</w:t>
      </w:r>
      <w:r>
        <w:t xml:space="preserve"> </w:t>
      </w:r>
      <w:r>
        <w:t xml:space="preserve">Equations (2) to (7) and (9) are established constructions, cited at first use, as are the Theil decomposition (27) and the bound (32) in Section 3.2. Equations (21) and (23) apply Wachs and Kumagai (1973) and Luo and Wang (2003) to anchors and free beds. All other equations, together with Definitions 1, 11, and 13 to 26, were formulated by the researchers. Service levels follow the DOH (2012) classification and acuity levels follow Gilboy et al. (2011); the way they are combined with services, bed status, cost, and mobility is this study’s own. Where a known measure was adapted, the change was confined to the index set, with anchors instead of residential zones or income earners and free beds instead of authorized beds, and the algebra was left as it was.</w:t>
      </w:r>
    </w:p>
    <w:bookmarkEnd w:id="148"/>
    <w:bookmarkEnd w:id="149"/>
    <w:bookmarkStart w:id="186" w:name="findings"/>
    <w:p>
      <w:pPr>
        <w:pStyle w:val="Heading1"/>
      </w:pPr>
      <w:r>
        <w:t xml:space="preserve">3. FINDINGS</w:t>
      </w:r>
    </w:p>
    <w:bookmarkStart w:id="150" w:name="note-on-data-sources-and-integrity"/>
    <w:p>
      <w:pPr>
        <w:pStyle w:val="Heading2"/>
      </w:pPr>
      <w:r>
        <w:t xml:space="preserve">3.0 Note on Data Sources and Integrity</w:t>
      </w:r>
    </w:p>
    <w:p>
      <w:pPr>
        <w:pStyle w:val="FirstParagraph"/>
      </w:pPr>
      <w:r>
        <w:t xml:space="preserve">Every result in this chapter comes from proof or from simulation. No hospital was contacted, and no real bed count appears anywhere in the paper. Each input is either published (in one of the sources of Appendix A), fixed by a stated rule or design value in Section 2 (the walking speeds, the change time, the acuity table, the mobility classes, and so on), or generated synthetically for testing, and the text says which in every case. The results in Sections 3.2 to 3.5 were checked against independent solutions of synthetic instances. The mail agents of Section 2.8 ran against a mock mail server, with fake messages sent from the test machine; the hospitals in those tests are not real hospitals. All routes, timetables, accessibility values, bed states, inequality values, catchments, and assignments reported here are model outputs and are labeled as such. They describe no actual transport service or health facility in Albay and must not be quoted as if they did. This applies to the worked instance S1 of Section 3.5, a seven-stop synthetic test network, and to its hospital attributes in Table 25, which were invented for demonstration.</w:t>
      </w:r>
    </w:p>
    <w:p>
      <w:pPr>
        <w:pStyle w:val="BodyText"/>
      </w:pPr>
      <w:r>
        <w:t xml:space="preserve">Two scripts produced the numbers. The original transport and hospital-mode checks (Tables 14, 15, 17, 18, 22 to 27) come from the project’s test suite and from</w:t>
      </w:r>
      <w:r>
        <w:t xml:space="preserve"> </w:t>
      </w:r>
      <w:r>
        <w:rPr>
          <w:rStyle w:val="VerbatimChar"/>
        </w:rPr>
        <w:t xml:space="preserve">verify_hospital_mode.py</w:t>
      </w:r>
      <w:r>
        <w:t xml:space="preserve">. The new checks on patient needs, catchments, surge assignment, critical roads, and site selection (Tables 16, 19, 28 to 30 and Figure 4) come from</w:t>
      </w:r>
      <w:r>
        <w:t xml:space="preserve"> </w:t>
      </w:r>
      <w:r>
        <w:rPr>
          <w:rStyle w:val="VerbatimChar"/>
        </w:rPr>
        <w:t xml:space="preserve">verify_patient_extensions.py</w:t>
      </w:r>
      <w:r>
        <w:t xml:space="preserve">, run with the fixed seed 20261013. As a cross-check, the second script recomputed Tables 22 and 27 from the published travel times of Table 21 and reproduced every value to the last decimal place shown.</w:t>
      </w:r>
    </w:p>
    <w:bookmarkEnd w:id="150"/>
    <w:bookmarkStart w:id="151" w:name="general-methods"/>
    <w:p>
      <w:pPr>
        <w:pStyle w:val="Heading2"/>
      </w:pPr>
      <w:r>
        <w:t xml:space="preserve">3.1 General Methods</w:t>
      </w:r>
    </w:p>
    <w:p>
      <w:pPr>
        <w:pStyle w:val="FirstParagraph"/>
      </w:pPr>
      <w:r>
        <w:t xml:space="preserve">The work proceeded in nine stages. Stages 1 to 5 build the transport layer, Stages 6 to 8 the hospital layer as first designed, and Stage 9 the patient-needs and planning tools added in this revision. None of them involved a manual survey or a field visit.</w:t>
      </w:r>
    </w:p>
    <w:p>
      <w:pPr>
        <w:pStyle w:val="BodyText"/>
      </w:pPr>
      <w:r>
        <w:rPr>
          <w:bCs/>
          <w:b/>
        </w:rPr>
        <w:t xml:space="preserve">Stage 1: Road network.</w:t>
      </w:r>
      <w:r>
        <w:t xml:space="preserve"> </w:t>
      </w:r>
      <w:r>
        <w:t xml:space="preserve">OpenStreetMap road data were used to build the network of Definition 2 (OpenStreetMap contributors, 2026). The model uses this geometry to generate possible routes that respect the physical limits of each vehicle class and connect the market centers and transit hubs listed in Table 4.</w:t>
      </w:r>
    </w:p>
    <w:p>
      <w:pPr>
        <w:pStyle w:val="BodyText"/>
      </w:pPr>
      <w:r>
        <w:rPr>
          <w:bCs/>
          <w:b/>
        </w:rPr>
        <w:t xml:space="preserve">Stage 2: Landmark listing and snapping.</w:t>
      </w:r>
      <w:r>
        <w:t xml:space="preserve"> </w:t>
      </w:r>
      <w:r>
        <w:t xml:space="preserve">The public registers of Table 4 supplied candidate landmarks under the criteria of Appendix C. After duplicates were removed, each landmark was snapped to the nearest road node. A landmark whose published coordinate did not match the road network was flagged and removed, never moved by hand.</w:t>
      </w:r>
    </w:p>
    <w:p>
      <w:pPr>
        <w:pStyle w:val="BodyText"/>
      </w:pPr>
      <w:r>
        <w:rPr>
          <w:bCs/>
          <w:b/>
        </w:rPr>
        <w:t xml:space="preserve">Stage 3: GTFS feed.</w:t>
      </w:r>
      <w:r>
        <w:t xml:space="preserve"> </w:t>
      </w:r>
      <w:r>
        <w:t xml:space="preserve">Stops, routes, trips, arrival times, calendar rules, fare rules, and route shapes were written into a standard GTFS feed (Appendix B). The feed had to pass the open-source GTFS Schedule validator (MobilityData, n.d.-b) with no blocking errors before the work went on.</w:t>
      </w:r>
    </w:p>
    <w:p>
      <w:pPr>
        <w:pStyle w:val="BodyText"/>
      </w:pPr>
      <w:r>
        <w:rPr>
          <w:bCs/>
          <w:b/>
        </w:rPr>
        <w:t xml:space="preserve">Stage 4: Graph and queries.</w:t>
      </w:r>
      <w:r>
        <w:t xml:space="preserve"> </w:t>
      </w:r>
      <w:r>
        <w:t xml:space="preserve">The feed and the walking links were combined into the time-expanded graph of Section 2.2. Earliest-arrival times were then computed for every origin-destination pair at every departure time on the grid of Equation (3).</w:t>
      </w:r>
    </w:p>
    <w:p>
      <w:pPr>
        <w:pStyle w:val="BodyText"/>
      </w:pPr>
      <w:r>
        <w:rPr>
          <w:bCs/>
          <w:b/>
        </w:rPr>
        <w:t xml:space="preserve">Stage 5: Accessibility and inequality.</w:t>
      </w:r>
      <w:r>
        <w:t xml:space="preserve"> </w:t>
      </w:r>
      <w:r>
        <w:t xml:space="preserve">Cumulative landmark scores were computed from the travel times, and their distributions gave the Lorenz curves, Gini coefficients, Theil indices, and Palma ratios.</w:t>
      </w:r>
    </w:p>
    <w:p>
      <w:pPr>
        <w:pStyle w:val="BodyText"/>
      </w:pPr>
      <w:r>
        <w:rPr>
          <w:bCs/>
          <w:b/>
        </w:rPr>
        <w:t xml:space="preserve">Stage 6: Hospital map.</w:t>
      </w:r>
      <w:r>
        <w:t xml:space="preserve"> </w:t>
      </w:r>
      <w:r>
        <w:t xml:space="preserve">Every hospital and infirmary received the record of Definition 13. Ownership, service level, and emergency-room presence came from the DOH registers; PhilHealth accreditation and Malasakit Center presence came from their published lists; cost classes followed Equation (11); service sets followed Equation (12); and contact addresses came from official published records (Appendix A).</w:t>
      </w:r>
    </w:p>
    <w:p>
      <w:pPr>
        <w:pStyle w:val="BodyText"/>
      </w:pPr>
      <w:r>
        <w:rPr>
          <w:bCs/>
          <w:b/>
        </w:rPr>
        <w:t xml:space="preserve">Stage 7: Live bed tracking.</w:t>
      </w:r>
      <w:r>
        <w:t xml:space="preserve"> </w:t>
      </w:r>
      <w:r>
        <w:t xml:space="preserve">The e-mail agents of Section 2.8 followed the protocol of Definition 14 and published free beds, status, and report age for each facility (Definition 15). This stage was tested only against a mock mail server (Section 3.3).</w:t>
      </w:r>
    </w:p>
    <w:p>
      <w:pPr>
        <w:pStyle w:val="BodyText"/>
      </w:pPr>
      <w:r>
        <w:rPr>
          <w:bCs/>
          <w:b/>
        </w:rPr>
        <w:t xml:space="preserve">Stage 8: Hospital mode.</w:t>
      </w:r>
      <w:r>
        <w:t xml:space="preserve"> </w:t>
      </w:r>
      <w:r>
        <w:t xml:space="preserve">The routing engine, the hospital map, and the bed table were joined into hospital mode (Algorithm 1), with the suitability rule of Definition 17, the backup list of Definition 18, and the stabilization rule of Definition 19.</w:t>
      </w:r>
    </w:p>
    <w:p>
      <w:pPr>
        <w:pStyle w:val="BodyText"/>
      </w:pPr>
      <w:r>
        <w:rPr>
          <w:bCs/>
          <w:b/>
        </w:rPr>
        <w:t xml:space="preserve">Stage 9: Patient needs and planning tools.</w:t>
      </w:r>
      <w:r>
        <w:t xml:space="preserve"> </w:t>
      </w:r>
      <w:r>
        <w:t xml:space="preserve">The patient profile was extended with required services and mobility classes (Definition 16). The gap measures, catchment maps, bed-to-population ratios, surge assignment, critical-segment analysis, and greedy site selection of Sections 2.11 to 2.13 were implemented, and each was checked against an independent reference on random instances.</w:t>
      </w:r>
    </w:p>
    <w:p>
      <w:pPr>
        <w:pStyle w:val="BodyText"/>
      </w:pPr>
      <w:r>
        <w:t xml:space="preserve">The web application that joins these parts, with its fare calculator, route directions, vehicle-restricted routing, and hospital mode, is described in Appendix D.</w:t>
      </w:r>
    </w:p>
    <w:bookmarkEnd w:id="151"/>
    <w:bookmarkStart w:id="170" w:name="theoretical-results"/>
    <w:p>
      <w:pPr>
        <w:pStyle w:val="Heading2"/>
      </w:pPr>
      <w:r>
        <w:t xml:space="preserve">3.2 Theoretical Results</w:t>
      </w:r>
    </w:p>
    <w:p>
      <w:pPr>
        <w:pStyle w:val="FirstParagraph"/>
      </w:pPr>
      <w:r>
        <w:t xml:space="preserve">The query engine must be shown correct before any accessibility figure built on it can be trusted, so the results begin there. They then move from the transport layer (Propositions 1 to 8) to the hospital layer (Propositions 9 to 18). Figure 1 shows where each result enters the pipeline.</w:t>
      </w:r>
    </w:p>
    <w:p>
      <w:pPr>
        <w:pStyle w:val="BodyText"/>
      </w:pPr>
      <w:r>
        <w:rPr>
          <w:bCs/>
          <w:b/>
        </w:rPr>
        <w:t xml:space="preserve">Proposition 1 (Query engine correctness; from Dijkstra, 1959; Pyrga et al., 2008).</w:t>
      </w:r>
      <w:r>
        <w:t xml:space="preserve"> </w:t>
      </w:r>
      <w:r>
        <w:t xml:space="preserve">Suppose Assumption 1 holds. For any origin</w:t>
      </w:r>
      <w:r>
        <w:t xml:space="preserve"> </w:t>
      </w:r>
      <w:r>
        <w:rPr>
          <w:iCs/>
          <w:i/>
        </w:rPr>
        <w:t xml:space="preserve">o</w:t>
      </w:r>
      <w:r>
        <w:t xml:space="preserve">, destination</w:t>
      </w:r>
      <w:r>
        <w:t xml:space="preserve"> </w:t>
      </w:r>
      <w:r>
        <w:rPr>
          <w:iCs/>
          <w:i/>
        </w:rPr>
        <w:t xml:space="preserve">d</w:t>
      </w:r>
      <w:r>
        <w:t xml:space="preserve">, and departure time</w:t>
      </w:r>
      <w:r>
        <w:t xml:space="preserve"> </w:t>
      </w:r>
      <w:r>
        <w:rPr>
          <w:iCs/>
          <w:i/>
        </w:rPr>
        <w:t xml:space="preserve">t</w:t>
      </w:r>
      <w:r>
        <w:rPr>
          <w:vertAlign w:val="subscript"/>
        </w:rPr>
        <w:t xml:space="preserve">0</w:t>
      </w:r>
      <w:r>
        <w:t xml:space="preserve">, a label-setting shortest-path search on the time-expanded graph</w:t>
      </w:r>
      <w:r>
        <w:t xml:space="preserve"> </w:t>
      </w:r>
      <w:r>
        <w:rPr>
          <w:iCs/>
          <w:i/>
        </w:rPr>
        <w:t xml:space="preserve">G</w:t>
      </w:r>
      <w:r>
        <w:t xml:space="preserve"> </w:t>
      </w:r>
      <w:r>
        <w:t xml:space="preserve">that uses absolute arrival time as its label and extracts vertices in nondecreasing order of label returns the exact earliest arrival τ</w:t>
      </w:r>
      <w:r>
        <w:rPr>
          <w:vertAlign w:val="superscript"/>
        </w:rPr>
        <w:t xml:space="preserve">∗</w:t>
      </w:r>
      <w:r>
        <w:t xml:space="preserve">(</w:t>
      </w:r>
      <w:r>
        <w:rPr>
          <w:iCs/>
          <w:i/>
        </w:rPr>
        <w:t xml:space="preserve">o</w:t>
      </w:r>
      <w:r>
        <w:t xml:space="preserve">,</w:t>
      </w:r>
      <w:r>
        <w:t xml:space="preserve"> </w:t>
      </w:r>
      <w:r>
        <w:rPr>
          <w:iCs/>
          <w:i/>
        </w:rPr>
        <w:t xml:space="preserve">d</w:t>
      </w:r>
      <w:r>
        <w:t xml:space="preserve">,</w:t>
      </w:r>
      <w:r>
        <w:t xml:space="preserve"> </w:t>
      </w:r>
      <w:r>
        <w:rPr>
          <w:iCs/>
          <w:i/>
        </w:rPr>
        <w:t xml:space="preserve">t</w:t>
      </w:r>
      <w:r>
        <w:rPr>
          <w:vertAlign w:val="subscript"/>
        </w:rPr>
        <w:t xml:space="preserve">0</w:t>
      </w:r>
      <w:r>
        <w:t xml:space="preserve">).</w:t>
      </w:r>
    </w:p>
    <w:p>
      <w:pPr>
        <w:pStyle w:val="BodyText"/>
      </w:pPr>
      <w:r>
        <w:rPr>
          <w:iCs/>
          <w:i/>
        </w:rPr>
        <w:t xml:space="preserve">Proof.</w:t>
      </w:r>
      <w:r>
        <w:t xml:space="preserve"> </w:t>
      </w:r>
      <w:r>
        <w:t xml:space="preserve">Weight each arc (</w:t>
      </w:r>
      <w:r>
        <w:rPr>
          <w:iCs/>
          <w:i/>
        </w:rPr>
        <w:t xml:space="preserve">u</w:t>
      </w:r>
      <w:r>
        <w:t xml:space="preserve">,</w:t>
      </w:r>
      <w:r>
        <w:t xml:space="preserve"> </w:t>
      </w:r>
      <w:r>
        <w:rPr>
          <w:iCs/>
          <w:i/>
        </w:rPr>
        <w:t xml:space="preserve">v</w:t>
      </w:r>
      <w:r>
        <w:t xml:space="preserve">) of</w:t>
      </w:r>
      <w:r>
        <w:t xml:space="preserve"> </w:t>
      </w:r>
      <w:r>
        <w:rPr>
          <w:iCs/>
          <w:i/>
        </w:rPr>
        <w:t xml:space="preserve">E</w:t>
      </w:r>
      <w:r>
        <w:t xml:space="preserve"> </w:t>
      </w:r>
      <w:r>
        <w:t xml:space="preserve">by ω(</w:t>
      </w:r>
      <w:r>
        <w:rPr>
          <w:iCs/>
          <w:i/>
        </w:rPr>
        <w:t xml:space="preserve">u</w:t>
      </w:r>
      <w:r>
        <w:t xml:space="preserve">,</w:t>
      </w:r>
      <w:r>
        <w:t xml:space="preserve"> </w:t>
      </w:r>
      <w:r>
        <w:rPr>
          <w:iCs/>
          <w:i/>
        </w:rPr>
        <w:t xml:space="preserve">v</w:t>
      </w:r>
      <w:r>
        <w:t xml:space="preserve">) =</w:t>
      </w:r>
      <w:r>
        <w:t xml:space="preserve"> </w:t>
      </w:r>
      <w:r>
        <w:rPr>
          <w:iCs/>
          <w:i/>
        </w:rPr>
        <w:t xml:space="preserve">t</w:t>
      </w:r>
      <w:r>
        <w:t xml:space="preserve">(</w:t>
      </w:r>
      <w:r>
        <w:rPr>
          <w:iCs/>
          <w:i/>
        </w:rPr>
        <w:t xml:space="preserve">v</w:t>
      </w:r>
      <w:r>
        <w:t xml:space="preserve">) −</w:t>
      </w:r>
      <w:r>
        <w:t xml:space="preserve"> </w:t>
      </w:r>
      <w:r>
        <w:rPr>
          <w:iCs/>
          <w:i/>
        </w:rPr>
        <w:t xml:space="preserve">t</w:t>
      </w:r>
      <w:r>
        <w:t xml:space="preserve">(</w:t>
      </w:r>
      <w:r>
        <w:rPr>
          <w:iCs/>
          <w:i/>
        </w:rPr>
        <w:t xml:space="preserve">u</w:t>
      </w:r>
      <w:r>
        <w:t xml:space="preserve">); under Assumption 1 every such weight is nonnegative. Along any path π that leaves the source (</w:t>
      </w:r>
      <w:r>
        <w:rPr>
          <w:iCs/>
          <w:i/>
        </w:rPr>
        <w:t xml:space="preserve">o</w:t>
      </w:r>
      <w:r>
        <w:t xml:space="preserve">,</w:t>
      </w:r>
      <w:r>
        <w:t xml:space="preserve"> </w:t>
      </w:r>
      <w:r>
        <w:rPr>
          <w:iCs/>
          <w:i/>
        </w:rPr>
        <w:t xml:space="preserve">t</w:t>
      </w:r>
      <w:r>
        <w:rPr>
          <w:vertAlign w:val="subscript"/>
        </w:rPr>
        <w:t xml:space="preserve">0</w:t>
      </w:r>
      <w:r>
        <w:t xml:space="preserve">) and ends at (</w:t>
      </w:r>
      <w:r>
        <w:rPr>
          <w:iCs/>
          <w:i/>
        </w:rPr>
        <w:t xml:space="preserve">d</w:t>
      </w:r>
      <w:r>
        <w:t xml:space="preserve">,</w:t>
      </w:r>
      <w:r>
        <w:t xml:space="preserve"> </w:t>
      </w:r>
      <w:r>
        <w:rPr>
          <w:iCs/>
          <w:i/>
        </w:rPr>
        <w:t xml:space="preserve">t</w:t>
      </w:r>
      <w:r>
        <w:t xml:space="preserve">), the weights telescope to Σ</w:t>
      </w:r>
      <w:r>
        <w:rPr>
          <w:vertAlign w:val="subscript"/>
        </w:rPr>
        <w:t xml:space="preserve">(</w:t>
      </w:r>
      <w:r>
        <w:rPr>
          <w:iCs/>
          <w:i/>
          <w:vertAlign w:val="subscript"/>
        </w:rPr>
        <w:t xml:space="preserve">u</w:t>
      </w:r>
      <w:r>
        <w:rPr>
          <w:vertAlign w:val="subscript"/>
        </w:rPr>
        <w:t xml:space="preserve">,</w:t>
      </w:r>
      <w:r>
        <w:rPr>
          <w:iCs/>
          <w:i/>
          <w:vertAlign w:val="subscript"/>
        </w:rPr>
        <w:t xml:space="preserve">v</w:t>
      </w:r>
      <w:r>
        <w:rPr>
          <w:vertAlign w:val="subscript"/>
        </w:rPr>
        <w:t xml:space="preserve">) ∈ π</w:t>
      </w:r>
      <w:r>
        <w:t xml:space="preserve"> </w:t>
      </w:r>
      <w:r>
        <w:t xml:space="preserve">ω(</w:t>
      </w:r>
      <w:r>
        <w:rPr>
          <w:iCs/>
          <w:i/>
        </w:rPr>
        <w:t xml:space="preserve">u</w:t>
      </w:r>
      <w:r>
        <w:t xml:space="preserve">,</w:t>
      </w:r>
      <w:r>
        <w:t xml:space="preserve"> </w:t>
      </w:r>
      <w:r>
        <w:rPr>
          <w:iCs/>
          <w:i/>
        </w:rPr>
        <w:t xml:space="preserve">v</w:t>
      </w:r>
      <w:r>
        <w:t xml:space="preserve">) =</w:t>
      </w:r>
      <w:r>
        <w:t xml:space="preserve"> </w:t>
      </w:r>
      <w:r>
        <w:rPr>
          <w:iCs/>
          <w:i/>
        </w:rPr>
        <w:t xml:space="preserve">t</w:t>
      </w:r>
      <w:r>
        <w:t xml:space="preserve"> </w:t>
      </w:r>
      <w:r>
        <w:t xml:space="preserve">−</w:t>
      </w:r>
      <w:r>
        <w:t xml:space="preserve"> </w:t>
      </w:r>
      <w:r>
        <w:rPr>
          <w:iCs/>
          <w:i/>
        </w:rPr>
        <w:t xml:space="preserve">t</w:t>
      </w:r>
      <w:r>
        <w:rPr>
          <w:vertAlign w:val="subscript"/>
        </w:rPr>
        <w:t xml:space="preserve">0</w:t>
      </w:r>
      <w:r>
        <w:t xml:space="preserve">, so a path has minimum weight exactly when it arrives earliest. By the way</w:t>
      </w:r>
      <w:r>
        <w:t xml:space="preserve"> </w:t>
      </w:r>
      <w:r>
        <w:rPr>
          <w:iCs/>
          <w:i/>
        </w:rPr>
        <w:t xml:space="preserve">E</w:t>
      </w:r>
      <w:r>
        <w:t xml:space="preserve"> </w:t>
      </w:r>
      <w:r>
        <w:t xml:space="preserve">is built, paths in</w:t>
      </w:r>
      <w:r>
        <w:t xml:space="preserve"> </w:t>
      </w:r>
      <w:r>
        <w:rPr>
          <w:iCs/>
          <w:i/>
        </w:rPr>
        <w:t xml:space="preserve">G</w:t>
      </w:r>
      <w:r>
        <w:t xml:space="preserve"> </w:t>
      </w:r>
      <w:r>
        <w:t xml:space="preserve">and feasible journeys are the same objects: a ride arc never lets the rider off between two consecutive stops, a change of trip always passes through a transfer arc costing θ</w:t>
      </w:r>
      <w:r>
        <w:rPr>
          <w:iCs/>
          <w:i/>
          <w:vertAlign w:val="subscript"/>
        </w:rPr>
        <w:t xml:space="preserve">ch</w:t>
      </w:r>
      <w:r>
        <w:t xml:space="preserve">, a wait arc lets the rider stay put, and no walk arc is longer than</w:t>
      </w:r>
      <w:r>
        <w:t xml:space="preserve"> </w:t>
      </w:r>
      <w:r>
        <w:rPr>
          <w:iCs/>
          <w:i/>
        </w:rPr>
        <w:t xml:space="preserve">t̄</w:t>
      </w:r>
      <w:r>
        <w:rPr>
          <w:iCs/>
          <w:i/>
          <w:vertAlign w:val="subscript"/>
        </w:rPr>
        <w:t xml:space="preserve">W</w:t>
      </w:r>
      <w:r>
        <w:t xml:space="preserve">. A minimum-weight path is therefore a feasible journey with the earliest possible arrival. Nonnegative weights make Dijkstra’s (1959) algorithm label-setting (Cormen et al., 2022). Whenever the vertex with the smallest tentative label is taken from the queue, nothing still queued carries a smaller label, and since no arc weight is negative, no path found later can improve it. Each label is final once its vertex is removed, and the first vertex removed at stop</w:t>
      </w:r>
      <w:r>
        <w:t xml:space="preserve"> </w:t>
      </w:r>
      <w:r>
        <w:rPr>
          <w:iCs/>
          <w:i/>
        </w:rPr>
        <w:t xml:space="preserve">d</w:t>
      </w:r>
      <w:r>
        <w:t xml:space="preserve"> </w:t>
      </w:r>
      <w:r>
        <w:t xml:space="preserve">carries the label τ</w:t>
      </w:r>
      <w:r>
        <w:rPr>
          <w:vertAlign w:val="superscript"/>
        </w:rPr>
        <w:t xml:space="preserve">∗</w:t>
      </w:r>
      <w:r>
        <w:t xml:space="preserve">(</w:t>
      </w:r>
      <w:r>
        <w:rPr>
          <w:iCs/>
          <w:i/>
        </w:rPr>
        <w:t xml:space="preserve">o</w:t>
      </w:r>
      <w:r>
        <w:t xml:space="preserve">,</w:t>
      </w:r>
      <w:r>
        <w:t xml:space="preserve"> </w:t>
      </w:r>
      <w:r>
        <w:rPr>
          <w:iCs/>
          <w:i/>
        </w:rPr>
        <w:t xml:space="preserve">d</w:t>
      </w:r>
      <w:r>
        <w:t xml:space="preserve">,</w:t>
      </w:r>
      <w:r>
        <w:t xml:space="preserve"> </w:t>
      </w:r>
      <w:r>
        <w:rPr>
          <w:iCs/>
          <w:i/>
        </w:rPr>
        <w:t xml:space="preserve">t</w:t>
      </w:r>
      <w:r>
        <w:rPr>
          <w:vertAlign w:val="subscript"/>
        </w:rPr>
        <w:t xml:space="preserve">0</w:t>
      </w:r>
      <w:r>
        <w:t xml:space="preserve">). □</w:t>
      </w:r>
    </w:p>
    <w:p>
      <w:pPr>
        <w:pStyle w:val="BodyText"/>
      </w:pPr>
      <w:r>
        <w:rPr>
          <w:bCs/>
          <w:b/>
        </w:rPr>
        <w:t xml:space="preserve">Remark 1 (Why the vertex set must be event-based).</w:t>
      </w:r>
      <w:r>
        <w:t xml:space="preserve"> </w:t>
      </w:r>
      <w:r>
        <w:t xml:space="preserve">Proposition 1 depends on the event-based vertices of Definition 5, one for each departure and each arrival. A common shortcut keeps a single label per stop, and that breaks the result. Suppose a passenger can reach stop</w:t>
      </w:r>
      <w:r>
        <w:t xml:space="preserve"> </w:t>
      </w:r>
      <w:r>
        <w:rPr>
          <w:iCs/>
          <w:i/>
        </w:rPr>
        <w:t xml:space="preserve">s</w:t>
      </w:r>
      <w:r>
        <w:t xml:space="preserve"> </w:t>
      </w:r>
      <w:r>
        <w:t xml:space="preserve">either on trip X at 07:20 or on trip Y at 07:22, and trip Y leaves</w:t>
      </w:r>
      <w:r>
        <w:t xml:space="preserve"> </w:t>
      </w:r>
      <w:r>
        <w:rPr>
          <w:iCs/>
          <w:i/>
        </w:rPr>
        <w:t xml:space="preserve">s</w:t>
      </w:r>
      <w:r>
        <w:t xml:space="preserve"> </w:t>
      </w:r>
      <w:r>
        <w:t xml:space="preserve">again at 07:23. With one label per stop, only the 07:20 arrival survives. From it, boarding trip Y counts as a transfer costing θ</w:t>
      </w:r>
      <w:r>
        <w:rPr>
          <w:iCs/>
          <w:i/>
          <w:vertAlign w:val="subscript"/>
        </w:rPr>
        <w:t xml:space="preserve">ch</w:t>
      </w:r>
      <w:r>
        <w:t xml:space="preserve"> </w:t>
      </w:r>
      <w:r>
        <w:t xml:space="preserve">= 4 min, so the earliest boarding is 07:24 and the 07:23 departure is missed. The discarded 07:22 arrival, in contrast, simply stays seated on trip Y and arrives first. Section 3.5 measures how often this error occurs.</w:t>
      </w:r>
    </w:p>
    <w:p>
      <w:pPr>
        <w:pStyle w:val="BodyText"/>
      </w:pPr>
      <w:r>
        <w:rPr>
          <w:bCs/>
          <w:b/>
        </w:rPr>
        <w:t xml:space="preserve">Proposition 2 (Computational complexity; Cormen et al., 2022).</w:t>
      </w:r>
      <w:r>
        <w:t xml:space="preserve"> </w:t>
      </w:r>
      <w:r>
        <w:t xml:space="preserve">Let |</w:t>
      </w:r>
      <w:r>
        <w:rPr>
          <w:iCs/>
          <w:i/>
        </w:rPr>
        <w:t xml:space="preserve">S</w:t>
      </w:r>
      <w:r>
        <w:t xml:space="preserve">| be the number of stops, |</w:t>
      </w:r>
      <w:r>
        <w:rPr>
          <w:iCs/>
          <w:i/>
        </w:rPr>
        <w:t xml:space="preserve">C</w:t>
      </w:r>
      <w:r>
        <w:t xml:space="preserve">| the number of connections, and</w:t>
      </w:r>
      <w:r>
        <w:t xml:space="preserve"> </w:t>
      </w:r>
      <w:r>
        <w:rPr>
          <w:iCs/>
          <w:i/>
        </w:rPr>
        <w:t xml:space="preserve">f̄</w:t>
      </w:r>
      <w:r>
        <w:t xml:space="preserve"> </w:t>
      </w:r>
      <w:r>
        <w:t xml:space="preserve">the mean number of footpaths per stop. Then |</w:t>
      </w:r>
      <w:r>
        <w:rPr>
          <w:iCs/>
          <w:i/>
        </w:rPr>
        <w:t xml:space="preserve">V</w:t>
      </w:r>
      <w:r>
        <w:t xml:space="preserve">| =</w:t>
      </w:r>
      <w:r>
        <w:t xml:space="preserve"> </w:t>
      </w:r>
      <w:r>
        <w:rPr>
          <w:iCs/>
          <w:i/>
        </w:rPr>
        <w:t xml:space="preserve">O</w:t>
      </w:r>
      <w:r>
        <w:t xml:space="preserve">(|</w:t>
      </w:r>
      <w:r>
        <w:rPr>
          <w:iCs/>
          <w:i/>
        </w:rPr>
        <w:t xml:space="preserve">C</w:t>
      </w:r>
      <w:r>
        <w:t xml:space="preserve">| + |</w:t>
      </w:r>
      <w:r>
        <w:rPr>
          <w:iCs/>
          <w:i/>
        </w:rPr>
        <w:t xml:space="preserve">S</w:t>
      </w:r>
      <w:r>
        <w:t xml:space="preserve">|) and |</w:t>
      </w:r>
      <w:r>
        <w:rPr>
          <w:iCs/>
          <w:i/>
        </w:rPr>
        <w:t xml:space="preserve">E</w:t>
      </w:r>
      <w:r>
        <w:t xml:space="preserve">| =</w:t>
      </w:r>
      <w:r>
        <w:t xml:space="preserve"> </w:t>
      </w:r>
      <w:r>
        <w:rPr>
          <w:iCs/>
          <w:i/>
        </w:rPr>
        <w:t xml:space="preserve">O</w:t>
      </w:r>
      <w:r>
        <w:t xml:space="preserve">((1 +</w:t>
      </w:r>
      <w:r>
        <w:t xml:space="preserve"> </w:t>
      </w:r>
      <w:r>
        <w:rPr>
          <w:iCs/>
          <w:i/>
        </w:rPr>
        <w:t xml:space="preserve">f̄</w:t>
      </w:r>
      <w:r>
        <w:t xml:space="preserve">)|</w:t>
      </w:r>
      <w:r>
        <w:rPr>
          <w:iCs/>
          <w:i/>
        </w:rPr>
        <w:t xml:space="preserve">C</w:t>
      </w:r>
      <w:r>
        <w:t xml:space="preserve">| + |</w:t>
      </w:r>
      <w:r>
        <w:rPr>
          <w:iCs/>
          <w:i/>
        </w:rPr>
        <w:t xml:space="preserve">S</w:t>
      </w:r>
      <w:r>
        <w:t xml:space="preserve">|). The search of Proposition 1 runs in</w:t>
      </w:r>
      <w:r>
        <w:t xml:space="preserve"> </w:t>
      </w:r>
      <w:r>
        <w:rPr>
          <w:iCs/>
          <w:i/>
        </w:rPr>
        <w:t xml:space="preserve">O</w:t>
      </w:r>
      <w:r>
        <w:t xml:space="preserve">(|</w:t>
      </w:r>
      <w:r>
        <w:rPr>
          <w:iCs/>
          <w:i/>
        </w:rPr>
        <w:t xml:space="preserve">E</w:t>
      </w:r>
      <w:r>
        <w:t xml:space="preserve">| log |</w:t>
      </w:r>
      <w:r>
        <w:rPr>
          <w:iCs/>
          <w:i/>
        </w:rPr>
        <w:t xml:space="preserve">V</w:t>
      </w:r>
      <w:r>
        <w:t xml:space="preserve">|) per query with a binary heap. If every arc duration is strictly positive,</w:t>
      </w:r>
      <w:r>
        <w:t xml:space="preserve"> </w:t>
      </w:r>
      <w:r>
        <w:rPr>
          <w:iCs/>
          <w:i/>
        </w:rPr>
        <w:t xml:space="preserve">G</w:t>
      </w:r>
      <w:r>
        <w:t xml:space="preserve"> </w:t>
      </w:r>
      <w:r>
        <w:t xml:space="preserve">is acyclic and the same query can be answered in</w:t>
      </w:r>
      <w:r>
        <w:t xml:space="preserve"> </w:t>
      </w:r>
      <w:r>
        <w:rPr>
          <w:iCs/>
          <w:i/>
        </w:rPr>
        <w:t xml:space="preserve">O</w:t>
      </w:r>
      <w:r>
        <w:t xml:space="preserve">(|</w:t>
      </w:r>
      <w:r>
        <w:rPr>
          <w:iCs/>
          <w:i/>
        </w:rPr>
        <w:t xml:space="preserve">V</w:t>
      </w:r>
      <w:r>
        <w:t xml:space="preserve">| + |</w:t>
      </w:r>
      <w:r>
        <w:rPr>
          <w:iCs/>
          <w:i/>
        </w:rPr>
        <w:t xml:space="preserve">E</w:t>
      </w:r>
      <w:r>
        <w:t xml:space="preserve">|) by a scan in topological order.</w:t>
      </w:r>
    </w:p>
    <w:p>
      <w:pPr>
        <w:pStyle w:val="BodyText"/>
      </w:pPr>
      <w:r>
        <w:rPr>
          <w:iCs/>
          <w:i/>
        </w:rPr>
        <w:t xml:space="preserve">Proof.</w:t>
      </w:r>
      <w:r>
        <w:t xml:space="preserve"> </w:t>
      </w:r>
      <w:r>
        <w:t xml:space="preserve">Each connection contributes one departure vertex, one arrival vertex, and one ride arc. Wait arcs form a chain through the events at each stop, so they add</w:t>
      </w:r>
      <w:r>
        <w:t xml:space="preserve"> </w:t>
      </w:r>
      <w:r>
        <w:rPr>
          <w:iCs/>
          <w:i/>
        </w:rPr>
        <w:t xml:space="preserve">O</w:t>
      </w:r>
      <w:r>
        <w:t xml:space="preserve">(1) arcs per event. Transfer and walk arcs add</w:t>
      </w:r>
      <w:r>
        <w:t xml:space="preserve"> </w:t>
      </w:r>
      <w:r>
        <w:rPr>
          <w:iCs/>
          <w:i/>
        </w:rPr>
        <w:t xml:space="preserve">O</w:t>
      </w:r>
      <w:r>
        <w:t xml:space="preserve">(1 +</w:t>
      </w:r>
      <w:r>
        <w:t xml:space="preserve"> </w:t>
      </w:r>
      <w:r>
        <w:rPr>
          <w:iCs/>
          <w:i/>
        </w:rPr>
        <w:t xml:space="preserve">f̄</w:t>
      </w:r>
      <w:r>
        <w:t xml:space="preserve">) arcs per arrival event. The heap bound is the standard bound for Dijkstra’s algorithm with nonnegative weights. In the acyclic case, every arc strictly increases the time coordinate, so no directed cycle exists, and relaxing the arcs in topological order visits each arc once. □</w:t>
      </w:r>
    </w:p>
    <w:p>
      <w:pPr>
        <w:pStyle w:val="BodyText"/>
      </w:pPr>
      <w:r>
        <w:rPr>
          <w:bCs/>
          <w:b/>
        </w:rPr>
        <w:t xml:space="preserve">Proposition 3 (Nested vehicle limits and monotone reachability).</w:t>
      </w:r>
      <w:r>
        <w:t xml:space="preserve"> </w:t>
      </w:r>
      <w:r>
        <w:t xml:space="preserve">If γ ≤ γ′, then</w:t>
      </w:r>
      <w:r>
        <w:t xml:space="preserve"> </w:t>
      </w:r>
      <w:r>
        <w:rPr>
          <w:iCs/>
          <w:i/>
        </w:rPr>
        <w:t xml:space="preserve">E</w:t>
      </w:r>
      <w:r>
        <w:rPr>
          <w:vertAlign w:val="subscript"/>
        </w:rPr>
        <w:t xml:space="preserve">γ′</w:t>
      </w:r>
      <w:r>
        <w:t xml:space="preserve"> </w:t>
      </w:r>
      <w:r>
        <w:t xml:space="preserve">⊆</w:t>
      </w:r>
      <w:r>
        <w:t xml:space="preserve"> </w:t>
      </w:r>
      <w:r>
        <w:rPr>
          <w:iCs/>
          <w:i/>
        </w:rPr>
        <w:t xml:space="preserve">E</w:t>
      </w:r>
      <w:r>
        <w:rPr>
          <w:vertAlign w:val="subscript"/>
        </w:rPr>
        <w:t xml:space="preserve">γ</w:t>
      </w:r>
      <w:r>
        <w:t xml:space="preserve">, and the shortest-path times satisfy</w:t>
      </w:r>
      <w:r>
        <w:t xml:space="preserve"> </w:t>
      </w:r>
      <w:r>
        <w:rPr>
          <w:iCs/>
          <w:i/>
        </w:rPr>
        <w:t xml:space="preserve">d</w:t>
      </w:r>
      <w:r>
        <w:rPr>
          <w:vertAlign w:val="subscript"/>
        </w:rPr>
        <w:t xml:space="preserve">γ</w:t>
      </w:r>
      <w:r>
        <w:t xml:space="preserve">(</w:t>
      </w:r>
      <w:r>
        <w:rPr>
          <w:iCs/>
          <w:i/>
        </w:rPr>
        <w:t xml:space="preserve">u</w:t>
      </w:r>
      <w:r>
        <w:t xml:space="preserve">,</w:t>
      </w:r>
      <w:r>
        <w:t xml:space="preserve"> </w:t>
      </w:r>
      <w:r>
        <w:rPr>
          <w:iCs/>
          <w:i/>
        </w:rPr>
        <w:t xml:space="preserve">v</w:t>
      </w:r>
      <w:r>
        <w:t xml:space="preserve">) ≤</w:t>
      </w:r>
      <w:r>
        <w:t xml:space="preserve"> </w:t>
      </w:r>
      <w:r>
        <w:rPr>
          <w:iCs/>
          <w:i/>
        </w:rPr>
        <w:t xml:space="preserve">d</w:t>
      </w:r>
      <w:r>
        <w:rPr>
          <w:vertAlign w:val="subscript"/>
        </w:rPr>
        <w:t xml:space="preserve">γ′</w:t>
      </w:r>
      <w:r>
        <w:t xml:space="preserve">(</w:t>
      </w:r>
      <w:r>
        <w:rPr>
          <w:iCs/>
          <w:i/>
        </w:rPr>
        <w:t xml:space="preserve">u</w:t>
      </w:r>
      <w:r>
        <w:t xml:space="preserve">,</w:t>
      </w:r>
      <w:r>
        <w:t xml:space="preserve"> </w:t>
      </w:r>
      <w:r>
        <w:rPr>
          <w:iCs/>
          <w:i/>
        </w:rPr>
        <w:t xml:space="preserve">v</w:t>
      </w:r>
      <w:r>
        <w:t xml:space="preserve">) for all</w:t>
      </w:r>
      <w:r>
        <w:t xml:space="preserve"> </w:t>
      </w:r>
      <w:r>
        <w:rPr>
          <w:iCs/>
          <w:i/>
        </w:rPr>
        <w:t xml:space="preserve">u</w:t>
      </w:r>
      <w:r>
        <w:t xml:space="preserve">,</w:t>
      </w:r>
      <w:r>
        <w:t xml:space="preserve"> </w:t>
      </w:r>
      <w:r>
        <w:rPr>
          <w:iCs/>
          <w:i/>
        </w:rPr>
        <w:t xml:space="preserve">v</w:t>
      </w:r>
      <w:r>
        <w:t xml:space="preserve"> </w:t>
      </w:r>
      <w:r>
        <w:t xml:space="preserve">∈</w:t>
      </w:r>
      <w:r>
        <w:t xml:space="preserve"> </w:t>
      </w:r>
      <w:r>
        <w:rPr>
          <w:iCs/>
          <w:i/>
        </w:rPr>
        <w:t xml:space="preserve">V</w:t>
      </w:r>
      <w:r>
        <w:rPr>
          <w:iCs/>
          <w:i/>
          <w:vertAlign w:val="subscript"/>
        </w:rPr>
        <w:t xml:space="preserve">R</w:t>
      </w:r>
      <w:r>
        <w:t xml:space="preserve">. Every vertex reachable for γ′ is reachable for γ.</w:t>
      </w:r>
    </w:p>
    <w:p>
      <w:pPr>
        <w:pStyle w:val="BodyText"/>
      </w:pPr>
      <w:r>
        <w:rPr>
          <w:iCs/>
          <w:i/>
        </w:rPr>
        <w:t xml:space="preserve">Proof.</w:t>
      </w:r>
      <w:r>
        <w:t xml:space="preserve"> </w:t>
      </w:r>
      <w:r>
        <w:t xml:space="preserve">Take any arc</w:t>
      </w:r>
      <w:r>
        <w:t xml:space="preserve"> </w:t>
      </w:r>
      <w:r>
        <w:rPr>
          <w:iCs/>
          <w:i/>
        </w:rPr>
        <w:t xml:space="preserve">e</w:t>
      </w:r>
      <w:r>
        <w:t xml:space="preserve"> </w:t>
      </w:r>
      <w:r>
        <w:t xml:space="preserve">∈</w:t>
      </w:r>
      <w:r>
        <w:t xml:space="preserve"> </w:t>
      </w:r>
      <w:r>
        <w:rPr>
          <w:iCs/>
          <w:i/>
        </w:rPr>
        <w:t xml:space="preserve">E</w:t>
      </w:r>
      <w:r>
        <w:rPr>
          <w:vertAlign w:val="subscript"/>
        </w:rPr>
        <w:t xml:space="preserve">γ′</w:t>
      </w:r>
      <w:r>
        <w:t xml:space="preserve">. For each component</w:t>
      </w:r>
      <w:r>
        <w:t xml:space="preserve"> </w:t>
      </w:r>
      <w:r>
        <w:rPr>
          <w:iCs/>
          <w:i/>
        </w:rPr>
        <w:t xml:space="preserve">i</w:t>
      </w:r>
      <w:r>
        <w:t xml:space="preserve">,</w:t>
      </w:r>
      <w:r>
        <w:t xml:space="preserve"> </w:t>
      </w:r>
      <w:r>
        <w:rPr>
          <w:iCs/>
          <w:i/>
        </w:rPr>
        <w:t xml:space="preserve">a</w:t>
      </w:r>
      <w:r>
        <w:rPr>
          <w:iCs/>
          <w:i/>
          <w:vertAlign w:val="superscript"/>
        </w:rPr>
        <w:t xml:space="preserve">i</w:t>
      </w:r>
      <w:r>
        <w:rPr>
          <w:iCs/>
          <w:i/>
          <w:vertAlign w:val="subscript"/>
        </w:rPr>
        <w:t xml:space="preserve">e</w:t>
      </w:r>
      <w:r>
        <w:t xml:space="preserve"> </w:t>
      </w:r>
      <w:r>
        <w:t xml:space="preserve">≥ γ′</w:t>
      </w:r>
      <w:r>
        <w:rPr>
          <w:iCs/>
          <w:i/>
          <w:vertAlign w:val="superscript"/>
        </w:rPr>
        <w:t xml:space="preserve">i</w:t>
      </w:r>
      <w:r>
        <w:t xml:space="preserve"> </w:t>
      </w:r>
      <w:r>
        <w:t xml:space="preserve">≥ γ</w:t>
      </w:r>
      <w:r>
        <w:rPr>
          <w:iCs/>
          <w:i/>
          <w:vertAlign w:val="superscript"/>
        </w:rPr>
        <w:t xml:space="preserve">i</w:t>
      </w:r>
      <w:r>
        <w:t xml:space="preserve">, so</w:t>
      </w:r>
      <w:r>
        <w:t xml:space="preserve"> </w:t>
      </w:r>
      <w:r>
        <w:rPr>
          <w:iCs/>
          <w:i/>
        </w:rPr>
        <w:t xml:space="preserve">e</w:t>
      </w:r>
      <w:r>
        <w:t xml:space="preserve"> </w:t>
      </w:r>
      <w:r>
        <w:t xml:space="preserve">∈</w:t>
      </w:r>
      <w:r>
        <w:t xml:space="preserve"> </w:t>
      </w:r>
      <w:r>
        <w:rPr>
          <w:iCs/>
          <w:i/>
        </w:rPr>
        <w:t xml:space="preserve">E</w:t>
      </w:r>
      <w:r>
        <w:rPr>
          <w:vertAlign w:val="subscript"/>
        </w:rPr>
        <w:t xml:space="preserve">γ</w:t>
      </w:r>
      <w:r>
        <w:t xml:space="preserve"> </w:t>
      </w:r>
      <w:r>
        <w:t xml:space="preserve">and therefore</w:t>
      </w:r>
      <w:r>
        <w:t xml:space="preserve"> </w:t>
      </w:r>
      <w:r>
        <w:rPr>
          <w:iCs/>
          <w:i/>
        </w:rPr>
        <w:t xml:space="preserve">E</w:t>
      </w:r>
      <w:r>
        <w:rPr>
          <w:vertAlign w:val="subscript"/>
        </w:rPr>
        <w:t xml:space="preserve">γ′</w:t>
      </w:r>
      <w:r>
        <w:t xml:space="preserve"> </w:t>
      </w:r>
      <w:r>
        <w:t xml:space="preserve">⊆</w:t>
      </w:r>
      <w:r>
        <w:t xml:space="preserve"> </w:t>
      </w:r>
      <w:r>
        <w:rPr>
          <w:iCs/>
          <w:i/>
        </w:rPr>
        <w:t xml:space="preserve">E</w:t>
      </w:r>
      <w:r>
        <w:rPr>
          <w:vertAlign w:val="subscript"/>
        </w:rPr>
        <w:t xml:space="preserve">γ</w:t>
      </w:r>
      <w:r>
        <w:t xml:space="preserve">. Every path of</w:t>
      </w:r>
      <w:r>
        <w:t xml:space="preserve"> </w:t>
      </w:r>
      <w:r>
        <w:rPr>
          <w:iCs/>
          <w:i/>
        </w:rPr>
        <w:t xml:space="preserve">G</w:t>
      </w:r>
      <w:r>
        <w:rPr>
          <w:vertAlign w:val="subscript"/>
        </w:rPr>
        <w:t xml:space="preserve">γ′</w:t>
      </w:r>
      <w:r>
        <w:t xml:space="preserve"> </w:t>
      </w:r>
      <w:r>
        <w:t xml:space="preserve">uses only arcs of</w:t>
      </w:r>
      <w:r>
        <w:t xml:space="preserve"> </w:t>
      </w:r>
      <w:r>
        <w:rPr>
          <w:iCs/>
          <w:i/>
        </w:rPr>
        <w:t xml:space="preserve">E</w:t>
      </w:r>
      <w:r>
        <w:rPr>
          <w:vertAlign w:val="subscript"/>
        </w:rPr>
        <w:t xml:space="preserve">γ′</w:t>
      </w:r>
      <w:r>
        <w:t xml:space="preserve">, so it is also a path of</w:t>
      </w:r>
      <w:r>
        <w:t xml:space="preserve"> </w:t>
      </w:r>
      <w:r>
        <w:rPr>
          <w:iCs/>
          <w:i/>
        </w:rPr>
        <w:t xml:space="preserve">G</w:t>
      </w:r>
      <w:r>
        <w:rPr>
          <w:vertAlign w:val="subscript"/>
        </w:rPr>
        <w:t xml:space="preserve">γ</w:t>
      </w:r>
      <w:r>
        <w:t xml:space="preserve">. A minimum over a set of paths cannot exceed the minimum over a subset of it, which gives the distance inequality, and comparing finite path lengths gives the reachability claim. The argument needs only nonnegative arc weights, so it holds for the travel-time weights ℓ</w:t>
      </w:r>
      <w:r>
        <w:rPr>
          <w:iCs/>
          <w:i/>
          <w:vertAlign w:val="subscript"/>
        </w:rPr>
        <w:t xml:space="preserve">e</w:t>
      </w:r>
      <w:r>
        <w:t xml:space="preserve"> </w:t>
      </w:r>
      <w:r>
        <w:t xml:space="preserve">/</w:t>
      </w:r>
      <w:r>
        <w:t xml:space="preserve"> </w:t>
      </w:r>
      <w:r>
        <w:rPr>
          <w:iCs/>
          <w:i/>
        </w:rPr>
        <w:t xml:space="preserve">v</w:t>
      </w:r>
      <w:r>
        <w:rPr>
          <w:iCs/>
          <w:i/>
          <w:vertAlign w:val="subscript"/>
        </w:rPr>
        <w:t xml:space="preserve">e</w:t>
      </w:r>
      <w:r>
        <w:t xml:space="preserve">. □</w:t>
      </w:r>
    </w:p>
    <w:p>
      <w:pPr>
        <w:pStyle w:val="BodyText"/>
      </w:pPr>
      <w:r>
        <w:rPr>
          <w:bCs/>
          <w:b/>
        </w:rPr>
        <w:t xml:space="preserve">Corollary 4 (Vehicle-class accessibility ordering).</w:t>
      </w:r>
      <w:r>
        <w:t xml:space="preserve"> </w:t>
      </w:r>
      <w:r>
        <w:t xml:space="preserve">For every anchor</w:t>
      </w:r>
      <w:r>
        <w:t xml:space="preserve"> </w:t>
      </w:r>
      <w:r>
        <w:rPr>
          <w:iCs/>
          <w:i/>
        </w:rPr>
        <w:t xml:space="preserve">a</w:t>
      </w:r>
      <w:r>
        <w:t xml:space="preserve">, category</w:t>
      </w:r>
      <w:r>
        <w:t xml:space="preserve"> </w:t>
      </w:r>
      <w:r>
        <w:rPr>
          <w:iCs/>
          <w:i/>
        </w:rPr>
        <w:t xml:space="preserve">k</w:t>
      </w:r>
      <w:r>
        <w:t xml:space="preserve">, and budget θ, if γ ≤ γ′ then</w:t>
      </w:r>
      <w:r>
        <w:t xml:space="preserve"> </w:t>
      </w:r>
      <w:r>
        <w:rPr>
          <w:iCs/>
          <w:i/>
        </w:rPr>
        <w:t xml:space="preserve">A</w:t>
      </w:r>
      <w:r>
        <w:rPr>
          <w:iCs/>
          <w:i/>
          <w:vertAlign w:val="superscript"/>
        </w:rPr>
        <w:t xml:space="preserve">k</w:t>
      </w:r>
      <w:r>
        <w:rPr>
          <w:iCs/>
          <w:i/>
          <w:vertAlign w:val="subscript"/>
        </w:rPr>
        <w:t xml:space="preserve">a</w:t>
      </w:r>
      <w:r>
        <w:rPr>
          <w:vertAlign w:val="subscript"/>
        </w:rPr>
        <w:t xml:space="preserve">,γ</w:t>
      </w:r>
      <w:r>
        <w:t xml:space="preserve">(θ) ≥</w:t>
      </w:r>
      <w:r>
        <w:t xml:space="preserve"> </w:t>
      </w:r>
      <w:r>
        <w:rPr>
          <w:iCs/>
          <w:i/>
        </w:rPr>
        <w:t xml:space="preserve">A</w:t>
      </w:r>
      <w:r>
        <w:rPr>
          <w:iCs/>
          <w:i/>
          <w:vertAlign w:val="superscript"/>
        </w:rPr>
        <w:t xml:space="preserve">k</w:t>
      </w:r>
      <w:r>
        <w:rPr>
          <w:iCs/>
          <w:i/>
          <w:vertAlign w:val="subscript"/>
        </w:rPr>
        <w:t xml:space="preserve">a</w:t>
      </w:r>
      <w:r>
        <w:rPr>
          <w:vertAlign w:val="subscript"/>
        </w:rPr>
        <w:t xml:space="preserve">,γ′</w:t>
      </w:r>
      <w:r>
        <w:t xml:space="preserve">(θ). A larger vehicle class never has more access than a smaller one.</w:t>
      </w:r>
    </w:p>
    <w:p>
      <w:pPr>
        <w:pStyle w:val="BodyText"/>
      </w:pPr>
      <w:r>
        <w:rPr>
          <w:iCs/>
          <w:i/>
        </w:rPr>
        <w:t xml:space="preserve">Proof.</w:t>
      </w:r>
      <w:r>
        <w:t xml:space="preserve"> </w:t>
      </w:r>
      <w:r>
        <w:t xml:space="preserve">With travel times as weights, Proposition 3 makes every travel time under γ′ at least the matching time under γ. The indicator</w:t>
      </w:r>
      <w:r>
        <w:t xml:space="preserve"> </w:t>
      </w:r>
      <w:r>
        <w:rPr>
          <w:bCs/>
          <w:b/>
        </w:rPr>
        <w:t xml:space="preserve">1</w:t>
      </w:r>
      <w:r>
        <w:t xml:space="preserve">[</w:t>
      </w:r>
      <w:r>
        <w:rPr>
          <w:iCs/>
          <w:i/>
        </w:rPr>
        <w:t xml:space="preserve">T̄</w:t>
      </w:r>
      <w:r>
        <w:t xml:space="preserve"> </w:t>
      </w:r>
      <w:r>
        <w:t xml:space="preserve">≤ θ] does not increase as</w:t>
      </w:r>
      <w:r>
        <w:t xml:space="preserve"> </w:t>
      </w:r>
      <w:r>
        <w:rPr>
          <w:iCs/>
          <w:i/>
        </w:rPr>
        <w:t xml:space="preserve">T̄</w:t>
      </w:r>
      <w:r>
        <w:t xml:space="preserve"> </w:t>
      </w:r>
      <w:r>
        <w:t xml:space="preserve">grows, and a weighted sum with nonnegative weights</w:t>
      </w:r>
      <w:r>
        <w:t xml:space="preserve"> </w:t>
      </w:r>
      <w:r>
        <w:rPr>
          <w:iCs/>
          <w:i/>
        </w:rPr>
        <w:t xml:space="preserve">w</w:t>
      </w:r>
      <w:r>
        <w:rPr>
          <w:iCs/>
          <w:i/>
          <w:vertAlign w:val="subscript"/>
        </w:rPr>
        <w:t xml:space="preserve">p</w:t>
      </w:r>
      <w:r>
        <w:t xml:space="preserve"> </w:t>
      </w:r>
      <w:r>
        <w:t xml:space="preserve">inherits that property. □</w:t>
      </w:r>
    </w:p>
    <w:p>
      <w:pPr>
        <w:pStyle w:val="BodyText"/>
      </w:pPr>
      <w:r>
        <w:rPr>
          <w:bCs/>
          <w:b/>
        </w:rPr>
        <w:t xml:space="preserve">Remark 2 (Preprocessing many vehicle classes).</w:t>
      </w:r>
      <w:r>
        <w:t xml:space="preserve"> </w:t>
      </w:r>
      <w:r>
        <w:t xml:space="preserve">Corollary 4 also makes multi-class routing cheap. The classes form a partially ordered set, not a single chain; the tricycle needs more clearance than the sedan, while the sedan needs more width. Preprocessing can therefore follow a linear extension of the order, larger classes first. When class γ follows a comparable class γ′ with</w:t>
      </w:r>
      <w:r>
        <w:t xml:space="preserve"> </w:t>
      </w:r>
      <w:r>
        <w:rPr>
          <w:iCs/>
          <w:i/>
        </w:rPr>
        <w:t xml:space="preserve">E</w:t>
      </w:r>
      <w:r>
        <w:rPr>
          <w:vertAlign w:val="subscript"/>
        </w:rPr>
        <w:t xml:space="preserve">γ′</w:t>
      </w:r>
      <w:r>
        <w:t xml:space="preserve"> </w:t>
      </w:r>
      <w:r>
        <w:t xml:space="preserve">⊆</w:t>
      </w:r>
      <w:r>
        <w:t xml:space="preserve"> </w:t>
      </w:r>
      <w:r>
        <w:rPr>
          <w:iCs/>
          <w:i/>
        </w:rPr>
        <w:t xml:space="preserve">E</w:t>
      </w:r>
      <w:r>
        <w:rPr>
          <w:vertAlign w:val="subscript"/>
        </w:rPr>
        <w:t xml:space="preserve">γ</w:t>
      </w:r>
      <w:r>
        <w:t xml:space="preserve">, the search for γ can start from the reachable set of γ′ and check only the extra arcs</w:t>
      </w:r>
      <w:r>
        <w:t xml:space="preserve"> </w:t>
      </w:r>
      <w:r>
        <w:rPr>
          <w:iCs/>
          <w:i/>
        </w:rPr>
        <w:t xml:space="preserve">E</w:t>
      </w:r>
      <w:r>
        <w:rPr>
          <w:vertAlign w:val="subscript"/>
        </w:rPr>
        <w:t xml:space="preserve">γ</w:t>
      </w:r>
      <w:r>
        <w:t xml:space="preserve"> </w:t>
      </w:r>
      <w:r>
        <w:t xml:space="preserve">∖</w:t>
      </w:r>
      <w:r>
        <w:t xml:space="preserve"> </w:t>
      </w:r>
      <w:r>
        <w:rPr>
          <w:iCs/>
          <w:i/>
        </w:rPr>
        <w:t xml:space="preserve">E</w:t>
      </w:r>
      <w:r>
        <w:rPr>
          <w:vertAlign w:val="subscript"/>
        </w:rPr>
        <w:t xml:space="preserve">γ′</w:t>
      </w:r>
      <w:r>
        <w:t xml:space="preserve">. Along the chain ten-wheel truck, six-wheel truck, four-wheel truck, jeepney, ambulance, sport utility vehicle, pedestrian, this reduces to one scan. Incomparable classes, such as the sedan and the tricycle or the provincial bus and the ten-wheel truck, are handled separately.</w:t>
      </w:r>
    </w:p>
    <w:p>
      <w:pPr>
        <w:pStyle w:val="BodyText"/>
      </w:pPr>
      <w:r>
        <w:rPr>
          <w:bCs/>
          <w:b/>
        </w:rPr>
        <w:t xml:space="preserve">Proposition 5 (Standard properties of the access Gini coefficient; Cowell, 2011).</w:t>
      </w:r>
      <w:r>
        <w:t xml:space="preserve"> </w:t>
      </w:r>
      <w:r>
        <w:t xml:space="preserve">Let</w:t>
      </w:r>
      <w:r>
        <w:t xml:space="preserve"> </w:t>
      </w:r>
      <w:r>
        <w:rPr>
          <w:iCs/>
          <w:i/>
        </w:rPr>
        <w:t xml:space="preserve">A</w:t>
      </w:r>
      <w:r>
        <w:rPr>
          <w:iCs/>
          <w:i/>
          <w:vertAlign w:val="subscript"/>
        </w:rPr>
        <w:t xml:space="preserve">a</w:t>
      </w:r>
      <w:r>
        <w:t xml:space="preserve"> </w:t>
      </w:r>
      <w:r>
        <w:t xml:space="preserve">≥ 0 for every anchor, with weights</w:t>
      </w:r>
      <w:r>
        <w:t xml:space="preserve"> </w:t>
      </w:r>
      <w:r>
        <w:rPr>
          <w:iCs/>
          <w:i/>
        </w:rPr>
        <w:t xml:space="preserve">P</w:t>
      </w:r>
      <w:r>
        <w:rPr>
          <w:iCs/>
          <w:i/>
          <w:vertAlign w:val="subscript"/>
        </w:rPr>
        <w:t xml:space="preserve">a</w:t>
      </w:r>
      <w:r>
        <w:t xml:space="preserve"> </w:t>
      </w:r>
      <w:r>
        <w:t xml:space="preserve">&gt; 0 and weighted mean μ &gt; 0. Then (i) 0 ≤</w:t>
      </w:r>
      <w:r>
        <w:t xml:space="preserve"> </w:t>
      </w:r>
      <w:r>
        <w:rPr>
          <w:iCs/>
          <w:i/>
        </w:rPr>
        <w:t xml:space="preserve">G</w:t>
      </w:r>
      <w:r>
        <w:t xml:space="preserve">(</w:t>
      </w:r>
      <w:r>
        <w:rPr>
          <w:iCs/>
          <w:i/>
        </w:rPr>
        <w:t xml:space="preserve">A</w:t>
      </w:r>
      <w:r>
        <w:t xml:space="preserve">,</w:t>
      </w:r>
      <w:r>
        <w:t xml:space="preserve"> </w:t>
      </w:r>
      <w:r>
        <w:rPr>
          <w:iCs/>
          <w:i/>
        </w:rPr>
        <w:t xml:space="preserve">P</w:t>
      </w:r>
      <w:r>
        <w:t xml:space="preserve">) ≤ 1; (ii)</w:t>
      </w:r>
      <w:r>
        <w:t xml:space="preserve"> </w:t>
      </w:r>
      <w:r>
        <w:rPr>
          <w:iCs/>
          <w:i/>
        </w:rPr>
        <w:t xml:space="preserve">G</w:t>
      </w:r>
      <w:r>
        <w:t xml:space="preserve">(λ</w:t>
      </w:r>
      <w:r>
        <w:t xml:space="preserve"> </w:t>
      </w:r>
      <w:r>
        <w:rPr>
          <w:iCs/>
          <w:i/>
        </w:rPr>
        <w:t xml:space="preserve">A</w:t>
      </w:r>
      <w:r>
        <w:t xml:space="preserve">,</w:t>
      </w:r>
      <w:r>
        <w:t xml:space="preserve"> </w:t>
      </w:r>
      <w:r>
        <w:rPr>
          <w:iCs/>
          <w:i/>
        </w:rPr>
        <w:t xml:space="preserve">P</w:t>
      </w:r>
      <w:r>
        <w:t xml:space="preserve">) =</w:t>
      </w:r>
      <w:r>
        <w:t xml:space="preserve"> </w:t>
      </w:r>
      <w:r>
        <w:rPr>
          <w:iCs/>
          <w:i/>
        </w:rPr>
        <w:t xml:space="preserve">G</w:t>
      </w:r>
      <w:r>
        <w:t xml:space="preserve">(</w:t>
      </w:r>
      <w:r>
        <w:rPr>
          <w:iCs/>
          <w:i/>
        </w:rPr>
        <w:t xml:space="preserve">A</w:t>
      </w:r>
      <w:r>
        <w:t xml:space="preserve">,</w:t>
      </w:r>
      <w:r>
        <w:t xml:space="preserve"> </w:t>
      </w:r>
      <w:r>
        <w:rPr>
          <w:iCs/>
          <w:i/>
        </w:rPr>
        <w:t xml:space="preserve">P</w:t>
      </w:r>
      <w:r>
        <w:t xml:space="preserve">) for every λ &gt; 0; and (iii)</w:t>
      </w:r>
      <w:r>
        <w:t xml:space="preserve"> </w:t>
      </w:r>
      <w:r>
        <w:rPr>
          <w:iCs/>
          <w:i/>
        </w:rPr>
        <w:t xml:space="preserve">G</w:t>
      </w:r>
      <w:r>
        <w:t xml:space="preserve">(</w:t>
      </w:r>
      <w:r>
        <w:rPr>
          <w:iCs/>
          <w:i/>
        </w:rPr>
        <w:t xml:space="preserve">A</w:t>
      </w:r>
      <w:r>
        <w:t xml:space="preserve"> </w:t>
      </w:r>
      <w:r>
        <w:t xml:space="preserve">+</w:t>
      </w:r>
      <w:r>
        <w:t xml:space="preserve"> </w:t>
      </w:r>
      <w:r>
        <w:rPr>
          <w:iCs/>
          <w:i/>
        </w:rPr>
        <w:t xml:space="preserve">c</w:t>
      </w:r>
      <w:r>
        <w:t xml:space="preserve"> </w:t>
      </w:r>
      <w:r>
        <w:rPr>
          <w:bCs/>
          <w:b/>
        </w:rPr>
        <w:t xml:space="preserve">1</w:t>
      </w:r>
      <w:r>
        <w:t xml:space="preserve">,</w:t>
      </w:r>
      <w:r>
        <w:t xml:space="preserve"> </w:t>
      </w:r>
      <w:r>
        <w:rPr>
          <w:iCs/>
          <w:i/>
        </w:rPr>
        <w:t xml:space="preserve">P</w:t>
      </w:r>
      <w:r>
        <w:t xml:space="preserve">) &lt;</w:t>
      </w:r>
      <w:r>
        <w:t xml:space="preserve"> </w:t>
      </w:r>
      <w:r>
        <w:rPr>
          <w:iCs/>
          <w:i/>
        </w:rPr>
        <w:t xml:space="preserve">G</w:t>
      </w:r>
      <w:r>
        <w:t xml:space="preserve">(</w:t>
      </w:r>
      <w:r>
        <w:rPr>
          <w:iCs/>
          <w:i/>
        </w:rPr>
        <w:t xml:space="preserve">A</w:t>
      </w:r>
      <w:r>
        <w:t xml:space="preserve">,</w:t>
      </w:r>
      <w:r>
        <w:t xml:space="preserve"> </w:t>
      </w:r>
      <w:r>
        <w:rPr>
          <w:iCs/>
          <w:i/>
        </w:rPr>
        <w:t xml:space="preserve">P</w:t>
      </w:r>
      <w:r>
        <w:t xml:space="preserve">) for every</w:t>
      </w:r>
      <w:r>
        <w:t xml:space="preserve"> </w:t>
      </w:r>
      <w:r>
        <w:rPr>
          <w:iCs/>
          <w:i/>
        </w:rPr>
        <w:t xml:space="preserve">c</w:t>
      </w:r>
      <w:r>
        <w:t xml:space="preserve"> </w:t>
      </w:r>
      <w:r>
        <w:t xml:space="preserve">&gt; 0 whenever</w:t>
      </w:r>
      <w:r>
        <w:t xml:space="preserve"> </w:t>
      </w:r>
      <w:r>
        <w:rPr>
          <w:iCs/>
          <w:i/>
        </w:rPr>
        <w:t xml:space="preserve">G</w:t>
      </w:r>
      <w:r>
        <w:t xml:space="preserve">(</w:t>
      </w:r>
      <w:r>
        <w:rPr>
          <w:iCs/>
          <w:i/>
        </w:rPr>
        <w:t xml:space="preserve">A</w:t>
      </w:r>
      <w:r>
        <w:t xml:space="preserve">,</w:t>
      </w:r>
      <w:r>
        <w:t xml:space="preserve"> </w:t>
      </w:r>
      <w:r>
        <w:rPr>
          <w:iCs/>
          <w:i/>
        </w:rPr>
        <w:t xml:space="preserve">P</w:t>
      </w:r>
      <w:r>
        <w:t xml:space="preserve">) &gt; 0.</w:t>
      </w:r>
    </w:p>
    <w:p>
      <w:pPr>
        <w:pStyle w:val="BodyText"/>
      </w:pPr>
      <w:r>
        <w:rPr>
          <w:iCs/>
          <w:i/>
        </w:rPr>
        <w:t xml:space="preserve">Proof.</w:t>
      </w:r>
      <w:r>
        <w:t xml:space="preserve"> </w:t>
      </w:r>
      <w:r>
        <w:t xml:space="preserve">(i) Every term of the numerator is nonnegative, so</w:t>
      </w:r>
      <w:r>
        <w:t xml:space="preserve"> </w:t>
      </w:r>
      <w:r>
        <w:rPr>
          <w:iCs/>
          <w:i/>
        </w:rPr>
        <w:t xml:space="preserve">G</w:t>
      </w:r>
      <w:r>
        <w:t xml:space="preserve"> </w:t>
      </w:r>
      <w:r>
        <w:t xml:space="preserve">≥ 0. Since</w:t>
      </w:r>
      <w:r>
        <w:t xml:space="preserve"> </w:t>
      </w:r>
      <w:r>
        <w:rPr>
          <w:iCs/>
          <w:i/>
        </w:rPr>
        <w:t xml:space="preserve">A</w:t>
      </w:r>
      <w:r>
        <w:rPr>
          <w:iCs/>
          <w:i/>
          <w:vertAlign w:val="subscript"/>
        </w:rPr>
        <w:t xml:space="preserve">a</w:t>
      </w:r>
      <w:r>
        <w:t xml:space="preserve"> </w:t>
      </w:r>
      <w:r>
        <w:t xml:space="preserve">≥ 0, |</w:t>
      </w:r>
      <w:r>
        <w:t xml:space="preserve"> </w:t>
      </w:r>
      <w:r>
        <w:rPr>
          <w:iCs/>
          <w:i/>
        </w:rPr>
        <w:t xml:space="preserve">A</w:t>
      </w:r>
      <w:r>
        <w:rPr>
          <w:iCs/>
          <w:i/>
          <w:vertAlign w:val="subscript"/>
        </w:rPr>
        <w:t xml:space="preserve">i</w:t>
      </w:r>
      <w:r>
        <w:t xml:space="preserve"> </w:t>
      </w:r>
      <w:r>
        <w:t xml:space="preserve">−</w:t>
      </w:r>
      <w:r>
        <w:t xml:space="preserve"> </w:t>
      </w:r>
      <w:r>
        <w:rPr>
          <w:iCs/>
          <w:i/>
        </w:rPr>
        <w:t xml:space="preserve">A</w:t>
      </w:r>
      <w:r>
        <w:rPr>
          <w:iCs/>
          <w:i/>
          <w:vertAlign w:val="subscript"/>
        </w:rPr>
        <w:t xml:space="preserve">j</w:t>
      </w:r>
      <w:r>
        <w:t xml:space="preserve"> </w:t>
      </w:r>
      <w:r>
        <w:t xml:space="preserve">| ≤</w:t>
      </w:r>
      <w:r>
        <w:t xml:space="preserve"> </w:t>
      </w:r>
      <w:r>
        <w:rPr>
          <w:iCs/>
          <w:i/>
        </w:rPr>
        <w:t xml:space="preserve">A</w:t>
      </w:r>
      <w:r>
        <w:rPr>
          <w:iCs/>
          <w:i/>
          <w:vertAlign w:val="subscript"/>
        </w:rPr>
        <w:t xml:space="preserve">i</w:t>
      </w:r>
      <w:r>
        <w:t xml:space="preserve"> </w:t>
      </w:r>
      <w:r>
        <w:t xml:space="preserve">+</w:t>
      </w:r>
      <w:r>
        <w:t xml:space="preserve"> </w:t>
      </w:r>
      <w:r>
        <w:rPr>
          <w:iCs/>
          <w:i/>
        </w:rPr>
        <w:t xml:space="preserve">A</w:t>
      </w:r>
      <w:r>
        <w:rPr>
          <w:iCs/>
          <w:i/>
          <w:vertAlign w:val="subscript"/>
        </w:rPr>
        <w:t xml:space="preserve">j</w:t>
      </w:r>
      <w:r>
        <w:t xml:space="preserve">, hence Σ</w:t>
      </w:r>
      <w:r>
        <w:rPr>
          <w:iCs/>
          <w:i/>
          <w:vertAlign w:val="subscript"/>
        </w:rPr>
        <w:t xml:space="preserve">i</w:t>
      </w:r>
      <w:r>
        <w:t xml:space="preserve"> </w:t>
      </w:r>
      <w:r>
        <w:t xml:space="preserve">Σ</w:t>
      </w:r>
      <w:r>
        <w:rPr>
          <w:iCs/>
          <w:i/>
          <w:vertAlign w:val="subscript"/>
        </w:rPr>
        <w:t xml:space="preserve">j</w:t>
      </w:r>
      <w:r>
        <w:t xml:space="preserve"> </w:t>
      </w:r>
      <w:r>
        <w:rPr>
          <w:iCs/>
          <w:i/>
        </w:rPr>
        <w:t xml:space="preserve">P</w:t>
      </w:r>
      <w:r>
        <w:rPr>
          <w:iCs/>
          <w:i/>
          <w:vertAlign w:val="subscript"/>
        </w:rPr>
        <w:t xml:space="preserve">i</w:t>
      </w:r>
      <w:r>
        <w:t xml:space="preserve"> </w:t>
      </w:r>
      <w:r>
        <w:rPr>
          <w:iCs/>
          <w:i/>
        </w:rPr>
        <w:t xml:space="preserve">P</w:t>
      </w:r>
      <w:r>
        <w:rPr>
          <w:iCs/>
          <w:i/>
          <w:vertAlign w:val="subscript"/>
        </w:rPr>
        <w:t xml:space="preserve">j</w:t>
      </w:r>
      <w:r>
        <w:t xml:space="preserve"> </w:t>
      </w:r>
      <w:r>
        <w:t xml:space="preserve">|</w:t>
      </w:r>
      <w:r>
        <w:t xml:space="preserve"> </w:t>
      </w:r>
      <w:r>
        <w:rPr>
          <w:iCs/>
          <w:i/>
        </w:rPr>
        <w:t xml:space="preserve">A</w:t>
      </w:r>
      <w:r>
        <w:rPr>
          <w:iCs/>
          <w:i/>
          <w:vertAlign w:val="subscript"/>
        </w:rPr>
        <w:t xml:space="preserve">i</w:t>
      </w:r>
      <w:r>
        <w:t xml:space="preserve"> </w:t>
      </w:r>
      <w:r>
        <w:t xml:space="preserve">−</w:t>
      </w:r>
      <w:r>
        <w:t xml:space="preserve"> </w:t>
      </w:r>
      <w:r>
        <w:rPr>
          <w:iCs/>
          <w:i/>
        </w:rPr>
        <w:t xml:space="preserve">A</w:t>
      </w:r>
      <w:r>
        <w:rPr>
          <w:iCs/>
          <w:i/>
          <w:vertAlign w:val="subscript"/>
        </w:rPr>
        <w:t xml:space="preserve">j</w:t>
      </w:r>
      <w:r>
        <w:t xml:space="preserve"> </w:t>
      </w:r>
      <w:r>
        <w:t xml:space="preserve">| ≤ Σ</w:t>
      </w:r>
      <w:r>
        <w:rPr>
          <w:iCs/>
          <w:i/>
          <w:vertAlign w:val="subscript"/>
        </w:rPr>
        <w:t xml:space="preserve">i</w:t>
      </w:r>
      <w:r>
        <w:t xml:space="preserve"> </w:t>
      </w:r>
      <w:r>
        <w:t xml:space="preserve">Σ</w:t>
      </w:r>
      <w:r>
        <w:rPr>
          <w:iCs/>
          <w:i/>
          <w:vertAlign w:val="subscript"/>
        </w:rPr>
        <w:t xml:space="preserve">j</w:t>
      </w:r>
      <w:r>
        <w:t xml:space="preserve"> </w:t>
      </w:r>
      <w:r>
        <w:rPr>
          <w:iCs/>
          <w:i/>
        </w:rPr>
        <w:t xml:space="preserve">P</w:t>
      </w:r>
      <w:r>
        <w:rPr>
          <w:iCs/>
          <w:i/>
          <w:vertAlign w:val="subscript"/>
        </w:rPr>
        <w:t xml:space="preserve">i</w:t>
      </w:r>
      <w:r>
        <w:t xml:space="preserve"> </w:t>
      </w:r>
      <w:r>
        <w:rPr>
          <w:iCs/>
          <w:i/>
        </w:rPr>
        <w:t xml:space="preserve">P</w:t>
      </w:r>
      <w:r>
        <w:rPr>
          <w:iCs/>
          <w:i/>
          <w:vertAlign w:val="subscript"/>
        </w:rPr>
        <w:t xml:space="preserve">j</w:t>
      </w:r>
      <w:r>
        <w:t xml:space="preserve"> </w:t>
      </w:r>
      <w:r>
        <w:t xml:space="preserve">(</w:t>
      </w:r>
      <w:r>
        <w:rPr>
          <w:iCs/>
          <w:i/>
        </w:rPr>
        <w:t xml:space="preserve">A</w:t>
      </w:r>
      <w:r>
        <w:rPr>
          <w:iCs/>
          <w:i/>
          <w:vertAlign w:val="subscript"/>
        </w:rPr>
        <w:t xml:space="preserve">i</w:t>
      </w:r>
      <w:r>
        <w:t xml:space="preserve"> </w:t>
      </w:r>
      <w:r>
        <w:t xml:space="preserve">+</w:t>
      </w:r>
      <w:r>
        <w:t xml:space="preserve"> </w:t>
      </w:r>
      <w:r>
        <w:rPr>
          <w:iCs/>
          <w:i/>
        </w:rPr>
        <w:t xml:space="preserve">A</w:t>
      </w:r>
      <w:r>
        <w:rPr>
          <w:iCs/>
          <w:i/>
          <w:vertAlign w:val="subscript"/>
        </w:rPr>
        <w:t xml:space="preserve">j</w:t>
      </w:r>
      <w:r>
        <w:t xml:space="preserve">) = 2</w:t>
      </w:r>
      <w:r>
        <w:rPr>
          <w:iCs/>
          <w:i/>
        </w:rPr>
        <w:t xml:space="preserve">W</w:t>
      </w:r>
      <w:r>
        <w:t xml:space="preserve"> </w:t>
      </w:r>
      <w:r>
        <w:t xml:space="preserve">Σ</w:t>
      </w:r>
      <w:r>
        <w:rPr>
          <w:iCs/>
          <w:i/>
          <w:vertAlign w:val="subscript"/>
        </w:rPr>
        <w:t xml:space="preserve">i</w:t>
      </w:r>
      <w:r>
        <w:t xml:space="preserve"> </w:t>
      </w:r>
      <w:r>
        <w:rPr>
          <w:iCs/>
          <w:i/>
        </w:rPr>
        <w:t xml:space="preserve">P</w:t>
      </w:r>
      <w:r>
        <w:rPr>
          <w:iCs/>
          <w:i/>
          <w:vertAlign w:val="subscript"/>
        </w:rPr>
        <w:t xml:space="preserve">i</w:t>
      </w:r>
      <w:r>
        <w:t xml:space="preserve"> </w:t>
      </w:r>
      <w:r>
        <w:rPr>
          <w:iCs/>
          <w:i/>
        </w:rPr>
        <w:t xml:space="preserve">A</w:t>
      </w:r>
      <w:r>
        <w:rPr>
          <w:iCs/>
          <w:i/>
          <w:vertAlign w:val="subscript"/>
        </w:rPr>
        <w:t xml:space="preserve">i</w:t>
      </w:r>
      <w:r>
        <w:t xml:space="preserve"> </w:t>
      </w:r>
      <w:r>
        <w:t xml:space="preserve">= 2</w:t>
      </w:r>
      <w:r>
        <w:rPr>
          <w:iCs/>
          <w:i/>
        </w:rPr>
        <w:t xml:space="preserve">W</w:t>
      </w:r>
      <w:r>
        <w:rPr>
          <w:vertAlign w:val="superscript"/>
        </w:rPr>
        <w:t xml:space="preserve">2</w:t>
      </w:r>
      <w:r>
        <w:t xml:space="preserve"> </w:t>
      </w:r>
      <w:r>
        <w:t xml:space="preserve">μ, and dividing by 2</w:t>
      </w:r>
      <w:r>
        <w:rPr>
          <w:iCs/>
          <w:i/>
        </w:rPr>
        <w:t xml:space="preserve">W</w:t>
      </w:r>
      <w:r>
        <w:rPr>
          <w:vertAlign w:val="superscript"/>
        </w:rPr>
        <w:t xml:space="preserve">2</w:t>
      </w:r>
      <w:r>
        <w:t xml:space="preserve">μ gives</w:t>
      </w:r>
      <w:r>
        <w:t xml:space="preserve"> </w:t>
      </w:r>
      <w:r>
        <w:rPr>
          <w:iCs/>
          <w:i/>
        </w:rPr>
        <w:t xml:space="preserve">G</w:t>
      </w:r>
      <w:r>
        <w:t xml:space="preserve"> </w:t>
      </w:r>
      <w:r>
        <w:t xml:space="preserve">≤ 1. (ii) Multiplying</w:t>
      </w:r>
      <w:r>
        <w:t xml:space="preserve"> </w:t>
      </w:r>
      <w:r>
        <w:rPr>
          <w:iCs/>
          <w:i/>
        </w:rPr>
        <w:t xml:space="preserve">A</w:t>
      </w:r>
      <w:r>
        <w:t xml:space="preserve"> </w:t>
      </w:r>
      <w:r>
        <w:t xml:space="preserve">by λ multiplies every difference and the mean by λ, and the factors cancel. (iii) Adding</w:t>
      </w:r>
      <w:r>
        <w:t xml:space="preserve"> </w:t>
      </w:r>
      <w:r>
        <w:rPr>
          <w:iCs/>
          <w:i/>
        </w:rPr>
        <w:t xml:space="preserve">c</w:t>
      </w:r>
      <w:r>
        <w:t xml:space="preserve"> </w:t>
      </w:r>
      <w:r>
        <w:t xml:space="preserve">to every score leaves every pairwise difference unchanged and raises the mean from μ to μ +</w:t>
      </w:r>
      <w:r>
        <w:t xml:space="preserve"> </w:t>
      </w:r>
      <w:r>
        <w:rPr>
          <w:iCs/>
          <w:i/>
        </w:rPr>
        <w:t xml:space="preserve">c</w:t>
      </w:r>
      <w:r>
        <w:t xml:space="preserve">, so a positive</w:t>
      </w:r>
      <w:r>
        <w:t xml:space="preserve"> </w:t>
      </w:r>
      <w:r>
        <w:rPr>
          <w:iCs/>
          <w:i/>
        </w:rPr>
        <w:t xml:space="preserve">G</w:t>
      </w:r>
      <w:r>
        <w:t xml:space="preserve"> </w:t>
      </w:r>
      <w:r>
        <w:t xml:space="preserve">strictly falls. □</w:t>
      </w:r>
    </w:p>
    <w:p>
      <w:pPr>
        <w:pStyle w:val="BodyText"/>
      </w:pPr>
      <w:r>
        <w:rPr>
          <w:bCs/>
          <w:b/>
        </w:rPr>
        <w:t xml:space="preserve">Remark 3 (What the Gini properties mean for planners).</w:t>
      </w:r>
      <w:r>
        <w:t xml:space="preserve"> </w:t>
      </w:r>
      <w:r>
        <w:t xml:space="preserve">Property (ii) allows Gini values to be compared across destination types measured in different units, such as beds and classrooms, because the units cancel. Property (iii) gives a plain policy reading: an equal absolute increase in access for every anchor lowers measured inequality.</w:t>
      </w:r>
    </w:p>
    <w:p>
      <w:pPr>
        <w:pStyle w:val="BodyText"/>
      </w:pPr>
      <w:r>
        <w:rPr>
          <w:bCs/>
          <w:b/>
        </w:rPr>
        <w:t xml:space="preserve">Proposition 6 (Exact decomposition of the Theil index; Theil, 1967; Shorrocks, 1980).</w:t>
      </w:r>
      <w:r>
        <w:t xml:space="preserve"> </w:t>
      </w:r>
      <w:r>
        <w:t xml:space="preserve">Partition the anchors into groups</w:t>
      </w:r>
      <w:r>
        <w:t xml:space="preserve"> </w:t>
      </w:r>
      <w:r>
        <w:rPr>
          <w:iCs/>
          <w:i/>
        </w:rPr>
        <w:t xml:space="preserve">g</w:t>
      </w:r>
      <w:r>
        <w:t xml:space="preserve"> </w:t>
      </w:r>
      <w:r>
        <w:t xml:space="preserve">(here, municipalities). Let</w:t>
      </w:r>
      <w:r>
        <w:t xml:space="preserve"> </w:t>
      </w:r>
      <w:r>
        <w:rPr>
          <w:iCs/>
          <w:i/>
        </w:rPr>
        <w:t xml:space="preserve">W</w:t>
      </w:r>
      <w:r>
        <w:rPr>
          <w:iCs/>
          <w:i/>
          <w:vertAlign w:val="subscript"/>
        </w:rPr>
        <w:t xml:space="preserve">g</w:t>
      </w:r>
      <w:r>
        <w:t xml:space="preserve"> </w:t>
      </w:r>
      <w:r>
        <w:t xml:space="preserve">= Σ</w:t>
      </w:r>
      <w:r>
        <w:rPr>
          <w:iCs/>
          <w:i/>
          <w:vertAlign w:val="subscript"/>
        </w:rPr>
        <w:t xml:space="preserve">a</w:t>
      </w:r>
      <w:r>
        <w:rPr>
          <w:vertAlign w:val="subscript"/>
        </w:rPr>
        <w:t xml:space="preserve"> ∈ </w:t>
      </w:r>
      <w:r>
        <w:rPr>
          <w:iCs/>
          <w:i/>
          <w:vertAlign w:val="subscript"/>
        </w:rPr>
        <w:t xml:space="preserve">g</w:t>
      </w:r>
      <w:r>
        <w:t xml:space="preserve"> </w:t>
      </w:r>
      <w:r>
        <w:rPr>
          <w:iCs/>
          <w:i/>
        </w:rPr>
        <w:t xml:space="preserve">P</w:t>
      </w:r>
      <w:r>
        <w:rPr>
          <w:iCs/>
          <w:i/>
          <w:vertAlign w:val="subscript"/>
        </w:rPr>
        <w:t xml:space="preserve">a</w:t>
      </w:r>
      <w:r>
        <w:t xml:space="preserve">, let μ</w:t>
      </w:r>
      <w:r>
        <w:rPr>
          <w:iCs/>
          <w:i/>
          <w:vertAlign w:val="subscript"/>
        </w:rPr>
        <w:t xml:space="preserve">g</w:t>
      </w:r>
      <w:r>
        <w:t xml:space="preserve"> </w:t>
      </w:r>
      <w:r>
        <w:t xml:space="preserve">be the weighted mean of group</w:t>
      </w:r>
      <w:r>
        <w:t xml:space="preserve"> </w:t>
      </w:r>
      <w:r>
        <w:rPr>
          <w:iCs/>
          <w:i/>
        </w:rPr>
        <w:t xml:space="preserve">g</w:t>
      </w:r>
      <w:r>
        <w:t xml:space="preserve">, and let</w:t>
      </w:r>
      <w:r>
        <w:t xml:space="preserve"> </w:t>
      </w:r>
      <w:r>
        <w:rPr>
          <w:iCs/>
          <w:i/>
        </w:rPr>
        <w:t xml:space="preserve">s</w:t>
      </w:r>
      <w:r>
        <w:rPr>
          <w:iCs/>
          <w:i/>
          <w:vertAlign w:val="subscript"/>
        </w:rPr>
        <w:t xml:space="preserve">g</w:t>
      </w:r>
      <w:r>
        <w:t xml:space="preserve"> </w:t>
      </w:r>
      <w:r>
        <w:t xml:space="preserve">=</w:t>
      </w:r>
      <w:r>
        <w:t xml:space="preserve"> </w:t>
      </w:r>
      <w:r>
        <w:rPr>
          <w:iCs/>
          <w:i/>
        </w:rPr>
        <w:t xml:space="preserve">W</w:t>
      </w:r>
      <w:r>
        <w:rPr>
          <w:iCs/>
          <w:i/>
          <w:vertAlign w:val="subscript"/>
        </w:rPr>
        <w:t xml:space="preserve">g</w:t>
      </w:r>
      <w:r>
        <w:t xml:space="preserve"> </w:t>
      </w:r>
      <w:r>
        <w:t xml:space="preserve">μ</w:t>
      </w:r>
      <w:r>
        <w:rPr>
          <w:iCs/>
          <w:i/>
          <w:vertAlign w:val="subscript"/>
        </w:rPr>
        <w:t xml:space="preserve">g</w:t>
      </w:r>
      <w:r>
        <w:t xml:space="preserve"> </w:t>
      </w:r>
      <w:r>
        <w:t xml:space="preserve">/ (</w:t>
      </w:r>
      <w:r>
        <w:rPr>
          <w:iCs/>
          <w:i/>
        </w:rPr>
        <w:t xml:space="preserve">W</w:t>
      </w:r>
      <w:r>
        <w:t xml:space="preserve"> </w:t>
      </w:r>
      <w:r>
        <w:t xml:space="preserve">μ) be the group’s share of all reachable destinations. Then</w:t>
      </w:r>
    </w:p>
    <w:p>
      <w:pPr>
        <w:pStyle w:val="Equation"/>
      </w:pPr>
      <w:r>
        <w:tab/>
      </w:r>
      <w:r>
        <w:drawing>
          <wp:inline>
            <wp:extent cx="1896465" cy="397764"/>
            <wp:effectExtent b="0" l="0" r="0" t="0"/>
            <wp:docPr descr="" title="" id="153" name="Picture"/>
            <a:graphic>
              <a:graphicData uri="http://schemas.openxmlformats.org/drawingml/2006/picture">
                <pic:pic>
                  <pic:nvPicPr>
                    <pic:cNvPr descr="eq/eq27.png" id="154" name="Picture"/>
                    <pic:cNvPicPr>
                      <a:picLocks noChangeArrowheads="1" noChangeAspect="1"/>
                    </pic:cNvPicPr>
                  </pic:nvPicPr>
                  <pic:blipFill>
                    <a:blip r:embed="rId152"/>
                    <a:stretch>
                      <a:fillRect/>
                    </a:stretch>
                  </pic:blipFill>
                  <pic:spPr bwMode="auto">
                    <a:xfrm>
                      <a:off x="0" y="0"/>
                      <a:ext cx="1896465" cy="397764"/>
                    </a:xfrm>
                    <a:prstGeom prst="rect">
                      <a:avLst/>
                    </a:prstGeom>
                    <a:noFill/>
                    <a:ln w="9525">
                      <a:noFill/>
                      <a:headEnd/>
                      <a:tailEnd/>
                    </a:ln>
                  </pic:spPr>
                </pic:pic>
              </a:graphicData>
            </a:graphic>
          </wp:inline>
        </w:drawing>
      </w:r>
      <w:r/>
      <w:r/>
      <w:r>
        <w:rPr>
          <w:rFonts w:ascii="Times New Roman" w:hAnsi="Times New Roman"/>
          <w:sz w:val="24"/>
        </w:rPr>
        <w:tab/>
        <w:t>(27)</w:t>
      </w:r>
    </w:p>
    <w:p>
      <w:pPr>
        <w:pStyle w:val="Source"/>
      </w:pPr>
      <w:r>
        <w:t xml:space="preserve">Source: Theil (1967); decomposition after Shorrocks (1980)</w:t>
      </w:r>
    </w:p>
    <w:p>
      <w:pPr>
        <w:pStyle w:val="BodyText"/>
      </w:pPr>
      <w:r>
        <w:t xml:space="preserve">where</w:t>
      </w:r>
      <w:r>
        <w:t xml:space="preserve"> </w:t>
      </w:r>
      <w:r>
        <w:rPr>
          <w:iCs/>
          <w:i/>
        </w:rPr>
        <w:t xml:space="preserve">T</w:t>
      </w:r>
      <w:r>
        <w:rPr>
          <w:iCs/>
          <w:i/>
          <w:vertAlign w:val="subscript"/>
        </w:rPr>
        <w:t xml:space="preserve">g</w:t>
      </w:r>
      <w:r>
        <w:t xml:space="preserve"> </w:t>
      </w:r>
      <w:r>
        <w:t xml:space="preserve">is the Theil index within group</w:t>
      </w:r>
      <w:r>
        <w:t xml:space="preserve"> </w:t>
      </w:r>
      <w:r>
        <w:rPr>
          <w:iCs/>
          <w:i/>
        </w:rPr>
        <w:t xml:space="preserve">g</w:t>
      </w:r>
      <w:r>
        <w:t xml:space="preserve">. The first sum is the within-group part and the second the between-group part.</w:t>
      </w:r>
    </w:p>
    <w:p>
      <w:pPr>
        <w:pStyle w:val="BodyText"/>
      </w:pPr>
      <w:r>
        <w:rPr>
          <w:iCs/>
          <w:i/>
        </w:rPr>
        <w:t xml:space="preserve">Proof.</w:t>
      </w:r>
      <w:r>
        <w:t xml:space="preserve"> </w:t>
      </w:r>
      <w:r>
        <w:t xml:space="preserve">Write</w:t>
      </w:r>
      <w:r>
        <w:t xml:space="preserve"> </w:t>
      </w:r>
      <w:r>
        <w:rPr>
          <w:iCs/>
          <w:i/>
        </w:rPr>
        <w:t xml:space="preserve">p</w:t>
      </w:r>
      <w:r>
        <w:rPr>
          <w:iCs/>
          <w:i/>
          <w:vertAlign w:val="subscript"/>
        </w:rPr>
        <w:t xml:space="preserve">a</w:t>
      </w:r>
      <w:r>
        <w:t xml:space="preserve"> </w:t>
      </w:r>
      <w:r>
        <w:t xml:space="preserve">=</w:t>
      </w:r>
      <w:r>
        <w:t xml:space="preserve"> </w:t>
      </w:r>
      <w:r>
        <w:rPr>
          <w:iCs/>
          <w:i/>
        </w:rPr>
        <w:t xml:space="preserve">P</w:t>
      </w:r>
      <w:r>
        <w:rPr>
          <w:iCs/>
          <w:i/>
          <w:vertAlign w:val="subscript"/>
        </w:rPr>
        <w:t xml:space="preserve">a</w:t>
      </w:r>
      <w:r>
        <w:t xml:space="preserve"> </w:t>
      </w:r>
      <w:r>
        <w:t xml:space="preserve">/</w:t>
      </w:r>
      <w:r>
        <w:t xml:space="preserve"> </w:t>
      </w:r>
      <w:r>
        <w:rPr>
          <w:iCs/>
          <w:i/>
        </w:rPr>
        <w:t xml:space="preserve">W</w:t>
      </w:r>
      <w:r>
        <w:t xml:space="preserve"> </w:t>
      </w:r>
      <w:r>
        <w:t xml:space="preserve">and, for</w:t>
      </w:r>
      <w:r>
        <w:t xml:space="preserve"> </w:t>
      </w:r>
      <w:r>
        <w:rPr>
          <w:iCs/>
          <w:i/>
        </w:rPr>
        <w:t xml:space="preserve">a</w:t>
      </w:r>
      <w:r>
        <w:t xml:space="preserve"> </w:t>
      </w:r>
      <w:r>
        <w:t xml:space="preserve">∈</w:t>
      </w:r>
      <w:r>
        <w:t xml:space="preserve"> </w:t>
      </w:r>
      <w:r>
        <w:rPr>
          <w:iCs/>
          <w:i/>
        </w:rPr>
        <w:t xml:space="preserve">g</w:t>
      </w:r>
      <w:r>
        <w:t xml:space="preserve">,</w:t>
      </w:r>
      <w:r>
        <w:t xml:space="preserve"> </w:t>
      </w:r>
      <w:r>
        <w:rPr>
          <w:iCs/>
          <w:i/>
        </w:rPr>
        <w:t xml:space="preserve">p</w:t>
      </w:r>
      <w:r>
        <w:rPr>
          <w:iCs/>
          <w:i/>
          <w:vertAlign w:val="superscript"/>
        </w:rPr>
        <w:t xml:space="preserve">g</w:t>
      </w:r>
      <w:r>
        <w:rPr>
          <w:iCs/>
          <w:i/>
          <w:vertAlign w:val="subscript"/>
        </w:rPr>
        <w:t xml:space="preserve">a</w:t>
      </w:r>
      <w:r>
        <w:t xml:space="preserve"> </w:t>
      </w:r>
      <w:r>
        <w:t xml:space="preserve">=</w:t>
      </w:r>
      <w:r>
        <w:t xml:space="preserve"> </w:t>
      </w:r>
      <w:r>
        <w:rPr>
          <w:iCs/>
          <w:i/>
        </w:rPr>
        <w:t xml:space="preserve">P</w:t>
      </w:r>
      <w:r>
        <w:rPr>
          <w:iCs/>
          <w:i/>
          <w:vertAlign w:val="subscript"/>
        </w:rPr>
        <w:t xml:space="preserve">a</w:t>
      </w:r>
      <w:r>
        <w:t xml:space="preserve"> </w:t>
      </w:r>
      <w:r>
        <w:t xml:space="preserve">/</w:t>
      </w:r>
      <w:r>
        <w:t xml:space="preserve"> </w:t>
      </w:r>
      <w:r>
        <w:rPr>
          <w:iCs/>
          <w:i/>
        </w:rPr>
        <w:t xml:space="preserve">W</w:t>
      </w:r>
      <w:r>
        <w:rPr>
          <w:iCs/>
          <w:i/>
          <w:vertAlign w:val="subscript"/>
        </w:rPr>
        <w:t xml:space="preserve">g</w:t>
      </w:r>
      <w:r>
        <w:t xml:space="preserve">, so</w:t>
      </w:r>
      <w:r>
        <w:t xml:space="preserve"> </w:t>
      </w:r>
      <w:r>
        <w:rPr>
          <w:iCs/>
          <w:i/>
        </w:rPr>
        <w:t xml:space="preserve">p</w:t>
      </w:r>
      <w:r>
        <w:rPr>
          <w:iCs/>
          <w:i/>
          <w:vertAlign w:val="subscript"/>
        </w:rPr>
        <w:t xml:space="preserve">a</w:t>
      </w:r>
      <w:r>
        <w:t xml:space="preserve"> </w:t>
      </w:r>
      <w:r>
        <w:t xml:space="preserve">= (</w:t>
      </w:r>
      <w:r>
        <w:rPr>
          <w:iCs/>
          <w:i/>
        </w:rPr>
        <w:t xml:space="preserve">W</w:t>
      </w:r>
      <w:r>
        <w:rPr>
          <w:iCs/>
          <w:i/>
          <w:vertAlign w:val="subscript"/>
        </w:rPr>
        <w:t xml:space="preserve">g</w:t>
      </w:r>
      <w:r>
        <w:t xml:space="preserve"> </w:t>
      </w:r>
      <w:r>
        <w:t xml:space="preserve">/</w:t>
      </w:r>
      <w:r>
        <w:t xml:space="preserve"> </w:t>
      </w:r>
      <w:r>
        <w:rPr>
          <w:iCs/>
          <w:i/>
        </w:rPr>
        <w:t xml:space="preserve">W</w:t>
      </w:r>
      <w:r>
        <w:t xml:space="preserve">)</w:t>
      </w:r>
      <w:r>
        <w:t xml:space="preserve"> </w:t>
      </w:r>
      <w:r>
        <w:rPr>
          <w:iCs/>
          <w:i/>
        </w:rPr>
        <w:t xml:space="preserve">p</w:t>
      </w:r>
      <w:r>
        <w:rPr>
          <w:iCs/>
          <w:i/>
          <w:vertAlign w:val="superscript"/>
        </w:rPr>
        <w:t xml:space="preserve">g</w:t>
      </w:r>
      <w:r>
        <w:rPr>
          <w:iCs/>
          <w:i/>
          <w:vertAlign w:val="subscript"/>
        </w:rPr>
        <w:t xml:space="preserve">a</w:t>
      </w:r>
      <w:r>
        <w:t xml:space="preserve">. Split the ratio as</w:t>
      </w:r>
      <w:r>
        <w:t xml:space="preserve"> </w:t>
      </w:r>
      <w:r>
        <w:rPr>
          <w:iCs/>
          <w:i/>
        </w:rPr>
        <w:t xml:space="preserve">A</w:t>
      </w:r>
      <w:r>
        <w:rPr>
          <w:iCs/>
          <w:i/>
          <w:vertAlign w:val="subscript"/>
        </w:rPr>
        <w:t xml:space="preserve">a</w:t>
      </w:r>
      <w:r>
        <w:t xml:space="preserve"> </w:t>
      </w:r>
      <w:r>
        <w:t xml:space="preserve">/ μ = (</w:t>
      </w:r>
      <w:r>
        <w:rPr>
          <w:iCs/>
          <w:i/>
        </w:rPr>
        <w:t xml:space="preserve">A</w:t>
      </w:r>
      <w:r>
        <w:rPr>
          <w:iCs/>
          <w:i/>
          <w:vertAlign w:val="subscript"/>
        </w:rPr>
        <w:t xml:space="preserve">a</w:t>
      </w:r>
      <w:r>
        <w:t xml:space="preserve"> </w:t>
      </w:r>
      <w:r>
        <w:t xml:space="preserve">/ μ</w:t>
      </w:r>
      <w:r>
        <w:rPr>
          <w:iCs/>
          <w:i/>
          <w:vertAlign w:val="subscript"/>
        </w:rPr>
        <w:t xml:space="preserve">g</w:t>
      </w:r>
      <w:r>
        <w:t xml:space="preserve">)(μ</w:t>
      </w:r>
      <w:r>
        <w:rPr>
          <w:iCs/>
          <w:i/>
          <w:vertAlign w:val="subscript"/>
        </w:rPr>
        <w:t xml:space="preserve">g</w:t>
      </w:r>
      <w:r>
        <w:t xml:space="preserve"> </w:t>
      </w:r>
      <w:r>
        <w:t xml:space="preserve">/ μ). Then</w:t>
      </w:r>
    </w:p>
    <w:p>
      <w:pPr>
        <w:pStyle w:val="Equation"/>
      </w:pPr>
      <w:r>
        <w:tab/>
      </w:r>
      <w:r>
        <w:drawing>
          <wp:inline>
            <wp:extent cx="3318357" cy="485546"/>
            <wp:effectExtent b="0" l="0" r="0" t="0"/>
            <wp:docPr descr="" title="" id="156" name="Picture"/>
            <a:graphic>
              <a:graphicData uri="http://schemas.openxmlformats.org/drawingml/2006/picture">
                <pic:pic>
                  <pic:nvPicPr>
                    <pic:cNvPr descr="eq/eq28.png" id="157" name="Picture"/>
                    <pic:cNvPicPr>
                      <a:picLocks noChangeArrowheads="1" noChangeAspect="1"/>
                    </pic:cNvPicPr>
                  </pic:nvPicPr>
                  <pic:blipFill>
                    <a:blip r:embed="rId155"/>
                    <a:stretch>
                      <a:fillRect/>
                    </a:stretch>
                  </pic:blipFill>
                  <pic:spPr bwMode="auto">
                    <a:xfrm>
                      <a:off x="0" y="0"/>
                      <a:ext cx="3318357" cy="485546"/>
                    </a:xfrm>
                    <a:prstGeom prst="rect">
                      <a:avLst/>
                    </a:prstGeom>
                    <a:noFill/>
                    <a:ln w="9525">
                      <a:noFill/>
                      <a:headEnd/>
                      <a:tailEnd/>
                    </a:ln>
                  </pic:spPr>
                </pic:pic>
              </a:graphicData>
            </a:graphic>
          </wp:inline>
        </w:drawing>
      </w:r>
      <w:r/>
      <w:r/>
      <w:r>
        <w:rPr>
          <w:rFonts w:ascii="Times New Roman" w:hAnsi="Times New Roman"/>
          <w:sz w:val="24"/>
        </w:rPr>
        <w:tab/>
        <w:t>(28)</w:t>
      </w:r>
    </w:p>
    <w:p>
      <w:pPr>
        <w:pStyle w:val="Source"/>
      </w:pPr>
      <w:r>
        <w:t xml:space="preserve">Source: expansion of Equation (27); Theil (1967), Shorrocks (1980)</w:t>
      </w:r>
    </w:p>
    <w:p>
      <w:pPr>
        <w:pStyle w:val="BodyText"/>
      </w:pPr>
      <w:r>
        <w:t xml:space="preserve">Inside the brackets, the first sum is</w:t>
      </w:r>
      <w:r>
        <w:t xml:space="preserve"> </w:t>
      </w:r>
      <w:r>
        <w:rPr>
          <w:iCs/>
          <w:i/>
        </w:rPr>
        <w:t xml:space="preserve">T</w:t>
      </w:r>
      <w:r>
        <w:rPr>
          <w:iCs/>
          <w:i/>
          <w:vertAlign w:val="subscript"/>
        </w:rPr>
        <w:t xml:space="preserve">g</w:t>
      </w:r>
      <w:r>
        <w:t xml:space="preserve"> </w:t>
      </w:r>
      <w:r>
        <w:t xml:space="preserve">by definition, and the second is Σ</w:t>
      </w:r>
      <w:r>
        <w:rPr>
          <w:iCs/>
          <w:i/>
          <w:vertAlign w:val="subscript"/>
        </w:rPr>
        <w:t xml:space="preserve">a</w:t>
      </w:r>
      <w:r>
        <w:rPr>
          <w:vertAlign w:val="subscript"/>
        </w:rPr>
        <w:t xml:space="preserve"> ∈ </w:t>
      </w:r>
      <w:r>
        <w:rPr>
          <w:iCs/>
          <w:i/>
          <w:vertAlign w:val="subscript"/>
        </w:rPr>
        <w:t xml:space="preserve">g</w:t>
      </w:r>
      <w:r>
        <w:t xml:space="preserve"> </w:t>
      </w:r>
      <w:r>
        <w:rPr>
          <w:iCs/>
          <w:i/>
        </w:rPr>
        <w:t xml:space="preserve">P</w:t>
      </w:r>
      <w:r>
        <w:rPr>
          <w:iCs/>
          <w:i/>
          <w:vertAlign w:val="subscript"/>
        </w:rPr>
        <w:t xml:space="preserve">a</w:t>
      </w:r>
      <w:r>
        <w:t xml:space="preserve"> </w:t>
      </w:r>
      <w:r>
        <w:rPr>
          <w:iCs/>
          <w:i/>
        </w:rPr>
        <w:t xml:space="preserve">A</w:t>
      </w:r>
      <w:r>
        <w:rPr>
          <w:iCs/>
          <w:i/>
          <w:vertAlign w:val="subscript"/>
        </w:rPr>
        <w:t xml:space="preserve">a</w:t>
      </w:r>
      <w:r>
        <w:t xml:space="preserve"> </w:t>
      </w:r>
      <w:r>
        <w:t xml:space="preserve">/ (</w:t>
      </w:r>
      <w:r>
        <w:rPr>
          <w:iCs/>
          <w:i/>
        </w:rPr>
        <w:t xml:space="preserve">W</w:t>
      </w:r>
      <w:r>
        <w:rPr>
          <w:iCs/>
          <w:i/>
          <w:vertAlign w:val="subscript"/>
        </w:rPr>
        <w:t xml:space="preserve">g</w:t>
      </w:r>
      <w:r>
        <w:t xml:space="preserve"> </w:t>
      </w:r>
      <w:r>
        <w:t xml:space="preserve">μ</w:t>
      </w:r>
      <w:r>
        <w:rPr>
          <w:iCs/>
          <w:i/>
          <w:vertAlign w:val="subscript"/>
        </w:rPr>
        <w:t xml:space="preserve">g</w:t>
      </w:r>
      <w:r>
        <w:t xml:space="preserve">) = 1. Substituting both gives Equation (27). A group with μ</w:t>
      </w:r>
      <w:r>
        <w:rPr>
          <w:iCs/>
          <w:i/>
          <w:vertAlign w:val="subscript"/>
        </w:rPr>
        <w:t xml:space="preserve">g</w:t>
      </w:r>
      <w:r>
        <w:t xml:space="preserve"> </w:t>
      </w:r>
      <w:r>
        <w:t xml:space="preserve">= 0 has</w:t>
      </w:r>
      <w:r>
        <w:t xml:space="preserve"> </w:t>
      </w:r>
      <w:r>
        <w:rPr>
          <w:iCs/>
          <w:i/>
        </w:rPr>
        <w:t xml:space="preserve">s</w:t>
      </w:r>
      <w:r>
        <w:rPr>
          <w:iCs/>
          <w:i/>
          <w:vertAlign w:val="subscript"/>
        </w:rPr>
        <w:t xml:space="preserve">g</w:t>
      </w:r>
      <w:r>
        <w:t xml:space="preserve"> </w:t>
      </w:r>
      <w:r>
        <w:t xml:space="preserve">= 0 and adds nothing to either part. □</w:t>
      </w:r>
    </w:p>
    <w:p>
      <w:pPr>
        <w:pStyle w:val="BodyText"/>
      </w:pPr>
      <w:r>
        <w:rPr>
          <w:bCs/>
          <w:b/>
        </w:rPr>
        <w:t xml:space="preserve">Remark 4 (From one number to a diagnosis).</w:t>
      </w:r>
      <w:r>
        <w:t xml:space="preserve"> </w:t>
      </w:r>
      <w:r>
        <w:t xml:space="preserve">With Proposition 6, a single inequality figure becomes a diagnosis. A large within-municipality part points to a local problem, to be met with feeder routes, better stop placement, or a closer health facility inside the municipality. A large between-municipality part points to a structural problem, to be met with trunk service between municipalities or with referral arrangements between their hospitals. The Gini coefficient has no exact split of this kind (Cowell, 2011; Shorrocks, 1980), so the two indices are reported side by side.</w:t>
      </w:r>
    </w:p>
    <w:p>
      <w:pPr>
        <w:pStyle w:val="BodyText"/>
      </w:pPr>
      <w:r>
        <w:rPr>
          <w:bCs/>
          <w:b/>
        </w:rPr>
        <w:t xml:space="preserve">Remark 5 (Decomposition over a chosen index set).</w:t>
      </w:r>
      <w:r>
        <w:t xml:space="preserve"> </w:t>
      </w:r>
      <w:r>
        <w:t xml:space="preserve">Q7 asked whether the decomposition survives when the index set is a list of landmarks rather than a full partition of the province. It does. The proof uses only a finite index set, positive weights, and a grouping, and the municipality of each anchor supplies the grouping. The change lies in the interpretation, not the algebra: a municipality enters through its representative anchors, and a municipality with a single anchor enters as one point rather than as an average over many zones. This is the main reason Section 3.6.1 varies the anchor set.</w:t>
      </w:r>
    </w:p>
    <w:p>
      <w:pPr>
        <w:pStyle w:val="BodyText"/>
      </w:pPr>
      <w:r>
        <w:rPr>
          <w:bCs/>
          <w:b/>
        </w:rPr>
        <w:t xml:space="preserve">Proposition 7 (Monotonicity and subadditivity of regulated fares).</w:t>
      </w:r>
      <w:r>
        <w:t xml:space="preserve"> </w:t>
      </w:r>
      <w:r>
        <w:t xml:space="preserve">The leg fare</w:t>
      </w:r>
      <w:r>
        <w:t xml:space="preserve"> </w:t>
      </w:r>
      <w:r>
        <w:rPr>
          <w:iCs/>
          <w:i/>
        </w:rPr>
        <w:t xml:space="preserve">f</w:t>
      </w:r>
      <w:r>
        <w:t xml:space="preserve">(</w:t>
      </w:r>
      <w:r>
        <w:rPr>
          <w:iCs/>
          <w:i/>
        </w:rPr>
        <w:t xml:space="preserve">d</w:t>
      </w:r>
      <w:r>
        <w:t xml:space="preserve">) =</w:t>
      </w:r>
      <w:r>
        <w:t xml:space="preserve"> </w:t>
      </w:r>
      <w:r>
        <w:rPr>
          <w:iCs/>
          <w:i/>
        </w:rPr>
        <w:t xml:space="preserve">f</w:t>
      </w:r>
      <w:r>
        <w:rPr>
          <w:vertAlign w:val="subscript"/>
        </w:rPr>
        <w:t xml:space="preserve">0</w:t>
      </w:r>
      <w:r>
        <w:t xml:space="preserve"> </w:t>
      </w:r>
      <w:r>
        <w:t xml:space="preserve">+</w:t>
      </w:r>
      <w:r>
        <w:t xml:space="preserve"> </w:t>
      </w:r>
      <w:r>
        <w:rPr>
          <w:iCs/>
          <w:i/>
        </w:rPr>
        <w:t xml:space="preserve">r</w:t>
      </w:r>
      <w:r>
        <w:t xml:space="preserve"> </w:t>
      </w:r>
      <w:r>
        <w:t xml:space="preserve">⌈ max(0,</w:t>
      </w:r>
      <w:r>
        <w:t xml:space="preserve"> </w:t>
      </w:r>
      <w:r>
        <w:rPr>
          <w:iCs/>
          <w:i/>
        </w:rPr>
        <w:t xml:space="preserve">d</w:t>
      </w:r>
      <w:r>
        <w:t xml:space="preserve"> </w:t>
      </w:r>
      <w:r>
        <w:t xml:space="preserve">−</w:t>
      </w:r>
      <w:r>
        <w:t xml:space="preserve"> </w:t>
      </w:r>
      <w:r>
        <w:rPr>
          <w:iCs/>
          <w:i/>
        </w:rPr>
        <w:t xml:space="preserve">d</w:t>
      </w:r>
      <w:r>
        <w:rPr>
          <w:vertAlign w:val="subscript"/>
        </w:rPr>
        <w:t xml:space="preserve">0</w:t>
      </w:r>
      <w:r>
        <w:t xml:space="preserve">) ⌉ never decreases as</w:t>
      </w:r>
      <w:r>
        <w:t xml:space="preserve"> </w:t>
      </w:r>
      <w:r>
        <w:rPr>
          <w:iCs/>
          <w:i/>
        </w:rPr>
        <w:t xml:space="preserve">d</w:t>
      </w:r>
      <w:r>
        <w:t xml:space="preserve"> </w:t>
      </w:r>
      <w:r>
        <w:t xml:space="preserve">grows. If, in addition,</w:t>
      </w:r>
      <w:r>
        <w:t xml:space="preserve"> </w:t>
      </w:r>
      <w:r>
        <w:rPr>
          <w:iCs/>
          <w:i/>
        </w:rPr>
        <w:t xml:space="preserve">r</w:t>
      </w:r>
      <w:r>
        <w:t xml:space="preserve"> </w:t>
      </w:r>
      <w:r>
        <w:rPr>
          <w:iCs/>
          <w:i/>
        </w:rPr>
        <w:t xml:space="preserve">d</w:t>
      </w:r>
      <w:r>
        <w:rPr>
          <w:vertAlign w:val="subscript"/>
        </w:rPr>
        <w:t xml:space="preserve">0</w:t>
      </w:r>
      <w:r>
        <w:t xml:space="preserve"> </w:t>
      </w:r>
      <w:r>
        <w:t xml:space="preserve">≤</w:t>
      </w:r>
      <w:r>
        <w:t xml:space="preserve"> </w:t>
      </w:r>
      <w:r>
        <w:rPr>
          <w:iCs/>
          <w:i/>
        </w:rPr>
        <w:t xml:space="preserve">f</w:t>
      </w:r>
      <w:r>
        <w:rPr>
          <w:vertAlign w:val="subscript"/>
        </w:rPr>
        <w:t xml:space="preserve">0</w:t>
      </w:r>
      <w:r>
        <w:t xml:space="preserve"> </w:t>
      </w:r>
      <w:r>
        <w:t xml:space="preserve">and</w:t>
      </w:r>
      <w:r>
        <w:t xml:space="preserve"> </w:t>
      </w:r>
      <w:r>
        <w:rPr>
          <w:iCs/>
          <w:i/>
        </w:rPr>
        <w:t xml:space="preserve">d</w:t>
      </w:r>
      <w:r>
        <w:rPr>
          <w:vertAlign w:val="subscript"/>
        </w:rPr>
        <w:t xml:space="preserve">0</w:t>
      </w:r>
      <w:r>
        <w:t xml:space="preserve"> </w:t>
      </w:r>
      <w:r>
        <w:t xml:space="preserve">is a positive integer, then</w:t>
      </w:r>
      <w:r>
        <w:t xml:space="preserve"> </w:t>
      </w:r>
      <w:r>
        <w:rPr>
          <w:iCs/>
          <w:i/>
        </w:rPr>
        <w:t xml:space="preserve">f</w:t>
      </w:r>
      <w:r>
        <w:t xml:space="preserve"> </w:t>
      </w:r>
      <w:r>
        <w:t xml:space="preserve">is subadditive:</w:t>
      </w:r>
      <w:r>
        <w:t xml:space="preserve"> </w:t>
      </w:r>
      <w:r>
        <w:rPr>
          <w:iCs/>
          <w:i/>
        </w:rPr>
        <w:t xml:space="preserve">f</w:t>
      </w:r>
      <w:r>
        <w:t xml:space="preserve">(</w:t>
      </w:r>
      <w:r>
        <w:rPr>
          <w:iCs/>
          <w:i/>
        </w:rPr>
        <w:t xml:space="preserve">d</w:t>
      </w:r>
      <w:r>
        <w:rPr>
          <w:vertAlign w:val="subscript"/>
        </w:rPr>
        <w:t xml:space="preserve">1</w:t>
      </w:r>
      <w:r>
        <w:t xml:space="preserve"> </w:t>
      </w:r>
      <w:r>
        <w:t xml:space="preserve">+</w:t>
      </w:r>
      <w:r>
        <w:t xml:space="preserve"> </w:t>
      </w:r>
      <w:r>
        <w:rPr>
          <w:iCs/>
          <w:i/>
        </w:rPr>
        <w:t xml:space="preserve">d</w:t>
      </w:r>
      <w:r>
        <w:rPr>
          <w:vertAlign w:val="subscript"/>
        </w:rPr>
        <w:t xml:space="preserve">2</w:t>
      </w:r>
      <w:r>
        <w:t xml:space="preserve">) ≤</w:t>
      </w:r>
      <w:r>
        <w:t xml:space="preserve"> </w:t>
      </w:r>
      <w:r>
        <w:rPr>
          <w:iCs/>
          <w:i/>
        </w:rPr>
        <w:t xml:space="preserve">f</w:t>
      </w:r>
      <w:r>
        <w:t xml:space="preserve">(</w:t>
      </w:r>
      <w:r>
        <w:rPr>
          <w:iCs/>
          <w:i/>
        </w:rPr>
        <w:t xml:space="preserve">d</w:t>
      </w:r>
      <w:r>
        <w:rPr>
          <w:vertAlign w:val="subscript"/>
        </w:rPr>
        <w:t xml:space="preserve">1</w:t>
      </w:r>
      <w:r>
        <w:t xml:space="preserve">) +</w:t>
      </w:r>
      <w:r>
        <w:t xml:space="preserve"> </w:t>
      </w:r>
      <w:r>
        <w:rPr>
          <w:iCs/>
          <w:i/>
        </w:rPr>
        <w:t xml:space="preserve">f</w:t>
      </w:r>
      <w:r>
        <w:t xml:space="preserve">(</w:t>
      </w:r>
      <w:r>
        <w:rPr>
          <w:iCs/>
          <w:i/>
        </w:rPr>
        <w:t xml:space="preserve">d</w:t>
      </w:r>
      <w:r>
        <w:rPr>
          <w:vertAlign w:val="subscript"/>
        </w:rPr>
        <w:t xml:space="preserve">2</w:t>
      </w:r>
      <w:r>
        <w:t xml:space="preserve">) for all</w:t>
      </w:r>
      <w:r>
        <w:t xml:space="preserve"> </w:t>
      </w:r>
      <w:r>
        <w:rPr>
          <w:iCs/>
          <w:i/>
        </w:rPr>
        <w:t xml:space="preserve">d</w:t>
      </w:r>
      <w:r>
        <w:rPr>
          <w:vertAlign w:val="subscript"/>
        </w:rPr>
        <w:t xml:space="preserve">1</w:t>
      </w:r>
      <w:r>
        <w:t xml:space="preserve">,</w:t>
      </w:r>
      <w:r>
        <w:t xml:space="preserve"> </w:t>
      </w:r>
      <w:r>
        <w:rPr>
          <w:iCs/>
          <w:i/>
        </w:rPr>
        <w:t xml:space="preserve">d</w:t>
      </w:r>
      <w:r>
        <w:rPr>
          <w:vertAlign w:val="subscript"/>
        </w:rPr>
        <w:t xml:space="preserve">2</w:t>
      </w:r>
      <w:r>
        <w:t xml:space="preserve"> </w:t>
      </w:r>
      <w:r>
        <w:t xml:space="preserve">≥ 0.</w:t>
      </w:r>
    </w:p>
    <w:p>
      <w:pPr>
        <w:pStyle w:val="BodyText"/>
      </w:pPr>
      <w:r>
        <w:rPr>
          <w:iCs/>
          <w:i/>
        </w:rPr>
        <w:t xml:space="preserve">Proof.</w:t>
      </w:r>
      <w:r>
        <w:t xml:space="preserve"> </w:t>
      </w:r>
      <w:r>
        <w:t xml:space="preserve">Monotonicity is immediate, since</w:t>
      </w:r>
      <w:r>
        <w:t xml:space="preserve"> </w:t>
      </w:r>
      <w:r>
        <w:rPr>
          <w:iCs/>
          <w:i/>
        </w:rPr>
        <w:t xml:space="preserve">d</w:t>
      </w:r>
      <w:r>
        <w:t xml:space="preserve"> </w:t>
      </w:r>
      <w:r>
        <w:t xml:space="preserve">↦ ⌈ max(0,</w:t>
      </w:r>
      <w:r>
        <w:t xml:space="preserve"> </w:t>
      </w:r>
      <w:r>
        <w:rPr>
          <w:iCs/>
          <w:i/>
        </w:rPr>
        <w:t xml:space="preserve">d</w:t>
      </w:r>
      <w:r>
        <w:t xml:space="preserve"> </w:t>
      </w:r>
      <w:r>
        <w:t xml:space="preserve">−</w:t>
      </w:r>
      <w:r>
        <w:t xml:space="preserve"> </w:t>
      </w:r>
      <w:r>
        <w:rPr>
          <w:iCs/>
          <w:i/>
        </w:rPr>
        <w:t xml:space="preserve">d</w:t>
      </w:r>
      <w:r>
        <w:rPr>
          <w:vertAlign w:val="subscript"/>
        </w:rPr>
        <w:t xml:space="preserve">0</w:t>
      </w:r>
      <w:r>
        <w:t xml:space="preserve">) ⌉ never decreases and</w:t>
      </w:r>
      <w:r>
        <w:t xml:space="preserve"> </w:t>
      </w:r>
      <w:r>
        <w:rPr>
          <w:iCs/>
          <w:i/>
        </w:rPr>
        <w:t xml:space="preserve">r</w:t>
      </w:r>
      <w:r>
        <w:t xml:space="preserve"> </w:t>
      </w:r>
      <w:r>
        <w:t xml:space="preserve">&gt; 0. For subadditivity, put</w:t>
      </w:r>
      <w:r>
        <w:t xml:space="preserve"> </w:t>
      </w:r>
      <w:r>
        <w:rPr>
          <w:iCs/>
          <w:i/>
        </w:rPr>
        <w:t xml:space="preserve">x</w:t>
      </w:r>
      <w:r>
        <w:t xml:space="preserve"> </w:t>
      </w:r>
      <w:r>
        <w:t xml:space="preserve">= max(0,</w:t>
      </w:r>
      <w:r>
        <w:t xml:space="preserve"> </w:t>
      </w:r>
      <w:r>
        <w:rPr>
          <w:iCs/>
          <w:i/>
        </w:rPr>
        <w:t xml:space="preserve">d</w:t>
      </w:r>
      <w:r>
        <w:rPr>
          <w:vertAlign w:val="subscript"/>
        </w:rPr>
        <w:t xml:space="preserve">1</w:t>
      </w:r>
      <w:r>
        <w:t xml:space="preserve"> </w:t>
      </w:r>
      <w:r>
        <w:t xml:space="preserve">−</w:t>
      </w:r>
      <w:r>
        <w:t xml:space="preserve"> </w:t>
      </w:r>
      <w:r>
        <w:rPr>
          <w:iCs/>
          <w:i/>
        </w:rPr>
        <w:t xml:space="preserve">d</w:t>
      </w:r>
      <w:r>
        <w:rPr>
          <w:vertAlign w:val="subscript"/>
        </w:rPr>
        <w:t xml:space="preserve">0</w:t>
      </w:r>
      <w:r>
        <w:t xml:space="preserve">) and</w:t>
      </w:r>
      <w:r>
        <w:t xml:space="preserve"> </w:t>
      </w:r>
      <w:r>
        <w:rPr>
          <w:iCs/>
          <w:i/>
        </w:rPr>
        <w:t xml:space="preserve">y</w:t>
      </w:r>
      <w:r>
        <w:t xml:space="preserve"> </w:t>
      </w:r>
      <w:r>
        <w:t xml:space="preserve">= max(0,</w:t>
      </w:r>
      <w:r>
        <w:t xml:space="preserve"> </w:t>
      </w:r>
      <w:r>
        <w:rPr>
          <w:iCs/>
          <w:i/>
        </w:rPr>
        <w:t xml:space="preserve">d</w:t>
      </w:r>
      <w:r>
        <w:rPr>
          <w:vertAlign w:val="subscript"/>
        </w:rPr>
        <w:t xml:space="preserve">2</w:t>
      </w:r>
      <w:r>
        <w:t xml:space="preserve"> </w:t>
      </w:r>
      <w:r>
        <w:t xml:space="preserve">−</w:t>
      </w:r>
      <w:r>
        <w:t xml:space="preserve"> </w:t>
      </w:r>
      <w:r>
        <w:rPr>
          <w:iCs/>
          <w:i/>
        </w:rPr>
        <w:t xml:space="preserve">d</w:t>
      </w:r>
      <w:r>
        <w:rPr>
          <w:vertAlign w:val="subscript"/>
        </w:rPr>
        <w:t xml:space="preserve">0</w:t>
      </w:r>
      <w:r>
        <w:t xml:space="preserve">). From</w:t>
      </w:r>
      <w:r>
        <w:t xml:space="preserve"> </w:t>
      </w:r>
      <w:r>
        <w:rPr>
          <w:iCs/>
          <w:i/>
        </w:rPr>
        <w:t xml:space="preserve">d</w:t>
      </w:r>
      <w:r>
        <w:rPr>
          <w:vertAlign w:val="subscript"/>
        </w:rPr>
        <w:t xml:space="preserve">1</w:t>
      </w:r>
      <w:r>
        <w:t xml:space="preserve"> </w:t>
      </w:r>
      <w:r>
        <w:t xml:space="preserve">≤</w:t>
      </w:r>
      <w:r>
        <w:t xml:space="preserve"> </w:t>
      </w:r>
      <w:r>
        <w:rPr>
          <w:iCs/>
          <w:i/>
        </w:rPr>
        <w:t xml:space="preserve">x</w:t>
      </w:r>
      <w:r>
        <w:t xml:space="preserve"> </w:t>
      </w:r>
      <w:r>
        <w:t xml:space="preserve">+</w:t>
      </w:r>
      <w:r>
        <w:t xml:space="preserve"> </w:t>
      </w:r>
      <w:r>
        <w:rPr>
          <w:iCs/>
          <w:i/>
        </w:rPr>
        <w:t xml:space="preserve">d</w:t>
      </w:r>
      <w:r>
        <w:rPr>
          <w:vertAlign w:val="subscript"/>
        </w:rPr>
        <w:t xml:space="preserve">0</w:t>
      </w:r>
      <w:r>
        <w:t xml:space="preserve"> </w:t>
      </w:r>
      <w:r>
        <w:t xml:space="preserve">and</w:t>
      </w:r>
      <w:r>
        <w:t xml:space="preserve"> </w:t>
      </w:r>
      <w:r>
        <w:rPr>
          <w:iCs/>
          <w:i/>
        </w:rPr>
        <w:t xml:space="preserve">d</w:t>
      </w:r>
      <w:r>
        <w:rPr>
          <w:vertAlign w:val="subscript"/>
        </w:rPr>
        <w:t xml:space="preserve">2</w:t>
      </w:r>
      <w:r>
        <w:t xml:space="preserve"> </w:t>
      </w:r>
      <w:r>
        <w:t xml:space="preserve">≤</w:t>
      </w:r>
      <w:r>
        <w:t xml:space="preserve"> </w:t>
      </w:r>
      <w:r>
        <w:rPr>
          <w:iCs/>
          <w:i/>
        </w:rPr>
        <w:t xml:space="preserve">y</w:t>
      </w:r>
      <w:r>
        <w:t xml:space="preserve"> </w:t>
      </w:r>
      <w:r>
        <w:t xml:space="preserve">+</w:t>
      </w:r>
      <w:r>
        <w:t xml:space="preserve"> </w:t>
      </w:r>
      <w:r>
        <w:rPr>
          <w:iCs/>
          <w:i/>
        </w:rPr>
        <w:t xml:space="preserve">d</w:t>
      </w:r>
      <w:r>
        <w:rPr>
          <w:vertAlign w:val="subscript"/>
        </w:rPr>
        <w:t xml:space="preserve">0</w:t>
      </w:r>
      <w:r>
        <w:t xml:space="preserve"> </w:t>
      </w:r>
      <w:r>
        <w:t xml:space="preserve">it follows that max(0,</w:t>
      </w:r>
      <w:r>
        <w:t xml:space="preserve"> </w:t>
      </w:r>
      <w:r>
        <w:rPr>
          <w:iCs/>
          <w:i/>
        </w:rPr>
        <w:t xml:space="preserve">d</w:t>
      </w:r>
      <w:r>
        <w:rPr>
          <w:vertAlign w:val="subscript"/>
        </w:rPr>
        <w:t xml:space="preserve">1</w:t>
      </w:r>
      <w:r>
        <w:t xml:space="preserve"> </w:t>
      </w:r>
      <w:r>
        <w:t xml:space="preserve">+</w:t>
      </w:r>
      <w:r>
        <w:t xml:space="preserve"> </w:t>
      </w:r>
      <w:r>
        <w:rPr>
          <w:iCs/>
          <w:i/>
        </w:rPr>
        <w:t xml:space="preserve">d</w:t>
      </w:r>
      <w:r>
        <w:rPr>
          <w:vertAlign w:val="subscript"/>
        </w:rPr>
        <w:t xml:space="preserve">2</w:t>
      </w:r>
      <w:r>
        <w:t xml:space="preserve"> </w:t>
      </w:r>
      <w:r>
        <w:t xml:space="preserve">−</w:t>
      </w:r>
      <w:r>
        <w:t xml:space="preserve"> </w:t>
      </w:r>
      <w:r>
        <w:rPr>
          <w:iCs/>
          <w:i/>
        </w:rPr>
        <w:t xml:space="preserve">d</w:t>
      </w:r>
      <w:r>
        <w:rPr>
          <w:vertAlign w:val="subscript"/>
        </w:rPr>
        <w:t xml:space="preserve">0</w:t>
      </w:r>
      <w:r>
        <w:t xml:space="preserve">) ≤</w:t>
      </w:r>
      <w:r>
        <w:t xml:space="preserve"> </w:t>
      </w:r>
      <w:r>
        <w:rPr>
          <w:iCs/>
          <w:i/>
        </w:rPr>
        <w:t xml:space="preserve">x</w:t>
      </w:r>
      <w:r>
        <w:t xml:space="preserve"> </w:t>
      </w:r>
      <w:r>
        <w:t xml:space="preserve">+</w:t>
      </w:r>
      <w:r>
        <w:t xml:space="preserve"> </w:t>
      </w:r>
      <w:r>
        <w:rPr>
          <w:iCs/>
          <w:i/>
        </w:rPr>
        <w:t xml:space="preserve">y</w:t>
      </w:r>
      <w:r>
        <w:t xml:space="preserve"> </w:t>
      </w:r>
      <w:r>
        <w:t xml:space="preserve">+</w:t>
      </w:r>
      <w:r>
        <w:t xml:space="preserve"> </w:t>
      </w:r>
      <w:r>
        <w:rPr>
          <w:iCs/>
          <w:i/>
        </w:rPr>
        <w:t xml:space="preserve">d</w:t>
      </w:r>
      <w:r>
        <w:rPr>
          <w:vertAlign w:val="subscript"/>
        </w:rPr>
        <w:t xml:space="preserve">0</w:t>
      </w:r>
      <w:r>
        <w:t xml:space="preserve">. The ceiling of a sum never exceeds the sum of the ceilings, and the integer</w:t>
      </w:r>
      <w:r>
        <w:t xml:space="preserve"> </w:t>
      </w:r>
      <w:r>
        <w:rPr>
          <w:iCs/>
          <w:i/>
        </w:rPr>
        <w:t xml:space="preserve">d</w:t>
      </w:r>
      <w:r>
        <w:rPr>
          <w:vertAlign w:val="subscript"/>
        </w:rPr>
        <w:t xml:space="preserve">0</w:t>
      </w:r>
      <w:r>
        <w:t xml:space="preserve"> </w:t>
      </w:r>
      <w:r>
        <w:t xml:space="preserve">is its own ceiling, so ⌈ max(0,</w:t>
      </w:r>
      <w:r>
        <w:t xml:space="preserve"> </w:t>
      </w:r>
      <w:r>
        <w:rPr>
          <w:iCs/>
          <w:i/>
        </w:rPr>
        <w:t xml:space="preserve">d</w:t>
      </w:r>
      <w:r>
        <w:rPr>
          <w:vertAlign w:val="subscript"/>
        </w:rPr>
        <w:t xml:space="preserve">1</w:t>
      </w:r>
      <w:r>
        <w:t xml:space="preserve"> </w:t>
      </w:r>
      <w:r>
        <w:t xml:space="preserve">+</w:t>
      </w:r>
      <w:r>
        <w:t xml:space="preserve"> </w:t>
      </w:r>
      <w:r>
        <w:rPr>
          <w:iCs/>
          <w:i/>
        </w:rPr>
        <w:t xml:space="preserve">d</w:t>
      </w:r>
      <w:r>
        <w:rPr>
          <w:vertAlign w:val="subscript"/>
        </w:rPr>
        <w:t xml:space="preserve">2</w:t>
      </w:r>
      <w:r>
        <w:t xml:space="preserve"> </w:t>
      </w:r>
      <w:r>
        <w:t xml:space="preserve">−</w:t>
      </w:r>
      <w:r>
        <w:t xml:space="preserve"> </w:t>
      </w:r>
      <w:r>
        <w:rPr>
          <w:iCs/>
          <w:i/>
        </w:rPr>
        <w:t xml:space="preserve">d</w:t>
      </w:r>
      <w:r>
        <w:rPr>
          <w:vertAlign w:val="subscript"/>
        </w:rPr>
        <w:t xml:space="preserve">0</w:t>
      </w:r>
      <w:r>
        <w:t xml:space="preserve">) ⌉ ≤ ⌈</w:t>
      </w:r>
      <w:r>
        <w:t xml:space="preserve"> </w:t>
      </w:r>
      <w:r>
        <w:rPr>
          <w:iCs/>
          <w:i/>
        </w:rPr>
        <w:t xml:space="preserve">x</w:t>
      </w:r>
      <w:r>
        <w:t xml:space="preserve"> </w:t>
      </w:r>
      <w:r>
        <w:t xml:space="preserve">⌉ + ⌈</w:t>
      </w:r>
      <w:r>
        <w:t xml:space="preserve"> </w:t>
      </w:r>
      <w:r>
        <w:rPr>
          <w:iCs/>
          <w:i/>
        </w:rPr>
        <w:t xml:space="preserve">y</w:t>
      </w:r>
      <w:r>
        <w:t xml:space="preserve"> </w:t>
      </w:r>
      <w:r>
        <w:t xml:space="preserve">⌉ +</w:t>
      </w:r>
      <w:r>
        <w:t xml:space="preserve"> </w:t>
      </w:r>
      <w:r>
        <w:rPr>
          <w:iCs/>
          <w:i/>
        </w:rPr>
        <w:t xml:space="preserve">d</w:t>
      </w:r>
      <w:r>
        <w:rPr>
          <w:vertAlign w:val="subscript"/>
        </w:rPr>
        <w:t xml:space="preserve">0</w:t>
      </w:r>
      <w:r>
        <w:t xml:space="preserve">. Hence</w:t>
      </w:r>
    </w:p>
    <w:p>
      <w:pPr>
        <w:pStyle w:val="Equation"/>
      </w:pPr>
      <w:r>
        <w:tab/>
      </w:r>
      <w:r>
        <w:drawing>
          <wp:inline>
            <wp:extent cx="3274466" cy="366674"/>
            <wp:effectExtent b="0" l="0" r="0" t="0"/>
            <wp:docPr descr="" title="" id="159" name="Picture"/>
            <a:graphic>
              <a:graphicData uri="http://schemas.openxmlformats.org/drawingml/2006/picture">
                <pic:pic>
                  <pic:nvPicPr>
                    <pic:cNvPr descr="eq/eq29.png" id="160" name="Picture"/>
                    <pic:cNvPicPr>
                      <a:picLocks noChangeArrowheads="1" noChangeAspect="1"/>
                    </pic:cNvPicPr>
                  </pic:nvPicPr>
                  <pic:blipFill>
                    <a:blip r:embed="rId158"/>
                    <a:stretch>
                      <a:fillRect/>
                    </a:stretch>
                  </pic:blipFill>
                  <pic:spPr bwMode="auto">
                    <a:xfrm>
                      <a:off x="0" y="0"/>
                      <a:ext cx="3274466" cy="366674"/>
                    </a:xfrm>
                    <a:prstGeom prst="rect">
                      <a:avLst/>
                    </a:prstGeom>
                    <a:noFill/>
                    <a:ln w="9525">
                      <a:noFill/>
                      <a:headEnd/>
                      <a:tailEnd/>
                    </a:ln>
                  </pic:spPr>
                </pic:pic>
              </a:graphicData>
            </a:graphic>
          </wp:inline>
        </w:drawing>
      </w:r>
      <w:r/>
      <w:r/>
      <w:r>
        <w:rPr>
          <w:rFonts w:ascii="Times New Roman" w:hAnsi="Times New Roman"/>
          <w:sz w:val="24"/>
        </w:rPr>
        <w:tab/>
        <w:t>(29)</w:t>
      </w:r>
    </w:p>
    <w:p>
      <w:pPr>
        <w:pStyle w:val="Source"/>
      </w:pPr>
      <w:r>
        <w:t xml:space="preserve">Source: formulated in this study (Proposition 7)</w:t>
      </w:r>
    </w:p>
    <w:p>
      <w:pPr>
        <w:pStyle w:val="BodyText"/>
      </w:pPr>
      <w:r>
        <w:t xml:space="preserve">with</w:t>
      </w:r>
      <w:r>
        <w:t xml:space="preserve"> </w:t>
      </w:r>
      <w:r>
        <w:rPr>
          <w:iCs/>
          <w:i/>
        </w:rPr>
        <w:t xml:space="preserve">r</w:t>
      </w:r>
      <w:r>
        <w:t xml:space="preserve"> </w:t>
      </w:r>
      <w:r>
        <w:rPr>
          <w:iCs/>
          <w:i/>
        </w:rPr>
        <w:t xml:space="preserve">d</w:t>
      </w:r>
      <w:r>
        <w:rPr>
          <w:vertAlign w:val="subscript"/>
        </w:rPr>
        <w:t xml:space="preserve">0</w:t>
      </w:r>
      <w:r>
        <w:t xml:space="preserve"> </w:t>
      </w:r>
      <w:r>
        <w:t xml:space="preserve">≤</w:t>
      </w:r>
      <w:r>
        <w:t xml:space="preserve"> </w:t>
      </w:r>
      <w:r>
        <w:rPr>
          <w:iCs/>
          <w:i/>
        </w:rPr>
        <w:t xml:space="preserve">f</w:t>
      </w:r>
      <w:r>
        <w:rPr>
          <w:vertAlign w:val="subscript"/>
        </w:rPr>
        <w:t xml:space="preserve">0</w:t>
      </w:r>
      <w:r>
        <w:t xml:space="preserve"> </w:t>
      </w:r>
      <w:r>
        <w:t xml:space="preserve">giving the second step. □</w:t>
      </w:r>
    </w:p>
    <w:p>
      <w:pPr>
        <w:pStyle w:val="BodyText"/>
      </w:pPr>
      <w:r>
        <w:rPr>
          <w:bCs/>
          <w:b/>
        </w:rPr>
        <w:t xml:space="preserve">Corollary 8 (Fare against time).</w:t>
      </w:r>
      <w:r>
        <w:t xml:space="preserve"> </w:t>
      </w:r>
      <w:r>
        <w:t xml:space="preserve">For the traditional jeepney in Table 6,</w:t>
      </w:r>
      <w:r>
        <w:t xml:space="preserve"> </w:t>
      </w:r>
      <w:r>
        <w:rPr>
          <w:iCs/>
          <w:i/>
        </w:rPr>
        <w:t xml:space="preserve">r</w:t>
      </w:r>
      <w:r>
        <w:t xml:space="preserve"> </w:t>
      </w:r>
      <w:r>
        <w:rPr>
          <w:iCs/>
          <w:i/>
        </w:rPr>
        <w:t xml:space="preserve">d</w:t>
      </w:r>
      <w:r>
        <w:rPr>
          <w:vertAlign w:val="subscript"/>
        </w:rPr>
        <w:t xml:space="preserve">0</w:t>
      </w:r>
      <w:r>
        <w:t xml:space="preserve"> </w:t>
      </w:r>
      <w:r>
        <w:t xml:space="preserve">= 8 ≤ 14 =</w:t>
      </w:r>
      <w:r>
        <w:t xml:space="preserve"> </w:t>
      </w:r>
      <w:r>
        <w:rPr>
          <w:iCs/>
          <w:i/>
        </w:rPr>
        <w:t xml:space="preserve">f</w:t>
      </w:r>
      <w:r>
        <w:rPr>
          <w:vertAlign w:val="subscript"/>
        </w:rPr>
        <w:t xml:space="preserve">0</w:t>
      </w:r>
      <w:r>
        <w:t xml:space="preserve">, so its fare is subadditive: one ride over a distance never costs more than two rides that cover the same distance. The cheapest journey therefore prefers a few long legs, while the quickest may use more transfers. Because the two aims can pull apart, the planner offers the whole Pareto set over arrival time, fare, and number of transfers rather than a single journey. For a poor patient going to hospital by public transport, the cheapest option is shown beside the fastest.</w:t>
      </w:r>
    </w:p>
    <w:p>
      <w:pPr>
        <w:pStyle w:val="BodyText"/>
      </w:pPr>
      <w:r>
        <w:rPr>
          <w:bCs/>
          <w:b/>
        </w:rPr>
        <w:t xml:space="preserve">Remark 6 (Why the Pareto set stays small).</w:t>
      </w:r>
      <w:r>
        <w:t xml:space="preserve"> </w:t>
      </w:r>
      <w:r>
        <w:t xml:space="preserve">Shortest paths under two or more additive criteria are hard in general. The weight-constrained version is already NP-complete (Garey &amp; Johnson, 1979), and the number of Pareto-optimal paths can grow exponentially with the size of the network (P. Hansen, 1980). Here, however, fares take few distinct integer values and no journey boards more than four times, so a label-correcting search that prunes by Pareto dominance (Martins, 1984) lists the frontier quickly. The multi-criteria version of RAPTOR rests on the same practical reasoning (Delling et al., 2015).</w:t>
      </w:r>
    </w:p>
    <w:p>
      <w:pPr>
        <w:pStyle w:val="BodyText"/>
      </w:pPr>
      <w:r>
        <w:t xml:space="preserve">The remaining results concern the hospital layer.</w:t>
      </w:r>
    </w:p>
    <w:p>
      <w:pPr>
        <w:pStyle w:val="BodyText"/>
      </w:pPr>
      <w:r>
        <w:rPr>
          <w:bCs/>
          <w:b/>
        </w:rPr>
        <w:t xml:space="preserve">Proposition 9 (Early stopping with backups loses no exactness).</w:t>
      </w:r>
      <w:r>
        <w:t xml:space="preserve"> </w:t>
      </w:r>
      <w:r>
        <w:t xml:space="preserve">Fix</w:t>
      </w:r>
      <w:r>
        <w:t xml:space="preserve"> </w:t>
      </w:r>
      <w:r>
        <w:rPr>
          <w:iCs/>
          <w:i/>
        </w:rPr>
        <w:t xml:space="preserve">o</w:t>
      </w:r>
      <w:r>
        <w:t xml:space="preserve">,</w:t>
      </w:r>
      <w:r>
        <w:t xml:space="preserve"> </w:t>
      </w:r>
      <w:r>
        <w:rPr>
          <w:iCs/>
          <w:i/>
        </w:rPr>
        <w:t xml:space="preserve">t</w:t>
      </w:r>
      <w:r>
        <w:t xml:space="preserve">, π, and</w:t>
      </w:r>
      <w:r>
        <w:t xml:space="preserve"> </w:t>
      </w:r>
      <w:r>
        <w:rPr>
          <w:iCs/>
          <w:i/>
        </w:rPr>
        <w:t xml:space="preserve">k</w:t>
      </w:r>
      <w:r>
        <w:t xml:space="preserve"> </w:t>
      </w:r>
      <w:r>
        <w:t xml:space="preserve">≥ 1. Search from</w:t>
      </w:r>
      <w:r>
        <w:t xml:space="preserve"> </w:t>
      </w:r>
      <w:r>
        <w:rPr>
          <w:iCs/>
          <w:i/>
        </w:rPr>
        <w:t xml:space="preserve">o</w:t>
      </w:r>
      <w:r>
        <w:t xml:space="preserve"> </w:t>
      </w:r>
      <w:r>
        <w:t xml:space="preserve">at time</w:t>
      </w:r>
      <w:r>
        <w:t xml:space="preserve"> </w:t>
      </w:r>
      <w:r>
        <w:rPr>
          <w:iCs/>
          <w:i/>
        </w:rPr>
        <w:t xml:space="preserve">t</w:t>
      </w:r>
      <w:r>
        <w:t xml:space="preserve"> </w:t>
      </w:r>
      <w:r>
        <w:t xml:space="preserve">by the label-setting method of Proposition 1 in mode</w:t>
      </w:r>
      <w:r>
        <w:t xml:space="preserve"> </w:t>
      </w:r>
      <w:r>
        <w:rPr>
          <w:iCs/>
          <w:i/>
        </w:rPr>
        <w:t xml:space="preserve">pt</w:t>
      </w:r>
      <w:r>
        <w:t xml:space="preserve"> </w:t>
      </w:r>
      <w:r>
        <w:t xml:space="preserve">(with the walking values of the patient’s mobility class) or by Dijkstra’s algorithm on</w:t>
      </w:r>
      <w:r>
        <w:t xml:space="preserve"> </w:t>
      </w:r>
      <w:r>
        <w:rPr>
          <w:iCs/>
          <w:i/>
        </w:rPr>
        <w:t xml:space="preserve">G</w:t>
      </w:r>
      <w:r>
        <w:rPr>
          <w:vertAlign w:val="subscript"/>
        </w:rPr>
        <w:t xml:space="preserve">γ</w:t>
      </w:r>
      <w:r>
        <w:rPr>
          <w:iCs/>
          <w:i/>
          <w:vertAlign w:val="subscript"/>
        </w:rPr>
        <w:t xml:space="preserve">amb</w:t>
      </w:r>
      <w:r>
        <w:t xml:space="preserve"> </w:t>
      </w:r>
      <w:r>
        <w:t xml:space="preserve">in mode</w:t>
      </w:r>
      <w:r>
        <w:t xml:space="preserve"> </w:t>
      </w:r>
      <w:r>
        <w:rPr>
          <w:iCs/>
          <w:i/>
        </w:rPr>
        <w:t xml:space="preserve">amb</w:t>
      </w:r>
      <w:r>
        <w:t xml:space="preserve">. Halt once the</w:t>
      </w:r>
      <w:r>
        <w:t xml:space="preserve"> </w:t>
      </w:r>
      <w:r>
        <w:rPr>
          <w:iCs/>
          <w:i/>
        </w:rPr>
        <w:t xml:space="preserve">k</w:t>
      </w:r>
      <w:r>
        <w:t xml:space="preserve">-th vertex of a suitable hospital has been extracted, together with every other vertex that shares its label. Then the suitable hospitals extracted, sorted by the key of Equation (17), begin with exactly the backup list (</w:t>
      </w:r>
      <w:r>
        <w:rPr>
          <w:iCs/>
          <w:i/>
        </w:rPr>
        <w:t xml:space="preserve">h</w:t>
      </w:r>
      <w:r>
        <w:rPr>
          <w:vertAlign w:val="subscript"/>
        </w:rPr>
        <w:t xml:space="preserve">(1)</w:t>
      </w:r>
      <w:r>
        <w:t xml:space="preserve">, …,</w:t>
      </w:r>
      <w:r>
        <w:t xml:space="preserve"> </w:t>
      </w:r>
      <w:r>
        <w:rPr>
          <w:iCs/>
          <w:i/>
        </w:rPr>
        <w:t xml:space="preserve">h</w:t>
      </w:r>
      <w:r>
        <w:rPr>
          <w:vertAlign w:val="subscript"/>
        </w:rPr>
        <w:t xml:space="preserve">(</w:t>
      </w:r>
      <w:r>
        <w:rPr>
          <w:iCs/>
          <w:i/>
          <w:vertAlign w:val="subscript"/>
        </w:rPr>
        <w:t xml:space="preserve">k</w:t>
      </w:r>
      <w:r>
        <w:rPr>
          <w:vertAlign w:val="subscript"/>
        </w:rPr>
        <w:t xml:space="preserve">)</w:t>
      </w:r>
      <w:r>
        <w:t xml:space="preserve">) of Definition 18, and the label of each, minus</w:t>
      </w:r>
      <w:r>
        <w:t xml:space="preserve"> </w:t>
      </w:r>
      <w:r>
        <w:rPr>
          <w:iCs/>
          <w:i/>
        </w:rPr>
        <w:t xml:space="preserve">t</w:t>
      </w:r>
      <w:r>
        <w:t xml:space="preserve">, equals its travel time</w:t>
      </w:r>
      <w:r>
        <w:t xml:space="preserve"> </w:t>
      </w:r>
      <w:r>
        <w:rPr>
          <w:iCs/>
          <w:i/>
        </w:rPr>
        <w:t xml:space="preserve">T</w:t>
      </w:r>
      <w:r>
        <w:rPr>
          <w:iCs/>
          <w:i/>
          <w:vertAlign w:val="subscript"/>
        </w:rPr>
        <w:t xml:space="preserve">x</w:t>
      </w:r>
      <w:r>
        <w:t xml:space="preserve">(</w:t>
      </w:r>
      <w:r>
        <w:rPr>
          <w:iCs/>
          <w:i/>
        </w:rPr>
        <w:t xml:space="preserve">o</w:t>
      </w:r>
      <w:r>
        <w:t xml:space="preserve">,</w:t>
      </w:r>
      <w:r>
        <w:t xml:space="preserve"> </w:t>
      </w:r>
      <w:r>
        <w:rPr>
          <w:iCs/>
          <w:i/>
        </w:rPr>
        <w:t xml:space="preserve">h</w:t>
      </w:r>
      <w:r>
        <w:rPr>
          <w:vertAlign w:val="subscript"/>
        </w:rPr>
        <w:t xml:space="preserve">(</w:t>
      </w:r>
      <w:r>
        <w:rPr>
          <w:iCs/>
          <w:i/>
          <w:vertAlign w:val="subscript"/>
        </w:rPr>
        <w:t xml:space="preserve">j</w:t>
      </w:r>
      <w:r>
        <w:rPr>
          <w:vertAlign w:val="subscript"/>
        </w:rPr>
        <w:t xml:space="preserve">)</w:t>
      </w:r>
      <w:r>
        <w:t xml:space="preserve">,</w:t>
      </w:r>
      <w:r>
        <w:t xml:space="preserve"> </w:t>
      </w:r>
      <w:r>
        <w:rPr>
          <w:iCs/>
          <w:i/>
        </w:rPr>
        <w:t xml:space="preserve">t</w:t>
      </w:r>
      <w:r>
        <w:t xml:space="preserve">). For</w:t>
      </w:r>
      <w:r>
        <w:t xml:space="preserve"> </w:t>
      </w:r>
      <w:r>
        <w:rPr>
          <w:iCs/>
          <w:i/>
        </w:rPr>
        <w:t xml:space="preserve">k</w:t>
      </w:r>
      <w:r>
        <w:t xml:space="preserve"> </w:t>
      </w:r>
      <w:r>
        <w:t xml:space="preserve">= 1 this gives</w:t>
      </w:r>
      <w:r>
        <w:t xml:space="preserve"> </w:t>
      </w:r>
      <w:r>
        <w:rPr>
          <w:iCs/>
          <w:i/>
        </w:rPr>
        <w:t xml:space="preserve">h</w:t>
      </w:r>
      <w:r>
        <w:rPr>
          <w:vertAlign w:val="superscript"/>
        </w:rPr>
        <w:t xml:space="preserve">∗</w:t>
      </w:r>
      <w:r>
        <w:t xml:space="preserve">(</w:t>
      </w:r>
      <w:r>
        <w:rPr>
          <w:iCs/>
          <w:i/>
        </w:rPr>
        <w:t xml:space="preserve">o</w:t>
      </w:r>
      <w:r>
        <w:t xml:space="preserve">, π,</w:t>
      </w:r>
      <w:r>
        <w:t xml:space="preserve"> </w:t>
      </w:r>
      <w:r>
        <w:rPr>
          <w:iCs/>
          <w:i/>
        </w:rPr>
        <w:t xml:space="preserve">t</w:t>
      </w:r>
      <w:r>
        <w:t xml:space="preserve">) and</w:t>
      </w:r>
      <w:r>
        <w:t xml:space="preserve"> </w:t>
      </w:r>
      <w:r>
        <w:rPr>
          <w:iCs/>
          <w:i/>
        </w:rPr>
        <w:t xml:space="preserve">T</w:t>
      </w:r>
      <w:r>
        <w:rPr>
          <w:vertAlign w:val="superscript"/>
        </w:rPr>
        <w:t xml:space="preserve">∗</w:t>
      </w:r>
      <w:r>
        <w:t xml:space="preserve">(</w:t>
      </w:r>
      <w:r>
        <w:rPr>
          <w:iCs/>
          <w:i/>
        </w:rPr>
        <w:t xml:space="preserve">o</w:t>
      </w:r>
      <w:r>
        <w:t xml:space="preserve">, π,</w:t>
      </w:r>
      <w:r>
        <w:t xml:space="preserve"> </w:t>
      </w:r>
      <w:r>
        <w:rPr>
          <w:iCs/>
          <w:i/>
        </w:rPr>
        <w:t xml:space="preserve">t</w:t>
      </w:r>
      <w:r>
        <w:t xml:space="preserve">). If fewer than</w:t>
      </w:r>
      <w:r>
        <w:t xml:space="preserve"> </w:t>
      </w:r>
      <w:r>
        <w:rPr>
          <w:iCs/>
          <w:i/>
        </w:rPr>
        <w:t xml:space="preserve">k</w:t>
      </w:r>
      <w:r>
        <w:t xml:space="preserve"> </w:t>
      </w:r>
      <w:r>
        <w:t xml:space="preserve">suitable hospitals can be reached, the queue empties and the list holds all of them; if none can be reached,</w:t>
      </w:r>
      <w:r>
        <w:t xml:space="preserve"> </w:t>
      </w:r>
      <w:r>
        <w:rPr>
          <w:iCs/>
          <w:i/>
        </w:rPr>
        <w:t xml:space="preserve">T</w:t>
      </w:r>
      <w:r>
        <w:rPr>
          <w:vertAlign w:val="superscript"/>
        </w:rPr>
        <w:t xml:space="preserve">∗</w:t>
      </w:r>
      <w:r>
        <w:t xml:space="preserve"> </w:t>
      </w:r>
      <w:r>
        <w:t xml:space="preserve">= +∞.</w:t>
      </w:r>
    </w:p>
    <w:p>
      <w:pPr>
        <w:pStyle w:val="BodyText"/>
      </w:pPr>
      <w:r>
        <w:rPr>
          <w:iCs/>
          <w:i/>
        </w:rPr>
        <w:t xml:space="preserve">Proof.</w:t>
      </w:r>
      <w:r>
        <w:t xml:space="preserve"> </w:t>
      </w:r>
      <w:r>
        <w:t xml:space="preserve">Both graphs have nonnegative arc weights (</w:t>
      </w:r>
      <w:r>
        <w:rPr>
          <w:iCs/>
          <w:i/>
        </w:rPr>
        <w:t xml:space="preserve">G</w:t>
      </w:r>
      <w:r>
        <w:t xml:space="preserve"> </w:t>
      </w:r>
      <w:r>
        <w:t xml:space="preserve">by Assumption 1,</w:t>
      </w:r>
      <w:r>
        <w:t xml:space="preserve"> </w:t>
      </w:r>
      <w:r>
        <w:rPr>
          <w:iCs/>
          <w:i/>
        </w:rPr>
        <w:t xml:space="preserve">G</w:t>
      </w:r>
      <w:r>
        <w:rPr>
          <w:vertAlign w:val="subscript"/>
        </w:rPr>
        <w:t xml:space="preserve">γ</w:t>
      </w:r>
      <w:r>
        <w:rPr>
          <w:iCs/>
          <w:i/>
          <w:vertAlign w:val="subscript"/>
        </w:rPr>
        <w:t xml:space="preserve">amb</w:t>
      </w:r>
      <w:r>
        <w:t xml:space="preserve"> </w:t>
      </w:r>
      <w:r>
        <w:t xml:space="preserve">because lengths and speeds are positive), so labels leave the queue in nondecreasing order and are final when they leave, exactly as in Proposition 1. Let</w:t>
      </w:r>
      <w:r>
        <w:t xml:space="preserve"> </w:t>
      </w:r>
      <w:r>
        <w:rPr>
          <w:iCs/>
          <w:i/>
        </w:rPr>
        <w:t xml:space="preserve">L</w:t>
      </w:r>
      <w:r>
        <w:t xml:space="preserve"> </w:t>
      </w:r>
      <w:r>
        <w:t xml:space="preserve">be the label at which the</w:t>
      </w:r>
      <w:r>
        <w:t xml:space="preserve"> </w:t>
      </w:r>
      <w:r>
        <w:rPr>
          <w:iCs/>
          <w:i/>
        </w:rPr>
        <w:t xml:space="preserve">k</w:t>
      </w:r>
      <w:r>
        <w:t xml:space="preserve">-th suitable hospital vertex leaves the queue. Every suitable hospital with a label below</w:t>
      </w:r>
      <w:r>
        <w:t xml:space="preserve"> </w:t>
      </w:r>
      <w:r>
        <w:rPr>
          <w:iCs/>
          <w:i/>
        </w:rPr>
        <w:t xml:space="preserve">L</w:t>
      </w:r>
      <w:r>
        <w:t xml:space="preserve"> </w:t>
      </w:r>
      <w:r>
        <w:t xml:space="preserve">left the queue earlier, because labels leave in order. Every suitable hospital with label exactly</w:t>
      </w:r>
      <w:r>
        <w:t xml:space="preserve"> </w:t>
      </w:r>
      <w:r>
        <w:rPr>
          <w:iCs/>
          <w:i/>
        </w:rPr>
        <w:t xml:space="preserve">L</w:t>
      </w:r>
      <w:r>
        <w:t xml:space="preserve"> </w:t>
      </w:r>
      <w:r>
        <w:t xml:space="preserve">leaves before the search halts, by the halting rule. Every other suitable hospital has a label above</w:t>
      </w:r>
      <w:r>
        <w:t xml:space="preserve"> </w:t>
      </w:r>
      <w:r>
        <w:rPr>
          <w:iCs/>
          <w:i/>
        </w:rPr>
        <w:t xml:space="preserve">L</w:t>
      </w:r>
      <w:r>
        <w:t xml:space="preserve">. At least</w:t>
      </w:r>
      <w:r>
        <w:t xml:space="preserve"> </w:t>
      </w:r>
      <w:r>
        <w:rPr>
          <w:iCs/>
          <w:i/>
        </w:rPr>
        <w:t xml:space="preserve">k</w:t>
      </w:r>
      <w:r>
        <w:t xml:space="preserve"> </w:t>
      </w:r>
      <w:r>
        <w:t xml:space="preserve">suitable hospitals therefore have labels at most</w:t>
      </w:r>
      <w:r>
        <w:t xml:space="preserve"> </w:t>
      </w:r>
      <w:r>
        <w:rPr>
          <w:iCs/>
          <w:i/>
        </w:rPr>
        <w:t xml:space="preserve">L</w:t>
      </w:r>
      <w:r>
        <w:t xml:space="preserve">, and since the first component of the key is the travel time, the first</w:t>
      </w:r>
      <w:r>
        <w:t xml:space="preserve"> </w:t>
      </w:r>
      <w:r>
        <w:rPr>
          <w:iCs/>
          <w:i/>
        </w:rPr>
        <w:t xml:space="preserve">k</w:t>
      </w:r>
      <w:r>
        <w:t xml:space="preserve"> </w:t>
      </w:r>
      <w:r>
        <w:t xml:space="preserve">hospitals in key order all have labels at most</w:t>
      </w:r>
      <w:r>
        <w:t xml:space="preserve"> </w:t>
      </w:r>
      <w:r>
        <w:rPr>
          <w:iCs/>
          <w:i/>
        </w:rPr>
        <w:t xml:space="preserve">L</w:t>
      </w:r>
      <w:r>
        <w:t xml:space="preserve"> </w:t>
      </w:r>
      <w:r>
        <w:t xml:space="preserve">and were all extracted with exact labels. Sorting the extracted hospitals by key therefore yields</w:t>
      </w:r>
      <w:r>
        <w:t xml:space="preserve"> </w:t>
      </w:r>
      <w:r>
        <w:rPr>
          <w:iCs/>
          <w:i/>
        </w:rPr>
        <w:t xml:space="preserve">h</w:t>
      </w:r>
      <w:r>
        <w:rPr>
          <w:vertAlign w:val="subscript"/>
        </w:rPr>
        <w:t xml:space="preserve">(1)</w:t>
      </w:r>
      <w:r>
        <w:t xml:space="preserve">, …,</w:t>
      </w:r>
      <w:r>
        <w:t xml:space="preserve"> </w:t>
      </w:r>
      <w:r>
        <w:rPr>
          <w:iCs/>
          <w:i/>
        </w:rPr>
        <w:t xml:space="preserve">h</w:t>
      </w:r>
      <w:r>
        <w:rPr>
          <w:vertAlign w:val="subscript"/>
        </w:rPr>
        <w:t xml:space="preserve">(</w:t>
      </w:r>
      <w:r>
        <w:rPr>
          <w:iCs/>
          <w:i/>
          <w:vertAlign w:val="subscript"/>
        </w:rPr>
        <w:t xml:space="preserve">k</w:t>
      </w:r>
      <w:r>
        <w:rPr>
          <w:vertAlign w:val="subscript"/>
        </w:rPr>
        <w:t xml:space="preserve">)</w:t>
      </w:r>
      <w:r>
        <w:t xml:space="preserve">. In patient mode the sink</w:t>
      </w:r>
      <w:r>
        <w:t xml:space="preserve"> </w:t>
      </w:r>
      <w:r>
        <w:rPr>
          <w:iCs/>
          <w:i/>
        </w:rPr>
        <w:t xml:space="preserve">z</w:t>
      </w:r>
      <w:r>
        <w:rPr>
          <w:iCs/>
          <w:i/>
          <w:vertAlign w:val="subscript"/>
        </w:rPr>
        <w:t xml:space="preserve">h</w:t>
      </w:r>
      <w:r>
        <w:t xml:space="preserve"> </w:t>
      </w:r>
      <w:r>
        <w:t xml:space="preserve">is entered only through walking arcs from arrival events, so its label is the earliest possible arrival at the hospital and the travel time is</w:t>
      </w:r>
      <w:r>
        <w:t xml:space="preserve"> </w:t>
      </w:r>
      <w:r>
        <w:rPr>
          <w:iCs/>
          <w:i/>
        </w:rPr>
        <w:t xml:space="preserve">L</w:t>
      </w:r>
      <w:r>
        <w:rPr>
          <w:iCs/>
          <w:i/>
          <w:vertAlign w:val="subscript"/>
        </w:rPr>
        <w:t xml:space="preserve">h</w:t>
      </w:r>
      <w:r>
        <w:t xml:space="preserve"> </w:t>
      </w:r>
      <w:r>
        <w:t xml:space="preserve">−</w:t>
      </w:r>
      <w:r>
        <w:t xml:space="preserve"> </w:t>
      </w:r>
      <w:r>
        <w:rPr>
          <w:iCs/>
          <w:i/>
        </w:rPr>
        <w:t xml:space="preserve">t</w:t>
      </w:r>
      <w:r>
        <w:t xml:space="preserve">. If fewer than</w:t>
      </w:r>
      <w:r>
        <w:t xml:space="preserve"> </w:t>
      </w:r>
      <w:r>
        <w:rPr>
          <w:iCs/>
          <w:i/>
        </w:rPr>
        <w:t xml:space="preserve">k</w:t>
      </w:r>
      <w:r>
        <w:t xml:space="preserve"> </w:t>
      </w:r>
      <w:r>
        <w:t xml:space="preserve">suitable hospitals are reachable, the halting rule never fires, the queue empties, and every reachable suitable hospital has been extracted with its exact label. □</w:t>
      </w:r>
    </w:p>
    <w:p>
      <w:pPr>
        <w:pStyle w:val="BodyText"/>
      </w:pPr>
      <w:r>
        <w:rPr>
          <w:bCs/>
          <w:b/>
        </w:rPr>
        <w:t xml:space="preserve">Remark 7 (Why hospital mode is fast).</w:t>
      </w:r>
      <w:r>
        <w:t xml:space="preserve"> </w:t>
      </w:r>
      <w:r>
        <w:t xml:space="preserve">An atlas query must find paths from an origin to every landmark. A hospital query needs only the few nearest suitable hospitals, so it can stop early. Proposition 9 confines the work to vertices nearer than the</w:t>
      </w:r>
      <w:r>
        <w:t xml:space="preserve"> </w:t>
      </w:r>
      <w:r>
        <w:rPr>
          <w:iCs/>
          <w:i/>
        </w:rPr>
        <w:t xml:space="preserve">k</w:t>
      </w:r>
      <w:r>
        <w:t xml:space="preserve">-th suitable hospital, a small share of a large network; Table 18 measures that share for</w:t>
      </w:r>
      <w:r>
        <w:t xml:space="preserve"> </w:t>
      </w:r>
      <w:r>
        <w:rPr>
          <w:iCs/>
          <w:i/>
        </w:rPr>
        <w:t xml:space="preserve">k</w:t>
      </w:r>
      <w:r>
        <w:t xml:space="preserve"> </w:t>
      </w:r>
      <w:r>
        <w:t xml:space="preserve">= 1.</w:t>
      </w:r>
    </w:p>
    <w:p>
      <w:pPr>
        <w:pStyle w:val="BodyText"/>
      </w:pPr>
      <w:r>
        <w:rPr>
          <w:bCs/>
          <w:b/>
        </w:rPr>
        <w:t xml:space="preserve">Proposition 10 (Suitability is monotone in ability to pay, acuity, and needs).</w:t>
      </w:r>
      <w:r>
        <w:t xml:space="preserve"> </w:t>
      </w:r>
      <w:r>
        <w:t xml:space="preserve">Fix</w:t>
      </w:r>
      <w:r>
        <w:t xml:space="preserve"> </w:t>
      </w:r>
      <w:r>
        <w:rPr>
          <w:iCs/>
          <w:i/>
        </w:rPr>
        <w:t xml:space="preserve">o</w:t>
      </w:r>
      <w:r>
        <w:t xml:space="preserve">,</w:t>
      </w:r>
      <w:r>
        <w:t xml:space="preserve"> </w:t>
      </w:r>
      <w:r>
        <w:rPr>
          <w:iCs/>
          <w:i/>
        </w:rPr>
        <w:t xml:space="preserve">t</w:t>
      </w:r>
      <w:r>
        <w:t xml:space="preserve">, the mode of travel, the mobility class, and every bed status.</w:t>
      </w:r>
    </w:p>
    <w:p>
      <w:pPr>
        <w:numPr>
          <w:ilvl w:val="0"/>
          <w:numId w:val="1006"/>
        </w:numPr>
      </w:pPr>
      <w:r>
        <w:t xml:space="preserve">If ρ ≤ ρ′, then</w:t>
      </w:r>
      <w:r>
        <w:t xml:space="preserve"> </w:t>
      </w:r>
      <w:r>
        <w:rPr>
          <w:iCs/>
          <w:i/>
        </w:rPr>
        <w:t xml:space="preserve">H</w:t>
      </w:r>
      <w:r>
        <w:rPr>
          <w:vertAlign w:val="subscript"/>
        </w:rPr>
        <w:t xml:space="preserve">(κ, </w:t>
      </w:r>
      <w:r>
        <w:rPr>
          <w:iCs/>
          <w:i/>
          <w:vertAlign w:val="subscript"/>
        </w:rPr>
        <w:t xml:space="preserve">N</w:t>
      </w:r>
      <w:r>
        <w:rPr>
          <w:vertAlign w:val="subscript"/>
        </w:rPr>
        <w:t xml:space="preserve">, ρ, </w:t>
      </w:r>
      <w:r>
        <w:rPr>
          <w:iCs/>
          <w:i/>
          <w:vertAlign w:val="subscript"/>
        </w:rPr>
        <w:t xml:space="preserve">m</w:t>
      </w:r>
      <w:r>
        <w:rPr>
          <w:vertAlign w:val="subscript"/>
        </w:rPr>
        <w:t xml:space="preserve">)</w:t>
      </w:r>
      <w:r>
        <w:t xml:space="preserve">(</w:t>
      </w:r>
      <w:r>
        <w:rPr>
          <w:iCs/>
          <w:i/>
        </w:rPr>
        <w:t xml:space="preserve">t</w:t>
      </w:r>
      <w:r>
        <w:t xml:space="preserve">) ⊆</w:t>
      </w:r>
      <w:r>
        <w:t xml:space="preserve"> </w:t>
      </w:r>
      <w:r>
        <w:rPr>
          <w:iCs/>
          <w:i/>
        </w:rPr>
        <w:t xml:space="preserve">H</w:t>
      </w:r>
      <w:r>
        <w:rPr>
          <w:vertAlign w:val="subscript"/>
        </w:rPr>
        <w:t xml:space="preserve">(κ, </w:t>
      </w:r>
      <w:r>
        <w:rPr>
          <w:iCs/>
          <w:i/>
          <w:vertAlign w:val="subscript"/>
        </w:rPr>
        <w:t xml:space="preserve">N</w:t>
      </w:r>
      <w:r>
        <w:rPr>
          <w:vertAlign w:val="subscript"/>
        </w:rPr>
        <w:t xml:space="preserve">, ρ′, </w:t>
      </w:r>
      <w:r>
        <w:rPr>
          <w:iCs/>
          <w:i/>
          <w:vertAlign w:val="subscript"/>
        </w:rPr>
        <w:t xml:space="preserve">m</w:t>
      </w:r>
      <w:r>
        <w:rPr>
          <w:vertAlign w:val="subscript"/>
        </w:rPr>
        <w:t xml:space="preserve">)</w:t>
      </w:r>
      <w:r>
        <w:t xml:space="preserve">(</w:t>
      </w:r>
      <w:r>
        <w:rPr>
          <w:iCs/>
          <w:i/>
        </w:rPr>
        <w:t xml:space="preserve">t</w:t>
      </w:r>
      <w:r>
        <w:t xml:space="preserve">) and</w:t>
      </w:r>
      <w:r>
        <w:t xml:space="preserve"> </w:t>
      </w:r>
      <w:r>
        <w:rPr>
          <w:iCs/>
          <w:i/>
        </w:rPr>
        <w:t xml:space="preserve">T</w:t>
      </w:r>
      <w:r>
        <w:rPr>
          <w:vertAlign w:val="superscript"/>
        </w:rPr>
        <w:t xml:space="preserve">∗</w:t>
      </w:r>
      <w:r>
        <w:t xml:space="preserve">(</w:t>
      </w:r>
      <w:r>
        <w:rPr>
          <w:iCs/>
          <w:i/>
        </w:rPr>
        <w:t xml:space="preserve">o</w:t>
      </w:r>
      <w:r>
        <w:t xml:space="preserve">, (κ,</w:t>
      </w:r>
      <w:r>
        <w:t xml:space="preserve"> </w:t>
      </w:r>
      <w:r>
        <w:rPr>
          <w:iCs/>
          <w:i/>
        </w:rPr>
        <w:t xml:space="preserve">N</w:t>
      </w:r>
      <w:r>
        <w:t xml:space="preserve">, ρ′,</w:t>
      </w:r>
      <w:r>
        <w:t xml:space="preserve"> </w:t>
      </w:r>
      <w:r>
        <w:rPr>
          <w:iCs/>
          <w:i/>
        </w:rPr>
        <w:t xml:space="preserve">m</w:t>
      </w:r>
      <w:r>
        <w:t xml:space="preserve">),</w:t>
      </w:r>
      <w:r>
        <w:t xml:space="preserve"> </w:t>
      </w:r>
      <w:r>
        <w:rPr>
          <w:iCs/>
          <w:i/>
        </w:rPr>
        <w:t xml:space="preserve">t</w:t>
      </w:r>
      <w:r>
        <w:t xml:space="preserve">) ≤</w:t>
      </w:r>
      <w:r>
        <w:t xml:space="preserve"> </w:t>
      </w:r>
      <w:r>
        <w:rPr>
          <w:iCs/>
          <w:i/>
        </w:rPr>
        <w:t xml:space="preserve">T</w:t>
      </w:r>
      <w:r>
        <w:rPr>
          <w:vertAlign w:val="superscript"/>
        </w:rPr>
        <w:t xml:space="preserve">∗</w:t>
      </w:r>
      <w:r>
        <w:t xml:space="preserve">(</w:t>
      </w:r>
      <w:r>
        <w:rPr>
          <w:iCs/>
          <w:i/>
        </w:rPr>
        <w:t xml:space="preserve">o</w:t>
      </w:r>
      <w:r>
        <w:t xml:space="preserve">, (κ,</w:t>
      </w:r>
      <w:r>
        <w:t xml:space="preserve"> </w:t>
      </w:r>
      <w:r>
        <w:rPr>
          <w:iCs/>
          <w:i/>
        </w:rPr>
        <w:t xml:space="preserve">N</w:t>
      </w:r>
      <w:r>
        <w:t xml:space="preserve">, ρ,</w:t>
      </w:r>
      <w:r>
        <w:t xml:space="preserve"> </w:t>
      </w:r>
      <w:r>
        <w:rPr>
          <w:iCs/>
          <w:i/>
        </w:rPr>
        <w:t xml:space="preserve">m</w:t>
      </w:r>
      <w:r>
        <w:t xml:space="preserve">),</w:t>
      </w:r>
      <w:r>
        <w:t xml:space="preserve"> </w:t>
      </w:r>
      <w:r>
        <w:rPr>
          <w:iCs/>
          <w:i/>
        </w:rPr>
        <w:t xml:space="preserve">t</w:t>
      </w:r>
      <w:r>
        <w:t xml:space="preserve">).</w:t>
      </w:r>
    </w:p>
    <w:p>
      <w:pPr>
        <w:numPr>
          <w:ilvl w:val="0"/>
          <w:numId w:val="1006"/>
        </w:numPr>
      </w:pPr>
      <w:r>
        <w:t xml:space="preserve">If κ and κ′ are both inside</w:t>
      </w:r>
      <w:r>
        <w:t xml:space="preserve"> </w:t>
      </w:r>
      <w:r>
        <w:rPr>
          <w:iCs/>
          <w:i/>
        </w:rPr>
        <w:t xml:space="preserve">K</w:t>
      </w:r>
      <w:r>
        <w:rPr>
          <w:iCs/>
          <w:i/>
          <w:vertAlign w:val="subscript"/>
        </w:rPr>
        <w:t xml:space="preserve">E</w:t>
      </w:r>
      <w:r>
        <w:t xml:space="preserve"> </w:t>
      </w:r>
      <w:r>
        <w:t xml:space="preserve">or both outside it, and λ(κ) ≥ λ(κ′), then</w:t>
      </w:r>
      <w:r>
        <w:t xml:space="preserve"> </w:t>
      </w:r>
      <w:r>
        <w:rPr>
          <w:iCs/>
          <w:i/>
        </w:rPr>
        <w:t xml:space="preserve">H</w:t>
      </w:r>
      <w:r>
        <w:rPr>
          <w:vertAlign w:val="subscript"/>
        </w:rPr>
        <w:t xml:space="preserve">(κ, </w:t>
      </w:r>
      <w:r>
        <w:rPr>
          <w:iCs/>
          <w:i/>
          <w:vertAlign w:val="subscript"/>
        </w:rPr>
        <w:t xml:space="preserve">N</w:t>
      </w:r>
      <w:r>
        <w:rPr>
          <w:vertAlign w:val="subscript"/>
        </w:rPr>
        <w:t xml:space="preserve">, ρ, </w:t>
      </w:r>
      <w:r>
        <w:rPr>
          <w:iCs/>
          <w:i/>
          <w:vertAlign w:val="subscript"/>
        </w:rPr>
        <w:t xml:space="preserve">m</w:t>
      </w:r>
      <w:r>
        <w:rPr>
          <w:vertAlign w:val="subscript"/>
        </w:rPr>
        <w:t xml:space="preserve">)</w:t>
      </w:r>
      <w:r>
        <w:t xml:space="preserve">(</w:t>
      </w:r>
      <w:r>
        <w:rPr>
          <w:iCs/>
          <w:i/>
        </w:rPr>
        <w:t xml:space="preserve">t</w:t>
      </w:r>
      <w:r>
        <w:t xml:space="preserve">) ⊆</w:t>
      </w:r>
      <w:r>
        <w:t xml:space="preserve"> </w:t>
      </w:r>
      <w:r>
        <w:rPr>
          <w:iCs/>
          <w:i/>
        </w:rPr>
        <w:t xml:space="preserve">H</w:t>
      </w:r>
      <w:r>
        <w:rPr>
          <w:vertAlign w:val="subscript"/>
        </w:rPr>
        <w:t xml:space="preserve">(κ′, </w:t>
      </w:r>
      <w:r>
        <w:rPr>
          <w:iCs/>
          <w:i/>
          <w:vertAlign w:val="subscript"/>
        </w:rPr>
        <w:t xml:space="preserve">N</w:t>
      </w:r>
      <w:r>
        <w:rPr>
          <w:vertAlign w:val="subscript"/>
        </w:rPr>
        <w:t xml:space="preserve">, ρ, </w:t>
      </w:r>
      <w:r>
        <w:rPr>
          <w:iCs/>
          <w:i/>
          <w:vertAlign w:val="subscript"/>
        </w:rPr>
        <w:t xml:space="preserve">m</w:t>
      </w:r>
      <w:r>
        <w:rPr>
          <w:vertAlign w:val="subscript"/>
        </w:rPr>
        <w:t xml:space="preserve">)</w:t>
      </w:r>
      <w:r>
        <w:t xml:space="preserve">(</w:t>
      </w:r>
      <w:r>
        <w:rPr>
          <w:iCs/>
          <w:i/>
        </w:rPr>
        <w:t xml:space="preserve">t</w:t>
      </w:r>
      <w:r>
        <w:t xml:space="preserve">) and</w:t>
      </w:r>
      <w:r>
        <w:t xml:space="preserve"> </w:t>
      </w:r>
      <w:r>
        <w:rPr>
          <w:iCs/>
          <w:i/>
        </w:rPr>
        <w:t xml:space="preserve">T</w:t>
      </w:r>
      <w:r>
        <w:rPr>
          <w:vertAlign w:val="superscript"/>
        </w:rPr>
        <w:t xml:space="preserve">∗</w:t>
      </w:r>
      <w:r>
        <w:t xml:space="preserve">(</w:t>
      </w:r>
      <w:r>
        <w:rPr>
          <w:iCs/>
          <w:i/>
        </w:rPr>
        <w:t xml:space="preserve">o</w:t>
      </w:r>
      <w:r>
        <w:t xml:space="preserve">, (κ′,</w:t>
      </w:r>
      <w:r>
        <w:t xml:space="preserve"> </w:t>
      </w:r>
      <w:r>
        <w:rPr>
          <w:iCs/>
          <w:i/>
        </w:rPr>
        <w:t xml:space="preserve">N</w:t>
      </w:r>
      <w:r>
        <w:t xml:space="preserve">, ρ,</w:t>
      </w:r>
      <w:r>
        <w:t xml:space="preserve"> </w:t>
      </w:r>
      <w:r>
        <w:rPr>
          <w:iCs/>
          <w:i/>
        </w:rPr>
        <w:t xml:space="preserve">m</w:t>
      </w:r>
      <w:r>
        <w:t xml:space="preserve">),</w:t>
      </w:r>
      <w:r>
        <w:t xml:space="preserve"> </w:t>
      </w:r>
      <w:r>
        <w:rPr>
          <w:iCs/>
          <w:i/>
        </w:rPr>
        <w:t xml:space="preserve">t</w:t>
      </w:r>
      <w:r>
        <w:t xml:space="preserve">) ≤</w:t>
      </w:r>
      <w:r>
        <w:t xml:space="preserve"> </w:t>
      </w:r>
      <w:r>
        <w:rPr>
          <w:iCs/>
          <w:i/>
        </w:rPr>
        <w:t xml:space="preserve">T</w:t>
      </w:r>
      <w:r>
        <w:rPr>
          <w:vertAlign w:val="superscript"/>
        </w:rPr>
        <w:t xml:space="preserve">∗</w:t>
      </w:r>
      <w:r>
        <w:t xml:space="preserve">(</w:t>
      </w:r>
      <w:r>
        <w:rPr>
          <w:iCs/>
          <w:i/>
        </w:rPr>
        <w:t xml:space="preserve">o</w:t>
      </w:r>
      <w:r>
        <w:t xml:space="preserve">, (κ,</w:t>
      </w:r>
      <w:r>
        <w:t xml:space="preserve"> </w:t>
      </w:r>
      <w:r>
        <w:rPr>
          <w:iCs/>
          <w:i/>
        </w:rPr>
        <w:t xml:space="preserve">N</w:t>
      </w:r>
      <w:r>
        <w:t xml:space="preserve">, ρ,</w:t>
      </w:r>
      <w:r>
        <w:t xml:space="preserve"> </w:t>
      </w:r>
      <w:r>
        <w:rPr>
          <w:iCs/>
          <w:i/>
        </w:rPr>
        <w:t xml:space="preserve">m</w:t>
      </w:r>
      <w:r>
        <w:t xml:space="preserve">),</w:t>
      </w:r>
      <w:r>
        <w:t xml:space="preserve"> </w:t>
      </w:r>
      <w:r>
        <w:rPr>
          <w:iCs/>
          <w:i/>
        </w:rPr>
        <w:t xml:space="preserve">t</w:t>
      </w:r>
      <w:r>
        <w:t xml:space="preserve">).</w:t>
      </w:r>
    </w:p>
    <w:p>
      <w:pPr>
        <w:numPr>
          <w:ilvl w:val="0"/>
          <w:numId w:val="1006"/>
        </w:numPr>
      </w:pPr>
      <w:r>
        <w:t xml:space="preserve">If κ ∈</w:t>
      </w:r>
      <w:r>
        <w:t xml:space="preserve"> </w:t>
      </w:r>
      <w:r>
        <w:rPr>
          <w:iCs/>
          <w:i/>
        </w:rPr>
        <w:t xml:space="preserve">K</w:t>
      </w:r>
      <w:r>
        <w:rPr>
          <w:iCs/>
          <w:i/>
          <w:vertAlign w:val="subscript"/>
        </w:rPr>
        <w:t xml:space="preserve">E</w:t>
      </w:r>
      <w:r>
        <w:t xml:space="preserve">, then</w:t>
      </w:r>
      <w:r>
        <w:t xml:space="preserve"> </w:t>
      </w:r>
      <w:r>
        <w:rPr>
          <w:iCs/>
          <w:i/>
        </w:rPr>
        <w:t xml:space="preserve">H</w:t>
      </w:r>
      <w:r>
        <w:rPr>
          <w:vertAlign w:val="subscript"/>
        </w:rPr>
        <w:t xml:space="preserve">(κ, </w:t>
      </w:r>
      <w:r>
        <w:rPr>
          <w:iCs/>
          <w:i/>
          <w:vertAlign w:val="subscript"/>
        </w:rPr>
        <w:t xml:space="preserve">N</w:t>
      </w:r>
      <w:r>
        <w:rPr>
          <w:vertAlign w:val="subscript"/>
        </w:rPr>
        <w:t xml:space="preserve">, ρ, </w:t>
      </w:r>
      <w:r>
        <w:rPr>
          <w:iCs/>
          <w:i/>
          <w:vertAlign w:val="subscript"/>
        </w:rPr>
        <w:t xml:space="preserve">m</w:t>
      </w:r>
      <w:r>
        <w:rPr>
          <w:vertAlign w:val="subscript"/>
        </w:rPr>
        <w:t xml:space="preserve">)</w:t>
      </w:r>
      <w:r>
        <w:t xml:space="preserve">(</w:t>
      </w:r>
      <w:r>
        <w:rPr>
          <w:iCs/>
          <w:i/>
        </w:rPr>
        <w:t xml:space="preserve">t</w:t>
      </w:r>
      <w:r>
        <w:t xml:space="preserve">) =</w:t>
      </w:r>
      <w:r>
        <w:t xml:space="preserve"> </w:t>
      </w:r>
      <w:r>
        <w:rPr>
          <w:iCs/>
          <w:i/>
        </w:rPr>
        <w:t xml:space="preserve">H</w:t>
      </w:r>
      <w:r>
        <w:rPr>
          <w:vertAlign w:val="subscript"/>
        </w:rPr>
        <w:t xml:space="preserve">(κ, </w:t>
      </w:r>
      <w:r>
        <w:rPr>
          <w:iCs/>
          <w:i/>
          <w:vertAlign w:val="subscript"/>
        </w:rPr>
        <w:t xml:space="preserve">N</w:t>
      </w:r>
      <w:r>
        <w:rPr>
          <w:vertAlign w:val="subscript"/>
        </w:rPr>
        <w:t xml:space="preserve">, ρmax, </w:t>
      </w:r>
      <w:r>
        <w:rPr>
          <w:iCs/>
          <w:i/>
          <w:vertAlign w:val="subscript"/>
        </w:rPr>
        <w:t xml:space="preserve">m</w:t>
      </w:r>
      <w:r>
        <w:rPr>
          <w:vertAlign w:val="subscript"/>
        </w:rPr>
        <w:t xml:space="preserve">)</w:t>
      </w:r>
      <w:r>
        <w:t xml:space="preserve">(</w:t>
      </w:r>
      <w:r>
        <w:rPr>
          <w:iCs/>
          <w:i/>
        </w:rPr>
        <w:t xml:space="preserve">t</w:t>
      </w:r>
      <w:r>
        <w:t xml:space="preserve">) whatever ρ is.</w:t>
      </w:r>
    </w:p>
    <w:p>
      <w:pPr>
        <w:numPr>
          <w:ilvl w:val="0"/>
          <w:numId w:val="1006"/>
        </w:numPr>
      </w:pPr>
      <w:r>
        <w:t xml:space="preserve">If</w:t>
      </w:r>
      <w:r>
        <w:t xml:space="preserve"> </w:t>
      </w:r>
      <w:r>
        <w:rPr>
          <w:iCs/>
          <w:i/>
        </w:rPr>
        <w:t xml:space="preserve">N</w:t>
      </w:r>
      <w:r>
        <w:t xml:space="preserve"> </w:t>
      </w:r>
      <w:r>
        <w:t xml:space="preserve">⊆</w:t>
      </w:r>
      <w:r>
        <w:t xml:space="preserve"> </w:t>
      </w:r>
      <w:r>
        <w:rPr>
          <w:iCs/>
          <w:i/>
        </w:rPr>
        <w:t xml:space="preserve">N</w:t>
      </w:r>
      <w:r>
        <w:t xml:space="preserve">′, then</w:t>
      </w:r>
      <w:r>
        <w:t xml:space="preserve"> </w:t>
      </w:r>
      <w:r>
        <w:rPr>
          <w:iCs/>
          <w:i/>
        </w:rPr>
        <w:t xml:space="preserve">H</w:t>
      </w:r>
      <w:r>
        <w:rPr>
          <w:vertAlign w:val="subscript"/>
        </w:rPr>
        <w:t xml:space="preserve">(κ, </w:t>
      </w:r>
      <w:r>
        <w:rPr>
          <w:iCs/>
          <w:i/>
          <w:vertAlign w:val="subscript"/>
        </w:rPr>
        <w:t xml:space="preserve">N</w:t>
      </w:r>
      <w:r>
        <w:rPr>
          <w:vertAlign w:val="subscript"/>
        </w:rPr>
        <w:t xml:space="preserve">′, ρ, </w:t>
      </w:r>
      <w:r>
        <w:rPr>
          <w:iCs/>
          <w:i/>
          <w:vertAlign w:val="subscript"/>
        </w:rPr>
        <w:t xml:space="preserve">m</w:t>
      </w:r>
      <w:r>
        <w:rPr>
          <w:vertAlign w:val="subscript"/>
        </w:rPr>
        <w:t xml:space="preserve">)</w:t>
      </w:r>
      <w:r>
        <w:t xml:space="preserve">(</w:t>
      </w:r>
      <w:r>
        <w:rPr>
          <w:iCs/>
          <w:i/>
        </w:rPr>
        <w:t xml:space="preserve">t</w:t>
      </w:r>
      <w:r>
        <w:t xml:space="preserve">) ⊆</w:t>
      </w:r>
      <w:r>
        <w:t xml:space="preserve"> </w:t>
      </w:r>
      <w:r>
        <w:rPr>
          <w:iCs/>
          <w:i/>
        </w:rPr>
        <w:t xml:space="preserve">H</w:t>
      </w:r>
      <w:r>
        <w:rPr>
          <w:vertAlign w:val="subscript"/>
        </w:rPr>
        <w:t xml:space="preserve">(κ, </w:t>
      </w:r>
      <w:r>
        <w:rPr>
          <w:iCs/>
          <w:i/>
          <w:vertAlign w:val="subscript"/>
        </w:rPr>
        <w:t xml:space="preserve">N</w:t>
      </w:r>
      <w:r>
        <w:rPr>
          <w:vertAlign w:val="subscript"/>
        </w:rPr>
        <w:t xml:space="preserve">, ρ, </w:t>
      </w:r>
      <w:r>
        <w:rPr>
          <w:iCs/>
          <w:i/>
          <w:vertAlign w:val="subscript"/>
        </w:rPr>
        <w:t xml:space="preserve">m</w:t>
      </w:r>
      <w:r>
        <w:rPr>
          <w:vertAlign w:val="subscript"/>
        </w:rPr>
        <w:t xml:space="preserve">)</w:t>
      </w:r>
      <w:r>
        <w:t xml:space="preserve">(</w:t>
      </w:r>
      <w:r>
        <w:rPr>
          <w:iCs/>
          <w:i/>
        </w:rPr>
        <w:t xml:space="preserve">t</w:t>
      </w:r>
      <w:r>
        <w:t xml:space="preserve">) and</w:t>
      </w:r>
      <w:r>
        <w:t xml:space="preserve"> </w:t>
      </w:r>
      <w:r>
        <w:rPr>
          <w:iCs/>
          <w:i/>
        </w:rPr>
        <w:t xml:space="preserve">T</w:t>
      </w:r>
      <w:r>
        <w:rPr>
          <w:vertAlign w:val="superscript"/>
        </w:rPr>
        <w:t xml:space="preserve">∗</w:t>
      </w:r>
      <w:r>
        <w:t xml:space="preserve">(</w:t>
      </w:r>
      <w:r>
        <w:rPr>
          <w:iCs/>
          <w:i/>
        </w:rPr>
        <w:t xml:space="preserve">o</w:t>
      </w:r>
      <w:r>
        <w:t xml:space="preserve">, (κ,</w:t>
      </w:r>
      <w:r>
        <w:t xml:space="preserve"> </w:t>
      </w:r>
      <w:r>
        <w:rPr>
          <w:iCs/>
          <w:i/>
        </w:rPr>
        <w:t xml:space="preserve">N</w:t>
      </w:r>
      <w:r>
        <w:t xml:space="preserve">, ρ,</w:t>
      </w:r>
      <w:r>
        <w:t xml:space="preserve"> </w:t>
      </w:r>
      <w:r>
        <w:rPr>
          <w:iCs/>
          <w:i/>
        </w:rPr>
        <w:t xml:space="preserve">m</w:t>
      </w:r>
      <w:r>
        <w:t xml:space="preserve">),</w:t>
      </w:r>
      <w:r>
        <w:t xml:space="preserve"> </w:t>
      </w:r>
      <w:r>
        <w:rPr>
          <w:iCs/>
          <w:i/>
        </w:rPr>
        <w:t xml:space="preserve">t</w:t>
      </w:r>
      <w:r>
        <w:t xml:space="preserve">) ≤</w:t>
      </w:r>
      <w:r>
        <w:t xml:space="preserve"> </w:t>
      </w:r>
      <w:r>
        <w:rPr>
          <w:iCs/>
          <w:i/>
        </w:rPr>
        <w:t xml:space="preserve">T</w:t>
      </w:r>
      <w:r>
        <w:rPr>
          <w:vertAlign w:val="superscript"/>
        </w:rPr>
        <w:t xml:space="preserve">∗</w:t>
      </w:r>
      <w:r>
        <w:t xml:space="preserve">(</w:t>
      </w:r>
      <w:r>
        <w:rPr>
          <w:iCs/>
          <w:i/>
        </w:rPr>
        <w:t xml:space="preserve">o</w:t>
      </w:r>
      <w:r>
        <w:t xml:space="preserve">, (κ,</w:t>
      </w:r>
      <w:r>
        <w:t xml:space="preserve"> </w:t>
      </w:r>
      <w:r>
        <w:rPr>
          <w:iCs/>
          <w:i/>
        </w:rPr>
        <w:t xml:space="preserve">N</w:t>
      </w:r>
      <w:r>
        <w:t xml:space="preserve">′, ρ,</w:t>
      </w:r>
      <w:r>
        <w:t xml:space="preserve"> </w:t>
      </w:r>
      <w:r>
        <w:rPr>
          <w:iCs/>
          <w:i/>
        </w:rPr>
        <w:t xml:space="preserve">m</w:t>
      </w:r>
      <w:r>
        <w:t xml:space="preserve">),</w:t>
      </w:r>
      <w:r>
        <w:t xml:space="preserve"> </w:t>
      </w:r>
      <w:r>
        <w:rPr>
          <w:iCs/>
          <w:i/>
        </w:rPr>
        <w:t xml:space="preserve">t</w:t>
      </w:r>
      <w:r>
        <w:t xml:space="preserve">).</w:t>
      </w:r>
    </w:p>
    <w:p>
      <w:pPr>
        <w:pStyle w:val="FirstParagraph"/>
      </w:pPr>
      <w:r>
        <w:rPr>
          <w:iCs/>
          <w:i/>
        </w:rPr>
        <w:t xml:space="preserve">Proof.</w:t>
      </w:r>
      <w:r>
        <w:t xml:space="preserve"> </w:t>
      </w:r>
      <w:r>
        <w:t xml:space="preserve">The travel time</w:t>
      </w:r>
      <w:r>
        <w:t xml:space="preserve"> </w:t>
      </w:r>
      <w:r>
        <w:rPr>
          <w:iCs/>
          <w:i/>
        </w:rPr>
        <w:t xml:space="preserve">T</w:t>
      </w:r>
      <w:r>
        <w:rPr>
          <w:iCs/>
          <w:i/>
          <w:vertAlign w:val="subscript"/>
        </w:rPr>
        <w:t xml:space="preserve">x</w:t>
      </w:r>
      <w:r>
        <w:t xml:space="preserve">(</w:t>
      </w:r>
      <w:r>
        <w:rPr>
          <w:iCs/>
          <w:i/>
        </w:rPr>
        <w:t xml:space="preserve">o</w:t>
      </w:r>
      <w:r>
        <w:t xml:space="preserve">,</w:t>
      </w:r>
      <w:r>
        <w:t xml:space="preserve"> </w:t>
      </w:r>
      <w:r>
        <w:rPr>
          <w:iCs/>
          <w:i/>
        </w:rPr>
        <w:t xml:space="preserve">h</w:t>
      </w:r>
      <w:r>
        <w:t xml:space="preserve">,</w:t>
      </w:r>
      <w:r>
        <w:t xml:space="preserve"> </w:t>
      </w:r>
      <w:r>
        <w:rPr>
          <w:iCs/>
          <w:i/>
        </w:rPr>
        <w:t xml:space="preserve">t</w:t>
      </w:r>
      <w:r>
        <w:t xml:space="preserve">) depends on the mode and the mobility class but not on κ,</w:t>
      </w:r>
      <w:r>
        <w:t xml:space="preserve"> </w:t>
      </w:r>
      <w:r>
        <w:rPr>
          <w:iCs/>
          <w:i/>
        </w:rPr>
        <w:t xml:space="preserve">N</w:t>
      </w:r>
      <w:r>
        <w:t xml:space="preserve">, or ρ, so in every part only the suitable set changes, and a minimum over a set is never below the minimum over a set that contains it. (i) Of the five factors in Equation (16), only the last involves ρ, and</w:t>
      </w:r>
      <w:r>
        <w:t xml:space="preserve"> </w:t>
      </w:r>
      <w:r>
        <w:rPr>
          <w:bCs/>
          <w:b/>
        </w:rPr>
        <w:t xml:space="preserve">1</w:t>
      </w:r>
      <w:r>
        <w:t xml:space="preserve">[κ ∈</w:t>
      </w:r>
      <w:r>
        <w:t xml:space="preserve"> </w:t>
      </w:r>
      <w:r>
        <w:rPr>
          <w:iCs/>
          <w:i/>
        </w:rPr>
        <w:t xml:space="preserve">K</w:t>
      </w:r>
      <w:r>
        <w:rPr>
          <w:iCs/>
          <w:i/>
          <w:vertAlign w:val="subscript"/>
        </w:rPr>
        <w:t xml:space="preserve">E</w:t>
      </w:r>
      <w:r>
        <w:t xml:space="preserve"> </w:t>
      </w:r>
      <w:r>
        <w:t xml:space="preserve">or</w:t>
      </w:r>
      <w:r>
        <w:t xml:space="preserve"> </w:t>
      </w:r>
      <w:r>
        <w:rPr>
          <w:iCs/>
          <w:i/>
        </w:rPr>
        <w:t xml:space="preserve">q</w:t>
      </w:r>
      <w:r>
        <w:rPr>
          <w:iCs/>
          <w:i/>
          <w:vertAlign w:val="subscript"/>
        </w:rPr>
        <w:t xml:space="preserve">h</w:t>
      </w:r>
      <w:r>
        <w:t xml:space="preserve"> </w:t>
      </w:r>
      <w:r>
        <w:t xml:space="preserve">≤ ρ] does not decrease as ρ grows, so the suitable sets nest. (ii) When κ and κ′ fall on the same side of</w:t>
      </w:r>
      <w:r>
        <w:t xml:space="preserve"> </w:t>
      </w:r>
      <w:r>
        <w:rPr>
          <w:iCs/>
          <w:i/>
        </w:rPr>
        <w:t xml:space="preserve">K</w:t>
      </w:r>
      <w:r>
        <w:rPr>
          <w:iCs/>
          <w:i/>
          <w:vertAlign w:val="subscript"/>
        </w:rPr>
        <w:t xml:space="preserve">E</w:t>
      </w:r>
      <w:r>
        <w:t xml:space="preserve">, the third and fifth factors agree for both profiles and the fourth ignores κ, while λ(κ) ≥ λ(κ′) gives</w:t>
      </w:r>
      <w:r>
        <w:t xml:space="preserve"> </w:t>
      </w:r>
      <w:r>
        <w:rPr>
          <w:bCs/>
          <w:b/>
        </w:rPr>
        <w:t xml:space="preserve">1</w:t>
      </w:r>
      <w:r>
        <w:t xml:space="preserve">[η</w:t>
      </w:r>
      <w:r>
        <w:rPr>
          <w:iCs/>
          <w:i/>
          <w:vertAlign w:val="subscript"/>
        </w:rPr>
        <w:t xml:space="preserve">h</w:t>
      </w:r>
      <w:r>
        <w:t xml:space="preserve"> </w:t>
      </w:r>
      <w:r>
        <w:t xml:space="preserve">≥ λ(κ)] ≤</w:t>
      </w:r>
      <w:r>
        <w:t xml:space="preserve"> </w:t>
      </w:r>
      <w:r>
        <w:rPr>
          <w:bCs/>
          <w:b/>
        </w:rPr>
        <w:t xml:space="preserve">1</w:t>
      </w:r>
      <w:r>
        <w:t xml:space="preserve">[η</w:t>
      </w:r>
      <w:r>
        <w:rPr>
          <w:iCs/>
          <w:i/>
          <w:vertAlign w:val="subscript"/>
        </w:rPr>
        <w:t xml:space="preserve">h</w:t>
      </w:r>
      <w:r>
        <w:t xml:space="preserve"> </w:t>
      </w:r>
      <w:r>
        <w:t xml:space="preserve">≥ λ(κ′)]. (iii) With κ ∈</w:t>
      </w:r>
      <w:r>
        <w:t xml:space="preserve"> </w:t>
      </w:r>
      <w:r>
        <w:rPr>
          <w:iCs/>
          <w:i/>
        </w:rPr>
        <w:t xml:space="preserve">K</w:t>
      </w:r>
      <w:r>
        <w:rPr>
          <w:iCs/>
          <w:i/>
          <w:vertAlign w:val="subscript"/>
        </w:rPr>
        <w:t xml:space="preserve">E</w:t>
      </w:r>
      <w:r>
        <w:t xml:space="preserve">, the fifth factor equals 1 whatever ρ is. (iv) Only the second factor involves the needs, and</w:t>
      </w:r>
      <w:r>
        <w:t xml:space="preserve"> </w:t>
      </w:r>
      <w:r>
        <w:rPr>
          <w:iCs/>
          <w:i/>
        </w:rPr>
        <w:t xml:space="preserve">N</w:t>
      </w:r>
      <w:r>
        <w:t xml:space="preserve">′ ⊆ Σ</w:t>
      </w:r>
      <w:r>
        <w:rPr>
          <w:iCs/>
          <w:i/>
          <w:vertAlign w:val="subscript"/>
        </w:rPr>
        <w:t xml:space="preserve">h</w:t>
      </w:r>
      <w:r>
        <w:t xml:space="preserve"> </w:t>
      </w:r>
      <w:r>
        <w:t xml:space="preserve">implies</w:t>
      </w:r>
      <w:r>
        <w:t xml:space="preserve"> </w:t>
      </w:r>
      <w:r>
        <w:rPr>
          <w:iCs/>
          <w:i/>
        </w:rPr>
        <w:t xml:space="preserve">N</w:t>
      </w:r>
      <w:r>
        <w:t xml:space="preserve"> </w:t>
      </w:r>
      <w:r>
        <w:t xml:space="preserve">⊆ Σ</w:t>
      </w:r>
      <w:r>
        <w:rPr>
          <w:iCs/>
          <w:i/>
          <w:vertAlign w:val="subscript"/>
        </w:rPr>
        <w:t xml:space="preserve">h</w:t>
      </w:r>
      <w:r>
        <w:t xml:space="preserve">, so the factor for</w:t>
      </w:r>
      <w:r>
        <w:t xml:space="preserve"> </w:t>
      </w:r>
      <w:r>
        <w:rPr>
          <w:iCs/>
          <w:i/>
        </w:rPr>
        <w:t xml:space="preserve">N</w:t>
      </w:r>
      <w:r>
        <w:t xml:space="preserve">′ never exceeds the factor for</w:t>
      </w:r>
      <w:r>
        <w:t xml:space="preserve"> </w:t>
      </w:r>
      <w:r>
        <w:rPr>
          <w:iCs/>
          <w:i/>
        </w:rPr>
        <w:t xml:space="preserve">N</w:t>
      </w:r>
      <w:r>
        <w:t xml:space="preserve">. □</w:t>
      </w:r>
    </w:p>
    <w:p>
      <w:pPr>
        <w:pStyle w:val="BodyText"/>
      </w:pPr>
      <w:r>
        <w:rPr>
          <w:bCs/>
          <w:b/>
        </w:rPr>
        <w:t xml:space="preserve">Remark 8 (A deliberate break at the emergency boundary).</w:t>
      </w:r>
      <w:r>
        <w:t xml:space="preserve"> </w:t>
      </w:r>
      <w:r>
        <w:t xml:space="preserve">Pairs of profiles on opposite sides of</w:t>
      </w:r>
      <w:r>
        <w:t xml:space="preserve"> </w:t>
      </w:r>
      <w:r>
        <w:rPr>
          <w:iCs/>
          <w:i/>
        </w:rPr>
        <w:t xml:space="preserve">K</w:t>
      </w:r>
      <w:r>
        <w:rPr>
          <w:iCs/>
          <w:i/>
          <w:vertAlign w:val="subscript"/>
        </w:rPr>
        <w:t xml:space="preserve">E</w:t>
      </w:r>
      <w:r>
        <w:t xml:space="preserve"> </w:t>
      </w:r>
      <w:r>
        <w:t xml:space="preserve">are left out of Proposition 10(ii) on purpose. Moving from κ = 3 to κ = 2 raises the level requirement, which removes hospitals, but it also switches off the payment filter, which adds them back. At anchor A6 of instance S1 the additions win. With ρ = 0, the urgent patient (κ = 3) is routed 37.2 min to S4, while the emergency patient (κ = 2) is sent only 13.0 min to S7 (Table 26). The sicker patient ends up closer to care because the law lifts the payment barrier, which is the intended behavior.</w:t>
      </w:r>
    </w:p>
    <w:p>
      <w:pPr>
        <w:pStyle w:val="BodyText"/>
      </w:pPr>
      <w:r>
        <w:rPr>
          <w:bCs/>
          <w:b/>
        </w:rPr>
        <w:t xml:space="preserve">Corollary 11 (Payment gap and need gap).</w:t>
      </w:r>
      <w:r>
        <w:t xml:space="preserve"> </w:t>
      </w:r>
      <w:r>
        <w:t xml:space="preserve">For all</w:t>
      </w:r>
      <w:r>
        <w:t xml:space="preserve"> </w:t>
      </w:r>
      <w:r>
        <w:rPr>
          <w:iCs/>
          <w:i/>
        </w:rPr>
        <w:t xml:space="preserve">o</w:t>
      </w:r>
      <w:r>
        <w:t xml:space="preserve">,</w:t>
      </w:r>
      <w:r>
        <w:t xml:space="preserve"> </w:t>
      </w:r>
      <w:r>
        <w:rPr>
          <w:iCs/>
          <w:i/>
        </w:rPr>
        <w:t xml:space="preserve">t</w:t>
      </w:r>
      <w:r>
        <w:t xml:space="preserve">, and π: (a) Δ</w:t>
      </w:r>
      <w:r>
        <w:rPr>
          <w:iCs/>
          <w:i/>
          <w:vertAlign w:val="subscript"/>
        </w:rPr>
        <w:t xml:space="preserve">pay</w:t>
      </w:r>
      <w:r>
        <w:t xml:space="preserve"> </w:t>
      </w:r>
      <w:r>
        <w:t xml:space="preserve">≥ 0, Δ</w:t>
      </w:r>
      <w:r>
        <w:rPr>
          <w:iCs/>
          <w:i/>
          <w:vertAlign w:val="subscript"/>
        </w:rPr>
        <w:t xml:space="preserve">pay</w:t>
      </w:r>
      <w:r>
        <w:t xml:space="preserve"> </w:t>
      </w:r>
      <w:r>
        <w:t xml:space="preserve">does not increase as ρ grows, Δ</w:t>
      </w:r>
      <w:r>
        <w:rPr>
          <w:iCs/>
          <w:i/>
          <w:vertAlign w:val="subscript"/>
        </w:rPr>
        <w:t xml:space="preserve">pay</w:t>
      </w:r>
      <w:r>
        <w:t xml:space="preserve"> </w:t>
      </w:r>
      <w:r>
        <w:t xml:space="preserve">= 0 at ρ = ρ</w:t>
      </w:r>
      <w:r>
        <w:rPr>
          <w:vertAlign w:val="subscript"/>
        </w:rPr>
        <w:t xml:space="preserve">max</w:t>
      </w:r>
      <w:r>
        <w:t xml:space="preserve">, and Δ</w:t>
      </w:r>
      <w:r>
        <w:rPr>
          <w:iCs/>
          <w:i/>
          <w:vertAlign w:val="subscript"/>
        </w:rPr>
        <w:t xml:space="preserve">pay</w:t>
      </w:r>
      <w:r>
        <w:t xml:space="preserve"> </w:t>
      </w:r>
      <w:r>
        <w:t xml:space="preserve">= 0 for every κ ∈</w:t>
      </w:r>
      <w:r>
        <w:t xml:space="preserve"> </w:t>
      </w:r>
      <w:r>
        <w:rPr>
          <w:iCs/>
          <w:i/>
        </w:rPr>
        <w:t xml:space="preserve">K</w:t>
      </w:r>
      <w:r>
        <w:rPr>
          <w:iCs/>
          <w:i/>
          <w:vertAlign w:val="subscript"/>
        </w:rPr>
        <w:t xml:space="preserve">E</w:t>
      </w:r>
      <w:r>
        <w:t xml:space="preserve">; (b) Δ</w:t>
      </w:r>
      <w:r>
        <w:rPr>
          <w:iCs/>
          <w:i/>
          <w:vertAlign w:val="subscript"/>
        </w:rPr>
        <w:t xml:space="preserve">need</w:t>
      </w:r>
      <w:r>
        <w:t xml:space="preserve"> </w:t>
      </w:r>
      <w:r>
        <w:t xml:space="preserve">≥ 0, Δ</w:t>
      </w:r>
      <w:r>
        <w:rPr>
          <w:iCs/>
          <w:i/>
          <w:vertAlign w:val="subscript"/>
        </w:rPr>
        <w:t xml:space="preserve">need</w:t>
      </w:r>
      <w:r>
        <w:t xml:space="preserve"> </w:t>
      </w:r>
      <w:r>
        <w:t xml:space="preserve">= 0 when</w:t>
      </w:r>
      <w:r>
        <w:t xml:space="preserve"> </w:t>
      </w:r>
      <w:r>
        <w:rPr>
          <w:iCs/>
          <w:i/>
        </w:rPr>
        <w:t xml:space="preserve">N</w:t>
      </w:r>
      <w:r>
        <w:t xml:space="preserve"> </w:t>
      </w:r>
      <w:r>
        <w:t xml:space="preserve">= ∅, and</w:t>
      </w:r>
      <w:r>
        <w:t xml:space="preserve"> </w:t>
      </w:r>
      <w:r>
        <w:rPr>
          <w:iCs/>
          <w:i/>
        </w:rPr>
        <w:t xml:space="preserve">N</w:t>
      </w:r>
      <w:r>
        <w:t xml:space="preserve"> </w:t>
      </w:r>
      <w:r>
        <w:t xml:space="preserve">⊆</w:t>
      </w:r>
      <w:r>
        <w:t xml:space="preserve"> </w:t>
      </w:r>
      <w:r>
        <w:rPr>
          <w:iCs/>
          <w:i/>
        </w:rPr>
        <w:t xml:space="preserve">N</w:t>
      </w:r>
      <w:r>
        <w:t xml:space="preserve">′ implies Δ</w:t>
      </w:r>
      <w:r>
        <w:rPr>
          <w:iCs/>
          <w:i/>
          <w:vertAlign w:val="subscript"/>
        </w:rPr>
        <w:t xml:space="preserve">need</w:t>
      </w:r>
      <w:r>
        <w:t xml:space="preserve">(</w:t>
      </w:r>
      <w:r>
        <w:rPr>
          <w:iCs/>
          <w:i/>
        </w:rPr>
        <w:t xml:space="preserve">N</w:t>
      </w:r>
      <w:r>
        <w:t xml:space="preserve">) ≤ Δ</w:t>
      </w:r>
      <w:r>
        <w:rPr>
          <w:iCs/>
          <w:i/>
          <w:vertAlign w:val="subscript"/>
        </w:rPr>
        <w:t xml:space="preserve">need</w:t>
      </w:r>
      <w:r>
        <w:t xml:space="preserve">(</w:t>
      </w:r>
      <w:r>
        <w:rPr>
          <w:iCs/>
          <w:i/>
        </w:rPr>
        <w:t xml:space="preserve">N</w:t>
      </w:r>
      <w:r>
        <w:t xml:space="preserve">′).</w:t>
      </w:r>
    </w:p>
    <w:p>
      <w:pPr>
        <w:pStyle w:val="BodyText"/>
      </w:pPr>
      <w:r>
        <w:rPr>
          <w:iCs/>
          <w:i/>
        </w:rPr>
        <w:t xml:space="preserve">Proof.</w:t>
      </w:r>
      <w:r>
        <w:t xml:space="preserve"> </w:t>
      </w:r>
      <w:r>
        <w:t xml:space="preserve">(a) Proposition 10(i) gives the first three statements and Proposition 10(iii) the last. If</w:t>
      </w:r>
      <w:r>
        <w:t xml:space="preserve"> </w:t>
      </w:r>
      <w:r>
        <w:rPr>
          <w:iCs/>
          <w:i/>
        </w:rPr>
        <w:t xml:space="preserve">T</w:t>
      </w:r>
      <w:r>
        <w:rPr>
          <w:vertAlign w:val="superscript"/>
        </w:rPr>
        <w:t xml:space="preserve">∗</w:t>
      </w:r>
      <w:r>
        <w:t xml:space="preserve"> </w:t>
      </w:r>
      <w:r>
        <w:t xml:space="preserve">at ρ</w:t>
      </w:r>
      <w:r>
        <w:rPr>
          <w:vertAlign w:val="subscript"/>
        </w:rPr>
        <w:t xml:space="preserve">max</w:t>
      </w:r>
      <w:r>
        <w:t xml:space="preserve"> </w:t>
      </w:r>
      <w:r>
        <w:t xml:space="preserve">is infinite, then not even dropping the payment filter makes a suitable hospital reachable;</w:t>
      </w:r>
      <w:r>
        <w:t xml:space="preserve"> </w:t>
      </w:r>
      <w:r>
        <w:rPr>
          <w:iCs/>
          <w:i/>
        </w:rPr>
        <w:t xml:space="preserve">T</w:t>
      </w:r>
      <w:r>
        <w:rPr>
          <w:vertAlign w:val="superscript"/>
        </w:rPr>
        <w:t xml:space="preserve">∗</w:t>
      </w:r>
      <w:r>
        <w:t xml:space="preserve"> </w:t>
      </w:r>
      <w:r>
        <w:t xml:space="preserve">at ρ is infinite too, and the convention of Equation (19) sets Δ</w:t>
      </w:r>
      <w:r>
        <w:rPr>
          <w:iCs/>
          <w:i/>
          <w:vertAlign w:val="subscript"/>
        </w:rPr>
        <w:t xml:space="preserve">pay</w:t>
      </w:r>
      <w:r>
        <w:t xml:space="preserve"> </w:t>
      </w:r>
      <w:r>
        <w:t xml:space="preserve">= 0. If only</w:t>
      </w:r>
      <w:r>
        <w:t xml:space="preserve"> </w:t>
      </w:r>
      <w:r>
        <w:rPr>
          <w:iCs/>
          <w:i/>
        </w:rPr>
        <w:t xml:space="preserve">T</w:t>
      </w:r>
      <w:r>
        <w:rPr>
          <w:vertAlign w:val="superscript"/>
        </w:rPr>
        <w:t xml:space="preserve">∗</w:t>
      </w:r>
      <w:r>
        <w:t xml:space="preserve"> </w:t>
      </w:r>
      <w:r>
        <w:t xml:space="preserve">at ρ is infinite, Δ</w:t>
      </w:r>
      <w:r>
        <w:rPr>
          <w:iCs/>
          <w:i/>
          <w:vertAlign w:val="subscript"/>
        </w:rPr>
        <w:t xml:space="preserve">pay</w:t>
      </w:r>
      <w:r>
        <w:t xml:space="preserve"> </w:t>
      </w:r>
      <w:r>
        <w:t xml:space="preserve">= +∞, a case reported on its own as</w:t>
      </w:r>
      <w:r>
        <w:t xml:space="preserve"> </w:t>
      </w:r>
      <w:r>
        <w:t xml:space="preserve">“</w:t>
      </w:r>
      <w:r>
        <w:t xml:space="preserve">no affordable suitable hospital reachable.</w:t>
      </w:r>
      <w:r>
        <w:t xml:space="preserve">”</w:t>
      </w:r>
      <w:r>
        <w:t xml:space="preserve"> </w:t>
      </w:r>
      <w:r>
        <w:t xml:space="preserve">(b) Apply Proposition 10(iv) with ∅ ⊆</w:t>
      </w:r>
      <w:r>
        <w:t xml:space="preserve"> </w:t>
      </w:r>
      <w:r>
        <w:rPr>
          <w:iCs/>
          <w:i/>
        </w:rPr>
        <w:t xml:space="preserve">N</w:t>
      </w:r>
      <w:r>
        <w:t xml:space="preserve"> </w:t>
      </w:r>
      <w:r>
        <w:t xml:space="preserve">⊆</w:t>
      </w:r>
      <w:r>
        <w:t xml:space="preserve"> </w:t>
      </w:r>
      <w:r>
        <w:rPr>
          <w:iCs/>
          <w:i/>
        </w:rPr>
        <w:t xml:space="preserve">N</w:t>
      </w:r>
      <w:r>
        <w:t xml:space="preserve">′; the subtrahend in Equation (20) is the same for</w:t>
      </w:r>
      <w:r>
        <w:t xml:space="preserve"> </w:t>
      </w:r>
      <w:r>
        <w:rPr>
          <w:iCs/>
          <w:i/>
        </w:rPr>
        <w:t xml:space="preserve">N</w:t>
      </w:r>
      <w:r>
        <w:t xml:space="preserve"> </w:t>
      </w:r>
      <w:r>
        <w:t xml:space="preserve">and</w:t>
      </w:r>
      <w:r>
        <w:t xml:space="preserve"> </w:t>
      </w:r>
      <w:r>
        <w:rPr>
          <w:iCs/>
          <w:i/>
        </w:rPr>
        <w:t xml:space="preserve">N</w:t>
      </w:r>
      <w:r>
        <w:t xml:space="preserve">′. □</w:t>
      </w:r>
    </w:p>
    <w:p>
      <w:pPr>
        <w:pStyle w:val="BodyText"/>
      </w:pPr>
      <w:r>
        <w:rPr>
          <w:bCs/>
          <w:b/>
        </w:rPr>
        <w:t xml:space="preserve">Remark 9 (How to read the gaps and the bed vectors).</w:t>
      </w:r>
      <w:r>
        <w:t xml:space="preserve"> </w:t>
      </w:r>
      <w:r>
        <w:t xml:space="preserve">Outside emergencies, the payment gap counts the minutes that a family’s budget adds to the trip; for emergency patients it is zero by construction. The need gap counts the minutes that a particular medical need adds. Collected over all anchors, the gaps and the free-bed scores</w:t>
      </w:r>
      <w:r>
        <w:t xml:space="preserve"> </w:t>
      </w:r>
      <w:r>
        <w:rPr>
          <w:iCs/>
          <w:i/>
        </w:rPr>
        <w:t xml:space="preserve">B</w:t>
      </w:r>
      <w:r>
        <w:rPr>
          <w:iCs/>
          <w:i/>
          <w:vertAlign w:val="subscript"/>
        </w:rPr>
        <w:t xml:space="preserve">a</w:t>
      </w:r>
      <w:r>
        <w:t xml:space="preserve"> </w:t>
      </w:r>
      <w:r>
        <w:t xml:space="preserve">and</w:t>
      </w:r>
      <w:r>
        <w:t xml:space="preserve"> </w:t>
      </w:r>
      <w:r>
        <w:rPr>
          <w:iCs/>
          <w:i/>
        </w:rPr>
        <w:t xml:space="preserve">B</w:t>
      </w:r>
      <w:r>
        <w:rPr>
          <w:vertAlign w:val="superscript"/>
        </w:rPr>
        <w:t xml:space="preserve">ρ</w:t>
      </w:r>
      <w:r>
        <w:rPr>
          <w:iCs/>
          <w:i/>
          <w:vertAlign w:val="subscript"/>
        </w:rPr>
        <w:t xml:space="preserve">a</w:t>
      </w:r>
      <w:r>
        <w:t xml:space="preserve"> </w:t>
      </w:r>
      <w:r>
        <w:t xml:space="preserve">of Equation (21) form nonnegative vectors, so Lorenz curves, Gini and Theil indices, and Palma ratios (Section 2.4) apply to them directly, with Propositions 5 and 6 valid whenever the mean is positive.</w:t>
      </w:r>
    </w:p>
    <w:p>
      <w:pPr>
        <w:pStyle w:val="BodyText"/>
      </w:pPr>
      <w:r>
        <w:rPr>
          <w:bCs/>
          <w:b/>
        </w:rPr>
        <w:t xml:space="preserve">Remark 10 (The ambulance’s place in the vehicle order).</w:t>
      </w:r>
      <w:r>
        <w:t xml:space="preserve"> </w:t>
      </w:r>
      <w:r>
        <w:t xml:space="preserve">In every component of Table 5, the ambulance lies between the sport utility vehicle and the jeepney. Proposition 3 therefore opens to the ambulance every road that a jeepney-class vehicle may use, and, with equal arc speeds, Corollary 4 guarantees that its hospital access is at least a jeepney’s. Where a posted width or bridge limit closes a road to the ambulance, hospital mode simply routes around it.</w:t>
      </w:r>
    </w:p>
    <w:p>
      <w:pPr>
        <w:pStyle w:val="BodyText"/>
      </w:pPr>
      <w:r>
        <w:rPr>
          <w:bCs/>
          <w:b/>
        </w:rPr>
        <w:t xml:space="preserve">Proposition 12 (Bounds on messages, opt-outs, and report age).</w:t>
      </w:r>
      <w:r>
        <w:t xml:space="preserve"> </w:t>
      </w:r>
      <w:r>
        <w:t xml:space="preserve">Assume the protocol of Definition 14. (i) In each cycle no hospital receives more than 1 +</w:t>
      </w:r>
      <w:r>
        <w:t xml:space="preserve"> </w:t>
      </w:r>
      <w:r>
        <w:rPr>
          <w:iCs/>
          <w:i/>
        </w:rPr>
        <w:t xml:space="preserve">n</w:t>
      </w:r>
      <w:r>
        <w:rPr>
          <w:iCs/>
          <w:i/>
          <w:vertAlign w:val="subscript"/>
        </w:rPr>
        <w:t xml:space="preserve">rem</w:t>
      </w:r>
      <w:r>
        <w:t xml:space="preserve"> </w:t>
      </w:r>
      <w:r>
        <w:t xml:space="preserve">messages, and in each day no more than (1 +</w:t>
      </w:r>
      <w:r>
        <w:t xml:space="preserve"> </w:t>
      </w:r>
      <w:r>
        <w:rPr>
          <w:iCs/>
          <w:i/>
        </w:rPr>
        <w:t xml:space="preserve">n</w:t>
      </w:r>
      <w:r>
        <w:rPr>
          <w:iCs/>
          <w:i/>
          <w:vertAlign w:val="subscript"/>
        </w:rPr>
        <w:t xml:space="preserve">rem</w:t>
      </w:r>
      <w:r>
        <w:t xml:space="preserve">) ⌈ 24 h /</w:t>
      </w:r>
      <w:r>
        <w:t xml:space="preserve"> </w:t>
      </w:r>
      <w:r>
        <w:rPr>
          <w:iCs/>
          <w:i/>
        </w:rPr>
        <w:t xml:space="preserve">P</w:t>
      </w:r>
      <w:r>
        <w:rPr>
          <w:iCs/>
          <w:i/>
          <w:vertAlign w:val="subscript"/>
        </w:rPr>
        <w:t xml:space="preserve">h</w:t>
      </w:r>
      <w:r>
        <w:t xml:space="preserve"> </w:t>
      </w:r>
      <w:r>
        <w:t xml:space="preserve">⌉. (ii) Nothing is sent to a hospital once its opt-out is in the project mailbox. (iii) A hospital that answers each inquiry within</w:t>
      </w:r>
      <w:r>
        <w:t xml:space="preserve"> </w:t>
      </w:r>
      <w:r>
        <w:rPr>
          <w:iCs/>
          <w:i/>
        </w:rPr>
        <w:t xml:space="preserve">D</w:t>
      </w:r>
      <w:r>
        <w:rPr>
          <w:iCs/>
          <w:i/>
          <w:vertAlign w:val="subscript"/>
        </w:rPr>
        <w:t xml:space="preserve">rep</w:t>
      </w:r>
      <w:r>
        <w:t xml:space="preserve">, with a reply that passes validation, has</w:t>
      </w:r>
      <w:r>
        <w:t xml:space="preserve"> </w:t>
      </w:r>
      <w:r>
        <w:rPr>
          <w:iCs/>
          <w:i/>
        </w:rPr>
        <w:t xml:space="preserve">age</w:t>
      </w:r>
      <w:r>
        <w:rPr>
          <w:iCs/>
          <w:i/>
          <w:vertAlign w:val="subscript"/>
        </w:rPr>
        <w:t xml:space="preserve">h</w:t>
      </w:r>
      <w:r>
        <w:t xml:space="preserve">(</w:t>
      </w:r>
      <w:r>
        <w:rPr>
          <w:iCs/>
          <w:i/>
        </w:rPr>
        <w:t xml:space="preserve">t</w:t>
      </w:r>
      <w:r>
        <w:t xml:space="preserve">) &lt;</w:t>
      </w:r>
      <w:r>
        <w:t xml:space="preserve"> </w:t>
      </w:r>
      <w:r>
        <w:rPr>
          <w:iCs/>
          <w:i/>
        </w:rPr>
        <w:t xml:space="preserve">P</w:t>
      </w:r>
      <w:r>
        <w:rPr>
          <w:iCs/>
          <w:i/>
          <w:vertAlign w:val="subscript"/>
        </w:rPr>
        <w:t xml:space="preserve">h</w:t>
      </w:r>
      <w:r>
        <w:t xml:space="preserve"> </w:t>
      </w:r>
      <w:r>
        <w:t xml:space="preserve">+</w:t>
      </w:r>
      <w:r>
        <w:t xml:space="preserve"> </w:t>
      </w:r>
      <w:r>
        <w:rPr>
          <w:iCs/>
          <w:i/>
        </w:rPr>
        <w:t xml:space="preserve">D</w:t>
      </w:r>
      <w:r>
        <w:rPr>
          <w:iCs/>
          <w:i/>
          <w:vertAlign w:val="subscript"/>
        </w:rPr>
        <w:t xml:space="preserve">rep</w:t>
      </w:r>
      <w:r>
        <w:t xml:space="preserve"> </w:t>
      </w:r>
      <w:r>
        <w:t xml:space="preserve">at all times after its first such reply, and so it never becomes UNKNOWN if</w:t>
      </w:r>
      <w:r>
        <w:t xml:space="preserve"> </w:t>
      </w:r>
      <w:r>
        <w:rPr>
          <w:iCs/>
          <w:i/>
        </w:rPr>
        <w:t xml:space="preserve">P</w:t>
      </w:r>
      <w:r>
        <w:rPr>
          <w:iCs/>
          <w:i/>
          <w:vertAlign w:val="subscript"/>
        </w:rPr>
        <w:t xml:space="preserve">h</w:t>
      </w:r>
      <w:r>
        <w:t xml:space="preserve"> </w:t>
      </w:r>
      <w:r>
        <w:t xml:space="preserve">+</w:t>
      </w:r>
      <w:r>
        <w:t xml:space="preserve"> </w:t>
      </w:r>
      <w:r>
        <w:rPr>
          <w:iCs/>
          <w:i/>
        </w:rPr>
        <w:t xml:space="preserve">D</w:t>
      </w:r>
      <w:r>
        <w:rPr>
          <w:iCs/>
          <w:i/>
          <w:vertAlign w:val="subscript"/>
        </w:rPr>
        <w:t xml:space="preserve">rep</w:t>
      </w:r>
      <w:r>
        <w:t xml:space="preserve"> </w:t>
      </w:r>
      <w:r>
        <w:t xml:space="preserve">≤</w:t>
      </w:r>
      <w:r>
        <w:t xml:space="preserve"> </w:t>
      </w:r>
      <w:r>
        <w:rPr>
          <w:iCs/>
          <w:i/>
        </w:rPr>
        <w:t xml:space="preserve">age</w:t>
      </w:r>
      <w:r>
        <w:rPr>
          <w:vertAlign w:val="subscript"/>
        </w:rPr>
        <w:t xml:space="preserve">max</w:t>
      </w:r>
      <w:r>
        <w:t xml:space="preserve">.</w:t>
      </w:r>
    </w:p>
    <w:p>
      <w:pPr>
        <w:pStyle w:val="BodyText"/>
      </w:pPr>
      <w:r>
        <w:rPr>
          <w:iCs/>
          <w:i/>
        </w:rPr>
        <w:t xml:space="preserve">Proof.</w:t>
      </w:r>
      <w:r>
        <w:t xml:space="preserve"> </w:t>
      </w:r>
      <w:r>
        <w:t xml:space="preserve">(i) Within a cycle the Coordinator sends one inquiry at</w:t>
      </w:r>
      <w:r>
        <w:t xml:space="preserve"> </w:t>
      </w:r>
      <w:r>
        <w:rPr>
          <w:iCs/>
          <w:i/>
        </w:rPr>
        <w:t xml:space="preserve">t</w:t>
      </w:r>
      <w:r>
        <w:rPr>
          <w:iCs/>
          <w:i/>
          <w:vertAlign w:val="subscript"/>
        </w:rPr>
        <w:t xml:space="preserve">k</w:t>
      </w:r>
      <w:r>
        <w:t xml:space="preserve"> </w:t>
      </w:r>
      <w:r>
        <w:t xml:space="preserve">and reminders only at</w:t>
      </w:r>
      <w:r>
        <w:t xml:space="preserve"> </w:t>
      </w:r>
      <w:r>
        <w:rPr>
          <w:iCs/>
          <w:i/>
        </w:rPr>
        <w:t xml:space="preserve">t</w:t>
      </w:r>
      <w:r>
        <w:rPr>
          <w:iCs/>
          <w:i/>
          <w:vertAlign w:val="subscript"/>
        </w:rPr>
        <w:t xml:space="preserve">k</w:t>
      </w:r>
      <w:r>
        <w:t xml:space="preserve"> </w:t>
      </w:r>
      <w:r>
        <w:t xml:space="preserve">+</w:t>
      </w:r>
      <w:r>
        <w:t xml:space="preserve"> </w:t>
      </w:r>
      <w:r>
        <w:rPr>
          <w:iCs/>
          <w:i/>
        </w:rPr>
        <w:t xml:space="preserve">j</w:t>
      </w:r>
      <w:r>
        <w:t xml:space="preserve"> </w:t>
      </w:r>
      <w:r>
        <w:rPr>
          <w:iCs/>
          <w:i/>
        </w:rPr>
        <w:t xml:space="preserve">R</w:t>
      </w:r>
      <w:r>
        <w:rPr>
          <w:iCs/>
          <w:i/>
          <w:vertAlign w:val="subscript"/>
        </w:rPr>
        <w:t xml:space="preserve">rem</w:t>
      </w:r>
      <w:r>
        <w:t xml:space="preserve"> </w:t>
      </w:r>
      <w:r>
        <w:t xml:space="preserve">with</w:t>
      </w:r>
      <w:r>
        <w:t xml:space="preserve"> </w:t>
      </w:r>
      <w:r>
        <w:rPr>
          <w:iCs/>
          <w:i/>
        </w:rPr>
        <w:t xml:space="preserve">j</w:t>
      </w:r>
      <w:r>
        <w:t xml:space="preserve"> </w:t>
      </w:r>
      <w:r>
        <w:t xml:space="preserve">≤</w:t>
      </w:r>
      <w:r>
        <w:t xml:space="preserve"> </w:t>
      </w:r>
      <w:r>
        <w:rPr>
          <w:iCs/>
          <w:i/>
        </w:rPr>
        <w:t xml:space="preserve">n</w:t>
      </w:r>
      <w:r>
        <w:rPr>
          <w:iCs/>
          <w:i/>
          <w:vertAlign w:val="subscript"/>
        </w:rPr>
        <w:t xml:space="preserve">rem</w:t>
      </w:r>
      <w:r>
        <w:t xml:space="preserve">, and the condition</w:t>
      </w:r>
      <w:r>
        <w:t xml:space="preserve"> </w:t>
      </w:r>
      <w:r>
        <w:rPr>
          <w:iCs/>
          <w:i/>
        </w:rPr>
        <w:t xml:space="preserve">n</w:t>
      </w:r>
      <w:r>
        <w:rPr>
          <w:iCs/>
          <w:i/>
          <w:vertAlign w:val="subscript"/>
        </w:rPr>
        <w:t xml:space="preserve">rem</w:t>
      </w:r>
      <w:r>
        <w:t xml:space="preserve"> </w:t>
      </w:r>
      <w:r>
        <w:rPr>
          <w:iCs/>
          <w:i/>
        </w:rPr>
        <w:t xml:space="preserve">R</w:t>
      </w:r>
      <w:r>
        <w:rPr>
          <w:iCs/>
          <w:i/>
          <w:vertAlign w:val="subscript"/>
        </w:rPr>
        <w:t xml:space="preserve">rem</w:t>
      </w:r>
      <w:r>
        <w:t xml:space="preserve"> </w:t>
      </w:r>
      <w:r>
        <w:t xml:space="preserve">&lt;</w:t>
      </w:r>
      <w:r>
        <w:t xml:space="preserve"> </w:t>
      </w:r>
      <w:r>
        <w:rPr>
          <w:iCs/>
          <w:i/>
        </w:rPr>
        <w:t xml:space="preserve">P</w:t>
      </w:r>
      <w:r>
        <w:rPr>
          <w:iCs/>
          <w:i/>
          <w:vertAlign w:val="subscript"/>
        </w:rPr>
        <w:t xml:space="preserve">h</w:t>
      </w:r>
      <w:r>
        <w:t xml:space="preserve"> </w:t>
      </w:r>
      <w:r>
        <w:t xml:space="preserve">keeps every reminder inside its own cycle. (ii) The Reader clears the inbox immediately before each send, and the Coordinator reads the opt-out list only after that, so an opt-out already in the mailbox when a send falls due is recorded before the send. (iii) Write</w:t>
      </w:r>
      <w:r>
        <w:t xml:space="preserve"> </w:t>
      </w:r>
      <w:r>
        <w:rPr>
          <w:iCs/>
          <w:i/>
        </w:rPr>
        <w:t xml:space="preserve">d</w:t>
      </w:r>
      <w:r>
        <w:rPr>
          <w:iCs/>
          <w:i/>
          <w:vertAlign w:val="subscript"/>
        </w:rPr>
        <w:t xml:space="preserve">k</w:t>
      </w:r>
      <w:r>
        <w:t xml:space="preserve"> </w:t>
      </w:r>
      <w:r>
        <w:t xml:space="preserve">≤</w:t>
      </w:r>
      <w:r>
        <w:t xml:space="preserve"> </w:t>
      </w:r>
      <w:r>
        <w:rPr>
          <w:iCs/>
          <w:i/>
        </w:rPr>
        <w:t xml:space="preserve">D</w:t>
      </w:r>
      <w:r>
        <w:rPr>
          <w:iCs/>
          <w:i/>
          <w:vertAlign w:val="subscript"/>
        </w:rPr>
        <w:t xml:space="preserve">rep</w:t>
      </w:r>
      <w:r>
        <w:t xml:space="preserve"> </w:t>
      </w:r>
      <w:r>
        <w:t xml:space="preserve">for the time the hospital took to answer cycle</w:t>
      </w:r>
      <w:r>
        <w:t xml:space="preserve"> </w:t>
      </w:r>
      <w:r>
        <w:rPr>
          <w:iCs/>
          <w:i/>
        </w:rPr>
        <w:t xml:space="preserve">k</w:t>
      </w:r>
      <w:r>
        <w:t xml:space="preserve">. For</w:t>
      </w:r>
      <w:r>
        <w:t xml:space="preserve"> </w:t>
      </w:r>
      <w:r>
        <w:rPr>
          <w:iCs/>
          <w:i/>
        </w:rPr>
        <w:t xml:space="preserve">t</w:t>
      </w:r>
      <w:r>
        <w:t xml:space="preserve"> </w:t>
      </w:r>
      <w:r>
        <w:t xml:space="preserve">≥</w:t>
      </w:r>
      <w:r>
        <w:t xml:space="preserve"> </w:t>
      </w:r>
      <w:r>
        <w:rPr>
          <w:iCs/>
          <w:i/>
        </w:rPr>
        <w:t xml:space="preserve">t</w:t>
      </w:r>
      <w:r>
        <w:rPr>
          <w:vertAlign w:val="subscript"/>
        </w:rPr>
        <w:t xml:space="preserve">1</w:t>
      </w:r>
      <w:r>
        <w:t xml:space="preserve"> </w:t>
      </w:r>
      <w:r>
        <w:t xml:space="preserve">+</w:t>
      </w:r>
      <w:r>
        <w:t xml:space="preserve"> </w:t>
      </w:r>
      <w:r>
        <w:rPr>
          <w:iCs/>
          <w:i/>
        </w:rPr>
        <w:t xml:space="preserve">d</w:t>
      </w:r>
      <w:r>
        <w:rPr>
          <w:vertAlign w:val="subscript"/>
        </w:rPr>
        <w:t xml:space="preserve">1</w:t>
      </w:r>
      <w:r>
        <w:t xml:space="preserve">, choose the largest</w:t>
      </w:r>
      <w:r>
        <w:t xml:space="preserve"> </w:t>
      </w:r>
      <w:r>
        <w:rPr>
          <w:iCs/>
          <w:i/>
        </w:rPr>
        <w:t xml:space="preserve">k</w:t>
      </w:r>
      <w:r>
        <w:t xml:space="preserve"> </w:t>
      </w:r>
      <w:r>
        <w:t xml:space="preserve">with</w:t>
      </w:r>
      <w:r>
        <w:t xml:space="preserve"> </w:t>
      </w:r>
      <w:r>
        <w:rPr>
          <w:iCs/>
          <w:i/>
        </w:rPr>
        <w:t xml:space="preserve">t</w:t>
      </w:r>
      <w:r>
        <w:rPr>
          <w:iCs/>
          <w:i/>
          <w:vertAlign w:val="subscript"/>
        </w:rPr>
        <w:t xml:space="preserve">k</w:t>
      </w:r>
      <w:r>
        <w:t xml:space="preserve"> </w:t>
      </w:r>
      <w:r>
        <w:t xml:space="preserve">+</w:t>
      </w:r>
      <w:r>
        <w:t xml:space="preserve"> </w:t>
      </w:r>
      <w:r>
        <w:rPr>
          <w:iCs/>
          <w:i/>
        </w:rPr>
        <w:t xml:space="preserve">d</w:t>
      </w:r>
      <w:r>
        <w:rPr>
          <w:iCs/>
          <w:i/>
          <w:vertAlign w:val="subscript"/>
        </w:rPr>
        <w:t xml:space="preserve">k</w:t>
      </w:r>
      <w:r>
        <w:t xml:space="preserve"> </w:t>
      </w:r>
      <w:r>
        <w:t xml:space="preserve">≤</w:t>
      </w:r>
      <w:r>
        <w:t xml:space="preserve"> </w:t>
      </w:r>
      <w:r>
        <w:rPr>
          <w:iCs/>
          <w:i/>
        </w:rPr>
        <w:t xml:space="preserve">t</w:t>
      </w:r>
      <w:r>
        <w:t xml:space="preserve">. Then</w:t>
      </w:r>
      <w:r>
        <w:t xml:space="preserve"> </w:t>
      </w:r>
      <w:r>
        <w:rPr>
          <w:iCs/>
          <w:i/>
        </w:rPr>
        <w:t xml:space="preserve">t</w:t>
      </w:r>
      <w:r>
        <w:t xml:space="preserve"> </w:t>
      </w:r>
      <w:r>
        <w:t xml:space="preserve">&lt;</w:t>
      </w:r>
      <w:r>
        <w:t xml:space="preserve"> </w:t>
      </w:r>
      <w:r>
        <w:rPr>
          <w:iCs/>
          <w:i/>
        </w:rPr>
        <w:t xml:space="preserve">t</w:t>
      </w:r>
      <w:r>
        <w:rPr>
          <w:iCs/>
          <w:i/>
          <w:vertAlign w:val="subscript"/>
        </w:rPr>
        <w:t xml:space="preserve">k</w:t>
      </w:r>
      <w:r>
        <w:rPr>
          <w:vertAlign w:val="subscript"/>
        </w:rPr>
        <w:t xml:space="preserve">+1</w:t>
      </w:r>
      <w:r>
        <w:t xml:space="preserve"> </w:t>
      </w:r>
      <w:r>
        <w:t xml:space="preserve">+</w:t>
      </w:r>
      <w:r>
        <w:t xml:space="preserve"> </w:t>
      </w:r>
      <w:r>
        <w:rPr>
          <w:iCs/>
          <w:i/>
        </w:rPr>
        <w:t xml:space="preserve">d</w:t>
      </w:r>
      <w:r>
        <w:rPr>
          <w:iCs/>
          <w:i/>
          <w:vertAlign w:val="subscript"/>
        </w:rPr>
        <w:t xml:space="preserve">k</w:t>
      </w:r>
      <w:r>
        <w:rPr>
          <w:vertAlign w:val="subscript"/>
        </w:rPr>
        <w:t xml:space="preserve">+1</w:t>
      </w:r>
      <w:r>
        <w:t xml:space="preserve"> </w:t>
      </w:r>
      <w:r>
        <w:t xml:space="preserve">≤</w:t>
      </w:r>
      <w:r>
        <w:t xml:space="preserve"> </w:t>
      </w:r>
      <w:r>
        <w:rPr>
          <w:iCs/>
          <w:i/>
        </w:rPr>
        <w:t xml:space="preserve">t</w:t>
      </w:r>
      <w:r>
        <w:rPr>
          <w:iCs/>
          <w:i/>
          <w:vertAlign w:val="subscript"/>
        </w:rPr>
        <w:t xml:space="preserve">k</w:t>
      </w:r>
      <w:r>
        <w:t xml:space="preserve"> </w:t>
      </w:r>
      <w:r>
        <w:t xml:space="preserve">+</w:t>
      </w:r>
      <w:r>
        <w:t xml:space="preserve"> </w:t>
      </w:r>
      <w:r>
        <w:rPr>
          <w:iCs/>
          <w:i/>
        </w:rPr>
        <w:t xml:space="preserve">P</w:t>
      </w:r>
      <w:r>
        <w:rPr>
          <w:iCs/>
          <w:i/>
          <w:vertAlign w:val="subscript"/>
        </w:rPr>
        <w:t xml:space="preserve">h</w:t>
      </w:r>
      <w:r>
        <w:t xml:space="preserve"> </w:t>
      </w:r>
      <w:r>
        <w:t xml:space="preserve">+</w:t>
      </w:r>
      <w:r>
        <w:t xml:space="preserve"> </w:t>
      </w:r>
      <w:r>
        <w:rPr>
          <w:iCs/>
          <w:i/>
        </w:rPr>
        <w:t xml:space="preserve">D</w:t>
      </w:r>
      <w:r>
        <w:rPr>
          <w:iCs/>
          <w:i/>
          <w:vertAlign w:val="subscript"/>
        </w:rPr>
        <w:t xml:space="preserve">rep</w:t>
      </w:r>
      <w:r>
        <w:t xml:space="preserve">, and since rule V5 keeps the most recent report, the report on file dates from</w:t>
      </w:r>
      <w:r>
        <w:t xml:space="preserve"> </w:t>
      </w:r>
      <w:r>
        <w:rPr>
          <w:iCs/>
          <w:i/>
        </w:rPr>
        <w:t xml:space="preserve">t</w:t>
      </w:r>
      <w:r>
        <w:rPr>
          <w:iCs/>
          <w:i/>
          <w:vertAlign w:val="subscript"/>
        </w:rPr>
        <w:t xml:space="preserve">k</w:t>
      </w:r>
      <w:r>
        <w:t xml:space="preserve"> </w:t>
      </w:r>
      <w:r>
        <w:t xml:space="preserve">+</w:t>
      </w:r>
      <w:r>
        <w:t xml:space="preserve"> </w:t>
      </w:r>
      <w:r>
        <w:rPr>
          <w:iCs/>
          <w:i/>
        </w:rPr>
        <w:t xml:space="preserve">d</w:t>
      </w:r>
      <w:r>
        <w:rPr>
          <w:iCs/>
          <w:i/>
          <w:vertAlign w:val="subscript"/>
        </w:rPr>
        <w:t xml:space="preserve">k</w:t>
      </w:r>
      <w:r>
        <w:t xml:space="preserve"> </w:t>
      </w:r>
      <w:r>
        <w:t xml:space="preserve">or later. Thus</w:t>
      </w:r>
    </w:p>
    <w:p>
      <w:pPr>
        <w:pStyle w:val="Equation"/>
      </w:pPr>
      <w:r>
        <w:tab/>
      </w:r>
      <w:r>
        <w:drawing>
          <wp:inline>
            <wp:extent cx="3700576" cy="165506"/>
            <wp:effectExtent b="0" l="0" r="0" t="0"/>
            <wp:docPr descr="" title="" id="162" name="Picture"/>
            <a:graphic>
              <a:graphicData uri="http://schemas.openxmlformats.org/drawingml/2006/picture">
                <pic:pic>
                  <pic:nvPicPr>
                    <pic:cNvPr descr="eq/eq30.png" id="163" name="Picture"/>
                    <pic:cNvPicPr>
                      <a:picLocks noChangeArrowheads="1" noChangeAspect="1"/>
                    </pic:cNvPicPr>
                  </pic:nvPicPr>
                  <pic:blipFill>
                    <a:blip r:embed="rId161"/>
                    <a:stretch>
                      <a:fillRect/>
                    </a:stretch>
                  </pic:blipFill>
                  <pic:spPr bwMode="auto">
                    <a:xfrm>
                      <a:off x="0" y="0"/>
                      <a:ext cx="3700576" cy="165506"/>
                    </a:xfrm>
                    <a:prstGeom prst="rect">
                      <a:avLst/>
                    </a:prstGeom>
                    <a:noFill/>
                    <a:ln w="9525">
                      <a:noFill/>
                      <a:headEnd/>
                      <a:tailEnd/>
                    </a:ln>
                  </pic:spPr>
                </pic:pic>
              </a:graphicData>
            </a:graphic>
          </wp:inline>
        </w:drawing>
      </w:r>
      <w:r/>
      <w:r/>
      <w:r>
        <w:rPr>
          <w:rFonts w:ascii="Times New Roman" w:hAnsi="Times New Roman"/>
          <w:sz w:val="24"/>
        </w:rPr>
        <w:tab/>
        <w:t>(30)</w:t>
      </w:r>
    </w:p>
    <w:p>
      <w:pPr>
        <w:pStyle w:val="Source"/>
      </w:pPr>
      <w:r>
        <w:t xml:space="preserve">Source: formulated in this study (Proposition 12)</w:t>
      </w:r>
    </w:p>
    <w:p>
      <w:pPr>
        <w:pStyle w:val="BodyText"/>
      </w:pPr>
      <w:r>
        <w:t xml:space="preserve">□</w:t>
      </w:r>
    </w:p>
    <w:p>
      <w:pPr>
        <w:pStyle w:val="BodyText"/>
      </w:pPr>
      <w:r>
        <w:t xml:space="preserve">With the defaults of Definition 14 (</w:t>
      </w:r>
      <w:r>
        <w:rPr>
          <w:iCs/>
          <w:i/>
        </w:rPr>
        <w:t xml:space="preserve">P</w:t>
      </w:r>
      <w:r>
        <w:rPr>
          <w:iCs/>
          <w:i/>
          <w:vertAlign w:val="subscript"/>
        </w:rPr>
        <w:t xml:space="preserve">h</w:t>
      </w:r>
      <w:r>
        <w:t xml:space="preserve"> </w:t>
      </w:r>
      <w:r>
        <w:t xml:space="preserve">= 8 h,</w:t>
      </w:r>
      <w:r>
        <w:t xml:space="preserve"> </w:t>
      </w:r>
      <w:r>
        <w:rPr>
          <w:iCs/>
          <w:i/>
        </w:rPr>
        <w:t xml:space="preserve">n</w:t>
      </w:r>
      <w:r>
        <w:rPr>
          <w:iCs/>
          <w:i/>
          <w:vertAlign w:val="subscript"/>
        </w:rPr>
        <w:t xml:space="preserve">rem</w:t>
      </w:r>
      <w:r>
        <w:t xml:space="preserve"> </w:t>
      </w:r>
      <w:r>
        <w:t xml:space="preserve">= 1) and replies within</w:t>
      </w:r>
      <w:r>
        <w:t xml:space="preserve"> </w:t>
      </w:r>
      <w:r>
        <w:rPr>
          <w:iCs/>
          <w:i/>
        </w:rPr>
        <w:t xml:space="preserve">D</w:t>
      </w:r>
      <w:r>
        <w:rPr>
          <w:iCs/>
          <w:i/>
          <w:vertAlign w:val="subscript"/>
        </w:rPr>
        <w:t xml:space="preserve">rep</w:t>
      </w:r>
      <w:r>
        <w:t xml:space="preserve"> </w:t>
      </w:r>
      <w:r>
        <w:t xml:space="preserve">= 2 h, Proposition 12 guarantees at most 2 messages per cycle and 6 per day, and a report age below 10 hours, well inside the 12-hour limit of Definition 15. On the once-a-day schedule a hospital receives at most 2 messages per day, but the age bound grows to 26 hours, so its status lapses to UNKNOWN between reports unless</w:t>
      </w:r>
      <w:r>
        <w:t xml:space="preserve"> </w:t>
      </w:r>
      <w:r>
        <w:rPr>
          <w:iCs/>
          <w:i/>
        </w:rPr>
        <w:t xml:space="preserve">age</w:t>
      </w:r>
      <w:r>
        <w:rPr>
          <w:vertAlign w:val="subscript"/>
        </w:rPr>
        <w:t xml:space="preserve">max</w:t>
      </w:r>
      <w:r>
        <w:t xml:space="preserve"> </w:t>
      </w:r>
      <w:r>
        <w:t xml:space="preserve">is raised for it.</w:t>
      </w:r>
    </w:p>
    <w:p>
      <w:pPr>
        <w:pStyle w:val="BodyText"/>
      </w:pPr>
      <w:r>
        <w:rPr>
          <w:bCs/>
          <w:b/>
        </w:rPr>
        <w:t xml:space="preserve">Remark 11 (What Proposition 12 does not promise).</w:t>
      </w:r>
      <w:r>
        <w:t xml:space="preserve"> </w:t>
      </w:r>
      <w:r>
        <w:t xml:space="preserve">Proposition 12 bounds how many messages are sent and how old the reports of responsive hospitals can get. It promises nothing about whether hospitals answer, which stays entirely voluntary. Strong national direction allowed DataCollect to reach 98 percent reporting (Cabaro et al., 2023); this project has no such backing and makes no claim about response rates.</w:t>
      </w:r>
    </w:p>
    <w:p>
      <w:pPr>
        <w:pStyle w:val="BodyText"/>
      </w:pPr>
      <w:r>
        <w:rPr>
          <w:bCs/>
          <w:b/>
        </w:rPr>
        <w:t xml:space="preserve">Proposition 13 (Slower walking never shortens a trip).</w:t>
      </w:r>
      <w:r>
        <w:t xml:space="preserve"> </w:t>
      </w:r>
      <w:r>
        <w:t xml:space="preserve">Let mobility classes</w:t>
      </w:r>
      <w:r>
        <w:t xml:space="preserve"> </w:t>
      </w:r>
      <w:r>
        <w:rPr>
          <w:iCs/>
          <w:i/>
        </w:rPr>
        <w:t xml:space="preserve">m</w:t>
      </w:r>
      <w:r>
        <w:t xml:space="preserve"> </w:t>
      </w:r>
      <w:r>
        <w:t xml:space="preserve">and</w:t>
      </w:r>
      <w:r>
        <w:t xml:space="preserve"> </w:t>
      </w:r>
      <w:r>
        <w:rPr>
          <w:iCs/>
          <w:i/>
        </w:rPr>
        <w:t xml:space="preserve">m</w:t>
      </w:r>
      <w:r>
        <w:t xml:space="preserve">′ satisfy</w:t>
      </w:r>
      <w:r>
        <w:t xml:space="preserve"> </w:t>
      </w:r>
      <w:r>
        <w:rPr>
          <w:iCs/>
          <w:i/>
        </w:rPr>
        <w:t xml:space="preserve">v</w:t>
      </w:r>
      <w:r>
        <w:rPr>
          <w:iCs/>
          <w:i/>
          <w:vertAlign w:val="subscript"/>
        </w:rPr>
        <w:t xml:space="preserve">m</w:t>
      </w:r>
      <w:r>
        <w:t xml:space="preserve"> </w:t>
      </w:r>
      <w:r>
        <w:t xml:space="preserve">≤</w:t>
      </w:r>
      <w:r>
        <w:t xml:space="preserve"> </w:t>
      </w:r>
      <w:r>
        <w:rPr>
          <w:iCs/>
          <w:i/>
        </w:rPr>
        <w:t xml:space="preserve">v</w:t>
      </w:r>
      <w:r>
        <w:rPr>
          <w:iCs/>
          <w:i/>
          <w:vertAlign w:val="subscript"/>
        </w:rPr>
        <w:t xml:space="preserve">m</w:t>
      </w:r>
      <w:r>
        <w:rPr>
          <w:vertAlign w:val="subscript"/>
        </w:rPr>
        <w:t xml:space="preserve">′</w:t>
      </w:r>
      <w:r>
        <w:t xml:space="preserve"> </w:t>
      </w:r>
      <w:r>
        <w:t xml:space="preserve">and</w:t>
      </w:r>
      <w:r>
        <w:t xml:space="preserve"> </w:t>
      </w:r>
      <w:r>
        <w:rPr>
          <w:iCs/>
          <w:i/>
        </w:rPr>
        <w:t xml:space="preserve">t̄</w:t>
      </w:r>
      <w:r>
        <w:rPr>
          <w:iCs/>
          <w:i/>
          <w:vertAlign w:val="subscript"/>
        </w:rPr>
        <w:t xml:space="preserve">m</w:t>
      </w:r>
      <w:r>
        <w:t xml:space="preserve"> </w:t>
      </w:r>
      <w:r>
        <w:t xml:space="preserve">≤</w:t>
      </w:r>
      <w:r>
        <w:t xml:space="preserve"> </w:t>
      </w:r>
      <w:r>
        <w:rPr>
          <w:iCs/>
          <w:i/>
        </w:rPr>
        <w:t xml:space="preserve">t̄</w:t>
      </w:r>
      <w:r>
        <w:rPr>
          <w:iCs/>
          <w:i/>
          <w:vertAlign w:val="subscript"/>
        </w:rPr>
        <w:t xml:space="preserve">m</w:t>
      </w:r>
      <w:r>
        <w:rPr>
          <w:vertAlign w:val="subscript"/>
        </w:rPr>
        <w:t xml:space="preserve">′</w:t>
      </w:r>
      <w:r>
        <w:t xml:space="preserve">. Then for every origin</w:t>
      </w:r>
      <w:r>
        <w:t xml:space="preserve"> </w:t>
      </w:r>
      <w:r>
        <w:rPr>
          <w:iCs/>
          <w:i/>
        </w:rPr>
        <w:t xml:space="preserve">o</w:t>
      </w:r>
      <w:r>
        <w:t xml:space="preserve">, every destination</w:t>
      </w:r>
      <w:r>
        <w:t xml:space="preserve"> </w:t>
      </w:r>
      <w:r>
        <w:rPr>
          <w:iCs/>
          <w:i/>
        </w:rPr>
        <w:t xml:space="preserve">d</w:t>
      </w:r>
      <w:r>
        <w:t xml:space="preserve"> </w:t>
      </w:r>
      <w:r>
        <w:t xml:space="preserve">(a stop or a hospital sink</w:t>
      </w:r>
      <w:r>
        <w:t xml:space="preserve"> </w:t>
      </w:r>
      <w:r>
        <w:rPr>
          <w:iCs/>
          <w:i/>
        </w:rPr>
        <w:t xml:space="preserve">z</w:t>
      </w:r>
      <w:r>
        <w:rPr>
          <w:iCs/>
          <w:i/>
          <w:vertAlign w:val="subscript"/>
        </w:rPr>
        <w:t xml:space="preserve">h</w:t>
      </w:r>
      <w:r>
        <w:t xml:space="preserve">), and every departure time</w:t>
      </w:r>
      <w:r>
        <w:t xml:space="preserve"> </w:t>
      </w:r>
      <w:r>
        <w:rPr>
          <w:iCs/>
          <w:i/>
        </w:rPr>
        <w:t xml:space="preserve">t</w:t>
      </w:r>
      <w:r>
        <w:t xml:space="preserve">, τ</w:t>
      </w:r>
      <w:r>
        <w:rPr>
          <w:vertAlign w:val="superscript"/>
        </w:rPr>
        <w:t xml:space="preserve">∗</w:t>
      </w:r>
      <w:r>
        <w:rPr>
          <w:iCs/>
          <w:i/>
          <w:vertAlign w:val="subscript"/>
        </w:rPr>
        <w:t xml:space="preserve">m</w:t>
      </w:r>
      <w:r>
        <w:t xml:space="preserve">(</w:t>
      </w:r>
      <w:r>
        <w:rPr>
          <w:iCs/>
          <w:i/>
        </w:rPr>
        <w:t xml:space="preserve">o</w:t>
      </w:r>
      <w:r>
        <w:t xml:space="preserve">,</w:t>
      </w:r>
      <w:r>
        <w:t xml:space="preserve"> </w:t>
      </w:r>
      <w:r>
        <w:rPr>
          <w:iCs/>
          <w:i/>
        </w:rPr>
        <w:t xml:space="preserve">d</w:t>
      </w:r>
      <w:r>
        <w:t xml:space="preserve">,</w:t>
      </w:r>
      <w:r>
        <w:t xml:space="preserve"> </w:t>
      </w:r>
      <w:r>
        <w:rPr>
          <w:iCs/>
          <w:i/>
        </w:rPr>
        <w:t xml:space="preserve">t</w:t>
      </w:r>
      <w:r>
        <w:t xml:space="preserve">) ≥ τ</w:t>
      </w:r>
      <w:r>
        <w:rPr>
          <w:vertAlign w:val="superscript"/>
        </w:rPr>
        <w:t xml:space="preserve">∗</w:t>
      </w:r>
      <w:r>
        <w:rPr>
          <w:iCs/>
          <w:i/>
          <w:vertAlign w:val="subscript"/>
        </w:rPr>
        <w:t xml:space="preserve">m</w:t>
      </w:r>
      <w:r>
        <w:rPr>
          <w:vertAlign w:val="subscript"/>
        </w:rPr>
        <w:t xml:space="preserve">′</w:t>
      </w:r>
      <w:r>
        <w:t xml:space="preserve">(</w:t>
      </w:r>
      <w:r>
        <w:rPr>
          <w:iCs/>
          <w:i/>
        </w:rPr>
        <w:t xml:space="preserve">o</w:t>
      </w:r>
      <w:r>
        <w:t xml:space="preserve">,</w:t>
      </w:r>
      <w:r>
        <w:t xml:space="preserve"> </w:t>
      </w:r>
      <w:r>
        <w:rPr>
          <w:iCs/>
          <w:i/>
        </w:rPr>
        <w:t xml:space="preserve">d</w:t>
      </w:r>
      <w:r>
        <w:t xml:space="preserve">,</w:t>
      </w:r>
      <w:r>
        <w:t xml:space="preserve"> </w:t>
      </w:r>
      <w:r>
        <w:rPr>
          <w:iCs/>
          <w:i/>
        </w:rPr>
        <w:t xml:space="preserve">t</w:t>
      </w:r>
      <w:r>
        <w:t xml:space="preserve">). Consequently, for every profile,</w:t>
      </w:r>
      <w:r>
        <w:t xml:space="preserve"> </w:t>
      </w:r>
      <w:r>
        <w:rPr>
          <w:iCs/>
          <w:i/>
        </w:rPr>
        <w:t xml:space="preserve">T</w:t>
      </w:r>
      <w:r>
        <w:rPr>
          <w:vertAlign w:val="superscript"/>
        </w:rPr>
        <w:t xml:space="preserve">∗</w:t>
      </w:r>
      <w:r>
        <w:rPr>
          <w:iCs/>
          <w:i/>
          <w:vertAlign w:val="subscript"/>
        </w:rPr>
        <w:t xml:space="preserve">pt</w:t>
      </w:r>
      <w:r>
        <w:t xml:space="preserve"> </w:t>
      </w:r>
      <w:r>
        <w:t xml:space="preserve">for the slow class is at least</w:t>
      </w:r>
      <w:r>
        <w:t xml:space="preserve"> </w:t>
      </w:r>
      <w:r>
        <w:rPr>
          <w:iCs/>
          <w:i/>
        </w:rPr>
        <w:t xml:space="preserve">T</w:t>
      </w:r>
      <w:r>
        <w:rPr>
          <w:vertAlign w:val="superscript"/>
        </w:rPr>
        <w:t xml:space="preserve">∗</w:t>
      </w:r>
      <w:r>
        <w:rPr>
          <w:iCs/>
          <w:i/>
          <w:vertAlign w:val="subscript"/>
        </w:rPr>
        <w:t xml:space="preserve">pt</w:t>
      </w:r>
      <w:r>
        <w:t xml:space="preserve"> </w:t>
      </w:r>
      <w:r>
        <w:t xml:space="preserve">for the standard class, Δ</w:t>
      </w:r>
      <w:r>
        <w:rPr>
          <w:iCs/>
          <w:i/>
          <w:vertAlign w:val="subscript"/>
        </w:rPr>
        <w:t xml:space="preserve">mob</w:t>
      </w:r>
      <w:r>
        <w:t xml:space="preserve"> </w:t>
      </w:r>
      <w:r>
        <w:t xml:space="preserve">≥ 0, and every hospital that a slow walker can reach is reachable by a standard walker.</w:t>
      </w:r>
    </w:p>
    <w:p>
      <w:pPr>
        <w:pStyle w:val="BodyText"/>
      </w:pPr>
      <w:r>
        <w:rPr>
          <w:iCs/>
          <w:i/>
        </w:rPr>
        <w:t xml:space="preserve">Proof.</w:t>
      </w:r>
      <w:r>
        <w:t xml:space="preserve"> </w:t>
      </w:r>
      <w:r>
        <w:t xml:space="preserve">Take any journey</w:t>
      </w:r>
      <w:r>
        <w:t xml:space="preserve"> </w:t>
      </w:r>
      <w:r>
        <w:rPr>
          <w:iCs/>
          <w:i/>
        </w:rPr>
        <w:t xml:space="preserve">j</w:t>
      </w:r>
      <w:r>
        <w:t xml:space="preserve"> </w:t>
      </w:r>
      <w:r>
        <w:t xml:space="preserve">that is feasible for class</w:t>
      </w:r>
      <w:r>
        <w:t xml:space="preserve"> </w:t>
      </w:r>
      <w:r>
        <w:rPr>
          <w:iCs/>
          <w:i/>
        </w:rPr>
        <w:t xml:space="preserve">m</w:t>
      </w:r>
      <w:r>
        <w:t xml:space="preserve">. It is a sequence of rides, waits, transfers, and walking legs. Build a journey</w:t>
      </w:r>
      <w:r>
        <w:t xml:space="preserve"> </w:t>
      </w:r>
      <w:r>
        <w:rPr>
          <w:iCs/>
          <w:i/>
        </w:rPr>
        <w:t xml:space="preserve">j</w:t>
      </w:r>
      <w:r>
        <w:t xml:space="preserve">′ for class</w:t>
      </w:r>
      <w:r>
        <w:t xml:space="preserve"> </w:t>
      </w:r>
      <w:r>
        <w:rPr>
          <w:iCs/>
          <w:i/>
        </w:rPr>
        <w:t xml:space="preserve">m</w:t>
      </w:r>
      <w:r>
        <w:t xml:space="preserve">′ leg by leg, keeping the same rides. A walking leg of length ℓ takes ℓ /</w:t>
      </w:r>
      <w:r>
        <w:t xml:space="preserve"> </w:t>
      </w:r>
      <w:r>
        <w:rPr>
          <w:iCs/>
          <w:i/>
        </w:rPr>
        <w:t xml:space="preserve">v</w:t>
      </w:r>
      <w:r>
        <w:rPr>
          <w:iCs/>
          <w:i/>
          <w:vertAlign w:val="subscript"/>
        </w:rPr>
        <w:t xml:space="preserve">m</w:t>
      </w:r>
      <w:r>
        <w:rPr>
          <w:vertAlign w:val="subscript"/>
        </w:rPr>
        <w:t xml:space="preserve">′</w:t>
      </w:r>
      <w:r>
        <w:t xml:space="preserve"> </w:t>
      </w:r>
      <w:r>
        <w:t xml:space="preserve">≤ ℓ /</w:t>
      </w:r>
      <w:r>
        <w:t xml:space="preserve"> </w:t>
      </w:r>
      <w:r>
        <w:rPr>
          <w:iCs/>
          <w:i/>
        </w:rPr>
        <w:t xml:space="preserve">v</w:t>
      </w:r>
      <w:r>
        <w:rPr>
          <w:iCs/>
          <w:i/>
          <w:vertAlign w:val="subscript"/>
        </w:rPr>
        <w:t xml:space="preserve">m</w:t>
      </w:r>
      <w:r>
        <w:t xml:space="preserve"> </w:t>
      </w:r>
      <w:r>
        <w:t xml:space="preserve">≤</w:t>
      </w:r>
      <w:r>
        <w:t xml:space="preserve"> </w:t>
      </w:r>
      <w:r>
        <w:rPr>
          <w:iCs/>
          <w:i/>
        </w:rPr>
        <w:t xml:space="preserve">t̄</w:t>
      </w:r>
      <w:r>
        <w:rPr>
          <w:iCs/>
          <w:i/>
          <w:vertAlign w:val="subscript"/>
        </w:rPr>
        <w:t xml:space="preserve">m</w:t>
      </w:r>
      <w:r>
        <w:t xml:space="preserve"> </w:t>
      </w:r>
      <w:r>
        <w:t xml:space="preserve">≤</w:t>
      </w:r>
      <w:r>
        <w:t xml:space="preserve"> </w:t>
      </w:r>
      <w:r>
        <w:rPr>
          <w:iCs/>
          <w:i/>
        </w:rPr>
        <w:t xml:space="preserve">t̄</w:t>
      </w:r>
      <w:r>
        <w:rPr>
          <w:iCs/>
          <w:i/>
          <w:vertAlign w:val="subscript"/>
        </w:rPr>
        <w:t xml:space="preserve">m</w:t>
      </w:r>
      <w:r>
        <w:rPr>
          <w:vertAlign w:val="subscript"/>
        </w:rPr>
        <w:t xml:space="preserve">′</w:t>
      </w:r>
      <w:r>
        <w:t xml:space="preserve">, so it is allowed for</w:t>
      </w:r>
      <w:r>
        <w:t xml:space="preserve"> </w:t>
      </w:r>
      <w:r>
        <w:rPr>
          <w:iCs/>
          <w:i/>
        </w:rPr>
        <w:t xml:space="preserve">m</w:t>
      </w:r>
      <w:r>
        <w:t xml:space="preserve">′ and ends no later than the same leg of</w:t>
      </w:r>
      <w:r>
        <w:t xml:space="preserve"> </w:t>
      </w:r>
      <w:r>
        <w:rPr>
          <w:iCs/>
          <w:i/>
        </w:rPr>
        <w:t xml:space="preserve">j</w:t>
      </w:r>
      <w:r>
        <w:t xml:space="preserve">. If the leg ends at a stop, the walk arc of</w:t>
      </w:r>
      <w:r>
        <w:t xml:space="preserve"> </w:t>
      </w:r>
      <w:r>
        <w:rPr>
          <w:iCs/>
          <w:i/>
        </w:rPr>
        <w:t xml:space="preserve">m</w:t>
      </w:r>
      <w:r>
        <w:t xml:space="preserve">′ lands on the earliest departure event at or after its arrival, which is no later than the departure event that</w:t>
      </w:r>
      <w:r>
        <w:t xml:space="preserve"> </w:t>
      </w:r>
      <w:r>
        <w:rPr>
          <w:iCs/>
          <w:i/>
        </w:rPr>
        <w:t xml:space="preserve">j</w:t>
      </w:r>
      <w:r>
        <w:t xml:space="preserve"> </w:t>
      </w:r>
      <w:r>
        <w:t xml:space="preserve">boards there, and the wait arcs of Definition 5, which join consecutive departure events at a stop, carry</w:t>
      </w:r>
      <w:r>
        <w:t xml:space="preserve"> </w:t>
      </w:r>
      <w:r>
        <w:rPr>
          <w:iCs/>
          <w:i/>
        </w:rPr>
        <w:t xml:space="preserve">j</w:t>
      </w:r>
      <w:r>
        <w:t xml:space="preserve">′ forward to that same event. If the leg ends at the hospital,</w:t>
      </w:r>
      <w:r>
        <w:t xml:space="preserve"> </w:t>
      </w:r>
      <w:r>
        <w:rPr>
          <w:iCs/>
          <w:i/>
        </w:rPr>
        <w:t xml:space="preserve">j</w:t>
      </w:r>
      <w:r>
        <w:t xml:space="preserve">′ arrives no later than</w:t>
      </w:r>
      <w:r>
        <w:t xml:space="preserve"> </w:t>
      </w:r>
      <w:r>
        <w:rPr>
          <w:iCs/>
          <w:i/>
        </w:rPr>
        <w:t xml:space="preserve">j</w:t>
      </w:r>
      <w:r>
        <w:t xml:space="preserve">. Rides, waits, and transfers are copied unchanged. Hence</w:t>
      </w:r>
      <w:r>
        <w:t xml:space="preserve"> </w:t>
      </w:r>
      <w:r>
        <w:rPr>
          <w:iCs/>
          <w:i/>
        </w:rPr>
        <w:t xml:space="preserve">j</w:t>
      </w:r>
      <w:r>
        <w:t xml:space="preserve">′ is feasible for</w:t>
      </w:r>
      <w:r>
        <w:t xml:space="preserve"> </w:t>
      </w:r>
      <w:r>
        <w:rPr>
          <w:iCs/>
          <w:i/>
        </w:rPr>
        <w:t xml:space="preserve">m</w:t>
      </w:r>
      <w:r>
        <w:t xml:space="preserve">′ and arrives no later than</w:t>
      </w:r>
      <w:r>
        <w:t xml:space="preserve"> </w:t>
      </w:r>
      <w:r>
        <w:rPr>
          <w:iCs/>
          <w:i/>
        </w:rPr>
        <w:t xml:space="preserve">j</w:t>
      </w:r>
      <w:r>
        <w:t xml:space="preserve">, and taking the minimum over all</w:t>
      </w:r>
      <w:r>
        <w:t xml:space="preserve"> </w:t>
      </w:r>
      <w:r>
        <w:rPr>
          <w:iCs/>
          <w:i/>
        </w:rPr>
        <w:t xml:space="preserve">j</w:t>
      </w:r>
      <w:r>
        <w:t xml:space="preserve"> </w:t>
      </w:r>
      <w:r>
        <w:t xml:space="preserve">gives the inequality. Suitability does not depend on the mobility class, so both classes face the same suitable set, and a minimum of pointwise larger travel times over the same set is larger. □</w:t>
      </w:r>
    </w:p>
    <w:p>
      <w:pPr>
        <w:pStyle w:val="BodyText"/>
      </w:pPr>
      <w:r>
        <w:rPr>
          <w:bCs/>
          <w:b/>
        </w:rPr>
        <w:t xml:space="preserve">Proposition 14 (The whole catchment map from one search).</w:t>
      </w:r>
      <w:r>
        <w:t xml:space="preserve"> </w:t>
      </w:r>
      <w:r>
        <w:t xml:space="preserve">In ambulance mode, Algorithm 2 labels every road vertex</w:t>
      </w:r>
      <w:r>
        <w:t xml:space="preserve"> </w:t>
      </w:r>
      <w:r>
        <w:rPr>
          <w:iCs/>
          <w:i/>
        </w:rPr>
        <w:t xml:space="preserve">v</w:t>
      </w:r>
      <w:r>
        <w:t xml:space="preserve"> </w:t>
      </w:r>
      <w:r>
        <w:t xml:space="preserve">with (</w:t>
      </w:r>
      <w:r>
        <w:rPr>
          <w:iCs/>
          <w:i/>
        </w:rPr>
        <w:t xml:space="preserve">T</w:t>
      </w:r>
      <w:r>
        <w:rPr>
          <w:vertAlign w:val="superscript"/>
        </w:rPr>
        <w:t xml:space="preserve">∗</w:t>
      </w:r>
      <w:r>
        <w:t xml:space="preserve">(</w:t>
      </w:r>
      <w:r>
        <w:rPr>
          <w:iCs/>
          <w:i/>
        </w:rPr>
        <w:t xml:space="preserve">v</w:t>
      </w:r>
      <w:r>
        <w:t xml:space="preserve">, π,</w:t>
      </w:r>
      <w:r>
        <w:t xml:space="preserve"> </w:t>
      </w:r>
      <w:r>
        <w:rPr>
          <w:iCs/>
          <w:i/>
        </w:rPr>
        <w:t xml:space="preserve">t</w:t>
      </w:r>
      <w:r>
        <w:t xml:space="preserve">), −</w:t>
      </w:r>
      <w:r>
        <w:rPr>
          <w:iCs/>
          <w:i/>
        </w:rPr>
        <w:t xml:space="preserve">b</w:t>
      </w:r>
      <w:r>
        <w:rPr>
          <w:iCs/>
          <w:i/>
          <w:vertAlign w:val="subscript"/>
        </w:rPr>
        <w:t xml:space="preserve">h</w:t>
      </w:r>
      <w:r>
        <w:rPr>
          <w:vertAlign w:val="subscript"/>
        </w:rPr>
        <w:t xml:space="preserve">∗</w:t>
      </w:r>
      <w:r>
        <w:t xml:space="preserve">(</w:t>
      </w:r>
      <w:r>
        <w:rPr>
          <w:iCs/>
          <w:i/>
        </w:rPr>
        <w:t xml:space="preserve">t</w:t>
      </w:r>
      <w:r>
        <w:t xml:space="preserve">), id</w:t>
      </w:r>
      <w:r>
        <w:rPr>
          <w:iCs/>
          <w:i/>
          <w:vertAlign w:val="subscript"/>
        </w:rPr>
        <w:t xml:space="preserve">h</w:t>
      </w:r>
      <w:r>
        <w:rPr>
          <w:vertAlign w:val="subscript"/>
        </w:rPr>
        <w:t xml:space="preserve">∗</w:t>
      </w:r>
      <w:r>
        <w:t xml:space="preserve">), where</w:t>
      </w:r>
      <w:r>
        <w:t xml:space="preserve"> </w:t>
      </w:r>
      <w:r>
        <w:rPr>
          <w:iCs/>
          <w:i/>
        </w:rPr>
        <w:t xml:space="preserve">h</w:t>
      </w:r>
      <w:r>
        <w:rPr>
          <w:vertAlign w:val="superscript"/>
        </w:rPr>
        <w:t xml:space="preserve">∗</w:t>
      </w:r>
      <w:r>
        <w:t xml:space="preserve"> </w:t>
      </w:r>
      <w:r>
        <w:t xml:space="preserve">=</w:t>
      </w:r>
      <w:r>
        <w:t xml:space="preserve"> </w:t>
      </w:r>
      <w:r>
        <w:rPr>
          <w:iCs/>
          <w:i/>
        </w:rPr>
        <w:t xml:space="preserve">h</w:t>
      </w:r>
      <w:r>
        <w:rPr>
          <w:vertAlign w:val="superscript"/>
        </w:rPr>
        <w:t xml:space="preserve">∗</w:t>
      </w:r>
      <w:r>
        <w:t xml:space="preserve">(</w:t>
      </w:r>
      <w:r>
        <w:rPr>
          <w:iCs/>
          <w:i/>
        </w:rPr>
        <w:t xml:space="preserve">v</w:t>
      </w:r>
      <w:r>
        <w:t xml:space="preserve">, π,</w:t>
      </w:r>
      <w:r>
        <w:t xml:space="preserve"> </w:t>
      </w:r>
      <w:r>
        <w:rPr>
          <w:iCs/>
          <w:i/>
        </w:rPr>
        <w:t xml:space="preserve">t</w:t>
      </w:r>
      <w:r>
        <w:t xml:space="preserve">); that is, it computes the nearest suitable hospital and its travel time for every vertex at once, with the tie-break of Definition 18, in</w:t>
      </w:r>
      <w:r>
        <w:t xml:space="preserve"> </w:t>
      </w:r>
      <w:r>
        <w:rPr>
          <w:iCs/>
          <w:i/>
        </w:rPr>
        <w:t xml:space="preserve">O</w:t>
      </w:r>
      <w:r>
        <w:t xml:space="preserve">(|</w:t>
      </w:r>
      <w:r>
        <w:rPr>
          <w:iCs/>
          <w:i/>
        </w:rPr>
        <w:t xml:space="preserve">E</w:t>
      </w:r>
      <w:r>
        <w:rPr>
          <w:vertAlign w:val="subscript"/>
        </w:rPr>
        <w:t xml:space="preserve">γ</w:t>
      </w:r>
      <w:r>
        <w:rPr>
          <w:iCs/>
          <w:i/>
          <w:vertAlign w:val="subscript"/>
        </w:rPr>
        <w:t xml:space="preserve">amb</w:t>
      </w:r>
      <w:r>
        <w:t xml:space="preserve">| log |</w:t>
      </w:r>
      <w:r>
        <w:rPr>
          <w:iCs/>
          <w:i/>
        </w:rPr>
        <w:t xml:space="preserve">V</w:t>
      </w:r>
      <w:r>
        <w:rPr>
          <w:iCs/>
          <w:i/>
          <w:vertAlign w:val="subscript"/>
        </w:rPr>
        <w:t xml:space="preserve">R</w:t>
      </w:r>
      <w:r>
        <w:t xml:space="preserve">|) time, the cost of a single ordinary search. The parent pointers form a forest</w:t>
      </w:r>
      <w:r>
        <w:t xml:space="preserve"> </w:t>
      </w:r>
      <w:r>
        <w:rPr>
          <w:iCs/>
          <w:i/>
        </w:rPr>
        <w:t xml:space="preserve">F</w:t>
      </w:r>
      <w:r>
        <w:t xml:space="preserve"> </w:t>
      </w:r>
      <w:r>
        <w:t xml:space="preserve">of shortest paths, one tree for each suitable hospital, and the tree containing</w:t>
      </w:r>
      <w:r>
        <w:t xml:space="preserve"> </w:t>
      </w:r>
      <w:r>
        <w:rPr>
          <w:iCs/>
          <w:i/>
        </w:rPr>
        <w:t xml:space="preserve">v</w:t>
      </w:r>
      <w:r>
        <w:t xml:space="preserve"> </w:t>
      </w:r>
      <w:r>
        <w:t xml:space="preserve">is rooted at</w:t>
      </w:r>
      <w:r>
        <w:t xml:space="preserve"> </w:t>
      </w:r>
      <w:r>
        <w:rPr>
          <w:iCs/>
          <w:i/>
        </w:rPr>
        <w:t xml:space="preserve">v</w:t>
      </w:r>
      <w:r>
        <w:rPr>
          <w:iCs/>
          <w:i/>
          <w:vertAlign w:val="subscript"/>
        </w:rPr>
        <w:t xml:space="preserve">h</w:t>
      </w:r>
      <w:r>
        <w:rPr>
          <w:vertAlign w:val="subscript"/>
        </w:rPr>
        <w:t xml:space="preserve">∗(</w:t>
      </w:r>
      <w:r>
        <w:rPr>
          <w:iCs/>
          <w:i/>
          <w:vertAlign w:val="subscript"/>
        </w:rPr>
        <w:t xml:space="preserve">v</w:t>
      </w:r>
      <w:r>
        <w:rPr>
          <w:vertAlign w:val="subscript"/>
        </w:rPr>
        <w:t xml:space="preserve">)</w:t>
      </w:r>
      <w:r>
        <w:t xml:space="preserve">.</w:t>
      </w:r>
    </w:p>
    <w:p>
      <w:pPr>
        <w:pStyle w:val="BodyText"/>
      </w:pPr>
      <w:r>
        <w:rPr>
          <w:iCs/>
          <w:i/>
        </w:rPr>
        <w:t xml:space="preserve">Proof.</w:t>
      </w:r>
      <w:r>
        <w:t xml:space="preserve"> </w:t>
      </w:r>
      <w:r>
        <w:t xml:space="preserve">For each vertex</w:t>
      </w:r>
      <w:r>
        <w:t xml:space="preserve"> </w:t>
      </w:r>
      <w:r>
        <w:rPr>
          <w:iCs/>
          <w:i/>
        </w:rPr>
        <w:t xml:space="preserve">v</w:t>
      </w:r>
      <w:r>
        <w:t xml:space="preserve">, define the target label Λ(</w:t>
      </w:r>
      <w:r>
        <w:rPr>
          <w:iCs/>
          <w:i/>
        </w:rPr>
        <w:t xml:space="preserve">v</w:t>
      </w:r>
      <w:r>
        <w:t xml:space="preserve">) = min</w:t>
      </w:r>
      <w:r>
        <w:rPr>
          <w:iCs/>
          <w:i/>
          <w:vertAlign w:val="subscript"/>
        </w:rPr>
        <w:t xml:space="preserve">h</w:t>
      </w:r>
      <w:r>
        <w:rPr>
          <w:vertAlign w:val="subscript"/>
        </w:rPr>
        <w:t xml:space="preserve"> ∈ </w:t>
      </w:r>
      <w:r>
        <w:rPr>
          <w:iCs/>
          <w:i/>
          <w:vertAlign w:val="subscript"/>
        </w:rPr>
        <w:t xml:space="preserve">H</w:t>
      </w:r>
      <w:r>
        <w:rPr>
          <w:vertAlign w:val="subscript"/>
        </w:rPr>
        <w:t xml:space="preserve">π(</w:t>
      </w:r>
      <w:r>
        <w:rPr>
          <w:iCs/>
          <w:i/>
          <w:vertAlign w:val="subscript"/>
        </w:rPr>
        <w:t xml:space="preserve">t</w:t>
      </w:r>
      <w:r>
        <w:rPr>
          <w:vertAlign w:val="subscript"/>
        </w:rPr>
        <w:t xml:space="preserve">)</w:t>
      </w:r>
      <w:r>
        <w:t xml:space="preserve"> </w:t>
      </w:r>
      <w:r>
        <w:t xml:space="preserve">(</w:t>
      </w:r>
      <w:r>
        <w:rPr>
          <w:iCs/>
          <w:i/>
        </w:rPr>
        <w:t xml:space="preserve">d</w:t>
      </w:r>
      <w:r>
        <w:t xml:space="preserve">(</w:t>
      </w:r>
      <w:r>
        <w:rPr>
          <w:iCs/>
          <w:i/>
        </w:rPr>
        <w:t xml:space="preserve">v</w:t>
      </w:r>
      <w:r>
        <w:t xml:space="preserve">,</w:t>
      </w:r>
      <w:r>
        <w:t xml:space="preserve"> </w:t>
      </w:r>
      <w:r>
        <w:rPr>
          <w:iCs/>
          <w:i/>
        </w:rPr>
        <w:t xml:space="preserve">v</w:t>
      </w:r>
      <w:r>
        <w:rPr>
          <w:iCs/>
          <w:i/>
          <w:vertAlign w:val="subscript"/>
        </w:rPr>
        <w:t xml:space="preserve">h</w:t>
      </w:r>
      <w:r>
        <w:t xml:space="preserve">), −</w:t>
      </w:r>
      <w:r>
        <w:rPr>
          <w:iCs/>
          <w:i/>
        </w:rPr>
        <w:t xml:space="preserve">b</w:t>
      </w:r>
      <w:r>
        <w:rPr>
          <w:iCs/>
          <w:i/>
          <w:vertAlign w:val="subscript"/>
        </w:rPr>
        <w:t xml:space="preserve">h</w:t>
      </w:r>
      <w:r>
        <w:t xml:space="preserve">(</w:t>
      </w:r>
      <w:r>
        <w:rPr>
          <w:iCs/>
          <w:i/>
        </w:rPr>
        <w:t xml:space="preserve">t</w:t>
      </w:r>
      <w:r>
        <w:t xml:space="preserve">), id</w:t>
      </w:r>
      <w:r>
        <w:rPr>
          <w:iCs/>
          <w:i/>
          <w:vertAlign w:val="subscript"/>
        </w:rPr>
        <w:t xml:space="preserve">h</w:t>
      </w:r>
      <w:r>
        <w:t xml:space="preserve">) in lexicographic order, where</w:t>
      </w:r>
      <w:r>
        <w:t xml:space="preserve"> </w:t>
      </w:r>
      <w:r>
        <w:rPr>
          <w:iCs/>
          <w:i/>
        </w:rPr>
        <w:t xml:space="preserve">d</w:t>
      </w:r>
      <w:r>
        <w:t xml:space="preserve"> </w:t>
      </w:r>
      <w:r>
        <w:t xml:space="preserve">is the forward shortest-path time on</w:t>
      </w:r>
      <w:r>
        <w:t xml:space="preserve"> </w:t>
      </w:r>
      <w:r>
        <w:rPr>
          <w:iCs/>
          <w:i/>
        </w:rPr>
        <w:t xml:space="preserve">G</w:t>
      </w:r>
      <w:r>
        <w:rPr>
          <w:vertAlign w:val="subscript"/>
        </w:rPr>
        <w:t xml:space="preserve">γ</w:t>
      </w:r>
      <w:r>
        <w:rPr>
          <w:iCs/>
          <w:i/>
          <w:vertAlign w:val="subscript"/>
        </w:rPr>
        <w:t xml:space="preserve">amb</w:t>
      </w:r>
      <w:r>
        <w:t xml:space="preserve">. By Definition 18, the hospital named in Λ(</w:t>
      </w:r>
      <w:r>
        <w:rPr>
          <w:iCs/>
          <w:i/>
        </w:rPr>
        <w:t xml:space="preserve">v</w:t>
      </w:r>
      <w:r>
        <w:t xml:space="preserve">) is</w:t>
      </w:r>
      <w:r>
        <w:t xml:space="preserve"> </w:t>
      </w:r>
      <w:r>
        <w:rPr>
          <w:iCs/>
          <w:i/>
        </w:rPr>
        <w:t xml:space="preserve">h</w:t>
      </w:r>
      <w:r>
        <w:rPr>
          <w:vertAlign w:val="superscript"/>
        </w:rPr>
        <w:t xml:space="preserve">∗</w:t>
      </w:r>
      <w:r>
        <w:t xml:space="preserve">(</w:t>
      </w:r>
      <w:r>
        <w:rPr>
          <w:iCs/>
          <w:i/>
        </w:rPr>
        <w:t xml:space="preserve">v</w:t>
      </w:r>
      <w:r>
        <w:t xml:space="preserve">) and its first component is</w:t>
      </w:r>
      <w:r>
        <w:t xml:space="preserve"> </w:t>
      </w:r>
      <w:r>
        <w:rPr>
          <w:iCs/>
          <w:i/>
        </w:rPr>
        <w:t xml:space="preserve">T</w:t>
      </w:r>
      <w:r>
        <w:rPr>
          <w:vertAlign w:val="superscript"/>
        </w:rPr>
        <w:t xml:space="preserve">∗</w:t>
      </w:r>
      <w:r>
        <w:t xml:space="preserve">(</w:t>
      </w:r>
      <w:r>
        <w:rPr>
          <w:iCs/>
          <w:i/>
        </w:rPr>
        <w:t xml:space="preserve">v</w:t>
      </w:r>
      <w:r>
        <w:t xml:space="preserve">). Reversing every arc turns</w:t>
      </w:r>
      <w:r>
        <w:t xml:space="preserve"> </w:t>
      </w:r>
      <w:r>
        <w:rPr>
          <w:iCs/>
          <w:i/>
        </w:rPr>
        <w:t xml:space="preserve">d</w:t>
      </w:r>
      <w:r>
        <w:t xml:space="preserve">(</w:t>
      </w:r>
      <w:r>
        <w:rPr>
          <w:iCs/>
          <w:i/>
        </w:rPr>
        <w:t xml:space="preserve">v</w:t>
      </w:r>
      <w:r>
        <w:t xml:space="preserve">,</w:t>
      </w:r>
      <w:r>
        <w:t xml:space="preserve"> </w:t>
      </w:r>
      <w:r>
        <w:rPr>
          <w:iCs/>
          <w:i/>
        </w:rPr>
        <w:t xml:space="preserve">v</w:t>
      </w:r>
      <w:r>
        <w:rPr>
          <w:iCs/>
          <w:i/>
          <w:vertAlign w:val="subscript"/>
        </w:rPr>
        <w:t xml:space="preserve">h</w:t>
      </w:r>
      <w:r>
        <w:t xml:space="preserve">) into the shortest-path time from</w:t>
      </w:r>
      <w:r>
        <w:t xml:space="preserve"> </w:t>
      </w:r>
      <w:r>
        <w:rPr>
          <w:iCs/>
          <w:i/>
        </w:rPr>
        <w:t xml:space="preserve">v</w:t>
      </w:r>
      <w:r>
        <w:rPr>
          <w:iCs/>
          <w:i/>
          <w:vertAlign w:val="subscript"/>
        </w:rPr>
        <w:t xml:space="preserve">h</w:t>
      </w:r>
      <w:r>
        <w:t xml:space="preserve"> </w:t>
      </w:r>
      <w:r>
        <w:t xml:space="preserve">to</w:t>
      </w:r>
      <w:r>
        <w:t xml:space="preserve"> </w:t>
      </w:r>
      <w:r>
        <w:rPr>
          <w:iCs/>
          <w:i/>
        </w:rPr>
        <w:t xml:space="preserve">v</w:t>
      </w:r>
      <w:r>
        <w:t xml:space="preserve">, so Λ(</w:t>
      </w:r>
      <w:r>
        <w:rPr>
          <w:iCs/>
          <w:i/>
        </w:rPr>
        <w:t xml:space="preserve">v</w:t>
      </w:r>
      <w:r>
        <w:t xml:space="preserve">) is the smallest label over paths that start at a seeded hospital vertex in the reversed graph. Labels are triples compared lexicographically, and an arc adds its nonnegative travel time to the first component only. Hence extending a path never makes its label smaller, and two labels keep their order when the same arc extends both. These are the only two facts that the correctness argument for Dijkstra’s algorithm uses (Cormen et al., 2022), so every vertex leaves the queue carrying Λ(</w:t>
      </w:r>
      <w:r>
        <w:rPr>
          <w:iCs/>
          <w:i/>
        </w:rPr>
        <w:t xml:space="preserve">v</w:t>
      </w:r>
      <w:r>
        <w:t xml:space="preserve">). Each vertex is labeled once and each arc relaxed once, which gives the heap bound. The parent of</w:t>
      </w:r>
      <w:r>
        <w:t xml:space="preserve"> </w:t>
      </w:r>
      <w:r>
        <w:rPr>
          <w:iCs/>
          <w:i/>
        </w:rPr>
        <w:t xml:space="preserve">v</w:t>
      </w:r>
      <w:r>
        <w:t xml:space="preserve"> </w:t>
      </w:r>
      <w:r>
        <w:t xml:space="preserve">carries the same hospital index as</w:t>
      </w:r>
      <w:r>
        <w:t xml:space="preserve"> </w:t>
      </w:r>
      <w:r>
        <w:rPr>
          <w:iCs/>
          <w:i/>
        </w:rPr>
        <w:t xml:space="preserve">v</w:t>
      </w:r>
      <w:r>
        <w:t xml:space="preserve"> </w:t>
      </w:r>
      <w:r>
        <w:t xml:space="preserve">and lies on a shortest path from</w:t>
      </w:r>
      <w:r>
        <w:t xml:space="preserve"> </w:t>
      </w:r>
      <w:r>
        <w:rPr>
          <w:iCs/>
          <w:i/>
        </w:rPr>
        <w:t xml:space="preserve">v</w:t>
      </w:r>
      <w:r>
        <w:t xml:space="preserve"> </w:t>
      </w:r>
      <w:r>
        <w:t xml:space="preserve">to that hospital, so following parents from</w:t>
      </w:r>
      <w:r>
        <w:t xml:space="preserve"> </w:t>
      </w:r>
      <w:r>
        <w:rPr>
          <w:iCs/>
          <w:i/>
        </w:rPr>
        <w:t xml:space="preserve">v</w:t>
      </w:r>
      <w:r>
        <w:t xml:space="preserve"> </w:t>
      </w:r>
      <w:r>
        <w:t xml:space="preserve">ends at</w:t>
      </w:r>
      <w:r>
        <w:t xml:space="preserve"> </w:t>
      </w:r>
      <w:r>
        <w:rPr>
          <w:iCs/>
          <w:i/>
        </w:rPr>
        <w:t xml:space="preserve">v</w:t>
      </w:r>
      <w:r>
        <w:rPr>
          <w:iCs/>
          <w:i/>
          <w:vertAlign w:val="subscript"/>
        </w:rPr>
        <w:t xml:space="preserve">h</w:t>
      </w:r>
      <w:r>
        <w:rPr>
          <w:vertAlign w:val="subscript"/>
        </w:rPr>
        <w:t xml:space="preserve">∗(</w:t>
      </w:r>
      <w:r>
        <w:rPr>
          <w:iCs/>
          <w:i/>
          <w:vertAlign w:val="subscript"/>
        </w:rPr>
        <w:t xml:space="preserve">v</w:t>
      </w:r>
      <w:r>
        <w:rPr>
          <w:vertAlign w:val="subscript"/>
        </w:rPr>
        <w:t xml:space="preserve">)</w:t>
      </w:r>
      <w:r>
        <w:t xml:space="preserve">. □</w:t>
      </w:r>
    </w:p>
    <w:p>
      <w:pPr>
        <w:pStyle w:val="BodyText"/>
      </w:pPr>
      <w:r>
        <w:rPr>
          <w:bCs/>
          <w:b/>
        </w:rPr>
        <w:t xml:space="preserve">Proposition 15 (Bed-to-population ratios never count a bed twice).</w:t>
      </w:r>
      <w:r>
        <w:t xml:space="preserve"> </w:t>
      </w:r>
      <w:r>
        <w:t xml:space="preserve">Let</w:t>
      </w:r>
      <w:r>
        <w:t xml:space="preserve"> </w:t>
      </w:r>
      <w:r>
        <w:rPr>
          <w:iCs/>
          <w:i/>
        </w:rPr>
        <w:t xml:space="preserve">H</w:t>
      </w:r>
      <w:r>
        <w:rPr>
          <w:vertAlign w:val="subscript"/>
        </w:rPr>
        <w:t xml:space="preserve">θ</w:t>
      </w:r>
      <w:r>
        <w:t xml:space="preserve"> </w:t>
      </w:r>
      <w:r>
        <w:t xml:space="preserve">be the hospitals that have at least one anchor within θ. Then</w:t>
      </w:r>
    </w:p>
    <w:p>
      <w:pPr>
        <w:pStyle w:val="Equation"/>
      </w:pPr>
      <w:r>
        <w:tab/>
      </w:r>
      <w:r>
        <w:drawing>
          <wp:inline>
            <wp:extent cx="3246120" cy="844905"/>
            <wp:effectExtent b="0" l="0" r="0" t="0"/>
            <wp:docPr descr="" title="" id="165" name="Picture"/>
            <a:graphic>
              <a:graphicData uri="http://schemas.openxmlformats.org/drawingml/2006/picture">
                <pic:pic>
                  <pic:nvPicPr>
                    <pic:cNvPr descr="eq/eq31.png" id="166" name="Picture"/>
                    <pic:cNvPicPr>
                      <a:picLocks noChangeArrowheads="1" noChangeAspect="1"/>
                    </pic:cNvPicPr>
                  </pic:nvPicPr>
                  <pic:blipFill>
                    <a:blip r:embed="rId164"/>
                    <a:stretch>
                      <a:fillRect/>
                    </a:stretch>
                  </pic:blipFill>
                  <pic:spPr bwMode="auto">
                    <a:xfrm>
                      <a:off x="0" y="0"/>
                      <a:ext cx="3246120" cy="844905"/>
                    </a:xfrm>
                    <a:prstGeom prst="rect">
                      <a:avLst/>
                    </a:prstGeom>
                    <a:noFill/>
                    <a:ln w="9525">
                      <a:noFill/>
                      <a:headEnd/>
                      <a:tailEnd/>
                    </a:ln>
                  </pic:spPr>
                </pic:pic>
              </a:graphicData>
            </a:graphic>
          </wp:inline>
        </w:drawing>
      </w:r>
      <w:r/>
      <w:r/>
      <w:r>
        <w:rPr>
          <w:rFonts w:ascii="Times New Roman" w:hAnsi="Times New Roman"/>
          <w:sz w:val="24"/>
        </w:rPr>
        <w:tab/>
        <w:t>(31)</w:t>
      </w:r>
    </w:p>
    <w:p>
      <w:pPr>
        <w:pStyle w:val="Source"/>
      </w:pPr>
      <w:r>
        <w:t xml:space="preserve">Source: formulated in this study (Proposition 15), for the measure of Luo and Wang (2003)</w:t>
      </w:r>
    </w:p>
    <w:p>
      <w:pPr>
        <w:pStyle w:val="BodyText"/>
      </w:pPr>
      <w:r>
        <w:t xml:space="preserve">so the weighted mean of</w:t>
      </w:r>
      <w:r>
        <w:t xml:space="preserve"> </w:t>
      </w:r>
      <w:r>
        <w:rPr>
          <w:iCs/>
          <w:i/>
        </w:rPr>
        <w:t xml:space="preserve">A</w:t>
      </w:r>
      <w:r>
        <w:rPr>
          <w:iCs/>
          <w:i/>
          <w:vertAlign w:val="superscript"/>
        </w:rPr>
        <w:t xml:space="preserve">F</w:t>
      </w:r>
      <w:r>
        <w:t xml:space="preserve"> </w:t>
      </w:r>
      <w:r>
        <w:t xml:space="preserve">equals the total supply within reach of the population divided by</w:t>
      </w:r>
      <w:r>
        <w:t xml:space="preserve"> </w:t>
      </w:r>
      <w:r>
        <w:rPr>
          <w:iCs/>
          <w:i/>
        </w:rPr>
        <w:t xml:space="preserve">W</w:t>
      </w:r>
      <w:r>
        <w:t xml:space="preserve">. Every bed within reach is counted exactly once, however many anchors can reach it.</w:t>
      </w:r>
    </w:p>
    <w:p>
      <w:pPr>
        <w:pStyle w:val="BodyText"/>
      </w:pPr>
      <w:r>
        <w:rPr>
          <w:iCs/>
          <w:i/>
        </w:rPr>
        <w:t xml:space="preserve">Proof.</w:t>
      </w:r>
      <w:r>
        <w:t xml:space="preserve"> </w:t>
      </w:r>
      <w:r>
        <w:t xml:space="preserve">The second equality exchanges the order of summation over the finite set of anchor-hospital pairs with</w:t>
      </w:r>
      <w:r>
        <w:t xml:space="preserve"> </w:t>
      </w:r>
      <w:r>
        <w:rPr>
          <w:iCs/>
          <w:i/>
        </w:rPr>
        <w:t xml:space="preserve">T̄</w:t>
      </w:r>
      <w:r>
        <w:t xml:space="preserve">(</w:t>
      </w:r>
      <w:r>
        <w:rPr>
          <w:iCs/>
          <w:i/>
        </w:rPr>
        <w:t xml:space="preserve">o</w:t>
      </w:r>
      <w:r>
        <w:rPr>
          <w:iCs/>
          <w:i/>
          <w:vertAlign w:val="subscript"/>
        </w:rPr>
        <w:t xml:space="preserve">a</w:t>
      </w:r>
      <w:r>
        <w:t xml:space="preserve">,</w:t>
      </w:r>
      <w:r>
        <w:t xml:space="preserve"> </w:t>
      </w:r>
      <w:r>
        <w:rPr>
          <w:iCs/>
          <w:i/>
        </w:rPr>
        <w:t xml:space="preserve">h</w:t>
      </w:r>
      <w:r>
        <w:t xml:space="preserve">) ≤ θ. For</w:t>
      </w:r>
      <w:r>
        <w:t xml:space="preserve"> </w:t>
      </w:r>
      <w:r>
        <w:rPr>
          <w:iCs/>
          <w:i/>
        </w:rPr>
        <w:t xml:space="preserve">h</w:t>
      </w:r>
      <w:r>
        <w:t xml:space="preserve"> </w:t>
      </w:r>
      <w:r>
        <w:t xml:space="preserve">∈</w:t>
      </w:r>
      <w:r>
        <w:t xml:space="preserve"> </w:t>
      </w:r>
      <w:r>
        <w:rPr>
          <w:iCs/>
          <w:i/>
        </w:rPr>
        <w:t xml:space="preserve">H</w:t>
      </w:r>
      <w:r>
        <w:rPr>
          <w:vertAlign w:val="subscript"/>
        </w:rPr>
        <w:t xml:space="preserve">θ</w:t>
      </w:r>
      <w:r>
        <w:t xml:space="preserve"> </w:t>
      </w:r>
      <w:r>
        <w:t xml:space="preserve">the inner sum is the denominator of</w:t>
      </w:r>
      <w:r>
        <w:t xml:space="preserve"> </w:t>
      </w:r>
      <w:r>
        <w:rPr>
          <w:iCs/>
          <w:i/>
        </w:rPr>
        <w:t xml:space="preserve">R</w:t>
      </w:r>
      <w:r>
        <w:rPr>
          <w:iCs/>
          <w:i/>
          <w:vertAlign w:val="subscript"/>
        </w:rPr>
        <w:t xml:space="preserve">h</w:t>
      </w:r>
      <w:r>
        <w:t xml:space="preserve">(θ) in Equation (23), so</w:t>
      </w:r>
      <w:r>
        <w:t xml:space="preserve"> </w:t>
      </w:r>
      <w:r>
        <w:rPr>
          <w:iCs/>
          <w:i/>
        </w:rPr>
        <w:t xml:space="preserve">R</w:t>
      </w:r>
      <w:r>
        <w:rPr>
          <w:iCs/>
          <w:i/>
          <w:vertAlign w:val="subscript"/>
        </w:rPr>
        <w:t xml:space="preserve">h</w:t>
      </w:r>
      <w:r>
        <w:t xml:space="preserve">(θ) times it equals</w:t>
      </w:r>
      <w:r>
        <w:t xml:space="preserve"> </w:t>
      </w:r>
      <w:r>
        <w:rPr>
          <w:iCs/>
          <w:i/>
        </w:rPr>
        <w:t xml:space="preserve">s</w:t>
      </w:r>
      <w:r>
        <w:rPr>
          <w:iCs/>
          <w:i/>
          <w:vertAlign w:val="subscript"/>
        </w:rPr>
        <w:t xml:space="preserve">h</w:t>
      </w:r>
      <w:r>
        <w:t xml:space="preserve">; for</w:t>
      </w:r>
      <w:r>
        <w:t xml:space="preserve"> </w:t>
      </w:r>
      <w:r>
        <w:rPr>
          <w:iCs/>
          <w:i/>
        </w:rPr>
        <w:t xml:space="preserve">h</w:t>
      </w:r>
      <w:r>
        <w:t xml:space="preserve"> </w:t>
      </w:r>
      <w:r>
        <w:t xml:space="preserve">∉</w:t>
      </w:r>
      <w:r>
        <w:t xml:space="preserve"> </w:t>
      </w:r>
      <w:r>
        <w:rPr>
          <w:iCs/>
          <w:i/>
        </w:rPr>
        <w:t xml:space="preserve">H</w:t>
      </w:r>
      <w:r>
        <w:rPr>
          <w:vertAlign w:val="subscript"/>
        </w:rPr>
        <w:t xml:space="preserve">θ</w:t>
      </w:r>
      <w:r>
        <w:t xml:space="preserve"> </w:t>
      </w:r>
      <w:r>
        <w:t xml:space="preserve">the inner sum is empty. □</w:t>
      </w:r>
    </w:p>
    <w:p>
      <w:pPr>
        <w:pStyle w:val="BodyText"/>
      </w:pPr>
      <w:r>
        <w:t xml:space="preserve">By contrast, the cumulative measure gives Σ</w:t>
      </w:r>
      <w:r>
        <w:rPr>
          <w:iCs/>
          <w:i/>
          <w:vertAlign w:val="subscript"/>
        </w:rPr>
        <w:t xml:space="preserve">a</w:t>
      </w:r>
      <w:r>
        <w:t xml:space="preserve"> </w:t>
      </w:r>
      <w:r>
        <w:rPr>
          <w:iCs/>
          <w:i/>
        </w:rPr>
        <w:t xml:space="preserve">P</w:t>
      </w:r>
      <w:r>
        <w:rPr>
          <w:iCs/>
          <w:i/>
          <w:vertAlign w:val="subscript"/>
        </w:rPr>
        <w:t xml:space="preserve">a</w:t>
      </w:r>
      <w:r>
        <w:t xml:space="preserve"> </w:t>
      </w:r>
      <w:r>
        <w:rPr>
          <w:iCs/>
          <w:i/>
        </w:rPr>
        <w:t xml:space="preserve">A</w:t>
      </w:r>
      <w:r>
        <w:rPr>
          <w:iCs/>
          <w:i/>
          <w:vertAlign w:val="subscript"/>
        </w:rPr>
        <w:t xml:space="preserve">a</w:t>
      </w:r>
      <w:r>
        <w:t xml:space="preserve">(θ) = Σ</w:t>
      </w:r>
      <w:r>
        <w:rPr>
          <w:iCs/>
          <w:i/>
          <w:vertAlign w:val="subscript"/>
        </w:rPr>
        <w:t xml:space="preserve">h</w:t>
      </w:r>
      <w:r>
        <w:t xml:space="preserve"> </w:t>
      </w:r>
      <w:r>
        <w:rPr>
          <w:iCs/>
          <w:i/>
        </w:rPr>
        <w:t xml:space="preserve">s</w:t>
      </w:r>
      <w:r>
        <w:rPr>
          <w:iCs/>
          <w:i/>
          <w:vertAlign w:val="subscript"/>
        </w:rPr>
        <w:t xml:space="preserve">h</w:t>
      </w:r>
      <w:r>
        <w:t xml:space="preserve"> </w:t>
      </w:r>
      <w:r>
        <w:t xml:space="preserve">Σ</w:t>
      </w:r>
      <w:r>
        <w:rPr>
          <w:iCs/>
          <w:i/>
          <w:vertAlign w:val="subscript"/>
        </w:rPr>
        <w:t xml:space="preserve">a</w:t>
      </w:r>
      <w:r>
        <w:rPr>
          <w:vertAlign w:val="subscript"/>
        </w:rPr>
        <w:t xml:space="preserve">: </w:t>
      </w:r>
      <w:r>
        <w:rPr>
          <w:iCs/>
          <w:i/>
          <w:vertAlign w:val="subscript"/>
        </w:rPr>
        <w:t xml:space="preserve">T̄</w:t>
      </w:r>
      <w:r>
        <w:rPr>
          <w:vertAlign w:val="subscript"/>
        </w:rPr>
        <w:t xml:space="preserve">(</w:t>
      </w:r>
      <w:r>
        <w:rPr>
          <w:iCs/>
          <w:i/>
          <w:vertAlign w:val="subscript"/>
        </w:rPr>
        <w:t xml:space="preserve">oa</w:t>
      </w:r>
      <w:r>
        <w:rPr>
          <w:vertAlign w:val="subscript"/>
        </w:rPr>
        <w:t xml:space="preserve">,</w:t>
      </w:r>
      <w:r>
        <w:rPr>
          <w:iCs/>
          <w:i/>
          <w:vertAlign w:val="subscript"/>
        </w:rPr>
        <w:t xml:space="preserve">h</w:t>
      </w:r>
      <w:r>
        <w:rPr>
          <w:vertAlign w:val="subscript"/>
        </w:rPr>
        <w:t xml:space="preserve">) ≤ θ</w:t>
      </w:r>
      <w:r>
        <w:t xml:space="preserve"> </w:t>
      </w:r>
      <w:r>
        <w:rPr>
          <w:iCs/>
          <w:i/>
        </w:rPr>
        <w:t xml:space="preserve">P</w:t>
      </w:r>
      <w:r>
        <w:rPr>
          <w:iCs/>
          <w:i/>
          <w:vertAlign w:val="subscript"/>
        </w:rPr>
        <w:t xml:space="preserve">a</w:t>
      </w:r>
      <w:r>
        <w:t xml:space="preserve">, which counts each bed once for every person who can reach it. This is why the two measures can rank the same anchors differently (Section 3.5.3).</w:t>
      </w:r>
    </w:p>
    <w:p>
      <w:pPr>
        <w:pStyle w:val="BodyText"/>
      </w:pPr>
      <w:r>
        <w:rPr>
          <w:bCs/>
          <w:b/>
        </w:rPr>
        <w:t xml:space="preserve">Proposition 16 (Optimal surge assignment).</w:t>
      </w:r>
      <w:r>
        <w:t xml:space="preserve"> </w:t>
      </w:r>
      <w:r>
        <w:t xml:space="preserve">Consider program (24).</w:t>
      </w:r>
    </w:p>
    <w:p>
      <w:pPr>
        <w:numPr>
          <w:ilvl w:val="0"/>
          <w:numId w:val="1007"/>
        </w:numPr>
      </w:pPr>
      <w:r>
        <w:t xml:space="preserve">Its linear relaxation has an optimal solution in whole numbers, and Algorithm 3 finds an optimal assignment in polynomial time,</w:t>
      </w:r>
      <w:r>
        <w:t xml:space="preserve"> </w:t>
      </w:r>
      <w:r>
        <w:rPr>
          <w:iCs/>
          <w:i/>
        </w:rPr>
        <w:t xml:space="preserve">O</w:t>
      </w:r>
      <w:r>
        <w:t xml:space="preserve">((</w:t>
      </w:r>
      <w:r>
        <w:rPr>
          <w:iCs/>
          <w:i/>
        </w:rPr>
        <w:t xml:space="preserve">n</w:t>
      </w:r>
      <w:r>
        <w:t xml:space="preserve"> </w:t>
      </w:r>
      <w:r>
        <w:t xml:space="preserve">+</w:t>
      </w:r>
      <w:r>
        <w:t xml:space="preserve"> </w:t>
      </w:r>
      <w:r>
        <w:rPr>
          <w:iCs/>
          <w:i/>
        </w:rPr>
        <w:t xml:space="preserve">B</w:t>
      </w:r>
      <w:r>
        <w:t xml:space="preserve">)</w:t>
      </w:r>
      <w:r>
        <w:rPr>
          <w:vertAlign w:val="superscript"/>
        </w:rPr>
        <w:t xml:space="preserve">3</w:t>
      </w:r>
      <w:r>
        <w:t xml:space="preserve">) with the Hungarian method, where</w:t>
      </w:r>
      <w:r>
        <w:t xml:space="preserve"> </w:t>
      </w:r>
      <w:r>
        <w:rPr>
          <w:iCs/>
          <w:i/>
        </w:rPr>
        <w:t xml:space="preserve">B</w:t>
      </w:r>
      <w:r>
        <w:t xml:space="preserve"> </w:t>
      </w:r>
      <w:r>
        <w:t xml:space="preserve">= Σ</w:t>
      </w:r>
      <w:r>
        <w:rPr>
          <w:iCs/>
          <w:i/>
          <w:vertAlign w:val="subscript"/>
        </w:rPr>
        <w:t xml:space="preserve">h</w:t>
      </w:r>
      <w:r>
        <w:t xml:space="preserve"> </w:t>
      </w:r>
      <w:r>
        <w:rPr>
          <w:iCs/>
          <w:i/>
        </w:rPr>
        <w:t xml:space="preserve">b</w:t>
      </w:r>
      <w:r>
        <w:rPr>
          <w:iCs/>
          <w:i/>
          <w:vertAlign w:val="subscript"/>
        </w:rPr>
        <w:t xml:space="preserve">h</w:t>
      </w:r>
      <w:r>
        <w:t xml:space="preserve"> </w:t>
      </w:r>
      <w:r>
        <w:t xml:space="preserve">(Kuhn, 1955; Ahuja et al., 1993). No hospital ever receives more patients than it has free beds.</w:t>
      </w:r>
    </w:p>
    <w:p>
      <w:pPr>
        <w:numPr>
          <w:ilvl w:val="0"/>
          <w:numId w:val="1007"/>
        </w:numPr>
      </w:pPr>
      <w:r>
        <w:t xml:space="preserve">Among all feasible assignments, an optimal one places the largest possible number of emergency patients; among those, the largest possible number of patients in all; and among those, it has the least total travel time.</w:t>
      </w:r>
    </w:p>
    <w:p>
      <w:pPr>
        <w:numPr>
          <w:ilvl w:val="0"/>
          <w:numId w:val="1007"/>
        </w:numPr>
      </w:pPr>
      <w:r>
        <w:t xml:space="preserve">If the independent choices, in which every patient goes to his or her own nearest suitable hospital with</w:t>
      </w:r>
      <w:r>
        <w:t xml:space="preserve"> </w:t>
      </w:r>
      <w:r>
        <w:rPr>
          <w:iCs/>
          <w:i/>
        </w:rPr>
        <w:t xml:space="preserve">b</w:t>
      </w:r>
      <w:r>
        <w:rPr>
          <w:iCs/>
          <w:i/>
          <w:vertAlign w:val="subscript"/>
        </w:rPr>
        <w:t xml:space="preserve">h</w:t>
      </w:r>
      <w:r>
        <w:t xml:space="preserve"> </w:t>
      </w:r>
      <w:r>
        <w:t xml:space="preserve">&gt; 0, never exceed any hospital’s free beds, then they form an optimal assignment.</w:t>
      </w:r>
    </w:p>
    <w:p>
      <w:pPr>
        <w:pStyle w:val="FirstParagraph"/>
      </w:pPr>
      <w:r>
        <w:rPr>
          <w:iCs/>
          <w:i/>
        </w:rPr>
        <w:t xml:space="preserve">Proof.</w:t>
      </w:r>
      <w:r>
        <w:t xml:space="preserve"> </w:t>
      </w:r>
      <w:r>
        <w:t xml:space="preserve">(i) After adding one slack variable per patient for</w:t>
      </w:r>
      <w:r>
        <w:t xml:space="preserve"> </w:t>
      </w:r>
      <w:r>
        <w:t xml:space="preserve">“</w:t>
      </w:r>
      <w:r>
        <w:t xml:space="preserve">not placed,</w:t>
      </w:r>
      <w:r>
        <w:t xml:space="preserve">”</w:t>
      </w:r>
      <w:r>
        <w:t xml:space="preserve"> </w:t>
      </w:r>
      <w:r>
        <w:t xml:space="preserve">each column of the constraint matrix has at most one 1 among the patient rows and at most one 1 among the hospital rows, so the matrix is the incidence matrix of a bipartite graph and is totally unimodular. A linear program with such a matrix and integer right-hand sides has an integral optimal vertex (Ahuja et al., 1993). Expanding each hospital into</w:t>
      </w:r>
      <w:r>
        <w:t xml:space="preserve"> </w:t>
      </w:r>
      <w:r>
        <w:rPr>
          <w:iCs/>
          <w:i/>
        </w:rPr>
        <w:t xml:space="preserve">b</w:t>
      </w:r>
      <w:r>
        <w:rPr>
          <w:iCs/>
          <w:i/>
          <w:vertAlign w:val="subscript"/>
        </w:rPr>
        <w:t xml:space="preserve">h</w:t>
      </w:r>
      <w:r>
        <w:t xml:space="preserve"> </w:t>
      </w:r>
      <w:r>
        <w:t xml:space="preserve">bed slots turns the program into an assignment problem with</w:t>
      </w:r>
      <w:r>
        <w:t xml:space="preserve"> </w:t>
      </w:r>
      <w:r>
        <w:rPr>
          <w:iCs/>
          <w:i/>
        </w:rPr>
        <w:t xml:space="preserve">n</w:t>
      </w:r>
      <w:r>
        <w:t xml:space="preserve"> </w:t>
      </w:r>
      <w:r>
        <w:t xml:space="preserve">+</w:t>
      </w:r>
      <w:r>
        <w:t xml:space="preserve"> </w:t>
      </w:r>
      <w:r>
        <w:rPr>
          <w:iCs/>
          <w:i/>
        </w:rPr>
        <w:t xml:space="preserve">B</w:t>
      </w:r>
      <w:r>
        <w:t xml:space="preserve"> </w:t>
      </w:r>
      <w:r>
        <w:t xml:space="preserve">rows at most, which the Hungarian method solves in the stated time (Kuhn, 1955). The capacity constraint is part of the program, so no hospital is overfilled.</w:t>
      </w:r>
    </w:p>
    <w:p>
      <w:pPr>
        <w:numPr>
          <w:ilvl w:val="0"/>
          <w:numId w:val="1008"/>
        </w:numPr>
      </w:pPr>
      <w:r>
        <w:t xml:space="preserve">Let</w:t>
      </w:r>
      <w:r>
        <w:t xml:space="preserve"> </w:t>
      </w:r>
      <w:r>
        <w:rPr>
          <w:iCs/>
          <w:i/>
        </w:rPr>
        <w:t xml:space="preserve">x</w:t>
      </w:r>
      <w:r>
        <w:t xml:space="preserve"> </w:t>
      </w:r>
      <w:r>
        <w:t xml:space="preserve">and</w:t>
      </w:r>
      <w:r>
        <w:t xml:space="preserve"> </w:t>
      </w:r>
      <w:r>
        <w:rPr>
          <w:iCs/>
          <w:i/>
        </w:rPr>
        <w:t xml:space="preserve">y</w:t>
      </w:r>
      <w:r>
        <w:t xml:space="preserve"> </w:t>
      </w:r>
      <w:r>
        <w:t xml:space="preserve">be feasible, and let</w:t>
      </w:r>
      <w:r>
        <w:t xml:space="preserve"> </w:t>
      </w:r>
      <w:r>
        <w:rPr>
          <w:iCs/>
          <w:i/>
        </w:rPr>
        <w:t xml:space="preserve">x</w:t>
      </w:r>
      <w:r>
        <w:t xml:space="preserve"> </w:t>
      </w:r>
      <w:r>
        <w:t xml:space="preserve">place</w:t>
      </w:r>
      <w:r>
        <w:t xml:space="preserve"> </w:t>
      </w:r>
      <w:r>
        <w:rPr>
          <w:iCs/>
          <w:i/>
        </w:rPr>
        <w:t xml:space="preserve">e</w:t>
      </w:r>
      <w:r>
        <w:rPr>
          <w:iCs/>
          <w:i/>
          <w:vertAlign w:val="subscript"/>
        </w:rPr>
        <w:t xml:space="preserve">x</w:t>
      </w:r>
      <w:r>
        <w:t xml:space="preserve"> </w:t>
      </w:r>
      <w:r>
        <w:t xml:space="preserve">emergency patients and</w:t>
      </w:r>
      <w:r>
        <w:t xml:space="preserve"> </w:t>
      </w:r>
      <w:r>
        <w:rPr>
          <w:iCs/>
          <w:i/>
        </w:rPr>
        <w:t xml:space="preserve">r</w:t>
      </w:r>
      <w:r>
        <w:rPr>
          <w:iCs/>
          <w:i/>
          <w:vertAlign w:val="subscript"/>
        </w:rPr>
        <w:t xml:space="preserve">x</w:t>
      </w:r>
      <w:r>
        <w:t xml:space="preserve"> </w:t>
      </w:r>
      <w:r>
        <w:t xml:space="preserve">others, and</w:t>
      </w:r>
      <w:r>
        <w:t xml:space="preserve"> </w:t>
      </w:r>
      <w:r>
        <w:rPr>
          <w:iCs/>
          <w:i/>
        </w:rPr>
        <w:t xml:space="preserve">y</w:t>
      </w:r>
      <w:r>
        <w:t xml:space="preserve"> </w:t>
      </w:r>
      <w:r>
        <w:t xml:space="preserve">place</w:t>
      </w:r>
      <w:r>
        <w:t xml:space="preserve"> </w:t>
      </w:r>
      <w:r>
        <w:rPr>
          <w:iCs/>
          <w:i/>
        </w:rPr>
        <w:t xml:space="preserve">e</w:t>
      </w:r>
      <w:r>
        <w:rPr>
          <w:iCs/>
          <w:i/>
          <w:vertAlign w:val="subscript"/>
        </w:rPr>
        <w:t xml:space="preserve">y</w:t>
      </w:r>
      <w:r>
        <w:t xml:space="preserve"> </w:t>
      </w:r>
      <w:r>
        <w:t xml:space="preserve">and</w:t>
      </w:r>
      <w:r>
        <w:t xml:space="preserve"> </w:t>
      </w:r>
      <w:r>
        <w:rPr>
          <w:iCs/>
          <w:i/>
        </w:rPr>
        <w:t xml:space="preserve">r</w:t>
      </w:r>
      <w:r>
        <w:rPr>
          <w:iCs/>
          <w:i/>
          <w:vertAlign w:val="subscript"/>
        </w:rPr>
        <w:t xml:space="preserve">y</w:t>
      </w:r>
      <w:r>
        <w:t xml:space="preserve">. Travel time totals lie between 0 and</w:t>
      </w:r>
      <w:r>
        <w:t xml:space="preserve"> </w:t>
      </w:r>
      <w:r>
        <w:rPr>
          <w:iCs/>
          <w:i/>
        </w:rPr>
        <w:t xml:space="preserve">nĉ</w:t>
      </w:r>
      <w:r>
        <w:t xml:space="preserve">, and |</w:t>
      </w:r>
      <w:r>
        <w:rPr>
          <w:iCs/>
          <w:i/>
        </w:rPr>
        <w:t xml:space="preserve">r</w:t>
      </w:r>
      <w:r>
        <w:rPr>
          <w:iCs/>
          <w:i/>
          <w:vertAlign w:val="subscript"/>
        </w:rPr>
        <w:t xml:space="preserve">x</w:t>
      </w:r>
      <w:r>
        <w:t xml:space="preserve"> </w:t>
      </w:r>
      <w:r>
        <w:t xml:space="preserve">−</w:t>
      </w:r>
      <w:r>
        <w:t xml:space="preserve"> </w:t>
      </w:r>
      <w:r>
        <w:rPr>
          <w:iCs/>
          <w:i/>
        </w:rPr>
        <w:t xml:space="preserve">r</w:t>
      </w:r>
      <w:r>
        <w:rPr>
          <w:iCs/>
          <w:i/>
          <w:vertAlign w:val="subscript"/>
        </w:rPr>
        <w:t xml:space="preserve">y</w:t>
      </w:r>
      <w:r>
        <w:t xml:space="preserve">| ≤</w:t>
      </w:r>
      <w:r>
        <w:t xml:space="preserve"> </w:t>
      </w:r>
      <w:r>
        <w:rPr>
          <w:iCs/>
          <w:i/>
        </w:rPr>
        <w:t xml:space="preserve">n</w:t>
      </w:r>
      <w:r>
        <w:t xml:space="preserve">. If</w:t>
      </w:r>
      <w:r>
        <w:t xml:space="preserve"> </w:t>
      </w:r>
      <w:r>
        <w:rPr>
          <w:iCs/>
          <w:i/>
        </w:rPr>
        <w:t xml:space="preserve">e</w:t>
      </w:r>
      <w:r>
        <w:rPr>
          <w:iCs/>
          <w:i/>
          <w:vertAlign w:val="subscript"/>
        </w:rPr>
        <w:t xml:space="preserve">x</w:t>
      </w:r>
      <w:r>
        <w:t xml:space="preserve"> </w:t>
      </w:r>
      <w:r>
        <w:t xml:space="preserve">&gt;</w:t>
      </w:r>
      <w:r>
        <w:t xml:space="preserve"> </w:t>
      </w:r>
      <w:r>
        <w:rPr>
          <w:iCs/>
          <w:i/>
        </w:rPr>
        <w:t xml:space="preserve">e</w:t>
      </w:r>
      <w:r>
        <w:rPr>
          <w:iCs/>
          <w:i/>
          <w:vertAlign w:val="subscript"/>
        </w:rPr>
        <w:t xml:space="preserve">y</w:t>
      </w:r>
      <w:r>
        <w:t xml:space="preserve">, the objective of</w:t>
      </w:r>
      <w:r>
        <w:t xml:space="preserve"> </w:t>
      </w:r>
      <w:r>
        <w:rPr>
          <w:iCs/>
          <w:i/>
        </w:rPr>
        <w:t xml:space="preserve">x</w:t>
      </w:r>
      <w:r>
        <w:t xml:space="preserve"> </w:t>
      </w:r>
      <w:r>
        <w:t xml:space="preserve">minus that of</w:t>
      </w:r>
      <w:r>
        <w:t xml:space="preserve"> </w:t>
      </w:r>
      <w:r>
        <w:rPr>
          <w:iCs/>
          <w:i/>
        </w:rPr>
        <w:t xml:space="preserve">y</w:t>
      </w:r>
      <w:r>
        <w:t xml:space="preserve"> </w:t>
      </w:r>
      <w:r>
        <w:t xml:space="preserve">is at most</w:t>
      </w:r>
      <w:r>
        <w:t xml:space="preserve"> </w:t>
      </w:r>
      <w:r>
        <w:rPr>
          <w:iCs/>
          <w:i/>
        </w:rPr>
        <w:t xml:space="preserve">nĉ</w:t>
      </w:r>
      <w:r>
        <w:t xml:space="preserve"> </w:t>
      </w:r>
      <w:r>
        <w:t xml:space="preserve">+</w:t>
      </w:r>
      <w:r>
        <w:t xml:space="preserve"> </w:t>
      </w:r>
      <w:r>
        <w:rPr>
          <w:iCs/>
          <w:i/>
        </w:rPr>
        <w:t xml:space="preserve">n</w:t>
      </w:r>
      <w:r>
        <w:t xml:space="preserve"> </w:t>
      </w:r>
      <w:r>
        <w:rPr>
          <w:iCs/>
          <w:i/>
        </w:rPr>
        <w:t xml:space="preserve">U</w:t>
      </w:r>
      <w:r>
        <w:rPr>
          <w:vertAlign w:val="subscript"/>
        </w:rPr>
        <w:t xml:space="preserve">0</w:t>
      </w:r>
      <w:r>
        <w:t xml:space="preserve"> </w:t>
      </w:r>
      <w:r>
        <w:t xml:space="preserve">−</w:t>
      </w:r>
      <w:r>
        <w:t xml:space="preserve"> </w:t>
      </w:r>
      <w:r>
        <w:rPr>
          <w:iCs/>
          <w:i/>
        </w:rPr>
        <w:t xml:space="preserve">U</w:t>
      </w:r>
      <w:r>
        <w:rPr>
          <w:iCs/>
          <w:i/>
          <w:vertAlign w:val="subscript"/>
        </w:rPr>
        <w:t xml:space="preserve">E</w:t>
      </w:r>
      <w:r>
        <w:t xml:space="preserve"> </w:t>
      </w:r>
      <w:r>
        <w:t xml:space="preserve">&lt; 0. If</w:t>
      </w:r>
      <w:r>
        <w:t xml:space="preserve"> </w:t>
      </w:r>
      <w:r>
        <w:rPr>
          <w:iCs/>
          <w:i/>
        </w:rPr>
        <w:t xml:space="preserve">e</w:t>
      </w:r>
      <w:r>
        <w:rPr>
          <w:iCs/>
          <w:i/>
          <w:vertAlign w:val="subscript"/>
        </w:rPr>
        <w:t xml:space="preserve">x</w:t>
      </w:r>
      <w:r>
        <w:t xml:space="preserve"> </w:t>
      </w:r>
      <w:r>
        <w:t xml:space="preserve">=</w:t>
      </w:r>
      <w:r>
        <w:t xml:space="preserve"> </w:t>
      </w:r>
      <w:r>
        <w:rPr>
          <w:iCs/>
          <w:i/>
        </w:rPr>
        <w:t xml:space="preserve">e</w:t>
      </w:r>
      <w:r>
        <w:rPr>
          <w:iCs/>
          <w:i/>
          <w:vertAlign w:val="subscript"/>
        </w:rPr>
        <w:t xml:space="preserve">y</w:t>
      </w:r>
      <w:r>
        <w:t xml:space="preserve"> </w:t>
      </w:r>
      <w:r>
        <w:t xml:space="preserve">and</w:t>
      </w:r>
      <w:r>
        <w:t xml:space="preserve"> </w:t>
      </w:r>
      <w:r>
        <w:rPr>
          <w:iCs/>
          <w:i/>
        </w:rPr>
        <w:t xml:space="preserve">r</w:t>
      </w:r>
      <w:r>
        <w:rPr>
          <w:iCs/>
          <w:i/>
          <w:vertAlign w:val="subscript"/>
        </w:rPr>
        <w:t xml:space="preserve">x</w:t>
      </w:r>
      <w:r>
        <w:t xml:space="preserve"> </w:t>
      </w:r>
      <w:r>
        <w:t xml:space="preserve">&gt;</w:t>
      </w:r>
      <w:r>
        <w:t xml:space="preserve"> </w:t>
      </w:r>
      <w:r>
        <w:rPr>
          <w:iCs/>
          <w:i/>
        </w:rPr>
        <w:t xml:space="preserve">r</w:t>
      </w:r>
      <w:r>
        <w:rPr>
          <w:iCs/>
          <w:i/>
          <w:vertAlign w:val="subscript"/>
        </w:rPr>
        <w:t xml:space="preserve">y</w:t>
      </w:r>
      <w:r>
        <w:t xml:space="preserve">, the difference is at most</w:t>
      </w:r>
      <w:r>
        <w:t xml:space="preserve"> </w:t>
      </w:r>
      <w:r>
        <w:rPr>
          <w:iCs/>
          <w:i/>
        </w:rPr>
        <w:t xml:space="preserve">nĉ</w:t>
      </w:r>
      <w:r>
        <w:t xml:space="preserve"> </w:t>
      </w:r>
      <w:r>
        <w:t xml:space="preserve">−</w:t>
      </w:r>
      <w:r>
        <w:t xml:space="preserve"> </w:t>
      </w:r>
      <w:r>
        <w:rPr>
          <w:iCs/>
          <w:i/>
        </w:rPr>
        <w:t xml:space="preserve">U</w:t>
      </w:r>
      <w:r>
        <w:rPr>
          <w:vertAlign w:val="subscript"/>
        </w:rPr>
        <w:t xml:space="preserve">0</w:t>
      </w:r>
      <w:r>
        <w:t xml:space="preserve"> </w:t>
      </w:r>
      <w:r>
        <w:t xml:space="preserve">&lt; 0. So an optimal solution first maximizes emergency placements, then all placements, and only then minimizes travel time.</w:t>
      </w:r>
    </w:p>
    <w:p>
      <w:pPr>
        <w:numPr>
          <w:ilvl w:val="0"/>
          <w:numId w:val="1008"/>
        </w:numPr>
      </w:pPr>
      <w:r>
        <w:t xml:space="preserve">Each independent choice is the patient’s own minimum</w:t>
      </w:r>
      <w:r>
        <w:t xml:space="preserve"> </w:t>
      </w:r>
      <w:r>
        <w:rPr>
          <w:iCs/>
          <w:i/>
        </w:rPr>
        <w:t xml:space="preserve">c</w:t>
      </w:r>
      <w:r>
        <w:rPr>
          <w:iCs/>
          <w:i/>
          <w:vertAlign w:val="subscript"/>
        </w:rPr>
        <w:t xml:space="preserve">ih</w:t>
      </w:r>
      <w:r>
        <w:t xml:space="preserve"> </w:t>
      </w:r>
      <w:r>
        <w:t xml:space="preserve">over the suitable hospitals with a free bed. A patient with no such hospital cannot be placed by any feasible assignment, and every other patient is placed. If the choices fit within the beds, they are feasible and place every patient who can be placed at all, so no assignment places more of either kind. Their total travel time is the sum of the individual minima, a lower bound for any assignment that places the same patients. □</w:t>
      </w:r>
    </w:p>
    <w:p>
      <w:pPr>
        <w:pStyle w:val="FirstParagraph"/>
      </w:pPr>
      <w:r>
        <w:rPr>
          <w:bCs/>
          <w:b/>
        </w:rPr>
        <w:t xml:space="preserve">Proposition 17 (Only roads on the shortest-path forest matter).</w:t>
      </w:r>
      <w:r>
        <w:t xml:space="preserve"> </w:t>
      </w:r>
      <w:r>
        <w:t xml:space="preserve">Fix a profile π and time</w:t>
      </w:r>
      <w:r>
        <w:t xml:space="preserve"> </w:t>
      </w:r>
      <w:r>
        <w:rPr>
          <w:iCs/>
          <w:i/>
        </w:rPr>
        <w:t xml:space="preserve">t</w:t>
      </w:r>
      <w:r>
        <w:t xml:space="preserve">, and let</w:t>
      </w:r>
      <w:r>
        <w:t xml:space="preserve"> </w:t>
      </w:r>
      <w:r>
        <w:rPr>
          <w:iCs/>
          <w:i/>
        </w:rPr>
        <w:t xml:space="preserve">F</w:t>
      </w:r>
      <w:r>
        <w:t xml:space="preserve"> </w:t>
      </w:r>
      <w:r>
        <w:t xml:space="preserve">be the forest of Proposition 14. (i)</w:t>
      </w:r>
      <w:r>
        <w:t xml:space="preserve"> </w:t>
      </w:r>
      <w:r>
        <w:rPr>
          <w:iCs/>
          <w:i/>
        </w:rPr>
        <w:t xml:space="preserve">D</w:t>
      </w:r>
      <w:r>
        <w:rPr>
          <w:iCs/>
          <w:i/>
          <w:vertAlign w:val="subscript"/>
        </w:rPr>
        <w:t xml:space="preserve">e</w:t>
      </w:r>
      <w:r>
        <w:t xml:space="preserve">(π,</w:t>
      </w:r>
      <w:r>
        <w:t xml:space="preserve"> </w:t>
      </w:r>
      <w:r>
        <w:rPr>
          <w:iCs/>
          <w:i/>
        </w:rPr>
        <w:t xml:space="preserve">t</w:t>
      </w:r>
      <w:r>
        <w:t xml:space="preserve">) ≥ 0 for every road segment</w:t>
      </w:r>
      <w:r>
        <w:t xml:space="preserve"> </w:t>
      </w:r>
      <w:r>
        <w:rPr>
          <w:iCs/>
          <w:i/>
        </w:rPr>
        <w:t xml:space="preserve">e</w:t>
      </w:r>
      <w:r>
        <w:t xml:space="preserve">. (ii) If</w:t>
      </w:r>
      <w:r>
        <w:t xml:space="preserve"> </w:t>
      </w:r>
      <w:r>
        <w:rPr>
          <w:iCs/>
          <w:i/>
        </w:rPr>
        <w:t xml:space="preserve">e</w:t>
      </w:r>
      <w:r>
        <w:t xml:space="preserve"> </w:t>
      </w:r>
      <w:r>
        <w:t xml:space="preserve">is not in</w:t>
      </w:r>
      <w:r>
        <w:t xml:space="preserve"> </w:t>
      </w:r>
      <w:r>
        <w:rPr>
          <w:iCs/>
          <w:i/>
        </w:rPr>
        <w:t xml:space="preserve">F</w:t>
      </w:r>
      <w:r>
        <w:t xml:space="preserve">, closing</w:t>
      </w:r>
      <w:r>
        <w:t xml:space="preserve"> </w:t>
      </w:r>
      <w:r>
        <w:rPr>
          <w:iCs/>
          <w:i/>
        </w:rPr>
        <w:t xml:space="preserve">e</w:t>
      </w:r>
      <w:r>
        <w:t xml:space="preserve"> </w:t>
      </w:r>
      <w:r>
        <w:t xml:space="preserve">changes neither</w:t>
      </w:r>
      <w:r>
        <w:t xml:space="preserve"> </w:t>
      </w:r>
      <w:r>
        <w:rPr>
          <w:iCs/>
          <w:i/>
        </w:rPr>
        <w:t xml:space="preserve">h</w:t>
      </w:r>
      <w:r>
        <w:rPr>
          <w:vertAlign w:val="superscript"/>
        </w:rPr>
        <w:t xml:space="preserve">∗</w:t>
      </w:r>
      <w:r>
        <w:t xml:space="preserve"> </w:t>
      </w:r>
      <w:r>
        <w:t xml:space="preserve">nor</w:t>
      </w:r>
      <w:r>
        <w:t xml:space="preserve"> </w:t>
      </w:r>
      <w:r>
        <w:rPr>
          <w:iCs/>
          <w:i/>
        </w:rPr>
        <w:t xml:space="preserve">T</w:t>
      </w:r>
      <w:r>
        <w:rPr>
          <w:vertAlign w:val="superscript"/>
        </w:rPr>
        <w:t xml:space="preserve">∗</w:t>
      </w:r>
      <w:r>
        <w:t xml:space="preserve"> </w:t>
      </w:r>
      <w:r>
        <w:t xml:space="preserve">at any road vertex, and</w:t>
      </w:r>
      <w:r>
        <w:t xml:space="preserve"> </w:t>
      </w:r>
      <w:r>
        <w:rPr>
          <w:iCs/>
          <w:i/>
        </w:rPr>
        <w:t xml:space="preserve">D</w:t>
      </w:r>
      <w:r>
        <w:rPr>
          <w:iCs/>
          <w:i/>
          <w:vertAlign w:val="subscript"/>
        </w:rPr>
        <w:t xml:space="preserve">e</w:t>
      </w:r>
      <w:r>
        <w:t xml:space="preserve">(π,</w:t>
      </w:r>
      <w:r>
        <w:t xml:space="preserve"> </w:t>
      </w:r>
      <w:r>
        <w:rPr>
          <w:iCs/>
          <w:i/>
        </w:rPr>
        <w:t xml:space="preserve">t</w:t>
      </w:r>
      <w:r>
        <w:t xml:space="preserve">) = 0. Hence only the segments of</w:t>
      </w:r>
      <w:r>
        <w:t xml:space="preserve"> </w:t>
      </w:r>
      <w:r>
        <w:rPr>
          <w:iCs/>
          <w:i/>
        </w:rPr>
        <w:t xml:space="preserve">F</w:t>
      </w:r>
      <w:r>
        <w:t xml:space="preserve">, at most |</w:t>
      </w:r>
      <w:r>
        <w:rPr>
          <w:iCs/>
          <w:i/>
        </w:rPr>
        <w:t xml:space="preserve">V</w:t>
      </w:r>
      <w:r>
        <w:rPr>
          <w:iCs/>
          <w:i/>
          <w:vertAlign w:val="subscript"/>
        </w:rPr>
        <w:t xml:space="preserve">R</w:t>
      </w:r>
      <w:r>
        <w:t xml:space="preserve">| − 1 of them, need to be tested, each with one run of Algorithm 2.</w:t>
      </w:r>
    </w:p>
    <w:p>
      <w:pPr>
        <w:pStyle w:val="BodyText"/>
      </w:pPr>
      <w:r>
        <w:rPr>
          <w:iCs/>
          <w:i/>
        </w:rPr>
        <w:t xml:space="preserve">Proof.</w:t>
      </w:r>
      <w:r>
        <w:t xml:space="preserve"> </w:t>
      </w:r>
      <w:r>
        <w:t xml:space="preserve">(i)</w:t>
      </w:r>
      <w:r>
        <w:t xml:space="preserve"> </w:t>
      </w:r>
      <w:r>
        <w:rPr>
          <w:iCs/>
          <w:i/>
        </w:rPr>
        <w:t xml:space="preserve">G</w:t>
      </w:r>
      <w:r>
        <w:t xml:space="preserve"> </w:t>
      </w:r>
      <w:r>
        <w:t xml:space="preserve">−</w:t>
      </w:r>
      <w:r>
        <w:t xml:space="preserve"> </w:t>
      </w:r>
      <w:r>
        <w:rPr>
          <w:iCs/>
          <w:i/>
        </w:rPr>
        <w:t xml:space="preserve">e</w:t>
      </w:r>
      <w:r>
        <w:t xml:space="preserve"> </w:t>
      </w:r>
      <w:r>
        <w:t xml:space="preserve">is a subgraph of</w:t>
      </w:r>
      <w:r>
        <w:t xml:space="preserve"> </w:t>
      </w:r>
      <w:r>
        <w:rPr>
          <w:iCs/>
          <w:i/>
        </w:rPr>
        <w:t xml:space="preserve">G</w:t>
      </w:r>
      <w:r>
        <w:t xml:space="preserve">, so by the argument of Proposition 3 no shortest-path time falls when</w:t>
      </w:r>
      <w:r>
        <w:t xml:space="preserve"> </w:t>
      </w:r>
      <w:r>
        <w:rPr>
          <w:iCs/>
          <w:i/>
        </w:rPr>
        <w:t xml:space="preserve">e</w:t>
      </w:r>
      <w:r>
        <w:t xml:space="preserve"> </w:t>
      </w:r>
      <w:r>
        <w:t xml:space="preserve">is closed, and suitability does not depend on the roads. (ii) If</w:t>
      </w:r>
      <w:r>
        <w:t xml:space="preserve"> </w:t>
      </w:r>
      <w:r>
        <w:rPr>
          <w:iCs/>
          <w:i/>
        </w:rPr>
        <w:t xml:space="preserve">e</w:t>
      </w:r>
      <w:r>
        <w:t xml:space="preserve"> </w:t>
      </w:r>
      <w:r>
        <w:t xml:space="preserve">∉</w:t>
      </w:r>
      <w:r>
        <w:t xml:space="preserve"> </w:t>
      </w:r>
      <w:r>
        <w:rPr>
          <w:iCs/>
          <w:i/>
        </w:rPr>
        <w:t xml:space="preserve">F</w:t>
      </w:r>
      <w:r>
        <w:t xml:space="preserve">, every tree path of</w:t>
      </w:r>
      <w:r>
        <w:t xml:space="preserve"> </w:t>
      </w:r>
      <w:r>
        <w:rPr>
          <w:iCs/>
          <w:i/>
        </w:rPr>
        <w:t xml:space="preserve">F</w:t>
      </w:r>
      <w:r>
        <w:t xml:space="preserve"> </w:t>
      </w:r>
      <w:r>
        <w:t xml:space="preserve">survives in</w:t>
      </w:r>
      <w:r>
        <w:t xml:space="preserve"> </w:t>
      </w:r>
      <w:r>
        <w:rPr>
          <w:iCs/>
          <w:i/>
        </w:rPr>
        <w:t xml:space="preserve">G</w:t>
      </w:r>
      <w:r>
        <w:t xml:space="preserve"> </w:t>
      </w:r>
      <w:r>
        <w:t xml:space="preserve">−</w:t>
      </w:r>
      <w:r>
        <w:t xml:space="preserve"> </w:t>
      </w:r>
      <w:r>
        <w:rPr>
          <w:iCs/>
          <w:i/>
        </w:rPr>
        <w:t xml:space="preserve">e</w:t>
      </w:r>
      <w:r>
        <w:t xml:space="preserve">, so every vertex still has a path of length</w:t>
      </w:r>
      <w:r>
        <w:t xml:space="preserve"> </w:t>
      </w:r>
      <w:r>
        <w:rPr>
          <w:iCs/>
          <w:i/>
        </w:rPr>
        <w:t xml:space="preserve">T</w:t>
      </w:r>
      <w:r>
        <w:rPr>
          <w:vertAlign w:val="superscript"/>
        </w:rPr>
        <w:t xml:space="preserve">∗</w:t>
      </w:r>
      <w:r>
        <w:rPr>
          <w:iCs/>
          <w:i/>
          <w:vertAlign w:val="subscript"/>
        </w:rPr>
        <w:t xml:space="preserve">G</w:t>
      </w:r>
      <w:r>
        <w:t xml:space="preserve">(</w:t>
      </w:r>
      <w:r>
        <w:rPr>
          <w:iCs/>
          <w:i/>
        </w:rPr>
        <w:t xml:space="preserve">v</w:t>
      </w:r>
      <w:r>
        <w:t xml:space="preserve">) to</w:t>
      </w:r>
      <w:r>
        <w:t xml:space="preserve"> </w:t>
      </w:r>
      <w:r>
        <w:rPr>
          <w:iCs/>
          <w:i/>
        </w:rPr>
        <w:t xml:space="preserve">v</w:t>
      </w:r>
      <w:r>
        <w:rPr>
          <w:iCs/>
          <w:i/>
          <w:vertAlign w:val="subscript"/>
        </w:rPr>
        <w:t xml:space="preserve">h</w:t>
      </w:r>
      <w:r>
        <w:rPr>
          <w:vertAlign w:val="subscript"/>
        </w:rPr>
        <w:t xml:space="preserve">∗(</w:t>
      </w:r>
      <w:r>
        <w:rPr>
          <w:iCs/>
          <w:i/>
          <w:vertAlign w:val="subscript"/>
        </w:rPr>
        <w:t xml:space="preserve">v</w:t>
      </w:r>
      <w:r>
        <w:rPr>
          <w:vertAlign w:val="subscript"/>
        </w:rPr>
        <w:t xml:space="preserve">)</w:t>
      </w:r>
      <w:r>
        <w:t xml:space="preserve">. By (i) no time can fall, so</w:t>
      </w:r>
      <w:r>
        <w:t xml:space="preserve"> </w:t>
      </w:r>
      <w:r>
        <w:rPr>
          <w:iCs/>
          <w:i/>
        </w:rPr>
        <w:t xml:space="preserve">T</w:t>
      </w:r>
      <w:r>
        <w:rPr>
          <w:vertAlign w:val="superscript"/>
        </w:rPr>
        <w:t xml:space="preserve">∗</w:t>
      </w:r>
      <w:r>
        <w:rPr>
          <w:iCs/>
          <w:i/>
          <w:vertAlign w:val="subscript"/>
        </w:rPr>
        <w:t xml:space="preserve">G</w:t>
      </w:r>
      <w:r>
        <w:rPr>
          <w:vertAlign w:val="subscript"/>
        </w:rPr>
        <w:t xml:space="preserve">−</w:t>
      </w:r>
      <w:r>
        <w:rPr>
          <w:iCs/>
          <w:i/>
          <w:vertAlign w:val="subscript"/>
        </w:rPr>
        <w:t xml:space="preserve">e</w:t>
      </w:r>
      <w:r>
        <w:t xml:space="preserve">(</w:t>
      </w:r>
      <w:r>
        <w:rPr>
          <w:iCs/>
          <w:i/>
        </w:rPr>
        <w:t xml:space="preserve">v</w:t>
      </w:r>
      <w:r>
        <w:t xml:space="preserve">) =</w:t>
      </w:r>
      <w:r>
        <w:t xml:space="preserve"> </w:t>
      </w:r>
      <w:r>
        <w:rPr>
          <w:iCs/>
          <w:i/>
        </w:rPr>
        <w:t xml:space="preserve">T</w:t>
      </w:r>
      <w:r>
        <w:rPr>
          <w:vertAlign w:val="superscript"/>
        </w:rPr>
        <w:t xml:space="preserve">∗</w:t>
      </w:r>
      <w:r>
        <w:rPr>
          <w:iCs/>
          <w:i/>
          <w:vertAlign w:val="subscript"/>
        </w:rPr>
        <w:t xml:space="preserve">G</w:t>
      </w:r>
      <w:r>
        <w:t xml:space="preserve">(</w:t>
      </w:r>
      <w:r>
        <w:rPr>
          <w:iCs/>
          <w:i/>
        </w:rPr>
        <w:t xml:space="preserve">v</w:t>
      </w:r>
      <w:r>
        <w:t xml:space="preserve">) for every</w:t>
      </w:r>
      <w:r>
        <w:t xml:space="preserve"> </w:t>
      </w:r>
      <w:r>
        <w:rPr>
          <w:iCs/>
          <w:i/>
        </w:rPr>
        <w:t xml:space="preserve">v</w:t>
      </w:r>
      <w:r>
        <w:t xml:space="preserve">. The other two components of every label, the free beds and the identifier, do not depend on the roads, so every label, and with it every</w:t>
      </w:r>
      <w:r>
        <w:t xml:space="preserve"> </w:t>
      </w:r>
      <w:r>
        <w:rPr>
          <w:iCs/>
          <w:i/>
        </w:rPr>
        <w:t xml:space="preserve">h</w:t>
      </w:r>
      <w:r>
        <w:rPr>
          <w:vertAlign w:val="superscript"/>
        </w:rPr>
        <w:t xml:space="preserve">∗</w:t>
      </w:r>
      <w:r>
        <w:t xml:space="preserve">, is unchanged. □</w:t>
      </w:r>
    </w:p>
    <w:p>
      <w:pPr>
        <w:pStyle w:val="BodyText"/>
      </w:pPr>
      <w:r>
        <w:rPr>
          <w:bCs/>
          <w:b/>
        </w:rPr>
        <w:t xml:space="preserve">Proposition 18 (Greedy site selection is near-optimal).</w:t>
      </w:r>
      <w:r>
        <w:t xml:space="preserve"> </w:t>
      </w:r>
      <w:r>
        <w:t xml:space="preserve">The coverage function</w:t>
      </w:r>
      <w:r>
        <w:t xml:space="preserve"> </w:t>
      </w:r>
      <w:r>
        <w:rPr>
          <w:iCs/>
          <w:i/>
        </w:rPr>
        <w:t xml:space="preserve">f</w:t>
      </w:r>
      <w:r>
        <w:t xml:space="preserve"> </w:t>
      </w:r>
      <w:r>
        <w:t xml:space="preserve">of Equation (26) is nondecreasing and submodular, with</w:t>
      </w:r>
      <w:r>
        <w:t xml:space="preserve"> </w:t>
      </w:r>
      <w:r>
        <w:rPr>
          <w:iCs/>
          <w:i/>
        </w:rPr>
        <w:t xml:space="preserve">f</w:t>
      </w:r>
      <w:r>
        <w:t xml:space="preserve">(∅) = 0. Therefore the set</w:t>
      </w:r>
      <w:r>
        <w:t xml:space="preserve"> </w:t>
      </w:r>
      <w:r>
        <w:rPr>
          <w:iCs/>
          <w:i/>
        </w:rPr>
        <w:t xml:space="preserve">S</w:t>
      </w:r>
      <w:r>
        <w:rPr>
          <w:iCs/>
          <w:i/>
          <w:vertAlign w:val="subscript"/>
        </w:rPr>
        <w:t xml:space="preserve">g</w:t>
      </w:r>
      <w:r>
        <w:t xml:space="preserve"> </w:t>
      </w:r>
      <w:r>
        <w:t xml:space="preserve">chosen by Algorithm 4 satisfies</w:t>
      </w:r>
    </w:p>
    <w:p>
      <w:pPr>
        <w:pStyle w:val="Equation"/>
      </w:pPr>
      <w:r>
        <w:tab/>
      </w:r>
      <w:r>
        <w:drawing>
          <wp:inline>
            <wp:extent cx="4723790" cy="478231"/>
            <wp:effectExtent b="0" l="0" r="0" t="0"/>
            <wp:docPr descr="" title="" id="168" name="Picture"/>
            <a:graphic>
              <a:graphicData uri="http://schemas.openxmlformats.org/drawingml/2006/picture">
                <pic:pic>
                  <pic:nvPicPr>
                    <pic:cNvPr descr="eq/eq32.png" id="169" name="Picture"/>
                    <pic:cNvPicPr>
                      <a:picLocks noChangeArrowheads="1" noChangeAspect="1"/>
                    </pic:cNvPicPr>
                  </pic:nvPicPr>
                  <pic:blipFill>
                    <a:blip r:embed="rId167"/>
                    <a:stretch>
                      <a:fillRect/>
                    </a:stretch>
                  </pic:blipFill>
                  <pic:spPr bwMode="auto">
                    <a:xfrm>
                      <a:off x="0" y="0"/>
                      <a:ext cx="4723790" cy="478231"/>
                    </a:xfrm>
                    <a:prstGeom prst="rect">
                      <a:avLst/>
                    </a:prstGeom>
                    <a:noFill/>
                    <a:ln w="9525">
                      <a:noFill/>
                      <a:headEnd/>
                      <a:tailEnd/>
                    </a:ln>
                  </pic:spPr>
                </pic:pic>
              </a:graphicData>
            </a:graphic>
          </wp:inline>
        </w:drawing>
      </w:r>
      <w:r/>
      <w:r/>
      <w:r>
        <w:rPr>
          <w:rFonts w:ascii="Times New Roman" w:hAnsi="Times New Roman"/>
          <w:sz w:val="24"/>
        </w:rPr>
        <w:tab/>
        <w:t>(32)</w:t>
      </w:r>
    </w:p>
    <w:p>
      <w:pPr>
        <w:pStyle w:val="Source"/>
      </w:pPr>
      <w:r>
        <w:t xml:space="preserve">Source: Nemhauser et al. (1978), applied in this study to the coverage function of Definition 26</w:t>
      </w:r>
    </w:p>
    <w:p>
      <w:pPr>
        <w:pStyle w:val="BodyText"/>
      </w:pPr>
      <w:r>
        <w:t xml:space="preserve">where</w:t>
      </w:r>
      <w:r>
        <w:t xml:space="preserve"> </w:t>
      </w:r>
      <w:r>
        <w:rPr>
          <w:iCs/>
          <w:i/>
        </w:rPr>
        <w:t xml:space="preserve">S</w:t>
      </w:r>
      <w:r>
        <w:rPr>
          <w:iCs/>
          <w:i/>
          <w:vertAlign w:val="superscript"/>
        </w:rPr>
        <w:t xml:space="preserve">opt</w:t>
      </w:r>
      <w:r>
        <w:t xml:space="preserve"> </w:t>
      </w:r>
      <w:r>
        <w:t xml:space="preserve">is the best set of</w:t>
      </w:r>
      <w:r>
        <w:t xml:space="preserve"> </w:t>
      </w:r>
      <w:r>
        <w:rPr>
          <w:iCs/>
          <w:i/>
        </w:rPr>
        <w:t xml:space="preserve">k</w:t>
      </w:r>
      <w:r>
        <w:t xml:space="preserve"> </w:t>
      </w:r>
      <w:r>
        <w:t xml:space="preserve">sites.</w:t>
      </w:r>
    </w:p>
    <w:p>
      <w:pPr>
        <w:pStyle w:val="BodyText"/>
      </w:pPr>
      <w:r>
        <w:rPr>
          <w:iCs/>
          <w:i/>
        </w:rPr>
        <w:t xml:space="preserve">Proof.</w:t>
      </w:r>
      <w:r>
        <w:t xml:space="preserve"> </w:t>
      </w:r>
      <w:r>
        <w:rPr>
          <w:iCs/>
          <w:i/>
        </w:rPr>
        <w:t xml:space="preserve">f</w:t>
      </w:r>
      <w:r>
        <w:t xml:space="preserve">(∅) = 0 because</w:t>
      </w:r>
      <w:r>
        <w:t xml:space="preserve"> </w:t>
      </w:r>
      <w:r>
        <w:rPr>
          <w:iCs/>
          <w:i/>
        </w:rPr>
        <w:t xml:space="preserve">U</w:t>
      </w:r>
      <w:r>
        <w:t xml:space="preserve">(∅) =</w:t>
      </w:r>
      <w:r>
        <w:t xml:space="preserve"> </w:t>
      </w:r>
      <w:r>
        <w:rPr>
          <w:iCs/>
          <w:i/>
        </w:rPr>
        <w:t xml:space="preserve">C</w:t>
      </w:r>
      <w:r>
        <w:rPr>
          <w:vertAlign w:val="subscript"/>
        </w:rPr>
        <w:t xml:space="preserve">0</w:t>
      </w:r>
      <w:r>
        <w:t xml:space="preserve">. Adding sites can only enlarge</w:t>
      </w:r>
      <w:r>
        <w:t xml:space="preserve"> </w:t>
      </w:r>
      <w:r>
        <w:rPr>
          <w:iCs/>
          <w:i/>
        </w:rPr>
        <w:t xml:space="preserve">U</w:t>
      </w:r>
      <w:r>
        <w:t xml:space="preserve">(</w:t>
      </w:r>
      <w:r>
        <w:rPr>
          <w:iCs/>
          <w:i/>
        </w:rPr>
        <w:t xml:space="preserve">S</w:t>
      </w:r>
      <w:r>
        <w:t xml:space="preserve">), so</w:t>
      </w:r>
      <w:r>
        <w:t xml:space="preserve"> </w:t>
      </w:r>
      <w:r>
        <w:rPr>
          <w:iCs/>
          <w:i/>
        </w:rPr>
        <w:t xml:space="preserve">f</w:t>
      </w:r>
      <w:r>
        <w:t xml:space="preserve"> </w:t>
      </w:r>
      <w:r>
        <w:t xml:space="preserve">never decreases. For</w:t>
      </w:r>
      <w:r>
        <w:t xml:space="preserve"> </w:t>
      </w:r>
      <w:r>
        <w:rPr>
          <w:iCs/>
          <w:i/>
        </w:rPr>
        <w:t xml:space="preserve">S</w:t>
      </w:r>
      <w:r>
        <w:t xml:space="preserve"> </w:t>
      </w:r>
      <w:r>
        <w:t xml:space="preserve">⊆</w:t>
      </w:r>
      <w:r>
        <w:t xml:space="preserve"> </w:t>
      </w:r>
      <w:r>
        <w:rPr>
          <w:iCs/>
          <w:i/>
        </w:rPr>
        <w:t xml:space="preserve">S</w:t>
      </w:r>
      <w:r>
        <w:t xml:space="preserve">′ and a site</w:t>
      </w:r>
      <w:r>
        <w:t xml:space="preserve"> </w:t>
      </w:r>
      <w:r>
        <w:rPr>
          <w:iCs/>
          <w:i/>
        </w:rPr>
        <w:t xml:space="preserve">j</w:t>
      </w:r>
      <w:r>
        <w:t xml:space="preserve"> </w:t>
      </w:r>
      <w:r>
        <w:t xml:space="preserve">∉</w:t>
      </w:r>
      <w:r>
        <w:t xml:space="preserve"> </w:t>
      </w:r>
      <w:r>
        <w:rPr>
          <w:iCs/>
          <w:i/>
        </w:rPr>
        <w:t xml:space="preserve">S</w:t>
      </w:r>
      <w:r>
        <w:t xml:space="preserve">′, the gain from adding</w:t>
      </w:r>
      <w:r>
        <w:t xml:space="preserve"> </w:t>
      </w:r>
      <w:r>
        <w:rPr>
          <w:iCs/>
          <w:i/>
        </w:rPr>
        <w:t xml:space="preserve">j</w:t>
      </w:r>
      <w:r>
        <w:t xml:space="preserve"> </w:t>
      </w:r>
      <w:r>
        <w:t xml:space="preserve">to</w:t>
      </w:r>
      <w:r>
        <w:t xml:space="preserve"> </w:t>
      </w:r>
      <w:r>
        <w:rPr>
          <w:iCs/>
          <w:i/>
        </w:rPr>
        <w:t xml:space="preserve">S</w:t>
      </w:r>
      <w:r>
        <w:t xml:space="preserve"> </w:t>
      </w:r>
      <w:r>
        <w:t xml:space="preserve">is Σ</w:t>
      </w:r>
      <w:r>
        <w:rPr>
          <w:iCs/>
          <w:i/>
          <w:vertAlign w:val="subscript"/>
        </w:rPr>
        <w:t xml:space="preserve">a</w:t>
      </w:r>
      <w:r>
        <w:rPr>
          <w:vertAlign w:val="subscript"/>
        </w:rPr>
        <w:t xml:space="preserve"> ∈ </w:t>
      </w:r>
      <w:r>
        <w:rPr>
          <w:iCs/>
          <w:i/>
          <w:vertAlign w:val="subscript"/>
        </w:rPr>
        <w:t xml:space="preserve">Cj</w:t>
      </w:r>
      <w:r>
        <w:rPr>
          <w:vertAlign w:val="subscript"/>
        </w:rPr>
        <w:t xml:space="preserve"> ∖ </w:t>
      </w:r>
      <w:r>
        <w:rPr>
          <w:iCs/>
          <w:i/>
          <w:vertAlign w:val="subscript"/>
        </w:rPr>
        <w:t xml:space="preserve">U</w:t>
      </w:r>
      <w:r>
        <w:rPr>
          <w:vertAlign w:val="subscript"/>
        </w:rPr>
        <w:t xml:space="preserve">(</w:t>
      </w:r>
      <w:r>
        <w:rPr>
          <w:iCs/>
          <w:i/>
          <w:vertAlign w:val="subscript"/>
        </w:rPr>
        <w:t xml:space="preserve">S</w:t>
      </w:r>
      <w:r>
        <w:rPr>
          <w:vertAlign w:val="subscript"/>
        </w:rPr>
        <w:t xml:space="preserve">)</w:t>
      </w:r>
      <w:r>
        <w:t xml:space="preserve"> </w:t>
      </w:r>
      <w:r>
        <w:rPr>
          <w:iCs/>
          <w:i/>
        </w:rPr>
        <w:t xml:space="preserve">P</w:t>
      </w:r>
      <w:r>
        <w:rPr>
          <w:iCs/>
          <w:i/>
          <w:vertAlign w:val="subscript"/>
        </w:rPr>
        <w:t xml:space="preserve">a</w:t>
      </w:r>
      <w:r>
        <w:t xml:space="preserve">, and since</w:t>
      </w:r>
      <w:r>
        <w:t xml:space="preserve"> </w:t>
      </w:r>
      <w:r>
        <w:rPr>
          <w:iCs/>
          <w:i/>
        </w:rPr>
        <w:t xml:space="preserve">U</w:t>
      </w:r>
      <w:r>
        <w:t xml:space="preserve">(</w:t>
      </w:r>
      <w:r>
        <w:rPr>
          <w:iCs/>
          <w:i/>
        </w:rPr>
        <w:t xml:space="preserve">S</w:t>
      </w:r>
      <w:r>
        <w:t xml:space="preserve">) ⊆</w:t>
      </w:r>
      <w:r>
        <w:t xml:space="preserve"> </w:t>
      </w:r>
      <w:r>
        <w:rPr>
          <w:iCs/>
          <w:i/>
        </w:rPr>
        <w:t xml:space="preserve">U</w:t>
      </w:r>
      <w:r>
        <w:t xml:space="preserve">(</w:t>
      </w:r>
      <w:r>
        <w:rPr>
          <w:iCs/>
          <w:i/>
        </w:rPr>
        <w:t xml:space="preserve">S</w:t>
      </w:r>
      <w:r>
        <w:t xml:space="preserve">′), this is at least the gain Σ</w:t>
      </w:r>
      <w:r>
        <w:rPr>
          <w:iCs/>
          <w:i/>
          <w:vertAlign w:val="subscript"/>
        </w:rPr>
        <w:t xml:space="preserve">a</w:t>
      </w:r>
      <w:r>
        <w:rPr>
          <w:vertAlign w:val="subscript"/>
        </w:rPr>
        <w:t xml:space="preserve"> ∈ </w:t>
      </w:r>
      <w:r>
        <w:rPr>
          <w:iCs/>
          <w:i/>
          <w:vertAlign w:val="subscript"/>
        </w:rPr>
        <w:t xml:space="preserve">Cj</w:t>
      </w:r>
      <w:r>
        <w:rPr>
          <w:vertAlign w:val="subscript"/>
        </w:rPr>
        <w:t xml:space="preserve"> ∖ </w:t>
      </w:r>
      <w:r>
        <w:rPr>
          <w:iCs/>
          <w:i/>
          <w:vertAlign w:val="subscript"/>
        </w:rPr>
        <w:t xml:space="preserve">U</w:t>
      </w:r>
      <w:r>
        <w:rPr>
          <w:vertAlign w:val="subscript"/>
        </w:rPr>
        <w:t xml:space="preserve">(</w:t>
      </w:r>
      <w:r>
        <w:rPr>
          <w:iCs/>
          <w:i/>
          <w:vertAlign w:val="subscript"/>
        </w:rPr>
        <w:t xml:space="preserve">S</w:t>
      </w:r>
      <w:r>
        <w:rPr>
          <w:vertAlign w:val="subscript"/>
        </w:rPr>
        <w:t xml:space="preserve">′)</w:t>
      </w:r>
      <w:r>
        <w:t xml:space="preserve"> </w:t>
      </w:r>
      <w:r>
        <w:rPr>
          <w:iCs/>
          <w:i/>
        </w:rPr>
        <w:t xml:space="preserve">P</w:t>
      </w:r>
      <w:r>
        <w:rPr>
          <w:iCs/>
          <w:i/>
          <w:vertAlign w:val="subscript"/>
        </w:rPr>
        <w:t xml:space="preserve">a</w:t>
      </w:r>
      <w:r>
        <w:t xml:space="preserve"> </w:t>
      </w:r>
      <w:r>
        <w:t xml:space="preserve">from adding</w:t>
      </w:r>
      <w:r>
        <w:t xml:space="preserve"> </w:t>
      </w:r>
      <w:r>
        <w:rPr>
          <w:iCs/>
          <w:i/>
        </w:rPr>
        <w:t xml:space="preserve">j</w:t>
      </w:r>
      <w:r>
        <w:t xml:space="preserve"> </w:t>
      </w:r>
      <w:r>
        <w:t xml:space="preserve">to</w:t>
      </w:r>
      <w:r>
        <w:t xml:space="preserve"> </w:t>
      </w:r>
      <w:r>
        <w:rPr>
          <w:iCs/>
          <w:i/>
        </w:rPr>
        <w:t xml:space="preserve">S</w:t>
      </w:r>
      <w:r>
        <w:t xml:space="preserve">′. That is submodularity. The bound in Equation (32) is the theorem of Nemhauser et al. (1978) for nondecreasing submodular functions under a limit on the number of elements chosen. □</w:t>
      </w:r>
    </w:p>
    <w:p>
      <w:pPr>
        <w:pStyle w:val="BodyText"/>
      </w:pPr>
      <w:r>
        <w:rPr>
          <w:bCs/>
          <w:b/>
        </w:rPr>
        <w:t xml:space="preserve">Remark 12 (What the planning results buy).</w:t>
      </w:r>
      <w:r>
        <w:t xml:space="preserve"> </w:t>
      </w:r>
      <w:r>
        <w:t xml:space="preserve">Proposition 17 cuts the work of a road-vulnerability study by more than half on the test graphs (Table 16), because a road segment off the forest cannot matter for that profile. Proposition 18 means that a provincial planner can choose Malasakit Center sites by a rule simple enough to do in a spreadsheet and still be sure of reaching at least 63.2 percent of the best possible coverage; in the tests the greedy rule did much better than its guarantee.</w:t>
      </w:r>
    </w:p>
    <w:bookmarkEnd w:id="170"/>
    <w:bookmarkStart w:id="171" w:name="software-verification"/>
    <w:p>
      <w:pPr>
        <w:pStyle w:val="Heading2"/>
      </w:pPr>
      <w:r>
        <w:t xml:space="preserve">3.3 Software Verification</w:t>
      </w:r>
    </w:p>
    <w:p>
      <w:pPr>
        <w:pStyle w:val="FirstParagraph"/>
      </w:pPr>
      <w:r>
        <w:t xml:space="preserve">To keep programming errors out of the analysis, every proven property was also checked numerically against a separate reference implementation. Table 14 covers the transport engine, Table 15 the original hospital mode and the agent network, and Table 16 the patient-needs and planning tools added in this revision. All figures come from synthetic test cases, not from field data.</w:t>
      </w:r>
    </w:p>
    <w:p>
      <w:pPr>
        <w:pStyle w:val="BodyText"/>
      </w:pPr>
      <w:r>
        <w:t xml:space="preserve">Row 2 of Table 14 deserves a close look. A team with limited time would naturally build its engine on a single pass of the Connection Scan Algorithm. As Dibbelt et al. (2018) explain, when footpaths are not transitively closed, a single scan fails silently: here it reported arrivals late in almost half of the reachable queries, by more than 30 minutes on average, without any warning or error. An atlas built on it would understate access everywhere and mark the wrong landmarks as underserved. Every calculation in this paper therefore uses the verified label-setting engine.</w:t>
      </w:r>
    </w:p>
    <w:p>
      <w:pPr>
        <w:pStyle w:val="TableCaption"/>
      </w:pPr>
      <w:r>
        <w:rPr>
          <w:bCs/>
          <w:b/>
        </w:rPr>
        <w:t xml:space="preserve">Table 14.</w:t>
      </w:r>
      <w:r>
        <w:t xml:space="preserve"> </w:t>
      </w:r>
      <w:r>
        <w:t xml:space="preserve">Transport pipeline checks, all produced by the project’s test suite on random synthetic instances whose correct answers were obtained independently.</w:t>
      </w:r>
    </w:p>
    <w:tbl>
      <w:tblPr>
        <w:tblStyle w:val="Table"/>
        <w:tblW w:type="pct" w:w="5000"/>
        <w:jc w:val="center"/>
        <w:tblCaption w:val="Table 14. Transport pipeline checks, all produced by the project’s test suite on random synthetic instances whose correct answers were obtained independently."/>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1911"/>
        <w:gridCol w:w="3413"/>
        <w:gridCol w:w="2594"/>
      </w:tblGrid>
      <w:tr>
        <w:trPr>
          <w:tblHeader w:val="true"/>
          <w:tblHeader/>
          <w:cantSplit/>
        </w:trPr>
        <w:tc>
          <w:tcPr/>
          <w:p>
            <w:pPr>
              <w:pStyle w:val="Compact"/>
              <w:jc w:val="left"/>
            </w:pPr>
            <w:r>
              <w:rPr>
                <w:b/>
              </w:rPr>
              <w:t xml:space="preserve">Property Checked</w:t>
            </w:r>
          </w:p>
        </w:tc>
        <w:tc>
          <w:tcPr/>
          <w:p>
            <w:pPr>
              <w:pStyle w:val="Compact"/>
              <w:jc w:val="left"/>
            </w:pPr>
            <w:r>
              <w:rPr>
                <w:b/>
              </w:rPr>
              <w:t xml:space="preserve">Method of Check</w:t>
            </w:r>
          </w:p>
        </w:tc>
        <w:tc>
          <w:tcPr/>
          <w:p>
            <w:pPr>
              <w:pStyle w:val="Compact"/>
              <w:jc w:val="left"/>
            </w:pPr>
            <w:r>
              <w:rPr>
                <w:b/>
              </w:rPr>
              <w:t xml:space="preserve">Result</w:t>
            </w:r>
          </w:p>
        </w:tc>
      </w:tr>
      <w:tr>
        <w:trPr>
          <w:cantSplit/>
        </w:trPr>
        <w:tc>
          <w:tcPr/>
          <w:p>
            <w:pPr>
              <w:pStyle w:val="Compact"/>
              <w:jc w:val="left"/>
            </w:pPr>
            <w:r>
              <w:t xml:space="preserve">Correctness of earliest arrival (Prop. 1)</w:t>
            </w:r>
          </w:p>
        </w:tc>
        <w:tc>
          <w:tcPr/>
          <w:p>
            <w:pPr>
              <w:pStyle w:val="Compact"/>
              <w:jc w:val="left"/>
            </w:pPr>
            <w:r>
              <w:t xml:space="preserve">618 random queries over 120 synthetic timetables, checked against complete enumeration of feasible journeys</w:t>
            </w:r>
          </w:p>
        </w:tc>
        <w:tc>
          <w:tcPr/>
          <w:p>
            <w:pPr>
              <w:pStyle w:val="Compact"/>
              <w:jc w:val="left"/>
            </w:pPr>
            <w:r>
              <w:t xml:space="preserve">577 reachable; arrival times agree in every case</w:t>
            </w:r>
          </w:p>
        </w:tc>
      </w:tr>
      <w:tr>
        <w:trPr>
          <w:cantSplit/>
        </w:trPr>
        <w:tc>
          <w:tcPr/>
          <w:p>
            <w:pPr>
              <w:pStyle w:val="Compact"/>
              <w:jc w:val="left"/>
            </w:pPr>
            <w:r>
              <w:t xml:space="preserve">Naive single-scan implementation</w:t>
            </w:r>
          </w:p>
        </w:tc>
        <w:tc>
          <w:tcPr/>
          <w:p>
            <w:pPr>
              <w:pStyle w:val="Compact"/>
              <w:jc w:val="left"/>
            </w:pPr>
            <w:r>
              <w:t xml:space="preserve">The same queries through a one-pass scan whose footpaths are not transitively closed</w:t>
            </w:r>
          </w:p>
        </w:tc>
        <w:tc>
          <w:tcPr/>
          <w:p>
            <w:pPr>
              <w:pStyle w:val="Compact"/>
              <w:jc w:val="left"/>
            </w:pPr>
            <w:r>
              <w:t xml:space="preserve">Late in 274 of 577 reachable queries (47.5%); mean error 32.5 min; worst 109 min</w:t>
            </w:r>
          </w:p>
        </w:tc>
      </w:tr>
      <w:tr>
        <w:trPr>
          <w:cantSplit/>
        </w:trPr>
        <w:tc>
          <w:tcPr/>
          <w:p>
            <w:pPr>
              <w:pStyle w:val="Compact"/>
              <w:jc w:val="left"/>
            </w:pPr>
            <w:r>
              <w:t xml:space="preserve">Gini scale invariance (Prop. 5 ii)</w:t>
            </w:r>
          </w:p>
        </w:tc>
        <w:tc>
          <w:tcPr/>
          <w:p>
            <w:pPr>
              <w:pStyle w:val="Compact"/>
              <w:jc w:val="left"/>
            </w:pPr>
            <w:r>
              <w:t xml:space="preserve">500 random weighted vectors, λ drawn from [0.2, 12]</w:t>
            </w:r>
          </w:p>
        </w:tc>
        <w:tc>
          <w:tcPr/>
          <w:p>
            <w:pPr>
              <w:pStyle w:val="Compact"/>
              <w:jc w:val="left"/>
            </w:pPr>
            <w:r>
              <w:t xml:space="preserve">Largest deviation 2.2 × 10</w:t>
            </w:r>
            <w:r>
              <w:rPr>
                <w:vertAlign w:val="superscript"/>
              </w:rPr>
              <w:t xml:space="preserve">−16</w:t>
            </w:r>
          </w:p>
        </w:tc>
      </w:tr>
      <w:tr>
        <w:trPr>
          <w:cantSplit/>
        </w:trPr>
        <w:tc>
          <w:tcPr/>
          <w:p>
            <w:pPr>
              <w:pStyle w:val="Compact"/>
              <w:jc w:val="left"/>
            </w:pPr>
            <w:r>
              <w:t xml:space="preserve">Gini under translation (Prop. 5 iii)</w:t>
            </w:r>
          </w:p>
        </w:tc>
        <w:tc>
          <w:tcPr/>
          <w:p>
            <w:pPr>
              <w:pStyle w:val="Compact"/>
              <w:jc w:val="left"/>
            </w:pPr>
            <w:r>
              <w:t xml:space="preserve">500 random weighted vectors,</w:t>
            </w:r>
            <w:r>
              <w:t xml:space="preserve"> </w:t>
            </w:r>
            <w:r>
              <w:rPr>
                <w:iCs/>
                <w:i/>
              </w:rPr>
              <w:t xml:space="preserve">c</w:t>
            </w:r>
            <w:r>
              <w:t xml:space="preserve"> </w:t>
            </w:r>
            <w:r>
              <w:t xml:space="preserve">drawn from [0.5, 20]</w:t>
            </w:r>
          </w:p>
        </w:tc>
        <w:tc>
          <w:tcPr/>
          <w:p>
            <w:pPr>
              <w:pStyle w:val="Compact"/>
              <w:jc w:val="left"/>
            </w:pPr>
            <w:r>
              <w:t xml:space="preserve">Lower index in all 500 cases</w:t>
            </w:r>
          </w:p>
        </w:tc>
      </w:tr>
      <w:tr>
        <w:trPr>
          <w:cantSplit/>
        </w:trPr>
        <w:tc>
          <w:tcPr/>
          <w:p>
            <w:pPr>
              <w:pStyle w:val="Compact"/>
              <w:jc w:val="left"/>
            </w:pPr>
            <w:r>
              <w:t xml:space="preserve">Theil decomposition (Prop. 6)</w:t>
            </w:r>
          </w:p>
        </w:tc>
        <w:tc>
          <w:tcPr/>
          <w:p>
            <w:pPr>
              <w:pStyle w:val="Compact"/>
              <w:jc w:val="left"/>
            </w:pPr>
            <w:r>
              <w:t xml:space="preserve">500 random two-group partitions</w:t>
            </w:r>
          </w:p>
        </w:tc>
        <w:tc>
          <w:tcPr/>
          <w:p>
            <w:pPr>
              <w:pStyle w:val="Compact"/>
              <w:jc w:val="left"/>
            </w:pPr>
            <w:r>
              <w:t xml:space="preserve">Largest residual 5.6 × 10</w:t>
            </w:r>
            <w:r>
              <w:rPr>
                <w:vertAlign w:val="superscript"/>
              </w:rPr>
              <w:t xml:space="preserve">−16</w:t>
            </w:r>
          </w:p>
        </w:tc>
      </w:tr>
      <w:tr>
        <w:trPr>
          <w:cantSplit/>
        </w:trPr>
        <w:tc>
          <w:tcPr/>
          <w:p>
            <w:pPr>
              <w:pStyle w:val="Compact"/>
              <w:jc w:val="left"/>
            </w:pPr>
            <w:r>
              <w:t xml:space="preserve">Vehicle-class monotonicity (Prop. 3)</w:t>
            </w:r>
          </w:p>
        </w:tc>
        <w:tc>
          <w:tcPr/>
          <w:p>
            <w:pPr>
              <w:pStyle w:val="Compact"/>
              <w:jc w:val="left"/>
            </w:pPr>
            <w:r>
              <w:t xml:space="preserve">300 random road graphs; restricted class made by deleting 35% of the arcs</w:t>
            </w:r>
          </w:p>
        </w:tc>
        <w:tc>
          <w:tcPr/>
          <w:p>
            <w:pPr>
              <w:pStyle w:val="Compact"/>
              <w:jc w:val="left"/>
            </w:pPr>
            <w:r>
              <w:t xml:space="preserve">Zero violations over 11,620 origin-destination pairs</w:t>
            </w:r>
          </w:p>
        </w:tc>
      </w:tr>
      <w:tr>
        <w:trPr>
          <w:cantSplit/>
        </w:trPr>
        <w:tc>
          <w:tcPr/>
          <w:p>
            <w:pPr>
              <w:pStyle w:val="Compact"/>
              <w:jc w:val="left"/>
            </w:pPr>
            <w:r>
              <w:t xml:space="preserve">Fare monotonicity and subadditivity (Prop. 7)</w:t>
            </w:r>
          </w:p>
        </w:tc>
        <w:tc>
          <w:tcPr/>
          <w:p>
            <w:pPr>
              <w:pStyle w:val="Compact"/>
              <w:jc w:val="left"/>
            </w:pPr>
            <w:r>
              <w:t xml:space="preserve">Distance sweep to 60 km and 1,000 random leg splits</w:t>
            </w:r>
          </w:p>
        </w:tc>
        <w:tc>
          <w:tcPr/>
          <w:p>
            <w:pPr>
              <w:pStyle w:val="Compact"/>
              <w:jc w:val="left"/>
            </w:pPr>
            <w:r>
              <w:t xml:space="preserve">Monotone over the sweep; subadditive in every split</w:t>
            </w:r>
          </w:p>
        </w:tc>
      </w:tr>
    </w:tbl>
    <w:p>
      <w:pPr>
        <w:pStyle w:val="BodyText"/>
        <w:spacing w:before="200"/>
      </w:pPr>
      <w:r>
        <w:t xml:space="preserve">Hospital mode and the agent network were checked the same way by</w:t>
      </w:r>
      <w:r>
        <w:t xml:space="preserve"> </w:t>
      </w:r>
      <w:r>
        <w:rPr>
          <w:rStyle w:val="VerbatimChar"/>
        </w:rPr>
        <w:t xml:space="preserve">verify_hospital_mode.py</w:t>
      </w:r>
      <w:r>
        <w:t xml:space="preserve">, run with a fixed seed. The ambulance router was compared with two independent references: all-pairs distances from the Floyd-Warshall algorithm (Floyd, 1962; Warshall, 1962), which share no code with the priority-queue search, and a rewrite of the suitability rule as set operations. The public-transport router was compared with a dynamic program that sweeps the time-expanded graph in topological order (Cormen et al., 2022), which works because every arc moves forward in time (Proposition 2). For the agents, 60 synthetic hospitals were simulated over 30 days, or 90 inquiry cycles. Nine never answered and six sent noisy replies; six more opted out after two to ten messages; fifteen replied irregularly and in varied wording; and the remaining twenty-four answered every inquiry within two hours on the reply form. On top of this, 200 forged replies were slipped into the mailbox.</w:t>
      </w:r>
    </w:p>
    <w:p>
      <w:pPr>
        <w:pStyle w:val="TableCaption"/>
      </w:pPr>
      <w:r>
        <w:rPr>
          <w:bCs/>
          <w:b/>
        </w:rPr>
        <w:t xml:space="preserve">Table 15.</w:t>
      </w:r>
      <w:r>
        <w:t xml:space="preserve"> </w:t>
      </w:r>
      <w:r>
        <w:t xml:space="preserve">Checks on hospital mode and on the agent network (synthetic inputs only; no real hospital or mailbox).</w:t>
      </w:r>
    </w:p>
    <w:tbl>
      <w:tblPr>
        <w:tblStyle w:val="Table"/>
        <w:tblW w:type="pct" w:w="5000"/>
        <w:jc w:val="center"/>
        <w:tblCaption w:val="Table 15. Checks on hospital mode and on the agent network (synthetic inputs only; no real hospital or mailbo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1911"/>
        <w:gridCol w:w="3413"/>
        <w:gridCol w:w="2594"/>
      </w:tblGrid>
      <w:tr>
        <w:trPr>
          <w:tblHeader w:val="true"/>
          <w:tblHeader/>
          <w:cantSplit/>
        </w:trPr>
        <w:tc>
          <w:tcPr/>
          <w:p>
            <w:pPr>
              <w:pStyle w:val="Compact"/>
              <w:jc w:val="left"/>
            </w:pPr>
            <w:r>
              <w:rPr>
                <w:b/>
              </w:rPr>
              <w:t xml:space="preserve">Property Checked</w:t>
            </w:r>
          </w:p>
        </w:tc>
        <w:tc>
          <w:tcPr/>
          <w:p>
            <w:pPr>
              <w:pStyle w:val="Compact"/>
              <w:jc w:val="left"/>
            </w:pPr>
            <w:r>
              <w:rPr>
                <w:b/>
              </w:rPr>
              <w:t xml:space="preserve">Method of Check</w:t>
            </w:r>
          </w:p>
        </w:tc>
        <w:tc>
          <w:tcPr/>
          <w:p>
            <w:pPr>
              <w:pStyle w:val="Compact"/>
              <w:jc w:val="left"/>
            </w:pPr>
            <w:r>
              <w:rPr>
                <w:b/>
              </w:rPr>
              <w:t xml:space="preserve">Result</w:t>
            </w:r>
          </w:p>
        </w:tc>
      </w:tr>
      <w:tr>
        <w:trPr>
          <w:cantSplit/>
        </w:trPr>
        <w:tc>
          <w:tcPr/>
          <w:p>
            <w:pPr>
              <w:pStyle w:val="Compact"/>
              <w:jc w:val="left"/>
            </w:pPr>
            <w:r>
              <w:t xml:space="preserve">Early stopping, ambulance mode (Prop. 9,</w:t>
            </w:r>
            <w:r>
              <w:t xml:space="preserve"> </w:t>
            </w:r>
            <w:r>
              <w:rPr>
                <w:iCs/>
                <w:i/>
              </w:rPr>
              <w:t xml:space="preserve">k</w:t>
            </w:r>
            <w:r>
              <w:t xml:space="preserve"> </w:t>
            </w:r>
            <w:r>
              <w:t xml:space="preserve">= 1)</w:t>
            </w:r>
          </w:p>
        </w:tc>
        <w:tc>
          <w:tcPr/>
          <w:p>
            <w:pPr>
              <w:pStyle w:val="Compact"/>
              <w:jc w:val="left"/>
            </w:pPr>
            <w:r>
              <w:t xml:space="preserve">200 random road graphs (120 to 260 vertices, 6 to 15 hospitals, roughly 23% of arcs shut to the ambulance class); 4,000 random origin-profile queries against Floyd-Warshall distances and a set-based suitability filter</w:t>
            </w:r>
          </w:p>
        </w:tc>
        <w:tc>
          <w:tcPr/>
          <w:p>
            <w:pPr>
              <w:pStyle w:val="Compact"/>
              <w:jc w:val="left"/>
            </w:pPr>
            <w:r>
              <w:t xml:space="preserve">Reachable suitable hospital in 2,911 queries; hospital and travel time agree in all</w:t>
            </w:r>
          </w:p>
        </w:tc>
      </w:tr>
      <w:tr>
        <w:trPr>
          <w:cantSplit/>
        </w:trPr>
        <w:tc>
          <w:tcPr/>
          <w:p>
            <w:pPr>
              <w:pStyle w:val="Compact"/>
              <w:jc w:val="left"/>
            </w:pPr>
            <w:r>
              <w:t xml:space="preserve">Early stopping, patient mode (Prop. 9,</w:t>
            </w:r>
            <w:r>
              <w:t xml:space="preserve"> </w:t>
            </w:r>
            <w:r>
              <w:rPr>
                <w:iCs/>
                <w:i/>
              </w:rPr>
              <w:t xml:space="preserve">k</w:t>
            </w:r>
            <w:r>
              <w:t xml:space="preserve"> </w:t>
            </w:r>
            <w:r>
              <w:t xml:space="preserve">= 1)</w:t>
            </w:r>
          </w:p>
        </w:tc>
        <w:tc>
          <w:tcPr/>
          <w:p>
            <w:pPr>
              <w:pStyle w:val="Compact"/>
              <w:jc w:val="left"/>
            </w:pPr>
            <w:r>
              <w:t xml:space="preserve">120 random timetables (12 to 20 stops, 4 to 6 routes, 3 to 6 hospitals with sink vertices); 1,200 queries against a dynamic program in topological order</w:t>
            </w:r>
          </w:p>
        </w:tc>
        <w:tc>
          <w:tcPr/>
          <w:p>
            <w:pPr>
              <w:pStyle w:val="Compact"/>
              <w:jc w:val="left"/>
            </w:pPr>
            <w:r>
              <w:t xml:space="preserve">Reachable suitable hospital in 660 queries; full agreement; no arc runs backward in time</w:t>
            </w:r>
          </w:p>
        </w:tc>
      </w:tr>
      <w:tr>
        <w:trPr>
          <w:cantSplit/>
        </w:trPr>
        <w:tc>
          <w:tcPr/>
          <w:p>
            <w:pPr>
              <w:pStyle w:val="Compact"/>
              <w:jc w:val="left"/>
            </w:pPr>
            <w:r>
              <w:t xml:space="preserve">Nesting and monotonicity (Prop. 10 i to iii)</w:t>
            </w:r>
          </w:p>
        </w:tc>
        <w:tc>
          <w:tcPr/>
          <w:p>
            <w:pPr>
              <w:pStyle w:val="Compact"/>
              <w:jc w:val="left"/>
            </w:pPr>
            <w:r>
              <w:t xml:space="preserve">Each of 20 profiles at every ambulance query: 140,000 set-inclusion checks and 140,000 travel-time checks; 25,200 travel-time checks on the transit queries</w:t>
            </w:r>
          </w:p>
        </w:tc>
        <w:tc>
          <w:tcPr/>
          <w:p>
            <w:pPr>
              <w:pStyle w:val="Compact"/>
              <w:jc w:val="left"/>
            </w:pPr>
            <w:r>
              <w:t xml:space="preserve">No violation found</w:t>
            </w:r>
          </w:p>
        </w:tc>
      </w:tr>
      <w:tr>
        <w:trPr>
          <w:cantSplit/>
        </w:trPr>
        <w:tc>
          <w:tcPr/>
          <w:p>
            <w:pPr>
              <w:pStyle w:val="Compact"/>
              <w:jc w:val="left"/>
            </w:pPr>
            <w:r>
              <w:t xml:space="preserve">Payment gap (Cor. 11 a)</w:t>
            </w:r>
          </w:p>
        </w:tc>
        <w:tc>
          <w:tcPr/>
          <w:p>
            <w:pPr>
              <w:pStyle w:val="Compact"/>
              <w:jc w:val="left"/>
            </w:pPr>
            <w:r>
              <w:t xml:space="preserve">80,000 origin-profile pairs drawn from the ambulance instances</w:t>
            </w:r>
          </w:p>
        </w:tc>
        <w:tc>
          <w:tcPr/>
          <w:p>
            <w:pPr>
              <w:pStyle w:val="Compact"/>
              <w:jc w:val="left"/>
            </w:pPr>
            <w:r>
              <w:t xml:space="preserve">Never below zero; zero for every emergency profile</w:t>
            </w:r>
          </w:p>
        </w:tc>
      </w:tr>
      <w:tr>
        <w:trPr>
          <w:cantSplit/>
        </w:trPr>
        <w:tc>
          <w:tcPr/>
          <w:p>
            <w:pPr>
              <w:pStyle w:val="Compact"/>
              <w:jc w:val="left"/>
            </w:pPr>
            <w:r>
              <w:t xml:space="preserve">Reader extraction (rule V2)</w:t>
            </w:r>
          </w:p>
        </w:tc>
        <w:tc>
          <w:tcPr/>
          <w:p>
            <w:pPr>
              <w:pStyle w:val="Compact"/>
              <w:jc w:val="left"/>
            </w:pPr>
            <w:r>
              <w:t xml:space="preserve">2,400 synthetic replies from 12 templates: 8 readable (reply form; English or Filipino free text with dates and telephone numbers as distractors) and 4 unreadable or contradictory</w:t>
            </w:r>
          </w:p>
        </w:tc>
        <w:tc>
          <w:tcPr/>
          <w:p>
            <w:pPr>
              <w:pStyle w:val="Compact"/>
              <w:jc w:val="left"/>
            </w:pPr>
            <w:r>
              <w:t xml:space="preserve">1,600 of 1,600 readable replies read exactly; 800 of 800 others referred to review; no wrong value</w:t>
            </w:r>
          </w:p>
        </w:tc>
      </w:tr>
      <w:tr>
        <w:trPr>
          <w:cantSplit/>
        </w:trPr>
        <w:tc>
          <w:tcPr/>
          <w:p>
            <w:pPr>
              <w:pStyle w:val="Compact"/>
              <w:jc w:val="left"/>
            </w:pPr>
            <w:r>
              <w:t xml:space="preserve">Message load (Prop. 12 i)</w:t>
            </w:r>
          </w:p>
        </w:tc>
        <w:tc>
          <w:tcPr/>
          <w:p>
            <w:pPr>
              <w:pStyle w:val="Compact"/>
              <w:jc w:val="left"/>
            </w:pPr>
            <w:r>
              <w:t xml:space="preserve">Mock mail environment, 60 hospitals, 30 days; 7,225 messages sent (4,902 inquiries and 2,323 reminders)</w:t>
            </w:r>
          </w:p>
        </w:tc>
        <w:tc>
          <w:tcPr/>
          <w:p>
            <w:pPr>
              <w:pStyle w:val="Compact"/>
              <w:jc w:val="left"/>
            </w:pPr>
            <w:r>
              <w:t xml:space="preserve">No hospital received more than 2 messages per cycle or 6 per day</w:t>
            </w:r>
          </w:p>
        </w:tc>
      </w:tr>
      <w:tr>
        <w:trPr>
          <w:cantSplit/>
        </w:trPr>
        <w:tc>
          <w:tcPr/>
          <w:p>
            <w:pPr>
              <w:pStyle w:val="Compact"/>
              <w:jc w:val="left"/>
            </w:pPr>
            <w:r>
              <w:t xml:space="preserve">Opt-out (Prop. 12 ii)</w:t>
            </w:r>
          </w:p>
        </w:tc>
        <w:tc>
          <w:tcPr/>
          <w:p>
            <w:pPr>
              <w:pStyle w:val="Compact"/>
              <w:jc w:val="left"/>
            </w:pPr>
            <w:r>
              <w:t xml:space="preserve">6 hospitals opting out after 2 to 10 messages</w:t>
            </w:r>
          </w:p>
        </w:tc>
        <w:tc>
          <w:tcPr/>
          <w:p>
            <w:pPr>
              <w:pStyle w:val="Compact"/>
              <w:jc w:val="left"/>
            </w:pPr>
            <w:r>
              <w:t xml:space="preserve">Nothing sent after an opt-out arrived</w:t>
            </w:r>
          </w:p>
        </w:tc>
      </w:tr>
      <w:tr>
        <w:trPr>
          <w:cantSplit/>
        </w:trPr>
        <w:tc>
          <w:tcPr/>
          <w:p>
            <w:pPr>
              <w:pStyle w:val="Compact"/>
              <w:jc w:val="left"/>
            </w:pPr>
            <w:r>
              <w:t xml:space="preserve">Report age (Prop. 12 iii)</w:t>
            </w:r>
          </w:p>
        </w:tc>
        <w:tc>
          <w:tcPr/>
          <w:p>
            <w:pPr>
              <w:pStyle w:val="Compact"/>
              <w:jc w:val="left"/>
            </w:pPr>
            <w:r>
              <w:t xml:space="preserve">24 hospitals replying within 2 h; age logged every 10 min</w:t>
            </w:r>
          </w:p>
        </w:tc>
        <w:tc>
          <w:tcPr/>
          <w:p>
            <w:pPr>
              <w:pStyle w:val="Compact"/>
              <w:jc w:val="left"/>
            </w:pPr>
            <w:r>
              <w:t xml:space="preserve">Oldest 579.8 min, inside the 600 min bound; never UNKNOWN after the first report</w:t>
            </w:r>
          </w:p>
        </w:tc>
      </w:tr>
      <w:tr>
        <w:trPr>
          <w:cantSplit/>
        </w:trPr>
        <w:tc>
          <w:tcPr/>
          <w:p>
            <w:pPr>
              <w:pStyle w:val="Compact"/>
              <w:jc w:val="left"/>
            </w:pPr>
            <w:r>
              <w:t xml:space="preserve">Validation (Table 11)</w:t>
            </w:r>
          </w:p>
        </w:tc>
        <w:tc>
          <w:tcPr/>
          <w:p>
            <w:pPr>
              <w:pStyle w:val="Compact"/>
              <w:jc w:val="left"/>
            </w:pPr>
            <w:r>
              <w:t xml:space="preserve">3,849 replies from the 51 responding hospitals, 67 of them with capacity typed ten times too large</w:t>
            </w:r>
          </w:p>
        </w:tc>
        <w:tc>
          <w:tcPr/>
          <w:p>
            <w:pPr>
              <w:pStyle w:val="Compact"/>
              <w:jc w:val="left"/>
            </w:pPr>
            <w:r>
              <w:t xml:space="preserve">3,302 accepted, none carrying a wrong value; 547 held, all 67 typing errors among them</w:t>
            </w:r>
          </w:p>
        </w:tc>
      </w:tr>
      <w:tr>
        <w:trPr>
          <w:cantSplit/>
        </w:trPr>
        <w:tc>
          <w:tcPr/>
          <w:p>
            <w:pPr>
              <w:pStyle w:val="Compact"/>
              <w:jc w:val="left"/>
            </w:pPr>
            <w:r>
              <w:t xml:space="preserve">Authentication (rule V1)</w:t>
            </w:r>
          </w:p>
        </w:tc>
        <w:tc>
          <w:tcPr/>
          <w:p>
            <w:pPr>
              <w:pStyle w:val="Compact"/>
              <w:jc w:val="left"/>
            </w:pPr>
            <w:r>
              <w:t xml:space="preserve">200 forged replies: never-issued tokens, genuine tokens from a look-alike address, or another hospital’s token</w:t>
            </w:r>
          </w:p>
        </w:tc>
        <w:tc>
          <w:tcPr/>
          <w:p>
            <w:pPr>
              <w:pStyle w:val="Compact"/>
              <w:jc w:val="left"/>
            </w:pPr>
            <w:r>
              <w:t xml:space="preserve">None accepted</w:t>
            </w:r>
          </w:p>
        </w:tc>
      </w:tr>
    </w:tbl>
    <w:p>
      <w:pPr>
        <w:pStyle w:val="BodyText"/>
        <w:spacing w:before="200"/>
      </w:pPr>
      <w:r>
        <w:t xml:space="preserve">Two rows of Table 15 need comment. The weakest is the Reader row. The twelve templates and the extraction rules were written together, so the row shows only that the rules work as designed, including their refusal to guess. Real staff may phrase replies in ways the templates never imagined, which is why an unreadable reply always goes to a person (Limitation L13). The strongest is the report-age row. Among prompt responders the oldest report reached 579.8 min, under the 600 min bound of Proposition 12, and the 12 h cutoff of Definition 15 never had to step in.</w:t>
      </w:r>
    </w:p>
    <w:p>
      <w:pPr>
        <w:pStyle w:val="TableCaption"/>
      </w:pPr>
      <w:r>
        <w:rPr>
          <w:bCs/>
          <w:b/>
        </w:rPr>
        <w:t xml:space="preserve">Table 16.</w:t>
      </w:r>
      <w:r>
        <w:t xml:space="preserve"> </w:t>
      </w:r>
      <w:r>
        <w:t xml:space="preserve">Checks on the patient-needs and planning tools added in this revision, produced by</w:t>
      </w:r>
      <w:r>
        <w:t xml:space="preserve"> </w:t>
      </w:r>
      <w:r>
        <w:rPr>
          <w:rStyle w:val="VerbatimChar"/>
        </w:rPr>
        <w:t xml:space="preserve">verify_patient_extensions.py</w:t>
      </w:r>
      <w:r>
        <w:t xml:space="preserve"> </w:t>
      </w:r>
      <w:r>
        <w:t xml:space="preserve">(seed 20261013; synthetic inputs only).</w:t>
      </w:r>
    </w:p>
    <w:tbl>
      <w:tblPr>
        <w:tblStyle w:val="Table"/>
        <w:tblW w:type="pct" w:w="5000"/>
        <w:jc w:val="center"/>
        <w:tblCaption w:val="Table 16. Checks on the patient-needs and planning tools added in this revision, produced by verify_patient_extensions.py (seed 20261013; synthetic inputs only)."/>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1911"/>
        <w:gridCol w:w="3413"/>
        <w:gridCol w:w="2594"/>
      </w:tblGrid>
      <w:tr>
        <w:trPr>
          <w:tblHeader w:val="true"/>
          <w:tblHeader/>
          <w:cantSplit/>
        </w:trPr>
        <w:tc>
          <w:tcPr/>
          <w:p>
            <w:pPr>
              <w:pStyle w:val="Compact"/>
              <w:jc w:val="left"/>
            </w:pPr>
            <w:r>
              <w:rPr>
                <w:b/>
              </w:rPr>
              <w:t xml:space="preserve">Property Checked</w:t>
            </w:r>
          </w:p>
        </w:tc>
        <w:tc>
          <w:tcPr/>
          <w:p>
            <w:pPr>
              <w:pStyle w:val="Compact"/>
              <w:jc w:val="left"/>
            </w:pPr>
            <w:r>
              <w:rPr>
                <w:b/>
              </w:rPr>
              <w:t xml:space="preserve">Method of Check</w:t>
            </w:r>
          </w:p>
        </w:tc>
        <w:tc>
          <w:tcPr/>
          <w:p>
            <w:pPr>
              <w:pStyle w:val="Compact"/>
              <w:jc w:val="left"/>
            </w:pPr>
            <w:r>
              <w:rPr>
                <w:b/>
              </w:rPr>
              <w:t xml:space="preserve">Result</w:t>
            </w:r>
          </w:p>
        </w:tc>
      </w:tr>
      <w:tr>
        <w:trPr>
          <w:cantSplit/>
        </w:trPr>
        <w:tc>
          <w:tcPr/>
          <w:p>
            <w:pPr>
              <w:pStyle w:val="Compact"/>
              <w:jc w:val="left"/>
            </w:pPr>
            <w:r>
              <w:t xml:space="preserve">Early stopping with backups, ambulance mode (Prop. 9,</w:t>
            </w:r>
            <w:r>
              <w:t xml:space="preserve"> </w:t>
            </w:r>
            <w:r>
              <w:rPr>
                <w:iCs/>
                <w:i/>
              </w:rPr>
              <w:t xml:space="preserve">k</w:t>
            </w:r>
            <w:r>
              <w:t xml:space="preserve"> </w:t>
            </w:r>
            <w:r>
              <w:t xml:space="preserve">= 1 and</w:t>
            </w:r>
            <w:r>
              <w:t xml:space="preserve"> </w:t>
            </w:r>
            <w:r>
              <w:rPr>
                <w:iCs/>
                <w:i/>
              </w:rPr>
              <w:t xml:space="preserve">k</w:t>
            </w:r>
            <w:r>
              <w:t xml:space="preserve"> </w:t>
            </w:r>
            <w:r>
              <w:t xml:space="preserve">= 3)</w:t>
            </w:r>
          </w:p>
        </w:tc>
        <w:tc>
          <w:tcPr/>
          <w:p>
            <w:pPr>
              <w:pStyle w:val="Compact"/>
              <w:jc w:val="left"/>
            </w:pPr>
            <w:r>
              <w:t xml:space="preserve">200 random road graphs (120 to 260 vertices; 6 to 15 hospitals with random levels, service lists, cost classes, and statuses; about 20% of road segments closed to the ambulance class); 4,000 random queries with 0 to 2 required services, against Floyd-Warshall distances and a set-based suitability filter</w:t>
            </w:r>
          </w:p>
        </w:tc>
        <w:tc>
          <w:tcPr/>
          <w:p>
            <w:pPr>
              <w:pStyle w:val="Compact"/>
              <w:jc w:val="left"/>
            </w:pPr>
            <w:r>
              <w:t xml:space="preserve">Suitable hospital reachable in 2,355 queries; the first hospital and the ranked list of three agree with the reference in all 4,000</w:t>
            </w:r>
          </w:p>
        </w:tc>
      </w:tr>
      <w:tr>
        <w:trPr>
          <w:cantSplit/>
        </w:trPr>
        <w:tc>
          <w:tcPr/>
          <w:p>
            <w:pPr>
              <w:pStyle w:val="Compact"/>
              <w:jc w:val="left"/>
            </w:pPr>
            <w:r>
              <w:t xml:space="preserve">Need monotonicity (Prop. 10 iv)</w:t>
            </w:r>
          </w:p>
        </w:tc>
        <w:tc>
          <w:tcPr/>
          <w:p>
            <w:pPr>
              <w:pStyle w:val="Compact"/>
              <w:jc w:val="left"/>
            </w:pPr>
            <w:r>
              <w:t xml:space="preserve">Every one-service enlargement of the need set of each query</w:t>
            </w:r>
          </w:p>
        </w:tc>
        <w:tc>
          <w:tcPr/>
          <w:p>
            <w:pPr>
              <w:pStyle w:val="Compact"/>
              <w:jc w:val="left"/>
            </w:pPr>
            <w:r>
              <w:t xml:space="preserve">28,037 set-inclusion checks and 28,037 travel-time checks; no violation</w:t>
            </w:r>
          </w:p>
        </w:tc>
      </w:tr>
      <w:tr>
        <w:trPr>
          <w:cantSplit/>
        </w:trPr>
        <w:tc>
          <w:tcPr/>
          <w:p>
            <w:pPr>
              <w:pStyle w:val="Compact"/>
              <w:jc w:val="left"/>
            </w:pPr>
            <w:r>
              <w:t xml:space="preserve">Early stopping, patient mode (Prop. 9)</w:t>
            </w:r>
          </w:p>
        </w:tc>
        <w:tc>
          <w:tcPr/>
          <w:p>
            <w:pPr>
              <w:pStyle w:val="Compact"/>
              <w:jc w:val="left"/>
            </w:pPr>
            <w:r>
              <w:t xml:space="preserve">120 random timetables (12 to 20 stops, 4 to 6 routes run both ways, 3 to 6 hospitals placed 0.1 to 0.8 km from a stop); 1,200 queries against the same search run to exhaustion</w:t>
            </w:r>
          </w:p>
        </w:tc>
        <w:tc>
          <w:tcPr/>
          <w:p>
            <w:pPr>
              <w:pStyle w:val="Compact"/>
              <w:jc w:val="left"/>
            </w:pPr>
            <w:r>
              <w:t xml:space="preserve">Agreement in all 1,200</w:t>
            </w:r>
          </w:p>
        </w:tc>
      </w:tr>
      <w:tr>
        <w:trPr>
          <w:cantSplit/>
        </w:trPr>
        <w:tc>
          <w:tcPr/>
          <w:p>
            <w:pPr>
              <w:pStyle w:val="Compact"/>
              <w:jc w:val="left"/>
            </w:pPr>
            <w:r>
              <w:t xml:space="preserve">Slower walking (Prop. 13)</w:t>
            </w:r>
          </w:p>
        </w:tc>
        <w:tc>
          <w:tcPr/>
          <w:p>
            <w:pPr>
              <w:pStyle w:val="Compact"/>
              <w:jc w:val="left"/>
            </w:pPr>
            <w:r>
              <w:t xml:space="preserve">The same 1,200 queries for the standard class (4.5 km/h, 15 min cap) and the slow class (3.0 km/h, 10 min cap)</w:t>
            </w:r>
          </w:p>
        </w:tc>
        <w:tc>
          <w:tcPr/>
          <w:p>
            <w:pPr>
              <w:pStyle w:val="Compact"/>
              <w:jc w:val="left"/>
            </w:pPr>
            <w:r>
              <w:t xml:space="preserve">Slow walker never earlier. Where both reached a suitable hospital (673 queries), the slow walker was later in all 673 (mean +6.27 min, worst +68.4 min) and was sent to a different hospital in 151. In 280 more queries only the standard walker reached one</w:t>
            </w:r>
          </w:p>
        </w:tc>
      </w:tr>
      <w:tr>
        <w:trPr>
          <w:cantSplit/>
        </w:trPr>
        <w:tc>
          <w:tcPr/>
          <w:p>
            <w:pPr>
              <w:pStyle w:val="Compact"/>
              <w:jc w:val="left"/>
            </w:pPr>
            <w:r>
              <w:t xml:space="preserve">Catchment map from one search (Prop. 14)</w:t>
            </w:r>
          </w:p>
        </w:tc>
        <w:tc>
          <w:tcPr/>
          <w:p>
            <w:pPr>
              <w:pStyle w:val="Compact"/>
              <w:jc w:val="left"/>
            </w:pPr>
            <w:r>
              <w:t xml:space="preserve">60 random road graphs; Algorithm 2 against one early-stopping search from every vertex</w:t>
            </w:r>
          </w:p>
        </w:tc>
        <w:tc>
          <w:tcPr/>
          <w:p>
            <w:pPr>
              <w:pStyle w:val="Compact"/>
              <w:jc w:val="left"/>
            </w:pPr>
            <w:r>
              <w:t xml:space="preserve">Same hospital and travel time at all 11,474 vertices</w:t>
            </w:r>
          </w:p>
        </w:tc>
      </w:tr>
      <w:tr>
        <w:trPr>
          <w:cantSplit/>
        </w:trPr>
        <w:tc>
          <w:tcPr/>
          <w:p>
            <w:pPr>
              <w:pStyle w:val="Compact"/>
              <w:jc w:val="left"/>
            </w:pPr>
            <w:r>
              <w:t xml:space="preserve">Critical segments (Prop. 17)</w:t>
            </w:r>
          </w:p>
        </w:tc>
        <w:tc>
          <w:tcPr/>
          <w:p>
            <w:pPr>
              <w:pStyle w:val="Compact"/>
              <w:jc w:val="left"/>
            </w:pPr>
            <w:r>
              <w:t xml:space="preserve">Each of the 17,168 open road segments of the 60 graphs closed in turn and the map recomputed</w:t>
            </w:r>
          </w:p>
        </w:tc>
        <w:tc>
          <w:tcPr/>
          <w:p>
            <w:pPr>
              <w:pStyle w:val="Compact"/>
              <w:jc w:val="left"/>
            </w:pPr>
            <w:r>
              <w:t xml:space="preserve">8,576 segments lie on the forest, and closing any of them changed at least one vertex’s hospital or time; closing any of the other 8,592 changed nothing</w:t>
            </w:r>
          </w:p>
        </w:tc>
      </w:tr>
      <w:tr>
        <w:trPr>
          <w:cantSplit/>
        </w:trPr>
        <w:tc>
          <w:tcPr/>
          <w:p>
            <w:pPr>
              <w:pStyle w:val="Compact"/>
              <w:jc w:val="left"/>
            </w:pPr>
            <w:r>
              <w:t xml:space="preserve">Bed conservation (Prop. 15)</w:t>
            </w:r>
          </w:p>
        </w:tc>
        <w:tc>
          <w:tcPr/>
          <w:p>
            <w:pPr>
              <w:pStyle w:val="Compact"/>
              <w:jc w:val="left"/>
            </w:pPr>
            <w:r>
              <w:t xml:space="preserve">500 random instances (5 to 40 anchors, 2 to 10 hospitals, travel times 0 to 90 min, supplies 0 to 60 beds)</w:t>
            </w:r>
          </w:p>
        </w:tc>
        <w:tc>
          <w:tcPr/>
          <w:p>
            <w:pPr>
              <w:pStyle w:val="Compact"/>
              <w:jc w:val="left"/>
            </w:pPr>
            <w:r>
              <w:t xml:space="preserve">Largest residual 1.1 × 10</w:t>
            </w:r>
            <w:r>
              <w:rPr>
                <w:vertAlign w:val="superscript"/>
              </w:rPr>
              <w:t xml:space="preserve">−13</w:t>
            </w:r>
          </w:p>
        </w:tc>
      </w:tr>
      <w:tr>
        <w:trPr>
          <w:cantSplit/>
        </w:trPr>
        <w:tc>
          <w:tcPr/>
          <w:p>
            <w:pPr>
              <w:pStyle w:val="Compact"/>
              <w:jc w:val="left"/>
            </w:pPr>
            <w:r>
              <w:t xml:space="preserve">Surge assignment (Prop. 16)</w:t>
            </w:r>
          </w:p>
        </w:tc>
        <w:tc>
          <w:tcPr/>
          <w:p>
            <w:pPr>
              <w:pStyle w:val="Compact"/>
              <w:jc w:val="left"/>
            </w:pPr>
            <w:r>
              <w:t xml:space="preserve">300 random instances on road graphs with 15 to 45 patients each (8,785 in all) and 0 to 6 free beds per hospital; Algorithm 3 against independent nearest choices and a first-come rule that serves emergencies first</w:t>
            </w:r>
          </w:p>
        </w:tc>
        <w:tc>
          <w:tcPr/>
          <w:p>
            <w:pPr>
              <w:pStyle w:val="Compact"/>
              <w:jc w:val="left"/>
            </w:pPr>
            <w:r>
              <w:t xml:space="preserve">Independent choices would have sent 2,722 patients to beds already taken. First-come placed 4,123 patients; the optimum placed 4,325. In the 170 instances where both placed the same numbers of emergency and other patients, the optimum was never slower and was faster in 121 (mean saving 17.16 min per instance). In the 13 instances where independent choices fit the beds, they equaled the optimum every time</w:t>
            </w:r>
          </w:p>
        </w:tc>
      </w:tr>
      <w:tr>
        <w:trPr>
          <w:cantSplit/>
        </w:trPr>
        <w:tc>
          <w:tcPr/>
          <w:p>
            <w:pPr>
              <w:pStyle w:val="Compact"/>
              <w:jc w:val="left"/>
            </w:pPr>
            <w:r>
              <w:t xml:space="preserve">Greedy site selection (Prop. 18)</w:t>
            </w:r>
          </w:p>
        </w:tc>
        <w:tc>
          <w:tcPr/>
          <w:p>
            <w:pPr>
              <w:pStyle w:val="Compact"/>
              <w:jc w:val="left"/>
            </w:pPr>
            <w:r>
              <w:t xml:space="preserve">496 random instances (30 anchors, 12 candidate sites, 2 existing class-0 hospitals,</w:t>
            </w:r>
            <w:r>
              <w:t xml:space="preserve"> </w:t>
            </w:r>
            <w:r>
              <w:rPr>
                <w:iCs/>
                <w:i/>
              </w:rPr>
              <w:t xml:space="preserve">k</w:t>
            </w:r>
            <w:r>
              <w:t xml:space="preserve"> </w:t>
            </w:r>
            <w:r>
              <w:t xml:space="preserve">= 1 to 4) against the best subset found by exhaustive search</w:t>
            </w:r>
          </w:p>
        </w:tc>
        <w:tc>
          <w:tcPr/>
          <w:p>
            <w:pPr>
              <w:pStyle w:val="Compact"/>
              <w:jc w:val="left"/>
            </w:pPr>
            <w:r>
              <w:t xml:space="preserve">Worst ratio 0.825, mean 0.9985; optimal in 96.6% of instances; guaranteed bound 0.632</w:t>
            </w:r>
          </w:p>
        </w:tc>
      </w:tr>
    </w:tbl>
    <w:p>
      <w:pPr>
        <w:pStyle w:val="BodyText"/>
        <w:spacing w:before="200"/>
      </w:pPr>
      <w:r>
        <w:t xml:space="preserve">Three rows of Table 16 say something about patients, not only about code. The slow-walker row shows how much the usual walking assumption flatters access for an older or pregnant patient. In 151 of the 673 queries where both classes reached care, the slow walker’s best hospital was a different one, and in 280 queries the slow walker could reach no suitable hospital at all while a healthy adult could. These shares depend on how the test timetables were generated and are not estimates for Albay, but the direction is fixed by Proposition 13. The backup lists also have a cost: in the 1,399 ambulance queries with two or more suitable hospitals in reach, the second choice lay a median of 4.79 min (mean 6.61 min) beyond the first. That is the price a crew pays when the first hospital turns out to be full on arrival. Finally, the surge row shows the risk of advising patients one at a time. Taken together, the 300 instances held 2,722 patients who, following their own nearest-hospital advice, would have arrived at a hospital whose beds had already gone to someone else.</w:t>
      </w:r>
    </w:p>
    <w:bookmarkEnd w:id="171"/>
    <w:bookmarkStart w:id="172" w:name="computational-cost"/>
    <w:p>
      <w:pPr>
        <w:pStyle w:val="Heading2"/>
      </w:pPr>
      <w:r>
        <w:t xml:space="preserve">3.4 Computational Cost</w:t>
      </w:r>
    </w:p>
    <w:p>
      <w:pPr>
        <w:pStyle w:val="TableCaption"/>
      </w:pPr>
      <w:r>
        <w:rPr>
          <w:bCs/>
          <w:b/>
        </w:rPr>
        <w:t xml:space="preserve">Table 17.</w:t>
      </w:r>
      <w:r>
        <w:t xml:space="preserve"> </w:t>
      </w:r>
      <w:r>
        <w:t xml:space="preserve">Mean time per query for the verified engine; each configuration averages 40 queries.</w:t>
      </w:r>
    </w:p>
    <w:tbl>
      <w:tblPr>
        <w:tblStyle w:val="Table"/>
        <w:tblW w:type="pct" w:w="5000"/>
        <w:jc w:val="center"/>
        <w:tblCaption w:val="Table 17. Mean time per query for the verified engine; each configuration averages 40 queries."/>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2640"/>
        <w:gridCol w:w="2640"/>
        <w:gridCol w:w="2640"/>
      </w:tblGrid>
      <w:tr>
        <w:trPr>
          <w:tblHeader w:val="true"/>
          <w:tblHeader/>
          <w:cantSplit/>
        </w:trPr>
        <w:tc>
          <w:tcPr/>
          <w:p>
            <w:pPr>
              <w:pStyle w:val="Compact"/>
              <w:jc w:val="right"/>
            </w:pPr>
            <w:r>
              <w:rPr>
                <w:b/>
              </w:rPr>
              <w:t xml:space="preserve">Stops</w:t>
            </w:r>
          </w:p>
        </w:tc>
        <w:tc>
          <w:tcPr/>
          <w:p>
            <w:pPr>
              <w:pStyle w:val="Compact"/>
              <w:jc w:val="right"/>
            </w:pPr>
            <w:r>
              <w:rPr>
                <w:b/>
              </w:rPr>
              <w:t xml:space="preserve">Connections</w:t>
            </w:r>
          </w:p>
        </w:tc>
        <w:tc>
          <w:tcPr/>
          <w:p>
            <w:pPr>
              <w:pStyle w:val="Compact"/>
              <w:jc w:val="right"/>
            </w:pPr>
            <w:r>
              <w:rPr>
                <w:b/>
              </w:rPr>
              <w:t xml:space="preserve">Mean Query Time (ms)</w:t>
            </w:r>
          </w:p>
        </w:tc>
      </w:tr>
      <w:tr>
        <w:trPr>
          <w:cantSplit/>
        </w:trPr>
        <w:tc>
          <w:tcPr/>
          <w:p>
            <w:pPr>
              <w:pStyle w:val="Compact"/>
              <w:jc w:val="right"/>
            </w:pPr>
            <w:r>
              <w:t xml:space="preserve">50</w:t>
            </w:r>
          </w:p>
        </w:tc>
        <w:tc>
          <w:tcPr/>
          <w:p>
            <w:pPr>
              <w:pStyle w:val="Compact"/>
              <w:jc w:val="right"/>
            </w:pPr>
            <w:r>
              <w:t xml:space="preserve">900</w:t>
            </w:r>
          </w:p>
        </w:tc>
        <w:tc>
          <w:tcPr/>
          <w:p>
            <w:pPr>
              <w:pStyle w:val="Compact"/>
              <w:jc w:val="right"/>
            </w:pPr>
            <w:r>
              <w:t xml:space="preserve">1.03</w:t>
            </w:r>
          </w:p>
        </w:tc>
      </w:tr>
      <w:tr>
        <w:trPr>
          <w:cantSplit/>
        </w:trPr>
        <w:tc>
          <w:tcPr/>
          <w:p>
            <w:pPr>
              <w:pStyle w:val="Compact"/>
              <w:jc w:val="right"/>
            </w:pPr>
            <w:r>
              <w:t xml:space="preserve">100</w:t>
            </w:r>
          </w:p>
        </w:tc>
        <w:tc>
          <w:tcPr/>
          <w:p>
            <w:pPr>
              <w:pStyle w:val="Compact"/>
              <w:jc w:val="right"/>
            </w:pPr>
            <w:r>
              <w:t xml:space="preserve">2,288</w:t>
            </w:r>
          </w:p>
        </w:tc>
        <w:tc>
          <w:tcPr/>
          <w:p>
            <w:pPr>
              <w:pStyle w:val="Compact"/>
              <w:jc w:val="right"/>
            </w:pPr>
            <w:r>
              <w:t xml:space="preserve">1.41</w:t>
            </w:r>
          </w:p>
        </w:tc>
      </w:tr>
      <w:tr>
        <w:trPr>
          <w:cantSplit/>
        </w:trPr>
        <w:tc>
          <w:tcPr/>
          <w:p>
            <w:pPr>
              <w:pStyle w:val="Compact"/>
              <w:jc w:val="right"/>
            </w:pPr>
            <w:r>
              <w:t xml:space="preserve">200</w:t>
            </w:r>
          </w:p>
        </w:tc>
        <w:tc>
          <w:tcPr/>
          <w:p>
            <w:pPr>
              <w:pStyle w:val="Compact"/>
              <w:jc w:val="right"/>
            </w:pPr>
            <w:r>
              <w:t xml:space="preserve">5,620</w:t>
            </w:r>
          </w:p>
        </w:tc>
        <w:tc>
          <w:tcPr/>
          <w:p>
            <w:pPr>
              <w:pStyle w:val="Compact"/>
              <w:jc w:val="right"/>
            </w:pPr>
            <w:r>
              <w:t xml:space="preserve">3.66</w:t>
            </w:r>
          </w:p>
        </w:tc>
      </w:tr>
      <w:tr>
        <w:trPr>
          <w:cantSplit/>
        </w:trPr>
        <w:tc>
          <w:tcPr/>
          <w:p>
            <w:pPr>
              <w:pStyle w:val="Compact"/>
              <w:jc w:val="right"/>
            </w:pPr>
            <w:r>
              <w:t xml:space="preserve">400</w:t>
            </w:r>
          </w:p>
        </w:tc>
        <w:tc>
          <w:tcPr/>
          <w:p>
            <w:pPr>
              <w:pStyle w:val="Compact"/>
              <w:jc w:val="right"/>
            </w:pPr>
            <w:r>
              <w:t xml:space="preserve">12,576</w:t>
            </w:r>
          </w:p>
        </w:tc>
        <w:tc>
          <w:tcPr/>
          <w:p>
            <w:pPr>
              <w:pStyle w:val="Compact"/>
              <w:jc w:val="right"/>
            </w:pPr>
            <w:r>
              <w:t xml:space="preserve">15.06</w:t>
            </w:r>
          </w:p>
        </w:tc>
      </w:tr>
      <w:tr>
        <w:trPr>
          <w:cantSplit/>
        </w:trPr>
        <w:tc>
          <w:tcPr/>
          <w:p>
            <w:pPr>
              <w:pStyle w:val="Compact"/>
              <w:jc w:val="right"/>
            </w:pPr>
            <w:r>
              <w:t xml:space="preserve">800</w:t>
            </w:r>
          </w:p>
        </w:tc>
        <w:tc>
          <w:tcPr/>
          <w:p>
            <w:pPr>
              <w:pStyle w:val="Compact"/>
              <w:jc w:val="right"/>
            </w:pPr>
            <w:r>
              <w:t xml:space="preserve">28,336</w:t>
            </w:r>
          </w:p>
        </w:tc>
        <w:tc>
          <w:tcPr/>
          <w:p>
            <w:pPr>
              <w:pStyle w:val="Compact"/>
              <w:jc w:val="right"/>
            </w:pPr>
            <w:r>
              <w:t xml:space="preserve">69.51</w:t>
            </w:r>
          </w:p>
        </w:tc>
      </w:tr>
    </w:tbl>
    <w:p>
      <w:pPr>
        <w:pStyle w:val="BodyText"/>
        <w:spacing w:before="200"/>
      </w:pPr>
      <w:r>
        <w:t xml:space="preserve">Fitting log(time) against log |</w:t>
      </w:r>
      <w:r>
        <w:rPr>
          <w:iCs/>
          <w:i/>
        </w:rPr>
        <w:t xml:space="preserve">C</w:t>
      </w:r>
      <w:r>
        <w:t xml:space="preserve">| gives a slope of 1.243 with</w:t>
      </w:r>
      <w:r>
        <w:t xml:space="preserve"> </w:t>
      </w:r>
      <w:r>
        <w:rPr>
          <w:iCs/>
          <w:i/>
        </w:rPr>
        <w:t xml:space="preserve">R</w:t>
      </w:r>
      <w:r>
        <w:rPr>
          <w:vertAlign w:val="superscript"/>
        </w:rPr>
        <w:t xml:space="preserve">2</w:t>
      </w:r>
      <w:r>
        <w:t xml:space="preserve"> </w:t>
      </w:r>
      <w:r>
        <w:t xml:space="preserve">= 0.933, in line with the near-linear growth of Proposition 2 once heap overhead is included. For the largest case, about 28,000 connections, one query took roughly 70 ms in plain, unoptimized Python on a single core. A laptop could therefore finish the complete anchor-to-destination sweep for the study area in a few hours, without a server. Using landmarks lightens the load further, since there are far fewer anchors than the 720 barangays.</w:t>
      </w:r>
    </w:p>
    <w:p>
      <w:pPr>
        <w:pStyle w:val="BodyText"/>
      </w:pPr>
      <w:r>
        <w:t xml:space="preserve">Because its search ends early (Proposition 9), hospital mode was timed on its own. Table 18 compares it with the search from one origin to every vertex that the atlas uses. The graphs were random road graphs of increasing size with one hospital for every 150 vertices, random patient profiles, and origins taken from the largest connected part of the ambulance subgraph.</w:t>
      </w:r>
    </w:p>
    <w:p>
      <w:pPr>
        <w:pStyle w:val="TableCaption"/>
      </w:pPr>
      <w:r>
        <w:rPr>
          <w:bCs/>
          <w:b/>
        </w:rPr>
        <w:t xml:space="preserve">Table 18.</w:t>
      </w:r>
      <w:r>
        <w:t xml:space="preserve"> </w:t>
      </w:r>
      <w:r>
        <w:t xml:space="preserve">Early-stopping hospital search compared with a full search; random road graphs, 60 queries for each size, plain Python on one core.</w:t>
      </w:r>
    </w:p>
    <w:tbl>
      <w:tblPr>
        <w:tblStyle w:val="Table"/>
        <w:tblW w:type="pct" w:w="5000"/>
        <w:jc w:val="center"/>
        <w:tblCaption w:val="Table 18. Early-stopping hospital search compared with a full search; random road graphs, 60 queries for each size, plain Python on one core."/>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1485"/>
        <w:gridCol w:w="1485"/>
        <w:gridCol w:w="1237"/>
        <w:gridCol w:w="1237"/>
        <w:gridCol w:w="1237"/>
        <w:gridCol w:w="1237"/>
      </w:tblGrid>
      <w:tr>
        <w:trPr>
          <w:tblHeader w:val="true"/>
          <w:tblHeader/>
          <w:cantSplit/>
        </w:trPr>
        <w:tc>
          <w:tcPr/>
          <w:p>
            <w:pPr>
              <w:pStyle w:val="Compact"/>
              <w:jc w:val="right"/>
            </w:pPr>
            <w:r>
              <w:rPr>
                <w:b/>
              </w:rPr>
              <w:t xml:space="preserve">Vertices</w:t>
            </w:r>
          </w:p>
        </w:tc>
        <w:tc>
          <w:tcPr/>
          <w:p>
            <w:pPr>
              <w:pStyle w:val="Compact"/>
              <w:jc w:val="right"/>
            </w:pPr>
            <w:r>
              <w:rPr>
                <w:b/>
              </w:rPr>
              <w:t xml:space="preserve">Arcs Open to the Ambulance</w:t>
            </w:r>
          </w:p>
        </w:tc>
        <w:tc>
          <w:tcPr/>
          <w:p>
            <w:pPr>
              <w:pStyle w:val="Compact"/>
              <w:jc w:val="right"/>
            </w:pPr>
            <w:r>
              <w:rPr>
                <w:b/>
              </w:rPr>
              <w:t xml:space="preserve">Hospitals</w:t>
            </w:r>
          </w:p>
        </w:tc>
        <w:tc>
          <w:tcPr/>
          <w:p>
            <w:pPr>
              <w:pStyle w:val="Compact"/>
              <w:jc w:val="right"/>
            </w:pPr>
            <w:r>
              <w:rPr>
                <w:b/>
              </w:rPr>
              <w:t xml:space="preserve">Early-Stopping Query (ms)</w:t>
            </w:r>
          </w:p>
        </w:tc>
        <w:tc>
          <w:tcPr/>
          <w:p>
            <w:pPr>
              <w:pStyle w:val="Compact"/>
              <w:jc w:val="right"/>
            </w:pPr>
            <w:r>
              <w:rPr>
                <w:b/>
              </w:rPr>
              <w:t xml:space="preserve">Full Search (ms)</w:t>
            </w:r>
          </w:p>
        </w:tc>
        <w:tc>
          <w:tcPr/>
          <w:p>
            <w:pPr>
              <w:pStyle w:val="Compact"/>
              <w:jc w:val="right"/>
            </w:pPr>
            <w:r>
              <w:rPr>
                <w:b/>
              </w:rPr>
              <w:t xml:space="preserve">Share of Vertices Settled</w:t>
            </w:r>
          </w:p>
        </w:tc>
      </w:tr>
      <w:tr>
        <w:trPr>
          <w:cantSplit/>
        </w:trPr>
        <w:tc>
          <w:tcPr/>
          <w:p>
            <w:pPr>
              <w:pStyle w:val="Compact"/>
              <w:jc w:val="right"/>
            </w:pPr>
            <w:r>
              <w:t xml:space="preserve">1,000</w:t>
            </w:r>
          </w:p>
        </w:tc>
        <w:tc>
          <w:tcPr/>
          <w:p>
            <w:pPr>
              <w:pStyle w:val="Compact"/>
              <w:jc w:val="right"/>
            </w:pPr>
            <w:r>
              <w:t xml:space="preserve">3,768</w:t>
            </w:r>
          </w:p>
        </w:tc>
        <w:tc>
          <w:tcPr/>
          <w:p>
            <w:pPr>
              <w:pStyle w:val="Compact"/>
              <w:jc w:val="right"/>
            </w:pPr>
            <w:r>
              <w:t xml:space="preserve">8</w:t>
            </w:r>
          </w:p>
        </w:tc>
        <w:tc>
          <w:tcPr/>
          <w:p>
            <w:pPr>
              <w:pStyle w:val="Compact"/>
              <w:jc w:val="right"/>
            </w:pPr>
            <w:r>
              <w:t xml:space="preserve">0.34</w:t>
            </w:r>
          </w:p>
        </w:tc>
        <w:tc>
          <w:tcPr/>
          <w:p>
            <w:pPr>
              <w:pStyle w:val="Compact"/>
              <w:jc w:val="right"/>
            </w:pPr>
            <w:r>
              <w:t xml:space="preserve">0.68</w:t>
            </w:r>
          </w:p>
        </w:tc>
        <w:tc>
          <w:tcPr/>
          <w:p>
            <w:pPr>
              <w:pStyle w:val="Compact"/>
              <w:jc w:val="right"/>
            </w:pPr>
            <w:r>
              <w:t xml:space="preserve">44.1%</w:t>
            </w:r>
          </w:p>
        </w:tc>
      </w:tr>
      <w:tr>
        <w:trPr>
          <w:cantSplit/>
        </w:trPr>
        <w:tc>
          <w:tcPr/>
          <w:p>
            <w:pPr>
              <w:pStyle w:val="Compact"/>
              <w:jc w:val="right"/>
            </w:pPr>
            <w:r>
              <w:t xml:space="preserve">4,000</w:t>
            </w:r>
          </w:p>
        </w:tc>
        <w:tc>
          <w:tcPr/>
          <w:p>
            <w:pPr>
              <w:pStyle w:val="Compact"/>
              <w:jc w:val="right"/>
            </w:pPr>
            <w:r>
              <w:t xml:space="preserve">14,898</w:t>
            </w:r>
          </w:p>
        </w:tc>
        <w:tc>
          <w:tcPr/>
          <w:p>
            <w:pPr>
              <w:pStyle w:val="Compact"/>
              <w:jc w:val="right"/>
            </w:pPr>
            <w:r>
              <w:t xml:space="preserve">26</w:t>
            </w:r>
          </w:p>
        </w:tc>
        <w:tc>
          <w:tcPr/>
          <w:p>
            <w:pPr>
              <w:pStyle w:val="Compact"/>
              <w:jc w:val="right"/>
            </w:pPr>
            <w:r>
              <w:t xml:space="preserve">0.61</w:t>
            </w:r>
          </w:p>
        </w:tc>
        <w:tc>
          <w:tcPr/>
          <w:p>
            <w:pPr>
              <w:pStyle w:val="Compact"/>
              <w:jc w:val="right"/>
            </w:pPr>
            <w:r>
              <w:t xml:space="preserve">3.58</w:t>
            </w:r>
          </w:p>
        </w:tc>
        <w:tc>
          <w:tcPr/>
          <w:p>
            <w:pPr>
              <w:pStyle w:val="Compact"/>
              <w:jc w:val="right"/>
            </w:pPr>
            <w:r>
              <w:t xml:space="preserve">13.8%</w:t>
            </w:r>
          </w:p>
        </w:tc>
      </w:tr>
      <w:tr>
        <w:trPr>
          <w:cantSplit/>
        </w:trPr>
        <w:tc>
          <w:tcPr/>
          <w:p>
            <w:pPr>
              <w:pStyle w:val="Compact"/>
              <w:jc w:val="right"/>
            </w:pPr>
            <w:r>
              <w:t xml:space="preserve">16,000</w:t>
            </w:r>
          </w:p>
        </w:tc>
        <w:tc>
          <w:tcPr/>
          <w:p>
            <w:pPr>
              <w:pStyle w:val="Compact"/>
              <w:jc w:val="right"/>
            </w:pPr>
            <w:r>
              <w:t xml:space="preserve">59,926</w:t>
            </w:r>
          </w:p>
        </w:tc>
        <w:tc>
          <w:tcPr/>
          <w:p>
            <w:pPr>
              <w:pStyle w:val="Compact"/>
              <w:jc w:val="right"/>
            </w:pPr>
            <w:r>
              <w:t xml:space="preserve">106</w:t>
            </w:r>
          </w:p>
        </w:tc>
        <w:tc>
          <w:tcPr/>
          <w:p>
            <w:pPr>
              <w:pStyle w:val="Compact"/>
              <w:jc w:val="right"/>
            </w:pPr>
            <w:r>
              <w:t xml:space="preserve">1.33</w:t>
            </w:r>
          </w:p>
        </w:tc>
        <w:tc>
          <w:tcPr/>
          <w:p>
            <w:pPr>
              <w:pStyle w:val="Compact"/>
              <w:jc w:val="right"/>
            </w:pPr>
            <w:r>
              <w:t xml:space="preserve">22.07</w:t>
            </w:r>
          </w:p>
        </w:tc>
        <w:tc>
          <w:tcPr/>
          <w:p>
            <w:pPr>
              <w:pStyle w:val="Compact"/>
              <w:jc w:val="right"/>
            </w:pPr>
            <w:r>
              <w:t xml:space="preserve">5.2%</w:t>
            </w:r>
          </w:p>
        </w:tc>
      </w:tr>
    </w:tbl>
    <w:p>
      <w:pPr>
        <w:pStyle w:val="BodyText"/>
        <w:spacing w:before="200"/>
      </w:pPr>
      <w:r>
        <w:t xml:space="preserve">On the largest graph, the full search settled about twenty times as many vertices as the early-stopping search and took about seventeen times as long. The advantage grows with the size of the network, because the nearest suitable hospital does not move farther away as the graph grows. In practice this allows a route to be recomputed in milliseconds whenever an ambulance moves or a new bed report arrives.</w:t>
      </w:r>
    </w:p>
    <w:p>
      <w:pPr>
        <w:pStyle w:val="BodyText"/>
      </w:pPr>
      <w:r>
        <w:t xml:space="preserve">The catchment map of Proposition 14 replaces one search per origin with a single search for the whole map. Table 19 shows what that saves.</w:t>
      </w:r>
    </w:p>
    <w:p>
      <w:pPr>
        <w:pStyle w:val="TableCaption"/>
      </w:pPr>
      <w:r>
        <w:rPr>
          <w:bCs/>
          <w:b/>
        </w:rPr>
        <w:t xml:space="preserve">Table 19.</w:t>
      </w:r>
      <w:r>
        <w:t xml:space="preserve"> </w:t>
      </w:r>
      <w:r>
        <w:t xml:space="preserve">Building the catchment map with one search (Algorithm 2) compared with one early-stopping search per vertex; random road graphs with one hospital per 150 vertices, plain Python on one core. Per-origin times are means over 300 sampled origins, and the all-vertex figure is that mean multiplied by the number of vertices.</w:t>
      </w:r>
    </w:p>
    <w:tbl>
      <w:tblPr>
        <w:tblStyle w:val="Table"/>
        <w:tblW w:type="pct" w:w="5000"/>
        <w:jc w:val="center"/>
        <w:tblCaption w:val="Table 19. Building the catchment map with one search (Algorithm 2) compared with one early-stopping search per vertex; random road graphs with one hospital per 150 vertices, plain Python on one core. Per-origin times are means over 300 sampled origins, and the all-vertex figure is that mean multiplied by the number of vertices."/>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1250"/>
        <w:gridCol w:w="1250"/>
        <w:gridCol w:w="1042"/>
        <w:gridCol w:w="1042"/>
        <w:gridCol w:w="1042"/>
        <w:gridCol w:w="1250"/>
        <w:gridCol w:w="1042"/>
      </w:tblGrid>
      <w:tr>
        <w:trPr>
          <w:tblHeader w:val="true"/>
          <w:tblHeader/>
          <w:cantSplit/>
        </w:trPr>
        <w:tc>
          <w:tcPr/>
          <w:p>
            <w:pPr>
              <w:pStyle w:val="Compact"/>
              <w:jc w:val="right"/>
            </w:pPr>
            <w:r>
              <w:rPr>
                <w:b/>
              </w:rPr>
              <w:t xml:space="preserve">Vertices</w:t>
            </w:r>
          </w:p>
        </w:tc>
        <w:tc>
          <w:tcPr/>
          <w:p>
            <w:pPr>
              <w:pStyle w:val="Compact"/>
              <w:jc w:val="right"/>
            </w:pPr>
            <w:r>
              <w:rPr>
                <w:b/>
              </w:rPr>
              <w:t xml:space="preserve">Road Segments</w:t>
            </w:r>
          </w:p>
        </w:tc>
        <w:tc>
          <w:tcPr/>
          <w:p>
            <w:pPr>
              <w:pStyle w:val="Compact"/>
              <w:jc w:val="right"/>
            </w:pPr>
            <w:r>
              <w:rPr>
                <w:b/>
              </w:rPr>
              <w:t xml:space="preserve">Hospitals</w:t>
            </w:r>
          </w:p>
        </w:tc>
        <w:tc>
          <w:tcPr/>
          <w:p>
            <w:pPr>
              <w:pStyle w:val="Compact"/>
              <w:jc w:val="right"/>
            </w:pPr>
            <w:r>
              <w:rPr>
                <w:b/>
              </w:rPr>
              <w:t xml:space="preserve">One Search for the Whole Map (ms)</w:t>
            </w:r>
          </w:p>
        </w:tc>
        <w:tc>
          <w:tcPr/>
          <w:p>
            <w:pPr>
              <w:pStyle w:val="Compact"/>
              <w:jc w:val="right"/>
            </w:pPr>
            <w:r>
              <w:rPr>
                <w:b/>
              </w:rPr>
              <w:t xml:space="preserve">Mean Per-Origin Search (ms)</w:t>
            </w:r>
          </w:p>
        </w:tc>
        <w:tc>
          <w:tcPr/>
          <w:p>
            <w:pPr>
              <w:pStyle w:val="Compact"/>
              <w:jc w:val="right"/>
            </w:pPr>
            <w:r>
              <w:rPr>
                <w:b/>
              </w:rPr>
              <w:t xml:space="preserve">Per-Origin Searches for All Vertices (ms)</w:t>
            </w:r>
          </w:p>
        </w:tc>
        <w:tc>
          <w:tcPr/>
          <w:p>
            <w:pPr>
              <w:pStyle w:val="Compact"/>
              <w:jc w:val="right"/>
            </w:pPr>
            <w:r>
              <w:rPr>
                <w:b/>
              </w:rPr>
              <w:t xml:space="preserve">Ratio</w:t>
            </w:r>
          </w:p>
        </w:tc>
      </w:tr>
      <w:tr>
        <w:trPr>
          <w:cantSplit/>
        </w:trPr>
        <w:tc>
          <w:tcPr/>
          <w:p>
            <w:pPr>
              <w:pStyle w:val="Compact"/>
              <w:jc w:val="right"/>
            </w:pPr>
            <w:r>
              <w:t xml:space="preserve">1,000</w:t>
            </w:r>
          </w:p>
        </w:tc>
        <w:tc>
          <w:tcPr/>
          <w:p>
            <w:pPr>
              <w:pStyle w:val="Compact"/>
              <w:jc w:val="right"/>
            </w:pPr>
            <w:r>
              <w:t xml:space="preserve">1,863</w:t>
            </w:r>
          </w:p>
        </w:tc>
        <w:tc>
          <w:tcPr/>
          <w:p>
            <w:pPr>
              <w:pStyle w:val="Compact"/>
              <w:jc w:val="right"/>
            </w:pPr>
            <w:r>
              <w:t xml:space="preserve">6</w:t>
            </w:r>
          </w:p>
        </w:tc>
        <w:tc>
          <w:tcPr/>
          <w:p>
            <w:pPr>
              <w:pStyle w:val="Compact"/>
              <w:jc w:val="right"/>
            </w:pPr>
            <w:r>
              <w:t xml:space="preserve">0.83</w:t>
            </w:r>
          </w:p>
        </w:tc>
        <w:tc>
          <w:tcPr/>
          <w:p>
            <w:pPr>
              <w:pStyle w:val="Compact"/>
              <w:jc w:val="right"/>
            </w:pPr>
            <w:r>
              <w:t xml:space="preserve">0.055</w:t>
            </w:r>
          </w:p>
        </w:tc>
        <w:tc>
          <w:tcPr/>
          <w:p>
            <w:pPr>
              <w:pStyle w:val="Compact"/>
              <w:jc w:val="right"/>
            </w:pPr>
            <w:r>
              <w:t xml:space="preserve">55</w:t>
            </w:r>
          </w:p>
        </w:tc>
        <w:tc>
          <w:tcPr/>
          <w:p>
            <w:pPr>
              <w:pStyle w:val="Compact"/>
              <w:jc w:val="right"/>
            </w:pPr>
            <w:r>
              <w:t xml:space="preserve">65.9</w:t>
            </w:r>
          </w:p>
        </w:tc>
      </w:tr>
      <w:tr>
        <w:trPr>
          <w:cantSplit/>
        </w:trPr>
        <w:tc>
          <w:tcPr/>
          <w:p>
            <w:pPr>
              <w:pStyle w:val="Compact"/>
              <w:jc w:val="right"/>
            </w:pPr>
            <w:r>
              <w:t xml:space="preserve">4,000</w:t>
            </w:r>
          </w:p>
        </w:tc>
        <w:tc>
          <w:tcPr/>
          <w:p>
            <w:pPr>
              <w:pStyle w:val="Compact"/>
              <w:jc w:val="right"/>
            </w:pPr>
            <w:r>
              <w:t xml:space="preserve">7,473</w:t>
            </w:r>
          </w:p>
        </w:tc>
        <w:tc>
          <w:tcPr/>
          <w:p>
            <w:pPr>
              <w:pStyle w:val="Compact"/>
              <w:jc w:val="right"/>
            </w:pPr>
            <w:r>
              <w:t xml:space="preserve">26</w:t>
            </w:r>
          </w:p>
        </w:tc>
        <w:tc>
          <w:tcPr/>
          <w:p>
            <w:pPr>
              <w:pStyle w:val="Compact"/>
              <w:jc w:val="right"/>
            </w:pPr>
            <w:r>
              <w:t xml:space="preserve">5.86</w:t>
            </w:r>
          </w:p>
        </w:tc>
        <w:tc>
          <w:tcPr/>
          <w:p>
            <w:pPr>
              <w:pStyle w:val="Compact"/>
              <w:jc w:val="right"/>
            </w:pPr>
            <w:r>
              <w:t xml:space="preserve">0.272</w:t>
            </w:r>
          </w:p>
        </w:tc>
        <w:tc>
          <w:tcPr/>
          <w:p>
            <w:pPr>
              <w:pStyle w:val="Compact"/>
              <w:jc w:val="right"/>
            </w:pPr>
            <w:r>
              <w:t xml:space="preserve">1,087</w:t>
            </w:r>
          </w:p>
        </w:tc>
        <w:tc>
          <w:tcPr/>
          <w:p>
            <w:pPr>
              <w:pStyle w:val="Compact"/>
              <w:jc w:val="right"/>
            </w:pPr>
            <w:r>
              <w:t xml:space="preserve">185.6</w:t>
            </w:r>
          </w:p>
        </w:tc>
      </w:tr>
      <w:tr>
        <w:trPr>
          <w:cantSplit/>
        </w:trPr>
        <w:tc>
          <w:tcPr/>
          <w:p>
            <w:pPr>
              <w:pStyle w:val="Compact"/>
              <w:jc w:val="right"/>
            </w:pPr>
            <w:r>
              <w:t xml:space="preserve">16,000</w:t>
            </w:r>
          </w:p>
        </w:tc>
        <w:tc>
          <w:tcPr/>
          <w:p>
            <w:pPr>
              <w:pStyle w:val="Compact"/>
              <w:jc w:val="right"/>
            </w:pPr>
            <w:r>
              <w:t xml:space="preserve">29,821</w:t>
            </w:r>
          </w:p>
        </w:tc>
        <w:tc>
          <w:tcPr/>
          <w:p>
            <w:pPr>
              <w:pStyle w:val="Compact"/>
              <w:jc w:val="right"/>
            </w:pPr>
            <w:r>
              <w:t xml:space="preserve">106</w:t>
            </w:r>
          </w:p>
        </w:tc>
        <w:tc>
          <w:tcPr/>
          <w:p>
            <w:pPr>
              <w:pStyle w:val="Compact"/>
              <w:jc w:val="right"/>
            </w:pPr>
            <w:r>
              <w:t xml:space="preserve">39.08</w:t>
            </w:r>
          </w:p>
        </w:tc>
        <w:tc>
          <w:tcPr/>
          <w:p>
            <w:pPr>
              <w:pStyle w:val="Compact"/>
              <w:jc w:val="right"/>
            </w:pPr>
            <w:r>
              <w:t xml:space="preserve">0.206</w:t>
            </w:r>
          </w:p>
        </w:tc>
        <w:tc>
          <w:tcPr/>
          <w:p>
            <w:pPr>
              <w:pStyle w:val="Compact"/>
              <w:jc w:val="right"/>
            </w:pPr>
            <w:r>
              <w:t xml:space="preserve">3,300</w:t>
            </w:r>
          </w:p>
        </w:tc>
        <w:tc>
          <w:tcPr/>
          <w:p>
            <w:pPr>
              <w:pStyle w:val="Compact"/>
              <w:jc w:val="right"/>
            </w:pPr>
            <w:r>
              <w:t xml:space="preserve">84.4</w:t>
            </w:r>
          </w:p>
        </w:tc>
      </w:tr>
    </w:tbl>
    <w:p>
      <w:pPr>
        <w:pStyle w:val="BodyText"/>
        <w:spacing w:before="200"/>
      </w:pPr>
      <w:r>
        <w:t xml:space="preserve">The times in Table 19 were measured on a different machine from those in Tables 17 and 18, so the two sets should not be compared directly. Within Table 19, the single search built the full map of a 16,000-vertex network in about 39 ms, against an estimated 3.3 s for one search per vertex. That difference decides whether a health office can redraw the catchments every time a bed report changes a hospital’s status. At a few tens of milliseconds per redraw, it can.</w:t>
      </w:r>
    </w:p>
    <w:bookmarkEnd w:id="172"/>
    <w:bookmarkStart w:id="180" w:name="worked-instance-s1"/>
    <w:p>
      <w:pPr>
        <w:pStyle w:val="Heading2"/>
      </w:pPr>
      <w:r>
        <w:t xml:space="preserve">3.5 Worked Instance S1</w:t>
      </w:r>
    </w:p>
    <w:p>
      <w:pPr>
        <w:pStyle w:val="FirstParagraph"/>
      </w:pPr>
      <w:r>
        <w:t xml:space="preserve">Network S1 is a small synthetic test bed built so that every stage of the pipeline can be traced by hand, with ground-truth answers checked independently. It makes no claim about any real place and does not represent Albay.</w:t>
      </w:r>
    </w:p>
    <w:p>
      <w:pPr>
        <w:pStyle w:val="TableCaption"/>
      </w:pPr>
      <w:r>
        <w:rPr>
          <w:bCs/>
          <w:b/>
        </w:rPr>
        <w:t xml:space="preserve">Table 20.</w:t>
      </w:r>
      <w:r>
        <w:t xml:space="preserve"> </w:t>
      </w:r>
      <w:r>
        <w:t xml:space="preserve">Instance S1 in brief.</w:t>
      </w:r>
    </w:p>
    <w:tbl>
      <w:tblPr>
        <w:tblStyle w:val="Table"/>
        <w:tblW w:type="pct" w:w="5000"/>
        <w:jc w:val="center"/>
        <w:tblCaption w:val="Table 20. Instance S1 in brief."/>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3138"/>
        <w:gridCol w:w="4781"/>
      </w:tblGrid>
      <w:tr>
        <w:trPr>
          <w:tblHeader w:val="true"/>
          <w:tblHeader/>
          <w:cantSplit/>
        </w:trPr>
        <w:tc>
          <w:tcPr/>
          <w:p>
            <w:pPr>
              <w:pStyle w:val="Compact"/>
              <w:jc w:val="left"/>
            </w:pPr>
            <w:r>
              <w:rPr>
                <w:b/>
              </w:rPr>
              <w:t xml:space="preserve">Element</w:t>
            </w:r>
          </w:p>
        </w:tc>
        <w:tc>
          <w:tcPr/>
          <w:p>
            <w:pPr>
              <w:pStyle w:val="Compact"/>
              <w:jc w:val="left"/>
            </w:pPr>
            <w:r>
              <w:rPr>
                <w:b/>
              </w:rPr>
              <w:t xml:space="preserve">Value</w:t>
            </w:r>
          </w:p>
        </w:tc>
      </w:tr>
      <w:tr>
        <w:trPr>
          <w:cantSplit/>
        </w:trPr>
        <w:tc>
          <w:tcPr/>
          <w:p>
            <w:pPr>
              <w:pStyle w:val="Compact"/>
              <w:jc w:val="left"/>
            </w:pPr>
            <w:r>
              <w:t xml:space="preserve">Stops</w:t>
            </w:r>
          </w:p>
        </w:tc>
        <w:tc>
          <w:tcPr/>
          <w:p>
            <w:pPr>
              <w:pStyle w:val="Compact"/>
              <w:jc w:val="left"/>
            </w:pPr>
            <w:r>
              <w:t xml:space="preserve">7 (S1 to S7)</w:t>
            </w:r>
          </w:p>
        </w:tc>
      </w:tr>
      <w:tr>
        <w:trPr>
          <w:cantSplit/>
        </w:trPr>
        <w:tc>
          <w:tcPr/>
          <w:p>
            <w:pPr>
              <w:pStyle w:val="Compact"/>
              <w:jc w:val="left"/>
            </w:pPr>
            <w:r>
              <w:t xml:space="preserve">Routes</w:t>
            </w:r>
          </w:p>
        </w:tc>
        <w:tc>
          <w:tcPr/>
          <w:p>
            <w:pPr>
              <w:pStyle w:val="Compact"/>
              <w:jc w:val="left"/>
            </w:pPr>
            <w:r>
              <w:t xml:space="preserve">4 base routes, run in both directions</w:t>
            </w:r>
          </w:p>
        </w:tc>
      </w:tr>
      <w:tr>
        <w:trPr>
          <w:cantSplit/>
        </w:trPr>
        <w:tc>
          <w:tcPr/>
          <w:p>
            <w:pPr>
              <w:pStyle w:val="Compact"/>
              <w:jc w:val="left"/>
            </w:pPr>
            <w:r>
              <w:t xml:space="preserve">Connections in the service day</w:t>
            </w:r>
          </w:p>
        </w:tc>
        <w:tc>
          <w:tcPr/>
          <w:p>
            <w:pPr>
              <w:pStyle w:val="Compact"/>
              <w:jc w:val="left"/>
            </w:pPr>
            <w:r>
              <w:t xml:space="preserve">787</w:t>
            </w:r>
          </w:p>
        </w:tc>
      </w:tr>
      <w:tr>
        <w:trPr>
          <w:cantSplit/>
        </w:trPr>
        <w:tc>
          <w:tcPr/>
          <w:p>
            <w:pPr>
              <w:pStyle w:val="Compact"/>
              <w:jc w:val="left"/>
            </w:pPr>
            <w:r>
              <w:t xml:space="preserve">Minimum change time θ</w:t>
            </w:r>
            <w:r>
              <w:rPr>
                <w:iCs/>
                <w:i/>
                <w:vertAlign w:val="subscript"/>
              </w:rPr>
              <w:t xml:space="preserve">ch</w:t>
            </w:r>
          </w:p>
        </w:tc>
        <w:tc>
          <w:tcPr/>
          <w:p>
            <w:pPr>
              <w:pStyle w:val="Compact"/>
              <w:jc w:val="left"/>
            </w:pPr>
            <w:r>
              <w:t xml:space="preserve">4 min</w:t>
            </w:r>
          </w:p>
        </w:tc>
      </w:tr>
      <w:tr>
        <w:trPr>
          <w:cantSplit/>
        </w:trPr>
        <w:tc>
          <w:tcPr/>
          <w:p>
            <w:pPr>
              <w:pStyle w:val="Compact"/>
              <w:jc w:val="left"/>
            </w:pPr>
            <w:r>
              <w:t xml:space="preserve">Walking cap</w:t>
            </w:r>
            <w:r>
              <w:t xml:space="preserve"> </w:t>
            </w:r>
            <w:r>
              <w:rPr>
                <w:iCs/>
                <w:i/>
              </w:rPr>
              <w:t xml:space="preserve">t̄</w:t>
            </w:r>
            <w:r>
              <w:rPr>
                <w:iCs/>
                <w:i/>
                <w:vertAlign w:val="subscript"/>
              </w:rPr>
              <w:t xml:space="preserve">W</w:t>
            </w:r>
          </w:p>
        </w:tc>
        <w:tc>
          <w:tcPr/>
          <w:p>
            <w:pPr>
              <w:pStyle w:val="Compact"/>
              <w:jc w:val="left"/>
            </w:pPr>
            <w:r>
              <w:t xml:space="preserve">15 min</w:t>
            </w:r>
          </w:p>
        </w:tc>
      </w:tr>
      <w:tr>
        <w:trPr>
          <w:cantSplit/>
        </w:trPr>
        <w:tc>
          <w:tcPr/>
          <w:p>
            <w:pPr>
              <w:pStyle w:val="Compact"/>
              <w:jc w:val="left"/>
            </w:pPr>
            <w:r>
              <w:t xml:space="preserve">Footpaths</w:t>
            </w:r>
          </w:p>
        </w:tc>
        <w:tc>
          <w:tcPr/>
          <w:p>
            <w:pPr>
              <w:pStyle w:val="Compact"/>
              <w:jc w:val="left"/>
            </w:pPr>
            <w:r>
              <w:t xml:space="preserve">S3 to S6 (11 min), S2 to S5 (13 min)</w:t>
            </w:r>
          </w:p>
        </w:tc>
      </w:tr>
      <w:tr>
        <w:trPr>
          <w:cantSplit/>
        </w:trPr>
        <w:tc>
          <w:tcPr/>
          <w:p>
            <w:pPr>
              <w:pStyle w:val="Compact"/>
              <w:jc w:val="left"/>
            </w:pPr>
            <w:r>
              <w:t xml:space="preserve">Departure grid 𝒯</w:t>
            </w:r>
            <w:r>
              <w:rPr>
                <w:vertAlign w:val="subscript"/>
              </w:rPr>
              <w:t xml:space="preserve">0</w:t>
            </w:r>
          </w:p>
        </w:tc>
        <w:tc>
          <w:tcPr/>
          <w:p>
            <w:pPr>
              <w:pStyle w:val="Compact"/>
              <w:jc w:val="left"/>
            </w:pPr>
            <w:r>
              <w:t xml:space="preserve">06:00 to 08:00 every 5 min (25 departure times)</w:t>
            </w:r>
          </w:p>
        </w:tc>
      </w:tr>
      <w:tr>
        <w:trPr>
          <w:cantSplit/>
        </w:trPr>
        <w:tc>
          <w:tcPr/>
          <w:p>
            <w:pPr>
              <w:pStyle w:val="Compact"/>
              <w:jc w:val="left"/>
            </w:pPr>
            <w:r>
              <w:t xml:space="preserve">Baseline budget θ</w:t>
            </w:r>
          </w:p>
        </w:tc>
        <w:tc>
          <w:tcPr/>
          <w:p>
            <w:pPr>
              <w:pStyle w:val="Compact"/>
              <w:jc w:val="left"/>
            </w:pPr>
            <w:r>
              <w:t xml:space="preserve">30 min</w:t>
            </w:r>
          </w:p>
        </w:tc>
      </w:tr>
      <w:tr>
        <w:trPr>
          <w:cantSplit/>
        </w:trPr>
        <w:tc>
          <w:tcPr/>
          <w:p>
            <w:pPr>
              <w:pStyle w:val="Compact"/>
              <w:jc w:val="left"/>
            </w:pPr>
            <w:r>
              <w:t xml:space="preserve">Destination layer</w:t>
            </w:r>
          </w:p>
        </w:tc>
        <w:tc>
          <w:tcPr/>
          <w:p>
            <w:pPr>
              <w:pStyle w:val="Compact"/>
              <w:jc w:val="left"/>
            </w:pPr>
            <w:r>
              <w:t xml:space="preserve">hospital beds at S4 (120), S7 (40), and S3 (25)</w:t>
            </w:r>
          </w:p>
        </w:tc>
      </w:tr>
      <w:tr>
        <w:trPr>
          <w:cantSplit/>
        </w:trPr>
        <w:tc>
          <w:tcPr/>
          <w:p>
            <w:pPr>
              <w:pStyle w:val="Compact"/>
              <w:jc w:val="left"/>
            </w:pPr>
            <w:r>
              <w:t xml:space="preserve">Anchors</w:t>
            </w:r>
          </w:p>
        </w:tc>
        <w:tc>
          <w:tcPr/>
          <w:p>
            <w:pPr>
              <w:pStyle w:val="Compact"/>
              <w:jc w:val="left"/>
            </w:pPr>
            <w:r>
              <w:t xml:space="preserve">six, A1 to A6, split between municipalities M1 and M2</w:t>
            </w:r>
          </w:p>
        </w:tc>
      </w:tr>
    </w:tbl>
    <w:p>
      <w:pPr>
        <w:spacing w:before="200"/>
      </w:pPr>
    </w:p>
    <w:p>
      <w:pPr>
        <w:pStyle w:val="TableCaption"/>
      </w:pPr>
      <w:r>
        <w:rPr>
          <w:bCs/>
          <w:b/>
        </w:rPr>
        <w:t xml:space="preserve">Table 21.</w:t>
      </w:r>
      <w:r>
        <w:t xml:space="preserve"> </w:t>
      </w:r>
      <w:r>
        <w:t xml:space="preserve">Door-to-door travel time (min), averaged over the departure grid, from each anchor of S1 to each hospital site, with the resulting 30-minute accessibility in reachable beds. Synthetic instance.</w:t>
      </w:r>
    </w:p>
    <w:tbl>
      <w:tblPr>
        <w:tblStyle w:val="Table"/>
        <w:tblW w:type="pct" w:w="5000"/>
        <w:jc w:val="center"/>
        <w:tblCaption w:val="Table 21. Door-to-door travel time (min), averaged over the departure grid, from each anchor of S1 to each hospital site, with the resulting 30-minute accessibility in reachable beds. Synthetic instance."/>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1056"/>
        <w:gridCol w:w="1056"/>
        <w:gridCol w:w="1584"/>
        <w:gridCol w:w="1056"/>
        <w:gridCol w:w="1056"/>
        <w:gridCol w:w="1056"/>
        <w:gridCol w:w="1056"/>
      </w:tblGrid>
      <w:tr>
        <w:trPr>
          <w:tblHeader w:val="true"/>
          <w:tblHeader/>
          <w:cantSplit/>
        </w:trPr>
        <w:tc>
          <w:tcPr/>
          <w:p>
            <w:pPr>
              <w:pStyle w:val="Compact"/>
              <w:jc w:val="left"/>
            </w:pPr>
            <w:r>
              <w:rPr>
                <w:b/>
              </w:rPr>
              <w:t xml:space="preserve">Anchor</w:t>
            </w:r>
          </w:p>
        </w:tc>
        <w:tc>
          <w:tcPr/>
          <w:p>
            <w:pPr>
              <w:pStyle w:val="Compact"/>
              <w:jc w:val="right"/>
            </w:pPr>
            <w:r>
              <w:rPr>
                <w:b/>
              </w:rPr>
              <w:t xml:space="preserve">Weight</w:t>
            </w:r>
          </w:p>
        </w:tc>
        <w:tc>
          <w:tcPr/>
          <w:p>
            <w:pPr>
              <w:pStyle w:val="Compact"/>
              <w:jc w:val="center"/>
            </w:pPr>
            <w:r>
              <w:rPr>
                <w:b/>
              </w:rPr>
              <w:t xml:space="preserve">Municipality</w:t>
            </w:r>
          </w:p>
        </w:tc>
        <w:tc>
          <w:tcPr/>
          <w:p>
            <w:pPr>
              <w:pStyle w:val="Compact"/>
              <w:jc w:val="right"/>
            </w:pPr>
            <w:r>
              <w:rPr>
                <w:b/>
              </w:rPr>
              <w:t xml:space="preserve">to S4 (120)</w:t>
            </w:r>
          </w:p>
        </w:tc>
        <w:tc>
          <w:tcPr/>
          <w:p>
            <w:pPr>
              <w:pStyle w:val="Compact"/>
              <w:jc w:val="right"/>
            </w:pPr>
            <w:r>
              <w:rPr>
                <w:b/>
              </w:rPr>
              <w:t xml:space="preserve">to S7 (40)</w:t>
            </w:r>
          </w:p>
        </w:tc>
        <w:tc>
          <w:tcPr/>
          <w:p>
            <w:pPr>
              <w:pStyle w:val="Compact"/>
              <w:jc w:val="right"/>
            </w:pPr>
            <w:r>
              <w:rPr>
                <w:b/>
              </w:rPr>
              <w:t xml:space="preserve">to S3 (25)</w:t>
            </w:r>
          </w:p>
        </w:tc>
        <w:tc>
          <w:tcPr/>
          <w:p>
            <w:pPr>
              <w:pStyle w:val="Compact"/>
              <w:jc w:val="right"/>
            </w:pPr>
            <w:r>
              <w:rPr>
                <w:iCs/>
                <w:b/>
                <w:i/>
              </w:rPr>
              <w:t xml:space="preserve">A</w:t>
            </w:r>
            <w:r>
              <w:rPr>
                <w:iCs/>
                <w:b/>
                <w:i/>
                <w:vertAlign w:val="subscript"/>
              </w:rPr>
              <w:t xml:space="preserve">a</w:t>
            </w:r>
            <w:r>
              <w:rPr>
                <w:b/>
              </w:rPr>
              <w:t xml:space="preserve">(30)</w:t>
            </w:r>
          </w:p>
        </w:tc>
      </w:tr>
      <w:tr>
        <w:trPr>
          <w:cantSplit/>
        </w:trPr>
        <w:tc>
          <w:tcPr/>
          <w:p>
            <w:pPr>
              <w:pStyle w:val="Compact"/>
              <w:jc w:val="left"/>
            </w:pPr>
            <w:r>
              <w:t xml:space="preserve">A1</w:t>
            </w:r>
          </w:p>
        </w:tc>
        <w:tc>
          <w:tcPr/>
          <w:p>
            <w:pPr>
              <w:pStyle w:val="Compact"/>
              <w:jc w:val="right"/>
            </w:pPr>
            <w:r>
              <w:t xml:space="preserve">4,200</w:t>
            </w:r>
          </w:p>
        </w:tc>
        <w:tc>
          <w:tcPr/>
          <w:p>
            <w:pPr>
              <w:pStyle w:val="Compact"/>
              <w:jc w:val="center"/>
            </w:pPr>
            <w:r>
              <w:t xml:space="preserve">M1</w:t>
            </w:r>
          </w:p>
        </w:tc>
        <w:tc>
          <w:tcPr/>
          <w:p>
            <w:pPr>
              <w:pStyle w:val="Compact"/>
              <w:jc w:val="right"/>
            </w:pPr>
            <w:r>
              <w:t xml:space="preserve">29.2</w:t>
            </w:r>
          </w:p>
        </w:tc>
        <w:tc>
          <w:tcPr/>
          <w:p>
            <w:pPr>
              <w:pStyle w:val="Compact"/>
              <w:jc w:val="right"/>
            </w:pPr>
            <w:r>
              <w:t xml:space="preserve">49.0</w:t>
            </w:r>
          </w:p>
        </w:tc>
        <w:tc>
          <w:tcPr/>
          <w:p>
            <w:pPr>
              <w:pStyle w:val="Compact"/>
              <w:jc w:val="right"/>
            </w:pPr>
            <w:r>
              <w:t xml:space="preserve">24.6</w:t>
            </w:r>
          </w:p>
        </w:tc>
        <w:tc>
          <w:tcPr/>
          <w:p>
            <w:pPr>
              <w:pStyle w:val="Compact"/>
              <w:jc w:val="right"/>
            </w:pPr>
            <w:r>
              <w:t xml:space="preserve">145</w:t>
            </w:r>
          </w:p>
        </w:tc>
      </w:tr>
      <w:tr>
        <w:trPr>
          <w:cantSplit/>
        </w:trPr>
        <w:tc>
          <w:tcPr/>
          <w:p>
            <w:pPr>
              <w:pStyle w:val="Compact"/>
              <w:jc w:val="left"/>
            </w:pPr>
            <w:r>
              <w:t xml:space="preserve">A2</w:t>
            </w:r>
          </w:p>
        </w:tc>
        <w:tc>
          <w:tcPr/>
          <w:p>
            <w:pPr>
              <w:pStyle w:val="Compact"/>
              <w:jc w:val="right"/>
            </w:pPr>
            <w:r>
              <w:t xml:space="preserve">3,100</w:t>
            </w:r>
          </w:p>
        </w:tc>
        <w:tc>
          <w:tcPr/>
          <w:p>
            <w:pPr>
              <w:pStyle w:val="Compact"/>
              <w:jc w:val="center"/>
            </w:pPr>
            <w:r>
              <w:t xml:space="preserve">M1</w:t>
            </w:r>
          </w:p>
        </w:tc>
        <w:tc>
          <w:tcPr/>
          <w:p>
            <w:pPr>
              <w:pStyle w:val="Compact"/>
              <w:jc w:val="right"/>
            </w:pPr>
            <w:r>
              <w:t xml:space="preserve">27.3</w:t>
            </w:r>
          </w:p>
        </w:tc>
        <w:tc>
          <w:tcPr/>
          <w:p>
            <w:pPr>
              <w:pStyle w:val="Compact"/>
              <w:jc w:val="right"/>
            </w:pPr>
            <w:r>
              <w:t xml:space="preserve">61.0</w:t>
            </w:r>
          </w:p>
        </w:tc>
        <w:tc>
          <w:tcPr/>
          <w:p>
            <w:pPr>
              <w:pStyle w:val="Compact"/>
              <w:jc w:val="right"/>
            </w:pPr>
            <w:r>
              <w:t xml:space="preserve">21.3</w:t>
            </w:r>
          </w:p>
        </w:tc>
        <w:tc>
          <w:tcPr/>
          <w:p>
            <w:pPr>
              <w:pStyle w:val="Compact"/>
              <w:jc w:val="right"/>
            </w:pPr>
            <w:r>
              <w:t xml:space="preserve">145</w:t>
            </w:r>
          </w:p>
        </w:tc>
      </w:tr>
      <w:tr>
        <w:trPr>
          <w:cantSplit/>
        </w:trPr>
        <w:tc>
          <w:tcPr/>
          <w:p>
            <w:pPr>
              <w:pStyle w:val="Compact"/>
              <w:jc w:val="left"/>
            </w:pPr>
            <w:r>
              <w:t xml:space="preserve">A3</w:t>
            </w:r>
          </w:p>
        </w:tc>
        <w:tc>
          <w:tcPr/>
          <w:p>
            <w:pPr>
              <w:pStyle w:val="Compact"/>
              <w:jc w:val="right"/>
            </w:pPr>
            <w:r>
              <w:t xml:space="preserve">1,850</w:t>
            </w:r>
          </w:p>
        </w:tc>
        <w:tc>
          <w:tcPr/>
          <w:p>
            <w:pPr>
              <w:pStyle w:val="Compact"/>
              <w:jc w:val="center"/>
            </w:pPr>
            <w:r>
              <w:t xml:space="preserve">M1</w:t>
            </w:r>
          </w:p>
        </w:tc>
        <w:tc>
          <w:tcPr/>
          <w:p>
            <w:pPr>
              <w:pStyle w:val="Compact"/>
              <w:jc w:val="right"/>
            </w:pPr>
            <w:r>
              <w:t xml:space="preserve">18.6</w:t>
            </w:r>
          </w:p>
        </w:tc>
        <w:tc>
          <w:tcPr/>
          <w:p>
            <w:pPr>
              <w:pStyle w:val="Compact"/>
              <w:jc w:val="right"/>
            </w:pPr>
            <w:r>
              <w:t xml:space="preserve">51.4</w:t>
            </w:r>
          </w:p>
        </w:tc>
        <w:tc>
          <w:tcPr/>
          <w:p>
            <w:pPr>
              <w:pStyle w:val="Compact"/>
              <w:jc w:val="right"/>
            </w:pPr>
            <w:r>
              <w:t xml:space="preserve">7.0</w:t>
            </w:r>
          </w:p>
        </w:tc>
        <w:tc>
          <w:tcPr/>
          <w:p>
            <w:pPr>
              <w:pStyle w:val="Compact"/>
              <w:jc w:val="right"/>
            </w:pPr>
            <w:r>
              <w:t xml:space="preserve">145</w:t>
            </w:r>
          </w:p>
        </w:tc>
      </w:tr>
      <w:tr>
        <w:trPr>
          <w:cantSplit/>
        </w:trPr>
        <w:tc>
          <w:tcPr/>
          <w:p>
            <w:pPr>
              <w:pStyle w:val="Compact"/>
              <w:jc w:val="left"/>
            </w:pPr>
            <w:r>
              <w:t xml:space="preserve">A4</w:t>
            </w:r>
          </w:p>
        </w:tc>
        <w:tc>
          <w:tcPr/>
          <w:p>
            <w:pPr>
              <w:pStyle w:val="Compact"/>
              <w:jc w:val="right"/>
            </w:pPr>
            <w:r>
              <w:t xml:space="preserve">1,400</w:t>
            </w:r>
          </w:p>
        </w:tc>
        <w:tc>
          <w:tcPr/>
          <w:p>
            <w:pPr>
              <w:pStyle w:val="Compact"/>
              <w:jc w:val="center"/>
            </w:pPr>
            <w:r>
              <w:t xml:space="preserve">M2</w:t>
            </w:r>
          </w:p>
        </w:tc>
        <w:tc>
          <w:tcPr/>
          <w:p>
            <w:pPr>
              <w:pStyle w:val="Compact"/>
              <w:jc w:val="right"/>
            </w:pPr>
            <w:r>
              <w:t xml:space="preserve">43.6</w:t>
            </w:r>
          </w:p>
        </w:tc>
        <w:tc>
          <w:tcPr/>
          <w:p>
            <w:pPr>
              <w:pStyle w:val="Compact"/>
              <w:jc w:val="right"/>
            </w:pPr>
            <w:r>
              <w:t xml:space="preserve">76.6</w:t>
            </w:r>
          </w:p>
        </w:tc>
        <w:tc>
          <w:tcPr/>
          <w:p>
            <w:pPr>
              <w:pStyle w:val="Compact"/>
              <w:jc w:val="right"/>
            </w:pPr>
            <w:r>
              <w:t xml:space="preserve">37.5</w:t>
            </w:r>
          </w:p>
        </w:tc>
        <w:tc>
          <w:tcPr/>
          <w:p>
            <w:pPr>
              <w:pStyle w:val="Compact"/>
              <w:jc w:val="right"/>
            </w:pPr>
            <w:r>
              <w:t xml:space="preserve">0</w:t>
            </w:r>
          </w:p>
        </w:tc>
      </w:tr>
      <w:tr>
        <w:trPr>
          <w:cantSplit/>
        </w:trPr>
        <w:tc>
          <w:tcPr/>
          <w:p>
            <w:pPr>
              <w:pStyle w:val="Compact"/>
              <w:jc w:val="left"/>
            </w:pPr>
            <w:r>
              <w:t xml:space="preserve">A5</w:t>
            </w:r>
          </w:p>
        </w:tc>
        <w:tc>
          <w:tcPr/>
          <w:p>
            <w:pPr>
              <w:pStyle w:val="Compact"/>
              <w:jc w:val="right"/>
            </w:pPr>
            <w:r>
              <w:t xml:space="preserve">980</w:t>
            </w:r>
          </w:p>
        </w:tc>
        <w:tc>
          <w:tcPr/>
          <w:p>
            <w:pPr>
              <w:pStyle w:val="Compact"/>
              <w:jc w:val="center"/>
            </w:pPr>
            <w:r>
              <w:t xml:space="preserve">M2</w:t>
            </w:r>
          </w:p>
        </w:tc>
        <w:tc>
          <w:tcPr/>
          <w:p>
            <w:pPr>
              <w:pStyle w:val="Compact"/>
              <w:jc w:val="right"/>
            </w:pPr>
            <w:r>
              <w:t xml:space="preserve">32.6</w:t>
            </w:r>
          </w:p>
        </w:tc>
        <w:tc>
          <w:tcPr/>
          <w:p>
            <w:pPr>
              <w:pStyle w:val="Compact"/>
              <w:jc w:val="right"/>
            </w:pPr>
            <w:r>
              <w:t xml:space="preserve">65.8</w:t>
            </w:r>
          </w:p>
        </w:tc>
        <w:tc>
          <w:tcPr/>
          <w:p>
            <w:pPr>
              <w:pStyle w:val="Compact"/>
              <w:jc w:val="right"/>
            </w:pPr>
            <w:r>
              <w:t xml:space="preserve">26.0</w:t>
            </w:r>
          </w:p>
        </w:tc>
        <w:tc>
          <w:tcPr/>
          <w:p>
            <w:pPr>
              <w:pStyle w:val="Compact"/>
              <w:jc w:val="right"/>
            </w:pPr>
            <w:r>
              <w:t xml:space="preserve">25</w:t>
            </w:r>
          </w:p>
        </w:tc>
      </w:tr>
      <w:tr>
        <w:trPr>
          <w:cantSplit/>
        </w:trPr>
        <w:tc>
          <w:tcPr/>
          <w:p>
            <w:pPr>
              <w:pStyle w:val="Compact"/>
              <w:jc w:val="left"/>
            </w:pPr>
            <w:r>
              <w:t xml:space="preserve">A6</w:t>
            </w:r>
          </w:p>
        </w:tc>
        <w:tc>
          <w:tcPr/>
          <w:p>
            <w:pPr>
              <w:pStyle w:val="Compact"/>
              <w:jc w:val="right"/>
            </w:pPr>
            <w:r>
              <w:t xml:space="preserve">2,600</w:t>
            </w:r>
          </w:p>
        </w:tc>
        <w:tc>
          <w:tcPr/>
          <w:p>
            <w:pPr>
              <w:pStyle w:val="Compact"/>
              <w:jc w:val="center"/>
            </w:pPr>
            <w:r>
              <w:t xml:space="preserve">M2</w:t>
            </w:r>
          </w:p>
        </w:tc>
        <w:tc>
          <w:tcPr/>
          <w:p>
            <w:pPr>
              <w:pStyle w:val="Compact"/>
              <w:jc w:val="right"/>
            </w:pPr>
            <w:r>
              <w:t xml:space="preserve">37.2</w:t>
            </w:r>
          </w:p>
        </w:tc>
        <w:tc>
          <w:tcPr/>
          <w:p>
            <w:pPr>
              <w:pStyle w:val="Compact"/>
              <w:jc w:val="right"/>
            </w:pPr>
            <w:r>
              <w:t xml:space="preserve">13.0</w:t>
            </w:r>
          </w:p>
        </w:tc>
        <w:tc>
          <w:tcPr/>
          <w:p>
            <w:pPr>
              <w:pStyle w:val="Compact"/>
              <w:jc w:val="right"/>
            </w:pPr>
            <w:r>
              <w:t xml:space="preserve">48.1</w:t>
            </w:r>
          </w:p>
        </w:tc>
        <w:tc>
          <w:tcPr/>
          <w:p>
            <w:pPr>
              <w:pStyle w:val="Compact"/>
              <w:jc w:val="right"/>
            </w:pPr>
            <w:r>
              <w:t xml:space="preserve">40</w:t>
            </w:r>
          </w:p>
        </w:tc>
      </w:tr>
    </w:tbl>
    <w:p>
      <w:pPr>
        <w:spacing w:before="200"/>
      </w:pPr>
    </w:p>
    <w:p>
      <w:pPr>
        <w:pStyle w:val="TableCaption"/>
      </w:pPr>
      <w:r>
        <w:rPr>
          <w:bCs/>
          <w:b/>
        </w:rPr>
        <w:t xml:space="preserve">Table 22.</w:t>
      </w:r>
      <w:r>
        <w:t xml:space="preserve"> </w:t>
      </w:r>
      <w:r>
        <w:t xml:space="preserve">Inequality of access to hospital beds in S1 at the 30-minute baseline (synthetic instance).</w:t>
      </w:r>
    </w:p>
    <w:tbl>
      <w:tblPr>
        <w:tblStyle w:val="Table"/>
        <w:tblW w:type="pct" w:w="5000"/>
        <w:jc w:val="center"/>
        <w:tblCaption w:val="Table 22. Inequality of access to hospital beds in S1 at the 30-minute baseline (synthetic instance)."/>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3960"/>
        <w:gridCol w:w="3960"/>
      </w:tblGrid>
      <w:tr>
        <w:trPr>
          <w:tblHeader w:val="true"/>
          <w:tblHeader/>
          <w:cantSplit/>
        </w:trPr>
        <w:tc>
          <w:tcPr/>
          <w:p>
            <w:pPr>
              <w:pStyle w:val="Compact"/>
              <w:jc w:val="left"/>
            </w:pPr>
            <w:r>
              <w:rPr>
                <w:b/>
              </w:rPr>
              <w:t xml:space="preserve">Quantity</w:t>
            </w:r>
          </w:p>
        </w:tc>
        <w:tc>
          <w:tcPr/>
          <w:p>
            <w:pPr>
              <w:pStyle w:val="Compact"/>
              <w:jc w:val="left"/>
            </w:pPr>
            <w:r>
              <w:rPr>
                <w:b/>
              </w:rPr>
              <w:t xml:space="preserve">Value</w:t>
            </w:r>
          </w:p>
        </w:tc>
      </w:tr>
      <w:tr>
        <w:trPr>
          <w:cantSplit/>
        </w:trPr>
        <w:tc>
          <w:tcPr/>
          <w:p>
            <w:pPr>
              <w:pStyle w:val="Compact"/>
              <w:jc w:val="left"/>
            </w:pPr>
            <w:r>
              <w:t xml:space="preserve">Weighted mean μ</w:t>
            </w:r>
          </w:p>
        </w:tc>
        <w:tc>
          <w:tcPr/>
          <w:p>
            <w:pPr>
              <w:pStyle w:val="Compact"/>
              <w:jc w:val="left"/>
            </w:pPr>
            <w:r>
              <w:t xml:space="preserve">102.99 beds</w:t>
            </w:r>
          </w:p>
        </w:tc>
      </w:tr>
      <w:tr>
        <w:trPr>
          <w:cantSplit/>
        </w:trPr>
        <w:tc>
          <w:tcPr/>
          <w:p>
            <w:pPr>
              <w:pStyle w:val="Compact"/>
              <w:jc w:val="left"/>
            </w:pPr>
            <w:r>
              <w:t xml:space="preserve">Gini coefficient</w:t>
            </w:r>
            <w:r>
              <w:t xml:space="preserve"> </w:t>
            </w:r>
            <w:r>
              <w:rPr>
                <w:iCs/>
                <w:i/>
              </w:rPr>
              <w:t xml:space="preserve">G</w:t>
            </w:r>
          </w:p>
        </w:tc>
        <w:tc>
          <w:tcPr/>
          <w:p>
            <w:pPr>
              <w:pStyle w:val="Compact"/>
              <w:jc w:val="left"/>
            </w:pPr>
            <w:r>
              <w:t xml:space="preserve">0.2747</w:t>
            </w:r>
          </w:p>
        </w:tc>
      </w:tr>
      <w:tr>
        <w:trPr>
          <w:cantSplit/>
        </w:trPr>
        <w:tc>
          <w:tcPr/>
          <w:p>
            <w:pPr>
              <w:pStyle w:val="Compact"/>
              <w:jc w:val="left"/>
            </w:pPr>
            <w:r>
              <w:t xml:space="preserve">Theil index</w:t>
            </w:r>
            <w:r>
              <w:t xml:space="preserve"> </w:t>
            </w:r>
            <w:r>
              <w:rPr>
                <w:iCs/>
                <w:i/>
              </w:rPr>
              <w:t xml:space="preserve">T</w:t>
            </w:r>
          </w:p>
        </w:tc>
        <w:tc>
          <w:tcPr/>
          <w:p>
            <w:pPr>
              <w:pStyle w:val="Compact"/>
              <w:jc w:val="left"/>
            </w:pPr>
            <w:r>
              <w:t xml:space="preserve">0.2205</w:t>
            </w:r>
          </w:p>
        </w:tc>
      </w:tr>
      <w:tr>
        <w:trPr>
          <w:cantSplit/>
        </w:trPr>
        <w:tc>
          <w:tcPr/>
          <w:p>
            <w:pPr>
              <w:pStyle w:val="Compact"/>
              <w:jc w:val="left"/>
            </w:pPr>
            <w:r>
              <w:t xml:space="preserve">Part within municipalities</w:t>
            </w:r>
          </w:p>
        </w:tc>
        <w:tc>
          <w:tcPr/>
          <w:p>
            <w:pPr>
              <w:pStyle w:val="Compact"/>
              <w:jc w:val="left"/>
            </w:pPr>
            <w:r>
              <w:t xml:space="preserve">0.0308 (14.0% of total)</w:t>
            </w:r>
          </w:p>
        </w:tc>
      </w:tr>
      <w:tr>
        <w:trPr>
          <w:cantSplit/>
        </w:trPr>
        <w:tc>
          <w:tcPr/>
          <w:p>
            <w:pPr>
              <w:pStyle w:val="Compact"/>
              <w:jc w:val="left"/>
            </w:pPr>
            <w:r>
              <w:t xml:space="preserve">Part between municipalities</w:t>
            </w:r>
          </w:p>
        </w:tc>
        <w:tc>
          <w:tcPr/>
          <w:p>
            <w:pPr>
              <w:pStyle w:val="Compact"/>
              <w:jc w:val="left"/>
            </w:pPr>
            <w:r>
              <w:t xml:space="preserve">0.1897 (86.0% of total)</w:t>
            </w:r>
          </w:p>
        </w:tc>
      </w:tr>
      <w:tr>
        <w:trPr>
          <w:cantSplit/>
        </w:trPr>
        <w:tc>
          <w:tcPr/>
          <w:p>
            <w:pPr>
              <w:pStyle w:val="Compact"/>
              <w:jc w:val="left"/>
            </w:pPr>
            <w:r>
              <w:t xml:space="preserve">Identity check |</w:t>
            </w:r>
            <w:r>
              <w:t xml:space="preserve"> </w:t>
            </w:r>
            <w:r>
              <w:rPr>
                <w:iCs/>
                <w:i/>
              </w:rPr>
              <w:t xml:space="preserve">T</w:t>
            </w:r>
            <w:r>
              <w:t xml:space="preserve"> </w:t>
            </w:r>
            <w:r>
              <w:t xml:space="preserve">− (within + between) |</w:t>
            </w:r>
          </w:p>
        </w:tc>
        <w:tc>
          <w:tcPr/>
          <w:p>
            <w:pPr>
              <w:pStyle w:val="Compact"/>
              <w:jc w:val="left"/>
            </w:pPr>
            <w:r>
              <w:t xml:space="preserve">2.8 × 10</w:t>
            </w:r>
            <w:r>
              <w:rPr>
                <w:vertAlign w:val="superscript"/>
              </w:rPr>
              <w:t xml:space="preserve">−17</w:t>
            </w:r>
          </w:p>
        </w:tc>
      </w:tr>
      <w:tr>
        <w:trPr>
          <w:cantSplit/>
        </w:trPr>
        <w:tc>
          <w:tcPr/>
          <w:p>
            <w:pPr>
              <w:pStyle w:val="Compact"/>
              <w:jc w:val="left"/>
            </w:pPr>
            <w:r>
              <w:t xml:space="preserve">Palma ratio</w:t>
            </w:r>
          </w:p>
        </w:tc>
        <w:tc>
          <w:tcPr/>
          <w:p>
            <w:pPr>
              <w:pStyle w:val="Compact"/>
              <w:jc w:val="left"/>
            </w:pPr>
            <w:r>
              <w:t xml:space="preserve">0.907</w:t>
            </w:r>
          </w:p>
        </w:tc>
      </w:tr>
      <w:tr>
        <w:trPr>
          <w:cantSplit/>
        </w:trPr>
        <w:tc>
          <w:tcPr/>
          <w:p>
            <w:pPr>
              <w:pStyle w:val="Compact"/>
              <w:jc w:val="left"/>
            </w:pPr>
            <w:r>
              <w:t xml:space="preserve">Weight share with zero access</w:t>
            </w:r>
          </w:p>
        </w:tc>
        <w:tc>
          <w:tcPr/>
          <w:p>
            <w:pPr>
              <w:pStyle w:val="Compact"/>
              <w:jc w:val="left"/>
            </w:pPr>
            <w:r>
              <w:t xml:space="preserve">9.9%</w:t>
            </w:r>
          </w:p>
        </w:tc>
      </w:tr>
    </w:tbl>
    <w:p>
      <w:pPr>
        <w:pStyle w:val="BodyText"/>
        <w:spacing w:before="200"/>
      </w:pPr>
      <w:r>
        <w:t xml:space="preserve">Anchor A1, 29.2 min from the 120-bed hospital, falls just inside the budget, while A5, at 32.6 min, falls just outside it. That difference of 3.4 minutes drops A5’s score from 145 to 25. The jump is not a quirk of S1; it is built into every cumulative measure, which is why the framework carries the smooth measure of Definition 8 alongside it and why Section 3.6 sweeps the budget.</w:t>
      </w:r>
    </w:p>
    <w:p>
      <w:pPr>
        <w:pStyle w:val="BodyText"/>
      </w:pPr>
      <w:r>
        <w:t xml:space="preserve">The decomposition works as intended. The gap between the two municipalities accounts for 86 percent of all inequality, which points to weak trunk links between M1 and M2 rather than to poor feeder service inside either one. Whether the full Albay instance shows the same pattern is a question S1 cannot answer; it is tested as hypothesis M3 (Section 3.6.3).</w:t>
      </w:r>
    </w:p>
    <w:p>
      <w:pPr>
        <w:pStyle w:val="TableCaption"/>
      </w:pPr>
      <w:r>
        <w:rPr>
          <w:bCs/>
          <w:b/>
        </w:rPr>
        <w:t xml:space="preserve">Table 23.</w:t>
      </w:r>
      <w:r>
        <w:t xml:space="preserve"> </w:t>
      </w:r>
      <w:r>
        <w:t xml:space="preserve">Leg fares under the traditional jeepney parameters of Table 6.</w:t>
      </w:r>
    </w:p>
    <w:tbl>
      <w:tblPr>
        <w:tblStyle w:val="Table"/>
        <w:tblW w:type="pct" w:w="5000"/>
        <w:jc w:val="center"/>
        <w:tblCaption w:val="Table 23. Leg fares under the traditional jeepney parameters of Table 6."/>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2640"/>
        <w:gridCol w:w="2640"/>
        <w:gridCol w:w="2640"/>
      </w:tblGrid>
      <w:tr>
        <w:trPr>
          <w:tblHeader w:val="true"/>
          <w:tblHeader/>
          <w:cantSplit/>
        </w:trPr>
        <w:tc>
          <w:tcPr/>
          <w:p>
            <w:pPr>
              <w:pStyle w:val="Compact"/>
              <w:jc w:val="right"/>
            </w:pPr>
            <w:r>
              <w:rPr>
                <w:b/>
              </w:rPr>
              <w:t xml:space="preserve">Leg Length</w:t>
            </w:r>
            <w:r>
              <w:rPr>
                <w:b/>
              </w:rPr>
              <w:t xml:space="preserve"> </w:t>
            </w:r>
            <w:r>
              <w:rPr>
                <w:iCs/>
                <w:b/>
                <w:i/>
              </w:rPr>
              <w:t xml:space="preserve">d</w:t>
            </w:r>
            <w:r>
              <w:rPr>
                <w:b/>
              </w:rPr>
              <w:t xml:space="preserve"> </w:t>
            </w:r>
            <w:r>
              <w:rPr>
                <w:b/>
              </w:rPr>
              <w:t xml:space="preserve">(km)</w:t>
            </w:r>
          </w:p>
        </w:tc>
        <w:tc>
          <w:tcPr/>
          <w:p>
            <w:pPr>
              <w:pStyle w:val="Compact"/>
              <w:jc w:val="right"/>
            </w:pPr>
            <w:r>
              <w:rPr>
                <w:b/>
              </w:rPr>
              <w:t xml:space="preserve">Full Fare (₱)</w:t>
            </w:r>
          </w:p>
        </w:tc>
        <w:tc>
          <w:tcPr/>
          <w:p>
            <w:pPr>
              <w:pStyle w:val="Compact"/>
              <w:jc w:val="right"/>
            </w:pPr>
            <w:r>
              <w:rPr>
                <w:b/>
              </w:rPr>
              <w:t xml:space="preserve">Fare with 20% Discount (₱)</w:t>
            </w:r>
          </w:p>
        </w:tc>
      </w:tr>
      <w:tr>
        <w:trPr>
          <w:cantSplit/>
        </w:trPr>
        <w:tc>
          <w:tcPr/>
          <w:p>
            <w:pPr>
              <w:pStyle w:val="Compact"/>
              <w:jc w:val="right"/>
            </w:pPr>
            <w:r>
              <w:t xml:space="preserve">1.0</w:t>
            </w:r>
          </w:p>
        </w:tc>
        <w:tc>
          <w:tcPr/>
          <w:p>
            <w:pPr>
              <w:pStyle w:val="Compact"/>
              <w:jc w:val="right"/>
            </w:pPr>
            <w:r>
              <w:t xml:space="preserve">14.00</w:t>
            </w:r>
          </w:p>
        </w:tc>
        <w:tc>
          <w:tcPr/>
          <w:p>
            <w:pPr>
              <w:pStyle w:val="Compact"/>
              <w:jc w:val="right"/>
            </w:pPr>
            <w:r>
              <w:t xml:space="preserve">11.20</w:t>
            </w:r>
          </w:p>
        </w:tc>
      </w:tr>
      <w:tr>
        <w:trPr>
          <w:cantSplit/>
        </w:trPr>
        <w:tc>
          <w:tcPr/>
          <w:p>
            <w:pPr>
              <w:pStyle w:val="Compact"/>
              <w:jc w:val="right"/>
            </w:pPr>
            <w:r>
              <w:t xml:space="preserve">4.0</w:t>
            </w:r>
          </w:p>
        </w:tc>
        <w:tc>
          <w:tcPr/>
          <w:p>
            <w:pPr>
              <w:pStyle w:val="Compact"/>
              <w:jc w:val="right"/>
            </w:pPr>
            <w:r>
              <w:t xml:space="preserve">14.00</w:t>
            </w:r>
          </w:p>
        </w:tc>
        <w:tc>
          <w:tcPr/>
          <w:p>
            <w:pPr>
              <w:pStyle w:val="Compact"/>
              <w:jc w:val="right"/>
            </w:pPr>
            <w:r>
              <w:t xml:space="preserve">11.20</w:t>
            </w:r>
          </w:p>
        </w:tc>
      </w:tr>
      <w:tr>
        <w:trPr>
          <w:cantSplit/>
        </w:trPr>
        <w:tc>
          <w:tcPr/>
          <w:p>
            <w:pPr>
              <w:pStyle w:val="Compact"/>
              <w:jc w:val="right"/>
            </w:pPr>
            <w:r>
              <w:t xml:space="preserve">4.2</w:t>
            </w:r>
          </w:p>
        </w:tc>
        <w:tc>
          <w:tcPr/>
          <w:p>
            <w:pPr>
              <w:pStyle w:val="Compact"/>
              <w:jc w:val="right"/>
            </w:pPr>
            <w:r>
              <w:t xml:space="preserve">16.00</w:t>
            </w:r>
          </w:p>
        </w:tc>
        <w:tc>
          <w:tcPr/>
          <w:p>
            <w:pPr>
              <w:pStyle w:val="Compact"/>
              <w:jc w:val="right"/>
            </w:pPr>
            <w:r>
              <w:t xml:space="preserve">12.80</w:t>
            </w:r>
          </w:p>
        </w:tc>
      </w:tr>
      <w:tr>
        <w:trPr>
          <w:cantSplit/>
        </w:trPr>
        <w:tc>
          <w:tcPr/>
          <w:p>
            <w:pPr>
              <w:pStyle w:val="Compact"/>
              <w:jc w:val="right"/>
            </w:pPr>
            <w:r>
              <w:t xml:space="preserve">7.0</w:t>
            </w:r>
          </w:p>
        </w:tc>
        <w:tc>
          <w:tcPr/>
          <w:p>
            <w:pPr>
              <w:pStyle w:val="Compact"/>
              <w:jc w:val="right"/>
            </w:pPr>
            <w:r>
              <w:t xml:space="preserve">20.00</w:t>
            </w:r>
          </w:p>
        </w:tc>
        <w:tc>
          <w:tcPr/>
          <w:p>
            <w:pPr>
              <w:pStyle w:val="Compact"/>
              <w:jc w:val="right"/>
            </w:pPr>
            <w:r>
              <w:t xml:space="preserve">16.00</w:t>
            </w:r>
          </w:p>
        </w:tc>
      </w:tr>
      <w:tr>
        <w:trPr>
          <w:cantSplit/>
        </w:trPr>
        <w:tc>
          <w:tcPr/>
          <w:p>
            <w:pPr>
              <w:pStyle w:val="Compact"/>
              <w:jc w:val="right"/>
            </w:pPr>
            <w:r>
              <w:t xml:space="preserve">10.5</w:t>
            </w:r>
          </w:p>
        </w:tc>
        <w:tc>
          <w:tcPr/>
          <w:p>
            <w:pPr>
              <w:pStyle w:val="Compact"/>
              <w:jc w:val="right"/>
            </w:pPr>
            <w:r>
              <w:t xml:space="preserve">28.00</w:t>
            </w:r>
          </w:p>
        </w:tc>
        <w:tc>
          <w:tcPr/>
          <w:p>
            <w:pPr>
              <w:pStyle w:val="Compact"/>
              <w:jc w:val="right"/>
            </w:pPr>
            <w:r>
              <w:t xml:space="preserve">22.40</w:t>
            </w:r>
          </w:p>
        </w:tc>
      </w:tr>
      <w:tr>
        <w:trPr>
          <w:cantSplit/>
        </w:trPr>
        <w:tc>
          <w:tcPr/>
          <w:p>
            <w:pPr>
              <w:pStyle w:val="Compact"/>
              <w:jc w:val="right"/>
            </w:pPr>
            <w:r>
              <w:t xml:space="preserve">18.0</w:t>
            </w:r>
          </w:p>
        </w:tc>
        <w:tc>
          <w:tcPr/>
          <w:p>
            <w:pPr>
              <w:pStyle w:val="Compact"/>
              <w:jc w:val="right"/>
            </w:pPr>
            <w:r>
              <w:t xml:space="preserve">42.00</w:t>
            </w:r>
          </w:p>
        </w:tc>
        <w:tc>
          <w:tcPr/>
          <w:p>
            <w:pPr>
              <w:pStyle w:val="Compact"/>
              <w:jc w:val="right"/>
            </w:pPr>
            <w:r>
              <w:t xml:space="preserve">33.60</w:t>
            </w:r>
          </w:p>
        </w:tc>
      </w:tr>
    </w:tbl>
    <w:p>
      <w:pPr>
        <w:spacing w:before="200"/>
      </w:pPr>
    </w:p>
    <w:p>
      <w:pPr>
        <w:pStyle w:val="TableCaption"/>
      </w:pPr>
      <w:r>
        <w:rPr>
          <w:bCs/>
          <w:b/>
        </w:rPr>
        <w:t xml:space="preserve">Table 24.</w:t>
      </w:r>
      <w:r>
        <w:t xml:space="preserve"> </w:t>
      </w:r>
      <w:r>
        <w:t xml:space="preserve">Independent tests on new random instances and on S1. The reference in row 1 is a depth-limited exhaustive enumeration, written as simple recursion, that shares no logic with the priority-queue engine under test.</w:t>
      </w:r>
    </w:p>
    <w:tbl>
      <w:tblPr>
        <w:tblStyle w:val="Table"/>
        <w:tblW w:type="pct" w:w="5000"/>
        <w:jc w:val="center"/>
        <w:tblCaption w:val="Table 24. Independent tests on new random instances and on S1. The reference in row 1 is a depth-limited exhaustive enumeration, written as simple recursion, that shares no logic with the priority-queue engine under tes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1911"/>
        <w:gridCol w:w="3413"/>
        <w:gridCol w:w="2594"/>
      </w:tblGrid>
      <w:tr>
        <w:trPr>
          <w:tblHeader w:val="true"/>
          <w:tblHeader/>
          <w:cantSplit/>
        </w:trPr>
        <w:tc>
          <w:tcPr/>
          <w:p>
            <w:pPr>
              <w:pStyle w:val="Compact"/>
              <w:jc w:val="left"/>
            </w:pPr>
            <w:r>
              <w:rPr>
                <w:b/>
              </w:rPr>
              <w:t xml:space="preserve">Property</w:t>
            </w:r>
          </w:p>
        </w:tc>
        <w:tc>
          <w:tcPr/>
          <w:p>
            <w:pPr>
              <w:pStyle w:val="Compact"/>
              <w:jc w:val="left"/>
            </w:pPr>
            <w:r>
              <w:rPr>
                <w:b/>
              </w:rPr>
              <w:t xml:space="preserve">Method</w:t>
            </w:r>
          </w:p>
        </w:tc>
        <w:tc>
          <w:tcPr/>
          <w:p>
            <w:pPr>
              <w:pStyle w:val="Compact"/>
              <w:jc w:val="left"/>
            </w:pPr>
            <w:r>
              <w:rPr>
                <w:b/>
              </w:rPr>
              <w:t xml:space="preserve">Result</w:t>
            </w:r>
          </w:p>
        </w:tc>
      </w:tr>
      <w:tr>
        <w:trPr>
          <w:cantSplit/>
        </w:trPr>
        <w:tc>
          <w:tcPr/>
          <w:p>
            <w:pPr>
              <w:pStyle w:val="Compact"/>
              <w:jc w:val="left"/>
            </w:pPr>
            <w:r>
              <w:t xml:space="preserve">Correctness of earliest arrival (Prop. 1)</w:t>
            </w:r>
          </w:p>
        </w:tc>
        <w:tc>
          <w:tcPr/>
          <w:p>
            <w:pPr>
              <w:pStyle w:val="Compact"/>
              <w:jc w:val="left"/>
            </w:pPr>
            <w:r>
              <w:t xml:space="preserve">400 random queries on S1 against exhaustive enumeration</w:t>
            </w:r>
          </w:p>
        </w:tc>
        <w:tc>
          <w:tcPr/>
          <w:p>
            <w:pPr>
              <w:pStyle w:val="Compact"/>
              <w:jc w:val="left"/>
            </w:pPr>
            <w:r>
              <w:t xml:space="preserve">400 reachable; full agreement</w:t>
            </w:r>
          </w:p>
        </w:tc>
      </w:tr>
      <w:tr>
        <w:trPr>
          <w:cantSplit/>
        </w:trPr>
        <w:tc>
          <w:tcPr/>
          <w:p>
            <w:pPr>
              <w:pStyle w:val="Compact"/>
              <w:jc w:val="left"/>
            </w:pPr>
            <w:r>
              <w:t xml:space="preserve">Labeling by stop only (Remark 1)</w:t>
            </w:r>
          </w:p>
        </w:tc>
        <w:tc>
          <w:tcPr/>
          <w:p>
            <w:pPr>
              <w:pStyle w:val="Compact"/>
              <w:jc w:val="left"/>
            </w:pPr>
            <w:r>
              <w:t xml:space="preserve">The same 400 queries with one label kept per stop</w:t>
            </w:r>
          </w:p>
        </w:tc>
        <w:tc>
          <w:tcPr/>
          <w:p>
            <w:pPr>
              <w:pStyle w:val="Compact"/>
              <w:jc w:val="left"/>
            </w:pPr>
            <w:r>
              <w:t xml:space="preserve">Wrong in 6 of 400 (1.5%); mean error 15.0 min; worst 30 min</w:t>
            </w:r>
          </w:p>
        </w:tc>
      </w:tr>
      <w:tr>
        <w:trPr>
          <w:cantSplit/>
        </w:trPr>
        <w:tc>
          <w:tcPr/>
          <w:p>
            <w:pPr>
              <w:pStyle w:val="Compact"/>
              <w:jc w:val="left"/>
            </w:pPr>
            <w:r>
              <w:t xml:space="preserve">Gini scale invariance (Prop. 5 ii)</w:t>
            </w:r>
          </w:p>
        </w:tc>
        <w:tc>
          <w:tcPr/>
          <w:p>
            <w:pPr>
              <w:pStyle w:val="Compact"/>
              <w:jc w:val="left"/>
            </w:pPr>
            <w:r>
              <w:t xml:space="preserve">500 random weighted vectors, λ in [0.2, 12]</w:t>
            </w:r>
          </w:p>
        </w:tc>
        <w:tc>
          <w:tcPr/>
          <w:p>
            <w:pPr>
              <w:pStyle w:val="Compact"/>
              <w:jc w:val="left"/>
            </w:pPr>
            <w:r>
              <w:t xml:space="preserve">Largest deviation 1.1 × 10</w:t>
            </w:r>
            <w:r>
              <w:rPr>
                <w:vertAlign w:val="superscript"/>
              </w:rPr>
              <w:t xml:space="preserve">−16</w:t>
            </w:r>
          </w:p>
        </w:tc>
      </w:tr>
      <w:tr>
        <w:trPr>
          <w:cantSplit/>
        </w:trPr>
        <w:tc>
          <w:tcPr/>
          <w:p>
            <w:pPr>
              <w:pStyle w:val="Compact"/>
              <w:jc w:val="left"/>
            </w:pPr>
            <w:r>
              <w:t xml:space="preserve">Gini under translation (Prop. 5 iii)</w:t>
            </w:r>
          </w:p>
        </w:tc>
        <w:tc>
          <w:tcPr/>
          <w:p>
            <w:pPr>
              <w:pStyle w:val="Compact"/>
              <w:jc w:val="left"/>
            </w:pPr>
            <w:r>
              <w:t xml:space="preserve">500 random weighted vectors,</w:t>
            </w:r>
            <w:r>
              <w:t xml:space="preserve"> </w:t>
            </w:r>
            <w:r>
              <w:rPr>
                <w:iCs/>
                <w:i/>
              </w:rPr>
              <w:t xml:space="preserve">c</w:t>
            </w:r>
            <w:r>
              <w:t xml:space="preserve"> </w:t>
            </w:r>
            <w:r>
              <w:t xml:space="preserve">in [0.5, 20]</w:t>
            </w:r>
          </w:p>
        </w:tc>
        <w:tc>
          <w:tcPr/>
          <w:p>
            <w:pPr>
              <w:pStyle w:val="Compact"/>
              <w:jc w:val="left"/>
            </w:pPr>
            <w:r>
              <w:t xml:space="preserve">Lower in all 500</w:t>
            </w:r>
          </w:p>
        </w:tc>
      </w:tr>
      <w:tr>
        <w:trPr>
          <w:cantSplit/>
        </w:trPr>
        <w:tc>
          <w:tcPr/>
          <w:p>
            <w:pPr>
              <w:pStyle w:val="Compact"/>
              <w:jc w:val="left"/>
            </w:pPr>
            <w:r>
              <w:t xml:space="preserve">Theil decomposition (Prop. 6)</w:t>
            </w:r>
          </w:p>
        </w:tc>
        <w:tc>
          <w:tcPr/>
          <w:p>
            <w:pPr>
              <w:pStyle w:val="Compact"/>
              <w:jc w:val="left"/>
            </w:pPr>
            <w:r>
              <w:t xml:space="preserve">500 random three-group partitions</w:t>
            </w:r>
          </w:p>
        </w:tc>
        <w:tc>
          <w:tcPr/>
          <w:p>
            <w:pPr>
              <w:pStyle w:val="Compact"/>
              <w:jc w:val="left"/>
            </w:pPr>
            <w:r>
              <w:t xml:space="preserve">Largest residual 1.7 × 10</w:t>
            </w:r>
            <w:r>
              <w:rPr>
                <w:vertAlign w:val="superscript"/>
              </w:rPr>
              <w:t xml:space="preserve">−16</w:t>
            </w:r>
          </w:p>
        </w:tc>
      </w:tr>
      <w:tr>
        <w:trPr>
          <w:cantSplit/>
        </w:trPr>
        <w:tc>
          <w:tcPr/>
          <w:p>
            <w:pPr>
              <w:pStyle w:val="Compact"/>
              <w:jc w:val="left"/>
            </w:pPr>
            <w:r>
              <w:t xml:space="preserve">Vehicle-class monotonicity (Prop. 3)</w:t>
            </w:r>
          </w:p>
        </w:tc>
        <w:tc>
          <w:tcPr/>
          <w:p>
            <w:pPr>
              <w:pStyle w:val="Compact"/>
              <w:jc w:val="left"/>
            </w:pPr>
            <w:r>
              <w:t xml:space="preserve">60 random road graphs, width threshold raised from 1.3 m to 2.2 m</w:t>
            </w:r>
          </w:p>
        </w:tc>
        <w:tc>
          <w:tcPr/>
          <w:p>
            <w:pPr>
              <w:pStyle w:val="Compact"/>
              <w:jc w:val="left"/>
            </w:pPr>
            <w:r>
              <w:t xml:space="preserve">Zero violations in 5,400 origin-destination pairs</w:t>
            </w:r>
          </w:p>
        </w:tc>
      </w:tr>
      <w:tr>
        <w:trPr>
          <w:cantSplit/>
        </w:trPr>
        <w:tc>
          <w:tcPr/>
          <w:p>
            <w:pPr>
              <w:pStyle w:val="Compact"/>
              <w:jc w:val="left"/>
            </w:pPr>
            <w:r>
              <w:t xml:space="preserve">Fare monotonicity and subadditivity (Prop. 7)</w:t>
            </w:r>
          </w:p>
        </w:tc>
        <w:tc>
          <w:tcPr/>
          <w:p>
            <w:pPr>
              <w:pStyle w:val="Compact"/>
              <w:jc w:val="left"/>
            </w:pPr>
            <w:r>
              <w:t xml:space="preserve">Sweep from 0 to 60 km in 0.1 km steps and 1,000 random leg splits</w:t>
            </w:r>
          </w:p>
        </w:tc>
        <w:tc>
          <w:tcPr/>
          <w:p>
            <w:pPr>
              <w:pStyle w:val="Compact"/>
              <w:jc w:val="left"/>
            </w:pPr>
            <w:r>
              <w:t xml:space="preserve">Monotone throughout; subadditive in every split</w:t>
            </w:r>
          </w:p>
        </w:tc>
      </w:tr>
    </w:tbl>
    <w:p>
      <w:pPr>
        <w:pStyle w:val="BodyText"/>
        <w:spacing w:before="200"/>
      </w:pPr>
      <w:r>
        <w:t xml:space="preserve">Row 2 shows the second implementation pitfall found in this study, and it is much harder to spot than the first. The single-scan defect of Table 14 is obvious once anyone looks, since it hits almost half of all queries with delays near half an hour. Stop-only labeling fails rarely, and each failure costs at most about one headway, so checking a few sample journeys by eye is unlikely to catch it. It shows up only when outputs are compared systematically with an independent reference. The lesson for any team building a routing engine is to write the slow reference routine first.</w:t>
      </w:r>
    </w:p>
    <w:bookmarkStart w:id="173" w:name="hospital-mode-on-instance-s1"/>
    <w:p>
      <w:pPr>
        <w:pStyle w:val="Heading3"/>
      </w:pPr>
      <w:r>
        <w:t xml:space="preserve">3.5.1 Hospital Mode on Instance S1</w:t>
      </w:r>
    </w:p>
    <w:p>
      <w:pPr>
        <w:pStyle w:val="FirstParagraph"/>
      </w:pPr>
      <w:r>
        <w:t xml:space="preserve">To run hospital mode from end to end, Table 25 assigns invented attributes to the three hospital sites of S1. The attributes are the only new input; travel times come from Table 21. S1 has no ambulance road layer, so every trip is by public transport (</w:t>
      </w:r>
      <w:r>
        <w:rPr>
          <w:iCs/>
          <w:i/>
        </w:rPr>
        <w:t xml:space="preserve">x</w:t>
      </w:r>
      <w:r>
        <w:t xml:space="preserve"> </w:t>
      </w:r>
      <w:r>
        <w:t xml:space="preserve">=</w:t>
      </w:r>
      <w:r>
        <w:t xml:space="preserve"> </w:t>
      </w:r>
      <w:r>
        <w:rPr>
          <w:iCs/>
          <w:i/>
        </w:rPr>
        <w:t xml:space="preserve">pt</w:t>
      </w:r>
      <w:r>
        <w:t xml:space="preserve">) for a standard walker, and every report is taken as fresh.</w:t>
      </w:r>
      <w:r>
        <w:t xml:space="preserve"> </w:t>
      </w:r>
      <w:r>
        <w:rPr>
          <w:rStyle w:val="VerbatimChar"/>
        </w:rPr>
        <w:t xml:space="preserve">verify_hospital_mode.py</w:t>
      </w:r>
      <w:r>
        <w:t xml:space="preserve"> </w:t>
      </w:r>
      <w:r>
        <w:t xml:space="preserve">computed Tables 25 to 27, and its inequality routine matches Table 22 to the fourth decimal place.</w:t>
      </w:r>
    </w:p>
    <w:p>
      <w:pPr>
        <w:pStyle w:val="TableCaption"/>
      </w:pPr>
      <w:r>
        <w:rPr>
          <w:bCs/>
          <w:b/>
        </w:rPr>
        <w:t xml:space="preserve">Table 25.</w:t>
      </w:r>
      <w:r>
        <w:t xml:space="preserve"> </w:t>
      </w:r>
      <w:r>
        <w:t xml:space="preserve">Synthetic hospital attributes created for S1. Every site has an emergency room (</w:t>
      </w:r>
      <w:r>
        <w:rPr>
          <w:iCs/>
          <w:i/>
        </w:rPr>
        <w:t xml:space="preserve">e</w:t>
      </w:r>
      <w:r>
        <w:rPr>
          <w:iCs/>
          <w:i/>
          <w:vertAlign w:val="subscript"/>
        </w:rPr>
        <w:t xml:space="preserve">h</w:t>
      </w:r>
      <w:r>
        <w:t xml:space="preserve"> </w:t>
      </w:r>
      <w:r>
        <w:t xml:space="preserve">= 1), and the service sets are the level defaults of Table 8.</w:t>
      </w:r>
    </w:p>
    <w:tbl>
      <w:tblPr>
        <w:tblStyle w:val="Table"/>
        <w:tblW w:type="pct" w:w="5000"/>
        <w:jc w:val="center"/>
        <w:tblCaption w:val="Table 25. Synthetic hospital attributes created for S1. Every site has an emergency room (eh = 1), and the service sets are the level defaults of Table 8."/>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733"/>
        <w:gridCol w:w="733"/>
        <w:gridCol w:w="586"/>
        <w:gridCol w:w="2493"/>
        <w:gridCol w:w="586"/>
        <w:gridCol w:w="733"/>
        <w:gridCol w:w="733"/>
        <w:gridCol w:w="1320"/>
      </w:tblGrid>
      <w:tr>
        <w:trPr>
          <w:tblHeader w:val="true"/>
          <w:tblHeader/>
          <w:cantSplit/>
        </w:trPr>
        <w:tc>
          <w:tcPr/>
          <w:p>
            <w:pPr>
              <w:pStyle w:val="Compact"/>
              <w:jc w:val="left"/>
            </w:pPr>
            <w:r>
              <w:rPr>
                <w:b/>
              </w:rPr>
              <w:t xml:space="preserve">Site</w:t>
            </w:r>
          </w:p>
        </w:tc>
        <w:tc>
          <w:tcPr/>
          <w:p>
            <w:pPr>
              <w:pStyle w:val="Compact"/>
              <w:jc w:val="right"/>
            </w:pPr>
            <w:r>
              <w:rPr>
                <w:iCs/>
                <w:b/>
                <w:i/>
              </w:rPr>
              <w:t xml:space="preserve">c</w:t>
            </w:r>
            <w:r>
              <w:rPr>
                <w:iCs/>
                <w:b/>
                <w:i/>
                <w:vertAlign w:val="subscript"/>
              </w:rPr>
              <w:t xml:space="preserve">h</w:t>
            </w:r>
            <w:r>
              <w:rPr>
                <w:b/>
              </w:rPr>
              <w:t xml:space="preserve"> </w:t>
            </w:r>
            <w:r>
              <w:rPr>
                <w:b/>
              </w:rPr>
              <w:t xml:space="preserve">(beds)</w:t>
            </w:r>
          </w:p>
        </w:tc>
        <w:tc>
          <w:tcPr/>
          <w:p>
            <w:pPr>
              <w:pStyle w:val="Compact"/>
              <w:jc w:val="center"/>
            </w:pPr>
            <w:r>
              <w:rPr>
                <w:b/>
              </w:rPr>
              <w:t xml:space="preserve">η</w:t>
            </w:r>
            <w:r>
              <w:rPr>
                <w:iCs/>
                <w:b/>
                <w:i/>
                <w:vertAlign w:val="subscript"/>
              </w:rPr>
              <w:t xml:space="preserve">h</w:t>
            </w:r>
          </w:p>
        </w:tc>
        <w:tc>
          <w:tcPr/>
          <w:p>
            <w:pPr>
              <w:pStyle w:val="Compact"/>
              <w:jc w:val="left"/>
            </w:pPr>
            <w:r>
              <w:rPr>
                <w:b/>
              </w:rPr>
              <w:t xml:space="preserve">Ownership and Programs</w:t>
            </w:r>
          </w:p>
        </w:tc>
        <w:tc>
          <w:tcPr/>
          <w:p>
            <w:pPr>
              <w:pStyle w:val="Compact"/>
              <w:jc w:val="center"/>
            </w:pPr>
            <w:r>
              <w:rPr>
                <w:iCs/>
                <w:b/>
                <w:i/>
              </w:rPr>
              <w:t xml:space="preserve">q</w:t>
            </w:r>
            <w:r>
              <w:rPr>
                <w:iCs/>
                <w:b/>
                <w:i/>
                <w:vertAlign w:val="subscript"/>
              </w:rPr>
              <w:t xml:space="preserve">h</w:t>
            </w:r>
          </w:p>
        </w:tc>
        <w:tc>
          <w:tcPr/>
          <w:p>
            <w:pPr>
              <w:pStyle w:val="Compact"/>
              <w:jc w:val="right"/>
            </w:pPr>
            <w:r>
              <w:rPr>
                <w:iCs/>
                <w:b/>
                <w:i/>
              </w:rPr>
              <w:t xml:space="preserve">ô</w:t>
            </w:r>
            <w:r>
              <w:rPr>
                <w:iCs/>
                <w:b/>
                <w:i/>
                <w:vertAlign w:val="subscript"/>
              </w:rPr>
              <w:t xml:space="preserve">h</w:t>
            </w:r>
          </w:p>
        </w:tc>
        <w:tc>
          <w:tcPr/>
          <w:p>
            <w:pPr>
              <w:pStyle w:val="Compact"/>
              <w:jc w:val="right"/>
            </w:pPr>
            <w:r>
              <w:rPr>
                <w:iCs/>
                <w:b/>
                <w:i/>
              </w:rPr>
              <w:t xml:space="preserve">b</w:t>
            </w:r>
            <w:r>
              <w:rPr>
                <w:iCs/>
                <w:b/>
                <w:i/>
                <w:vertAlign w:val="subscript"/>
              </w:rPr>
              <w:t xml:space="preserve">h</w:t>
            </w:r>
          </w:p>
        </w:tc>
        <w:tc>
          <w:tcPr/>
          <w:p>
            <w:pPr>
              <w:pStyle w:val="Compact"/>
              <w:jc w:val="left"/>
            </w:pPr>
            <w:r>
              <w:rPr>
                <w:b/>
              </w:rPr>
              <w:t xml:space="preserve">σ</w:t>
            </w:r>
            <w:r>
              <w:rPr>
                <w:iCs/>
                <w:b/>
                <w:i/>
                <w:vertAlign w:val="subscript"/>
              </w:rPr>
              <w:t xml:space="preserve">h</w:t>
            </w:r>
          </w:p>
        </w:tc>
      </w:tr>
      <w:tr>
        <w:trPr>
          <w:cantSplit/>
        </w:trPr>
        <w:tc>
          <w:tcPr/>
          <w:p>
            <w:pPr>
              <w:pStyle w:val="Compact"/>
              <w:jc w:val="left"/>
            </w:pPr>
            <w:r>
              <w:t xml:space="preserve">S4</w:t>
            </w:r>
          </w:p>
        </w:tc>
        <w:tc>
          <w:tcPr/>
          <w:p>
            <w:pPr>
              <w:pStyle w:val="Compact"/>
              <w:jc w:val="right"/>
            </w:pPr>
            <w:r>
              <w:t xml:space="preserve">120</w:t>
            </w:r>
          </w:p>
        </w:tc>
        <w:tc>
          <w:tcPr/>
          <w:p>
            <w:pPr>
              <w:pStyle w:val="Compact"/>
              <w:jc w:val="center"/>
            </w:pPr>
            <w:r>
              <w:t xml:space="preserve">3</w:t>
            </w:r>
          </w:p>
        </w:tc>
        <w:tc>
          <w:tcPr/>
          <w:p>
            <w:pPr>
              <w:pStyle w:val="Compact"/>
              <w:jc w:val="left"/>
            </w:pPr>
            <w:r>
              <w:t xml:space="preserve">Government; with Malasakit Center</w:t>
            </w:r>
          </w:p>
        </w:tc>
        <w:tc>
          <w:tcPr/>
          <w:p>
            <w:pPr>
              <w:pStyle w:val="Compact"/>
              <w:jc w:val="center"/>
            </w:pPr>
            <w:r>
              <w:t xml:space="preserve">0</w:t>
            </w:r>
          </w:p>
        </w:tc>
        <w:tc>
          <w:tcPr/>
          <w:p>
            <w:pPr>
              <w:pStyle w:val="Compact"/>
              <w:jc w:val="right"/>
            </w:pPr>
            <w:r>
              <w:t xml:space="preserve">112</w:t>
            </w:r>
          </w:p>
        </w:tc>
        <w:tc>
          <w:tcPr/>
          <w:p>
            <w:pPr>
              <w:pStyle w:val="Compact"/>
              <w:jc w:val="right"/>
            </w:pPr>
            <w:r>
              <w:t xml:space="preserve">8</w:t>
            </w:r>
          </w:p>
        </w:tc>
        <w:tc>
          <w:tcPr/>
          <w:p>
            <w:pPr>
              <w:pStyle w:val="Compact"/>
              <w:jc w:val="left"/>
            </w:pPr>
            <w:r>
              <w:t xml:space="preserve">AVAILABLE</w:t>
            </w:r>
          </w:p>
        </w:tc>
      </w:tr>
      <w:tr>
        <w:trPr>
          <w:cantSplit/>
        </w:trPr>
        <w:tc>
          <w:tcPr/>
          <w:p>
            <w:pPr>
              <w:pStyle w:val="Compact"/>
              <w:jc w:val="left"/>
            </w:pPr>
            <w:r>
              <w:t xml:space="preserve">S7</w:t>
            </w:r>
          </w:p>
        </w:tc>
        <w:tc>
          <w:tcPr/>
          <w:p>
            <w:pPr>
              <w:pStyle w:val="Compact"/>
              <w:jc w:val="right"/>
            </w:pPr>
            <w:r>
              <w:t xml:space="preserve">40</w:t>
            </w:r>
          </w:p>
        </w:tc>
        <w:tc>
          <w:tcPr/>
          <w:p>
            <w:pPr>
              <w:pStyle w:val="Compact"/>
              <w:jc w:val="center"/>
            </w:pPr>
            <w:r>
              <w:t xml:space="preserve">2</w:t>
            </w:r>
          </w:p>
        </w:tc>
        <w:tc>
          <w:tcPr/>
          <w:p>
            <w:pPr>
              <w:pStyle w:val="Compact"/>
              <w:jc w:val="left"/>
            </w:pPr>
            <w:r>
              <w:t xml:space="preserve">Private; accredited by PhilHealth</w:t>
            </w:r>
          </w:p>
        </w:tc>
        <w:tc>
          <w:tcPr/>
          <w:p>
            <w:pPr>
              <w:pStyle w:val="Compact"/>
              <w:jc w:val="center"/>
            </w:pPr>
            <w:r>
              <w:t xml:space="preserve">2</w:t>
            </w:r>
          </w:p>
        </w:tc>
        <w:tc>
          <w:tcPr/>
          <w:p>
            <w:pPr>
              <w:pStyle w:val="Compact"/>
              <w:jc w:val="right"/>
            </w:pPr>
            <w:r>
              <w:t xml:space="preserve">31</w:t>
            </w:r>
          </w:p>
        </w:tc>
        <w:tc>
          <w:tcPr/>
          <w:p>
            <w:pPr>
              <w:pStyle w:val="Compact"/>
              <w:jc w:val="right"/>
            </w:pPr>
            <w:r>
              <w:t xml:space="preserve">9</w:t>
            </w:r>
          </w:p>
        </w:tc>
        <w:tc>
          <w:tcPr/>
          <w:p>
            <w:pPr>
              <w:pStyle w:val="Compact"/>
              <w:jc w:val="left"/>
            </w:pPr>
            <w:r>
              <w:t xml:space="preserve">AVAILABLE</w:t>
            </w:r>
          </w:p>
        </w:tc>
      </w:tr>
      <w:tr>
        <w:trPr>
          <w:cantSplit/>
        </w:trPr>
        <w:tc>
          <w:tcPr/>
          <w:p>
            <w:pPr>
              <w:pStyle w:val="Compact"/>
              <w:jc w:val="left"/>
            </w:pPr>
            <w:r>
              <w:t xml:space="preserve">S3</w:t>
            </w:r>
          </w:p>
        </w:tc>
        <w:tc>
          <w:tcPr/>
          <w:p>
            <w:pPr>
              <w:pStyle w:val="Compact"/>
              <w:jc w:val="right"/>
            </w:pPr>
            <w:r>
              <w:t xml:space="preserve">25</w:t>
            </w:r>
          </w:p>
        </w:tc>
        <w:tc>
          <w:tcPr/>
          <w:p>
            <w:pPr>
              <w:pStyle w:val="Compact"/>
              <w:jc w:val="center"/>
            </w:pPr>
            <w:r>
              <w:t xml:space="preserve">1</w:t>
            </w:r>
          </w:p>
        </w:tc>
        <w:tc>
          <w:tcPr/>
          <w:p>
            <w:pPr>
              <w:pStyle w:val="Compact"/>
              <w:jc w:val="left"/>
            </w:pPr>
            <w:r>
              <w:t xml:space="preserve">Government; without Malasakit Center</w:t>
            </w:r>
          </w:p>
        </w:tc>
        <w:tc>
          <w:tcPr/>
          <w:p>
            <w:pPr>
              <w:pStyle w:val="Compact"/>
              <w:jc w:val="center"/>
            </w:pPr>
            <w:r>
              <w:t xml:space="preserve">1</w:t>
            </w:r>
          </w:p>
        </w:tc>
        <w:tc>
          <w:tcPr/>
          <w:p>
            <w:pPr>
              <w:pStyle w:val="Compact"/>
              <w:jc w:val="right"/>
            </w:pPr>
            <w:r>
              <w:t xml:space="preserve">25</w:t>
            </w:r>
          </w:p>
        </w:tc>
        <w:tc>
          <w:tcPr/>
          <w:p>
            <w:pPr>
              <w:pStyle w:val="Compact"/>
              <w:jc w:val="right"/>
            </w:pPr>
            <w:r>
              <w:t xml:space="preserve">0</w:t>
            </w:r>
          </w:p>
        </w:tc>
        <w:tc>
          <w:tcPr/>
          <w:p>
            <w:pPr>
              <w:pStyle w:val="Compact"/>
              <w:jc w:val="left"/>
            </w:pPr>
            <w:r>
              <w:t xml:space="preserve">FULL</w:t>
            </w:r>
          </w:p>
        </w:tc>
      </w:tr>
    </w:tbl>
    <w:p>
      <w:pPr>
        <w:spacing w:before="200"/>
      </w:pPr>
    </w:p>
    <w:p>
      <w:pPr>
        <w:pStyle w:val="TableCaption"/>
      </w:pPr>
      <w:r>
        <w:rPr>
          <w:bCs/>
          <w:b/>
        </w:rPr>
        <w:t xml:space="preserve">Table 26.</w:t>
      </w:r>
      <w:r>
        <w:t xml:space="preserve"> </w:t>
      </w:r>
      <w:r>
        <w:t xml:space="preserve">Recommendation and travel time (min) for each anchor of S1 under several patient profiles (</w:t>
      </w:r>
      <w:r>
        <w:rPr>
          <w:iCs/>
          <w:i/>
        </w:rPr>
        <w:t xml:space="preserve">N</w:t>
      </w:r>
      <w:r>
        <w:t xml:space="preserve"> </w:t>
      </w:r>
      <w:r>
        <w:t xml:space="preserve">= ∅, standard walker). The Plain Nearest column ignores level, beds, and cost. Synthetic instance.</w:t>
      </w:r>
    </w:p>
    <w:tbl>
      <w:tblPr>
        <w:tblStyle w:val="Table"/>
        <w:tblW w:type="pct" w:w="5000"/>
        <w:jc w:val="center"/>
        <w:tblCaption w:val="Table 26. Recommendation and travel time (min) for each anchor of S1 under several patient profiles (N = ∅, standard walker). The Plain Nearest column ignores level, beds, and cost. Synthetic instance."/>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747"/>
        <w:gridCol w:w="1344"/>
        <w:gridCol w:w="1643"/>
        <w:gridCol w:w="1046"/>
        <w:gridCol w:w="1046"/>
        <w:gridCol w:w="1046"/>
        <w:gridCol w:w="1046"/>
      </w:tblGrid>
      <w:tr>
        <w:trPr>
          <w:tblHeader w:val="true"/>
          <w:tblHeader/>
          <w:cantSplit/>
        </w:trPr>
        <w:tc>
          <w:tcPr/>
          <w:p>
            <w:pPr>
              <w:pStyle w:val="Compact"/>
              <w:jc w:val="left"/>
            </w:pPr>
            <w:r>
              <w:rPr>
                <w:b/>
              </w:rPr>
              <w:t xml:space="preserve">Anchor</w:t>
            </w:r>
          </w:p>
        </w:tc>
        <w:tc>
          <w:tcPr/>
          <w:p>
            <w:pPr>
              <w:pStyle w:val="Compact"/>
              <w:jc w:val="left"/>
            </w:pPr>
            <w:r>
              <w:rPr>
                <w:b/>
              </w:rPr>
              <w:t xml:space="preserve">Plain Nearest</w:t>
            </w:r>
          </w:p>
        </w:tc>
        <w:tc>
          <w:tcPr/>
          <w:p>
            <w:pPr>
              <w:pStyle w:val="Compact"/>
              <w:jc w:val="left"/>
            </w:pPr>
            <w:r>
              <w:rPr>
                <w:b/>
              </w:rPr>
              <w:t xml:space="preserve">κ = 1, any ρ</w:t>
            </w:r>
          </w:p>
        </w:tc>
        <w:tc>
          <w:tcPr/>
          <w:p>
            <w:pPr>
              <w:pStyle w:val="Compact"/>
              <w:jc w:val="left"/>
            </w:pPr>
            <w:r>
              <w:rPr>
                <w:b/>
              </w:rPr>
              <w:t xml:space="preserve">κ = 2, ρ = 0</w:t>
            </w:r>
          </w:p>
        </w:tc>
        <w:tc>
          <w:tcPr/>
          <w:p>
            <w:pPr>
              <w:pStyle w:val="Compact"/>
              <w:jc w:val="left"/>
            </w:pPr>
            <w:r>
              <w:rPr>
                <w:b/>
              </w:rPr>
              <w:t xml:space="preserve">κ = 3, ρ = 0</w:t>
            </w:r>
          </w:p>
        </w:tc>
        <w:tc>
          <w:tcPr/>
          <w:p>
            <w:pPr>
              <w:pStyle w:val="Compact"/>
              <w:jc w:val="left"/>
            </w:pPr>
            <w:r>
              <w:rPr>
                <w:b/>
              </w:rPr>
              <w:t xml:space="preserve">κ = 3, ρ = 3</w:t>
            </w:r>
          </w:p>
        </w:tc>
        <w:tc>
          <w:tcPr/>
          <w:p>
            <w:pPr>
              <w:pStyle w:val="Compact"/>
              <w:jc w:val="left"/>
            </w:pPr>
            <w:r>
              <w:rPr>
                <w:b/>
              </w:rPr>
              <w:t xml:space="preserve">κ = 5, ρ = 1</w:t>
            </w:r>
          </w:p>
        </w:tc>
      </w:tr>
      <w:tr>
        <w:trPr>
          <w:cantSplit/>
        </w:trPr>
        <w:tc>
          <w:tcPr/>
          <w:p>
            <w:pPr>
              <w:pStyle w:val="Compact"/>
              <w:jc w:val="left"/>
            </w:pPr>
            <w:r>
              <w:t xml:space="preserve">A1</w:t>
            </w:r>
          </w:p>
        </w:tc>
        <w:tc>
          <w:tcPr/>
          <w:p>
            <w:pPr>
              <w:pStyle w:val="Compact"/>
              <w:jc w:val="left"/>
            </w:pPr>
            <w:r>
              <w:t xml:space="preserve">S3, 24.6 (full)</w:t>
            </w:r>
          </w:p>
        </w:tc>
        <w:tc>
          <w:tcPr/>
          <w:p>
            <w:pPr>
              <w:pStyle w:val="Compact"/>
              <w:jc w:val="left"/>
            </w:pPr>
            <w:r>
              <w:t xml:space="preserve">S4, 29.2</w:t>
            </w:r>
          </w:p>
        </w:tc>
        <w:tc>
          <w:tcPr/>
          <w:p>
            <w:pPr>
              <w:pStyle w:val="Compact"/>
              <w:jc w:val="left"/>
            </w:pPr>
            <w:r>
              <w:t xml:space="preserve">S4, 29.2</w:t>
            </w:r>
          </w:p>
        </w:tc>
        <w:tc>
          <w:tcPr/>
          <w:p>
            <w:pPr>
              <w:pStyle w:val="Compact"/>
              <w:jc w:val="left"/>
            </w:pPr>
            <w:r>
              <w:t xml:space="preserve">S4, 29.2</w:t>
            </w:r>
          </w:p>
        </w:tc>
        <w:tc>
          <w:tcPr/>
          <w:p>
            <w:pPr>
              <w:pStyle w:val="Compact"/>
              <w:jc w:val="left"/>
            </w:pPr>
            <w:r>
              <w:t xml:space="preserve">S4, 29.2</w:t>
            </w:r>
          </w:p>
        </w:tc>
        <w:tc>
          <w:tcPr/>
          <w:p>
            <w:pPr>
              <w:pStyle w:val="Compact"/>
              <w:jc w:val="left"/>
            </w:pPr>
            <w:r>
              <w:t xml:space="preserve">S4, 29.2</w:t>
            </w:r>
          </w:p>
        </w:tc>
      </w:tr>
      <w:tr>
        <w:trPr>
          <w:cantSplit/>
        </w:trPr>
        <w:tc>
          <w:tcPr/>
          <w:p>
            <w:pPr>
              <w:pStyle w:val="Compact"/>
              <w:jc w:val="left"/>
            </w:pPr>
            <w:r>
              <w:t xml:space="preserve">A2</w:t>
            </w:r>
          </w:p>
        </w:tc>
        <w:tc>
          <w:tcPr/>
          <w:p>
            <w:pPr>
              <w:pStyle w:val="Compact"/>
              <w:jc w:val="left"/>
            </w:pPr>
            <w:r>
              <w:t xml:space="preserve">S3, 21.3 (full)</w:t>
            </w:r>
          </w:p>
        </w:tc>
        <w:tc>
          <w:tcPr/>
          <w:p>
            <w:pPr>
              <w:pStyle w:val="Compact"/>
              <w:jc w:val="left"/>
            </w:pPr>
            <w:r>
              <w:t xml:space="preserve">S4, 27.3</w:t>
            </w:r>
          </w:p>
        </w:tc>
        <w:tc>
          <w:tcPr/>
          <w:p>
            <w:pPr>
              <w:pStyle w:val="Compact"/>
              <w:jc w:val="left"/>
            </w:pPr>
            <w:r>
              <w:t xml:space="preserve">S4, 27.3</w:t>
            </w:r>
          </w:p>
        </w:tc>
        <w:tc>
          <w:tcPr/>
          <w:p>
            <w:pPr>
              <w:pStyle w:val="Compact"/>
              <w:jc w:val="left"/>
            </w:pPr>
            <w:r>
              <w:t xml:space="preserve">S4, 27.3</w:t>
            </w:r>
          </w:p>
        </w:tc>
        <w:tc>
          <w:tcPr/>
          <w:p>
            <w:pPr>
              <w:pStyle w:val="Compact"/>
              <w:jc w:val="left"/>
            </w:pPr>
            <w:r>
              <w:t xml:space="preserve">S4, 27.3</w:t>
            </w:r>
          </w:p>
        </w:tc>
        <w:tc>
          <w:tcPr/>
          <w:p>
            <w:pPr>
              <w:pStyle w:val="Compact"/>
              <w:jc w:val="left"/>
            </w:pPr>
            <w:r>
              <w:t xml:space="preserve">S4, 27.3</w:t>
            </w:r>
          </w:p>
        </w:tc>
      </w:tr>
      <w:tr>
        <w:trPr>
          <w:cantSplit/>
        </w:trPr>
        <w:tc>
          <w:tcPr/>
          <w:p>
            <w:pPr>
              <w:pStyle w:val="Compact"/>
              <w:jc w:val="left"/>
            </w:pPr>
            <w:r>
              <w:t xml:space="preserve">A3</w:t>
            </w:r>
          </w:p>
        </w:tc>
        <w:tc>
          <w:tcPr/>
          <w:p>
            <w:pPr>
              <w:pStyle w:val="Compact"/>
              <w:jc w:val="left"/>
            </w:pPr>
            <w:r>
              <w:t xml:space="preserve">S3, 7.0 (full)</w:t>
            </w:r>
          </w:p>
        </w:tc>
        <w:tc>
          <w:tcPr/>
          <w:p>
            <w:pPr>
              <w:pStyle w:val="Compact"/>
              <w:jc w:val="left"/>
            </w:pPr>
            <w:r>
              <w:t xml:space="preserve">S4, 18.6</w:t>
            </w:r>
          </w:p>
        </w:tc>
        <w:tc>
          <w:tcPr/>
          <w:p>
            <w:pPr>
              <w:pStyle w:val="Compact"/>
              <w:jc w:val="left"/>
            </w:pPr>
            <w:r>
              <w:t xml:space="preserve">S4, 18.6</w:t>
            </w:r>
          </w:p>
        </w:tc>
        <w:tc>
          <w:tcPr/>
          <w:p>
            <w:pPr>
              <w:pStyle w:val="Compact"/>
              <w:jc w:val="left"/>
            </w:pPr>
            <w:r>
              <w:t xml:space="preserve">S4, 18.6</w:t>
            </w:r>
          </w:p>
        </w:tc>
        <w:tc>
          <w:tcPr/>
          <w:p>
            <w:pPr>
              <w:pStyle w:val="Compact"/>
              <w:jc w:val="left"/>
            </w:pPr>
            <w:r>
              <w:t xml:space="preserve">S4, 18.6</w:t>
            </w:r>
          </w:p>
        </w:tc>
        <w:tc>
          <w:tcPr/>
          <w:p>
            <w:pPr>
              <w:pStyle w:val="Compact"/>
              <w:jc w:val="left"/>
            </w:pPr>
            <w:r>
              <w:t xml:space="preserve">S4, 18.6</w:t>
            </w:r>
          </w:p>
        </w:tc>
      </w:tr>
      <w:tr>
        <w:trPr>
          <w:cantSplit/>
        </w:trPr>
        <w:tc>
          <w:tcPr/>
          <w:p>
            <w:pPr>
              <w:pStyle w:val="Compact"/>
              <w:jc w:val="left"/>
            </w:pPr>
            <w:r>
              <w:t xml:space="preserve">A4</w:t>
            </w:r>
          </w:p>
        </w:tc>
        <w:tc>
          <w:tcPr/>
          <w:p>
            <w:pPr>
              <w:pStyle w:val="Compact"/>
              <w:jc w:val="left"/>
            </w:pPr>
            <w:r>
              <w:t xml:space="preserve">S3, 37.5 (full)</w:t>
            </w:r>
          </w:p>
        </w:tc>
        <w:tc>
          <w:tcPr/>
          <w:p>
            <w:pPr>
              <w:pStyle w:val="Compact"/>
              <w:jc w:val="left"/>
            </w:pPr>
            <w:r>
              <w:t xml:space="preserve">S4, 43.6</w:t>
            </w:r>
          </w:p>
        </w:tc>
        <w:tc>
          <w:tcPr/>
          <w:p>
            <w:pPr>
              <w:pStyle w:val="Compact"/>
              <w:jc w:val="left"/>
            </w:pPr>
            <w:r>
              <w:t xml:space="preserve">S4, 43.6</w:t>
            </w:r>
          </w:p>
        </w:tc>
        <w:tc>
          <w:tcPr/>
          <w:p>
            <w:pPr>
              <w:pStyle w:val="Compact"/>
              <w:jc w:val="left"/>
            </w:pPr>
            <w:r>
              <w:t xml:space="preserve">S4, 43.6</w:t>
            </w:r>
          </w:p>
        </w:tc>
        <w:tc>
          <w:tcPr/>
          <w:p>
            <w:pPr>
              <w:pStyle w:val="Compact"/>
              <w:jc w:val="left"/>
            </w:pPr>
            <w:r>
              <w:t xml:space="preserve">S4, 43.6</w:t>
            </w:r>
          </w:p>
        </w:tc>
        <w:tc>
          <w:tcPr/>
          <w:p>
            <w:pPr>
              <w:pStyle w:val="Compact"/>
              <w:jc w:val="left"/>
            </w:pPr>
            <w:r>
              <w:t xml:space="preserve">S4, 43.6</w:t>
            </w:r>
          </w:p>
        </w:tc>
      </w:tr>
      <w:tr>
        <w:trPr>
          <w:cantSplit/>
        </w:trPr>
        <w:tc>
          <w:tcPr/>
          <w:p>
            <w:pPr>
              <w:pStyle w:val="Compact"/>
              <w:jc w:val="left"/>
            </w:pPr>
            <w:r>
              <w:t xml:space="preserve">A5</w:t>
            </w:r>
          </w:p>
        </w:tc>
        <w:tc>
          <w:tcPr/>
          <w:p>
            <w:pPr>
              <w:pStyle w:val="Compact"/>
              <w:jc w:val="left"/>
            </w:pPr>
            <w:r>
              <w:t xml:space="preserve">S3, 26.0 (full)</w:t>
            </w:r>
          </w:p>
        </w:tc>
        <w:tc>
          <w:tcPr/>
          <w:p>
            <w:pPr>
              <w:pStyle w:val="Compact"/>
              <w:jc w:val="left"/>
            </w:pPr>
            <w:r>
              <w:t xml:space="preserve">S4, 32.6</w:t>
            </w:r>
          </w:p>
        </w:tc>
        <w:tc>
          <w:tcPr/>
          <w:p>
            <w:pPr>
              <w:pStyle w:val="Compact"/>
              <w:jc w:val="left"/>
            </w:pPr>
            <w:r>
              <w:t xml:space="preserve">S4, 32.6</w:t>
            </w:r>
          </w:p>
        </w:tc>
        <w:tc>
          <w:tcPr/>
          <w:p>
            <w:pPr>
              <w:pStyle w:val="Compact"/>
              <w:jc w:val="left"/>
            </w:pPr>
            <w:r>
              <w:t xml:space="preserve">S4, 32.6</w:t>
            </w:r>
          </w:p>
        </w:tc>
        <w:tc>
          <w:tcPr/>
          <w:p>
            <w:pPr>
              <w:pStyle w:val="Compact"/>
              <w:jc w:val="left"/>
            </w:pPr>
            <w:r>
              <w:t xml:space="preserve">S4, 32.6</w:t>
            </w:r>
          </w:p>
        </w:tc>
        <w:tc>
          <w:tcPr/>
          <w:p>
            <w:pPr>
              <w:pStyle w:val="Compact"/>
              <w:jc w:val="left"/>
            </w:pPr>
            <w:r>
              <w:t xml:space="preserve">S4, 32.6</w:t>
            </w:r>
          </w:p>
        </w:tc>
      </w:tr>
      <w:tr>
        <w:trPr>
          <w:cantSplit/>
        </w:trPr>
        <w:tc>
          <w:tcPr/>
          <w:p>
            <w:pPr>
              <w:pStyle w:val="Compact"/>
              <w:jc w:val="left"/>
            </w:pPr>
            <w:r>
              <w:t xml:space="preserve">A6</w:t>
            </w:r>
          </w:p>
        </w:tc>
        <w:tc>
          <w:tcPr/>
          <w:p>
            <w:pPr>
              <w:pStyle w:val="Compact"/>
              <w:jc w:val="left"/>
            </w:pPr>
            <w:r>
              <w:t xml:space="preserve">S7, 13.0</w:t>
            </w:r>
          </w:p>
        </w:tc>
        <w:tc>
          <w:tcPr/>
          <w:p>
            <w:pPr>
              <w:pStyle w:val="Compact"/>
              <w:jc w:val="left"/>
            </w:pPr>
            <w:r>
              <w:t xml:space="preserve">S7, 13.0 (stabilize), then S4, 37.2</w:t>
            </w:r>
          </w:p>
        </w:tc>
        <w:tc>
          <w:tcPr/>
          <w:p>
            <w:pPr>
              <w:pStyle w:val="Compact"/>
              <w:jc w:val="left"/>
            </w:pPr>
            <w:r>
              <w:t xml:space="preserve">S7, 13.0</w:t>
            </w:r>
          </w:p>
        </w:tc>
        <w:tc>
          <w:tcPr/>
          <w:p>
            <w:pPr>
              <w:pStyle w:val="Compact"/>
              <w:jc w:val="left"/>
            </w:pPr>
            <w:r>
              <w:t xml:space="preserve">S4, 37.2</w:t>
            </w:r>
          </w:p>
        </w:tc>
        <w:tc>
          <w:tcPr/>
          <w:p>
            <w:pPr>
              <w:pStyle w:val="Compact"/>
              <w:jc w:val="left"/>
            </w:pPr>
            <w:r>
              <w:t xml:space="preserve">S7, 13.0</w:t>
            </w:r>
          </w:p>
        </w:tc>
        <w:tc>
          <w:tcPr/>
          <w:p>
            <w:pPr>
              <w:pStyle w:val="Compact"/>
              <w:jc w:val="left"/>
            </w:pPr>
            <w:r>
              <w:t xml:space="preserve">S4, 37.2</w:t>
            </w:r>
          </w:p>
        </w:tc>
      </w:tr>
    </w:tbl>
    <w:p>
      <w:pPr>
        <w:pStyle w:val="BodyText"/>
        <w:spacing w:before="200"/>
      </w:pPr>
      <w:r>
        <w:t xml:space="preserve">Table 26 shows four effects. The first is bed status. For five of the six anchors the nearest hospital on the map is S3, which has no free bed. Hospital mode sends these patients to S4 instead, adding 4.6 to 11.6 minutes; the largest detour is at A3, where the trip grows from 7.0 to 18.6 minutes. A router that ignored beds would have sent every one of them to a hospital that could not admit them.</w:t>
      </w:r>
    </w:p>
    <w:p>
      <w:pPr>
        <w:pStyle w:val="BodyText"/>
      </w:pPr>
      <w:r>
        <w:t xml:space="preserve">The second effect is capability. Even with a free bed, S3 is a Level 1 hospital and cannot take a patient with κ ≤ 2, who needs at least Level 2 care.</w:t>
      </w:r>
    </w:p>
    <w:p>
      <w:pPr>
        <w:pStyle w:val="BodyText"/>
      </w:pPr>
      <w:r>
        <w:t xml:space="preserve">The third effect is cost. At A6, an urgent patient (κ = 3) who can use only free or assisted care (ρ = 0) is sent 37.2 minutes to S4, while a patient able to pay for private care is sent 13.0 minutes to S7. The payment gap there is 24.2 minutes. Weighted over all six anchors, the payment gap for κ = 3 and ρ = 0 averages 4.45 minutes, and A6, with 18.4 percent of the weight, carries all of it. Those 24.2 minutes are the travel penalty of having no financial protection, the very thing SDG target 3.8 aims to remove.</w:t>
      </w:r>
    </w:p>
    <w:p>
      <w:pPr>
        <w:pStyle w:val="BodyText"/>
      </w:pPr>
      <w:r>
        <w:t xml:space="preserve">The fourth effect comes from the two emergency rules. For κ = 2 the gap is zero everywhere, as Corollary 11 requires. In a second run of the script with the payment override switched off, the 24.2-minute gap reappeared at A6 for an emergency patient, so the override is what removes it. For κ = 1, S4 is the only Level 3 site, so a patient at A6 must end up 37.2 minutes away; but the emergency room of S7 is only 13.0 minutes off, and since 13.0 + 15 &lt; 37.2, the patient is stabilized at S7 first. No other anchor triggers the rule, because S4 is already the nearest open emergency room for each of them.</w:t>
      </w:r>
    </w:p>
    <w:p>
      <w:pPr>
        <w:pStyle w:val="TableCaption"/>
      </w:pPr>
      <w:r>
        <w:rPr>
          <w:bCs/>
          <w:b/>
        </w:rPr>
        <w:t xml:space="preserve">Table 27.</w:t>
      </w:r>
      <w:r>
        <w:t xml:space="preserve"> </w:t>
      </w:r>
      <w:r>
        <w:t xml:space="preserve">Beds reachable within 30 min in S1, counted three ways: authorized, free, and free in hospitals that payment class 0 accepts (synthetic instance).</w:t>
      </w:r>
    </w:p>
    <w:tbl>
      <w:tblPr>
        <w:tblStyle w:val="Table"/>
        <w:tblW w:type="pct" w:w="5000"/>
        <w:jc w:val="center"/>
        <w:tblCaption w:val="Table 27. Beds reachable within 30 min in S1, counted three ways: authorized, free, and free in hospitals that payment class 0 accepts (synthetic instance)."/>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2988"/>
        <w:gridCol w:w="1643"/>
        <w:gridCol w:w="1643"/>
        <w:gridCol w:w="1643"/>
      </w:tblGrid>
      <w:tr>
        <w:trPr>
          <w:tblHeader w:val="true"/>
          <w:tblHeader/>
          <w:cantSplit/>
        </w:trPr>
        <w:tc>
          <w:tcPr/>
          <w:p>
            <w:pPr>
              <w:pStyle w:val="Compact"/>
              <w:jc w:val="left"/>
            </w:pPr>
            <w:r>
              <w:rPr>
                <w:b/>
              </w:rPr>
              <w:t xml:space="preserve">Quantity</w:t>
            </w:r>
          </w:p>
        </w:tc>
        <w:tc>
          <w:tcPr/>
          <w:p>
            <w:pPr>
              <w:pStyle w:val="Compact"/>
              <w:jc w:val="left"/>
            </w:pPr>
            <w:r>
              <w:rPr>
                <w:b/>
              </w:rPr>
              <w:t xml:space="preserve">Authorized,</w:t>
            </w:r>
            <w:r>
              <w:rPr>
                <w:b/>
              </w:rPr>
              <w:t xml:space="preserve"> </w:t>
            </w:r>
            <w:r>
              <w:rPr>
                <w:iCs/>
                <w:b/>
                <w:i/>
              </w:rPr>
              <w:t xml:space="preserve">A</w:t>
            </w:r>
            <w:r>
              <w:rPr>
                <w:iCs/>
                <w:b/>
                <w:i/>
                <w:vertAlign w:val="subscript"/>
              </w:rPr>
              <w:t xml:space="preserve">a</w:t>
            </w:r>
            <w:r>
              <w:rPr>
                <w:b/>
              </w:rPr>
              <w:t xml:space="preserve">(30)</w:t>
            </w:r>
          </w:p>
        </w:tc>
        <w:tc>
          <w:tcPr/>
          <w:p>
            <w:pPr>
              <w:pStyle w:val="Compact"/>
              <w:jc w:val="left"/>
            </w:pPr>
            <w:r>
              <w:rPr>
                <w:b/>
              </w:rPr>
              <w:t xml:space="preserve">Free,</w:t>
            </w:r>
            <w:r>
              <w:rPr>
                <w:b/>
              </w:rPr>
              <w:t xml:space="preserve"> </w:t>
            </w:r>
            <w:r>
              <w:rPr>
                <w:iCs/>
                <w:b/>
                <w:i/>
              </w:rPr>
              <w:t xml:space="preserve">B</w:t>
            </w:r>
            <w:r>
              <w:rPr>
                <w:iCs/>
                <w:b/>
                <w:i/>
                <w:vertAlign w:val="subscript"/>
              </w:rPr>
              <w:t xml:space="preserve">a</w:t>
            </w:r>
            <w:r>
              <w:rPr>
                <w:b/>
              </w:rPr>
              <w:t xml:space="preserve">(30)</w:t>
            </w:r>
          </w:p>
        </w:tc>
        <w:tc>
          <w:tcPr/>
          <w:p>
            <w:pPr>
              <w:pStyle w:val="Compact"/>
              <w:jc w:val="left"/>
            </w:pPr>
            <w:r>
              <w:rPr>
                <w:b/>
              </w:rPr>
              <w:t xml:space="preserve">Free and Accepted,</w:t>
            </w:r>
            <w:r>
              <w:rPr>
                <w:b/>
              </w:rPr>
              <w:t xml:space="preserve"> </w:t>
            </w:r>
            <w:r>
              <w:rPr>
                <w:iCs/>
                <w:b/>
                <w:i/>
              </w:rPr>
              <w:t xml:space="preserve">B</w:t>
            </w:r>
            <w:r>
              <w:rPr>
                <w:b/>
                <w:vertAlign w:val="superscript"/>
              </w:rPr>
              <w:t xml:space="preserve">0</w:t>
            </w:r>
            <w:r>
              <w:rPr>
                <w:iCs/>
                <w:b/>
                <w:i/>
                <w:vertAlign w:val="subscript"/>
              </w:rPr>
              <w:t xml:space="preserve">a</w:t>
            </w:r>
            <w:r>
              <w:rPr>
                <w:b/>
              </w:rPr>
              <w:t xml:space="preserve">(30)</w:t>
            </w:r>
          </w:p>
        </w:tc>
      </w:tr>
      <w:tr>
        <w:trPr>
          <w:cantSplit/>
        </w:trPr>
        <w:tc>
          <w:tcPr/>
          <w:p>
            <w:pPr>
              <w:pStyle w:val="Compact"/>
              <w:jc w:val="left"/>
            </w:pPr>
            <w:r>
              <w:t xml:space="preserve">Scores, A1 to A6</w:t>
            </w:r>
          </w:p>
        </w:tc>
        <w:tc>
          <w:tcPr/>
          <w:p>
            <w:pPr>
              <w:pStyle w:val="Compact"/>
              <w:jc w:val="left"/>
            </w:pPr>
            <w:r>
              <w:t xml:space="preserve">145, 145, 145, 0, 25, 40</w:t>
            </w:r>
          </w:p>
        </w:tc>
        <w:tc>
          <w:tcPr/>
          <w:p>
            <w:pPr>
              <w:pStyle w:val="Compact"/>
              <w:jc w:val="left"/>
            </w:pPr>
            <w:r>
              <w:t xml:space="preserve">8, 8, 8, 0, 0, 9</w:t>
            </w:r>
          </w:p>
        </w:tc>
        <w:tc>
          <w:tcPr/>
          <w:p>
            <w:pPr>
              <w:pStyle w:val="Compact"/>
              <w:jc w:val="left"/>
            </w:pPr>
            <w:r>
              <w:t xml:space="preserve">8, 8, 8, 0, 0, 0</w:t>
            </w:r>
          </w:p>
        </w:tc>
      </w:tr>
      <w:tr>
        <w:trPr>
          <w:cantSplit/>
        </w:trPr>
        <w:tc>
          <w:tcPr/>
          <w:p>
            <w:pPr>
              <w:pStyle w:val="Compact"/>
              <w:jc w:val="left"/>
            </w:pPr>
            <w:r>
              <w:t xml:space="preserve">Weighted mean μ</w:t>
            </w:r>
          </w:p>
        </w:tc>
        <w:tc>
          <w:tcPr/>
          <w:p>
            <w:pPr>
              <w:pStyle w:val="Compact"/>
              <w:jc w:val="left"/>
            </w:pPr>
            <w:r>
              <w:t xml:space="preserve">102.99</w:t>
            </w:r>
          </w:p>
        </w:tc>
        <w:tc>
          <w:tcPr/>
          <w:p>
            <w:pPr>
              <w:pStyle w:val="Compact"/>
              <w:jc w:val="left"/>
            </w:pPr>
            <w:r>
              <w:t xml:space="preserve">6.84</w:t>
            </w:r>
          </w:p>
        </w:tc>
        <w:tc>
          <w:tcPr/>
          <w:p>
            <w:pPr>
              <w:pStyle w:val="Compact"/>
              <w:jc w:val="left"/>
            </w:pPr>
            <w:r>
              <w:t xml:space="preserve">5.18</w:t>
            </w:r>
          </w:p>
        </w:tc>
      </w:tr>
      <w:tr>
        <w:trPr>
          <w:cantSplit/>
        </w:trPr>
        <w:tc>
          <w:tcPr/>
          <w:p>
            <w:pPr>
              <w:pStyle w:val="Compact"/>
              <w:jc w:val="left"/>
            </w:pPr>
            <w:r>
              <w:t xml:space="preserve">Gini coefficient</w:t>
            </w:r>
          </w:p>
        </w:tc>
        <w:tc>
          <w:tcPr/>
          <w:p>
            <w:pPr>
              <w:pStyle w:val="Compact"/>
              <w:jc w:val="left"/>
            </w:pPr>
            <w:r>
              <w:t xml:space="preserve">0.2747</w:t>
            </w:r>
          </w:p>
        </w:tc>
        <w:tc>
          <w:tcPr/>
          <w:p>
            <w:pPr>
              <w:pStyle w:val="Compact"/>
              <w:jc w:val="left"/>
            </w:pPr>
            <w:r>
              <w:t xml:space="preserve">0.1859</w:t>
            </w:r>
          </w:p>
        </w:tc>
        <w:tc>
          <w:tcPr/>
          <w:p>
            <w:pPr>
              <w:pStyle w:val="Compact"/>
              <w:jc w:val="left"/>
            </w:pPr>
            <w:r>
              <w:t xml:space="preserve">0.3524</w:t>
            </w:r>
          </w:p>
        </w:tc>
      </w:tr>
      <w:tr>
        <w:trPr>
          <w:cantSplit/>
        </w:trPr>
        <w:tc>
          <w:tcPr/>
          <w:p>
            <w:pPr>
              <w:pStyle w:val="Compact"/>
              <w:jc w:val="left"/>
            </w:pPr>
            <w:r>
              <w:t xml:space="preserve">Theil index</w:t>
            </w:r>
          </w:p>
        </w:tc>
        <w:tc>
          <w:tcPr/>
          <w:p>
            <w:pPr>
              <w:pStyle w:val="Compact"/>
              <w:jc w:val="left"/>
            </w:pPr>
            <w:r>
              <w:t xml:space="preserve">0.2205</w:t>
            </w:r>
          </w:p>
        </w:tc>
        <w:tc>
          <w:tcPr/>
          <w:p>
            <w:pPr>
              <w:pStyle w:val="Compact"/>
              <w:jc w:val="left"/>
            </w:pPr>
            <w:r>
              <w:t xml:space="preserve">0.1857</w:t>
            </w:r>
          </w:p>
        </w:tc>
        <w:tc>
          <w:tcPr/>
          <w:p>
            <w:pPr>
              <w:pStyle w:val="Compact"/>
              <w:jc w:val="left"/>
            </w:pPr>
            <w:r>
              <w:t xml:space="preserve">0.4345</w:t>
            </w:r>
          </w:p>
        </w:tc>
      </w:tr>
      <w:tr>
        <w:trPr>
          <w:cantSplit/>
        </w:trPr>
        <w:tc>
          <w:tcPr/>
          <w:p>
            <w:pPr>
              <w:pStyle w:val="Compact"/>
              <w:jc w:val="left"/>
            </w:pPr>
            <w:r>
              <w:t xml:space="preserve">Share within municipalities</w:t>
            </w:r>
          </w:p>
        </w:tc>
        <w:tc>
          <w:tcPr/>
          <w:p>
            <w:pPr>
              <w:pStyle w:val="Compact"/>
              <w:jc w:val="left"/>
            </w:pPr>
            <w:r>
              <w:t xml:space="preserve">14.0%</w:t>
            </w:r>
          </w:p>
        </w:tc>
        <w:tc>
          <w:tcPr/>
          <w:p>
            <w:pPr>
              <w:pStyle w:val="Compact"/>
              <w:jc w:val="left"/>
            </w:pPr>
            <w:r>
              <w:t xml:space="preserve">84.8%</w:t>
            </w:r>
          </w:p>
        </w:tc>
        <w:tc>
          <w:tcPr/>
          <w:p>
            <w:pPr>
              <w:pStyle w:val="Compact"/>
              <w:jc w:val="left"/>
            </w:pPr>
            <w:r>
              <w:t xml:space="preserve">0.0%</w:t>
            </w:r>
          </w:p>
        </w:tc>
      </w:tr>
      <w:tr>
        <w:trPr>
          <w:cantSplit/>
        </w:trPr>
        <w:tc>
          <w:tcPr/>
          <w:p>
            <w:pPr>
              <w:pStyle w:val="Compact"/>
              <w:jc w:val="left"/>
            </w:pPr>
            <w:r>
              <w:t xml:space="preserve">Share between municipalities</w:t>
            </w:r>
          </w:p>
        </w:tc>
        <w:tc>
          <w:tcPr/>
          <w:p>
            <w:pPr>
              <w:pStyle w:val="Compact"/>
              <w:jc w:val="left"/>
            </w:pPr>
            <w:r>
              <w:t xml:space="preserve">86.0%</w:t>
            </w:r>
          </w:p>
        </w:tc>
        <w:tc>
          <w:tcPr/>
          <w:p>
            <w:pPr>
              <w:pStyle w:val="Compact"/>
              <w:jc w:val="left"/>
            </w:pPr>
            <w:r>
              <w:t xml:space="preserve">15.2%</w:t>
            </w:r>
          </w:p>
        </w:tc>
        <w:tc>
          <w:tcPr/>
          <w:p>
            <w:pPr>
              <w:pStyle w:val="Compact"/>
              <w:jc w:val="left"/>
            </w:pPr>
            <w:r>
              <w:t xml:space="preserve">100.0%</w:t>
            </w:r>
          </w:p>
        </w:tc>
      </w:tr>
      <w:tr>
        <w:trPr>
          <w:cantSplit/>
        </w:trPr>
        <w:tc>
          <w:tcPr/>
          <w:p>
            <w:pPr>
              <w:pStyle w:val="Compact"/>
              <w:jc w:val="left"/>
            </w:pPr>
            <w:r>
              <w:t xml:space="preserve">Palma ratio</w:t>
            </w:r>
          </w:p>
        </w:tc>
        <w:tc>
          <w:tcPr/>
          <w:p>
            <w:pPr>
              <w:pStyle w:val="Compact"/>
              <w:jc w:val="left"/>
            </w:pPr>
            <w:r>
              <w:t xml:space="preserve">0.907</w:t>
            </w:r>
          </w:p>
        </w:tc>
        <w:tc>
          <w:tcPr/>
          <w:p>
            <w:pPr>
              <w:pStyle w:val="Compact"/>
              <w:jc w:val="left"/>
            </w:pPr>
            <w:r>
              <w:t xml:space="preserve">0.486</w:t>
            </w:r>
          </w:p>
        </w:tc>
        <w:tc>
          <w:tcPr/>
          <w:p>
            <w:pPr>
              <w:pStyle w:val="Compact"/>
              <w:jc w:val="left"/>
            </w:pPr>
            <w:r>
              <w:t xml:space="preserve">2.103</w:t>
            </w:r>
          </w:p>
        </w:tc>
      </w:tr>
      <w:tr>
        <w:trPr>
          <w:cantSplit/>
        </w:trPr>
        <w:tc>
          <w:tcPr/>
          <w:p>
            <w:pPr>
              <w:pStyle w:val="Compact"/>
              <w:jc w:val="left"/>
            </w:pPr>
            <w:r>
              <w:t xml:space="preserve">Weight share with zero access</w:t>
            </w:r>
          </w:p>
        </w:tc>
        <w:tc>
          <w:tcPr/>
          <w:p>
            <w:pPr>
              <w:pStyle w:val="Compact"/>
              <w:jc w:val="left"/>
            </w:pPr>
            <w:r>
              <w:t xml:space="preserve">9.9%</w:t>
            </w:r>
          </w:p>
        </w:tc>
        <w:tc>
          <w:tcPr/>
          <w:p>
            <w:pPr>
              <w:pStyle w:val="Compact"/>
              <w:jc w:val="left"/>
            </w:pPr>
            <w:r>
              <w:t xml:space="preserve">16.8%</w:t>
            </w:r>
          </w:p>
        </w:tc>
        <w:tc>
          <w:tcPr/>
          <w:p>
            <w:pPr>
              <w:pStyle w:val="Compact"/>
              <w:jc w:val="left"/>
            </w:pPr>
            <w:r>
              <w:t xml:space="preserve">35.2%</w:t>
            </w:r>
          </w:p>
        </w:tc>
      </w:tr>
    </w:tbl>
    <w:p>
      <w:pPr>
        <w:pStyle w:val="BodyText"/>
        <w:spacing w:before="200"/>
      </w:pPr>
      <w:r>
        <w:t xml:space="preserve">Table 27 shows how the diagnosis shifts when free beds replace authorized ones. With authorized beds, 86 percent of the Theil index lies between municipalities, the trunk-link problem noted above. With free beds, 84.8 percent moves inside M2, because A6 can reach the nine free beds of S7 while A4 and A5 reach none. When only hospitals that accept payment class 0 count, all of the inequality returns to the between-municipality part, since S4 is the only such hospital and only the anchors of M1 can reach it within 30 minutes. The numbers come from a synthetic network with invented bed counts, but the methodological point stands: live bed counts can change which policy the decomposition recommends, so all three versions should always be reported together.</w:t>
      </w:r>
    </w:p>
    <w:bookmarkEnd w:id="173"/>
    <w:bookmarkStart w:id="174" w:name="patient-needs-and-backups-on-s1"/>
    <w:p>
      <w:pPr>
        <w:pStyle w:val="Heading3"/>
      </w:pPr>
      <w:r>
        <w:t xml:space="preserve">3.5.2 Patient Needs and Backups on S1</w:t>
      </w:r>
    </w:p>
    <w:p>
      <w:pPr>
        <w:pStyle w:val="FirstParagraph"/>
      </w:pPr>
      <w:r>
        <w:t xml:space="preserve">Table 28 adds the patient’s needs and the backup hospital to the same instance. All profiles have κ = 3 and a standard walker.</w:t>
      </w:r>
    </w:p>
    <w:p>
      <w:pPr>
        <w:pStyle w:val="TableCaption"/>
      </w:pPr>
      <w:r>
        <w:rPr>
          <w:bCs/>
          <w:b/>
        </w:rPr>
        <w:t xml:space="preserve">Table 28.</w:t>
      </w:r>
      <w:r>
        <w:t xml:space="preserve"> </w:t>
      </w:r>
      <w:r>
        <w:t xml:space="preserve">First choice and backup (min) for each anchor of S1 by the patient’s need and payment class, with κ = 3;</w:t>
      </w:r>
      <w:r>
        <w:t xml:space="preserve"> </w:t>
      </w:r>
      <w:r>
        <w:t xml:space="preserve">“</w:t>
      </w:r>
      <w:r>
        <w:t xml:space="preserve">none</w:t>
      </w:r>
      <w:r>
        <w:t xml:space="preserve">”</w:t>
      </w:r>
      <w:r>
        <w:t xml:space="preserve"> </w:t>
      </w:r>
      <w:r>
        <w:t xml:space="preserve">means no second suitable hospital exists. Synthetic instance.</w:t>
      </w:r>
    </w:p>
    <w:tbl>
      <w:tblPr>
        <w:tblStyle w:val="Table"/>
        <w:tblW w:type="pct" w:w="5000"/>
        <w:jc w:val="center"/>
        <w:tblCaption w:val="Table 28. First choice and backup (min) for each anchor of S1 by the patient’s need and payment class, with κ = 3; “none” means no second suitable hospital exists. Synthetic instance."/>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1056"/>
        <w:gridCol w:w="1716"/>
        <w:gridCol w:w="1716"/>
        <w:gridCol w:w="1716"/>
        <w:gridCol w:w="1716"/>
      </w:tblGrid>
      <w:tr>
        <w:trPr>
          <w:tblHeader w:val="true"/>
          <w:tblHeader/>
          <w:cantSplit/>
        </w:trPr>
        <w:tc>
          <w:tcPr/>
          <w:p>
            <w:pPr>
              <w:pStyle w:val="Compact"/>
              <w:jc w:val="left"/>
            </w:pPr>
            <w:r>
              <w:rPr>
                <w:b/>
              </w:rPr>
              <w:t xml:space="preserve">Anchor</w:t>
            </w:r>
          </w:p>
        </w:tc>
        <w:tc>
          <w:tcPr/>
          <w:p>
            <w:pPr>
              <w:pStyle w:val="Compact"/>
              <w:jc w:val="left"/>
            </w:pPr>
            <w:r>
              <w:rPr>
                <w:b/>
              </w:rPr>
              <w:t xml:space="preserve">No particular need, ρ = 3</w:t>
            </w:r>
          </w:p>
        </w:tc>
        <w:tc>
          <w:tcPr/>
          <w:p>
            <w:pPr>
              <w:pStyle w:val="Compact"/>
              <w:jc w:val="left"/>
            </w:pPr>
            <w:r>
              <w:rPr>
                <w:b/>
              </w:rPr>
              <w:t xml:space="preserve">Maternity or high-risk pregnancy (MAT or HRP), ρ = 3</w:t>
            </w:r>
          </w:p>
        </w:tc>
        <w:tc>
          <w:tcPr/>
          <w:p>
            <w:pPr>
              <w:pStyle w:val="Compact"/>
              <w:jc w:val="left"/>
            </w:pPr>
            <w:r>
              <w:rPr>
                <w:b/>
              </w:rPr>
              <w:t xml:space="preserve">Dialysis (DIA), ρ = 3</w:t>
            </w:r>
          </w:p>
        </w:tc>
        <w:tc>
          <w:tcPr/>
          <w:p>
            <w:pPr>
              <w:pStyle w:val="Compact"/>
              <w:jc w:val="left"/>
            </w:pPr>
            <w:r>
              <w:rPr>
                <w:b/>
              </w:rPr>
              <w:t xml:space="preserve">Any need, ρ = 0</w:t>
            </w:r>
          </w:p>
        </w:tc>
      </w:tr>
      <w:tr>
        <w:trPr>
          <w:cantSplit/>
        </w:trPr>
        <w:tc>
          <w:tcPr/>
          <w:p>
            <w:pPr>
              <w:pStyle w:val="Compact"/>
              <w:jc w:val="left"/>
            </w:pPr>
            <w:r>
              <w:t xml:space="preserve">A1</w:t>
            </w:r>
          </w:p>
        </w:tc>
        <w:tc>
          <w:tcPr/>
          <w:p>
            <w:pPr>
              <w:pStyle w:val="Compact"/>
              <w:jc w:val="left"/>
            </w:pPr>
            <w:r>
              <w:t xml:space="preserve">S4, 29.2; backup S7, 49.0</w:t>
            </w:r>
          </w:p>
        </w:tc>
        <w:tc>
          <w:tcPr/>
          <w:p>
            <w:pPr>
              <w:pStyle w:val="Compact"/>
              <w:jc w:val="left"/>
            </w:pPr>
            <w:r>
              <w:t xml:space="preserve">S4, 29.2; backup S7, 49.0</w:t>
            </w:r>
          </w:p>
        </w:tc>
        <w:tc>
          <w:tcPr/>
          <w:p>
            <w:pPr>
              <w:pStyle w:val="Compact"/>
              <w:jc w:val="left"/>
            </w:pPr>
            <w:r>
              <w:t xml:space="preserve">S4, 29.2; none</w:t>
            </w:r>
          </w:p>
        </w:tc>
        <w:tc>
          <w:tcPr/>
          <w:p>
            <w:pPr>
              <w:pStyle w:val="Compact"/>
              <w:jc w:val="left"/>
            </w:pPr>
            <w:r>
              <w:t xml:space="preserve">S4, 29.2; none</w:t>
            </w:r>
          </w:p>
        </w:tc>
      </w:tr>
      <w:tr>
        <w:trPr>
          <w:cantSplit/>
        </w:trPr>
        <w:tc>
          <w:tcPr/>
          <w:p>
            <w:pPr>
              <w:pStyle w:val="Compact"/>
              <w:jc w:val="left"/>
            </w:pPr>
            <w:r>
              <w:t xml:space="preserve">A2</w:t>
            </w:r>
          </w:p>
        </w:tc>
        <w:tc>
          <w:tcPr/>
          <w:p>
            <w:pPr>
              <w:pStyle w:val="Compact"/>
              <w:jc w:val="left"/>
            </w:pPr>
            <w:r>
              <w:t xml:space="preserve">S4, 27.3; backup S7, 61.0</w:t>
            </w:r>
          </w:p>
        </w:tc>
        <w:tc>
          <w:tcPr/>
          <w:p>
            <w:pPr>
              <w:pStyle w:val="Compact"/>
              <w:jc w:val="left"/>
            </w:pPr>
            <w:r>
              <w:t xml:space="preserve">S4, 27.3; backup S7, 61.0</w:t>
            </w:r>
          </w:p>
        </w:tc>
        <w:tc>
          <w:tcPr/>
          <w:p>
            <w:pPr>
              <w:pStyle w:val="Compact"/>
              <w:jc w:val="left"/>
            </w:pPr>
            <w:r>
              <w:t xml:space="preserve">S4, 27.3; none</w:t>
            </w:r>
          </w:p>
        </w:tc>
        <w:tc>
          <w:tcPr/>
          <w:p>
            <w:pPr>
              <w:pStyle w:val="Compact"/>
              <w:jc w:val="left"/>
            </w:pPr>
            <w:r>
              <w:t xml:space="preserve">S4, 27.3; none</w:t>
            </w:r>
          </w:p>
        </w:tc>
      </w:tr>
      <w:tr>
        <w:trPr>
          <w:cantSplit/>
        </w:trPr>
        <w:tc>
          <w:tcPr/>
          <w:p>
            <w:pPr>
              <w:pStyle w:val="Compact"/>
              <w:jc w:val="left"/>
            </w:pPr>
            <w:r>
              <w:t xml:space="preserve">A3</w:t>
            </w:r>
          </w:p>
        </w:tc>
        <w:tc>
          <w:tcPr/>
          <w:p>
            <w:pPr>
              <w:pStyle w:val="Compact"/>
              <w:jc w:val="left"/>
            </w:pPr>
            <w:r>
              <w:t xml:space="preserve">S4, 18.6; backup S7, 51.4</w:t>
            </w:r>
          </w:p>
        </w:tc>
        <w:tc>
          <w:tcPr/>
          <w:p>
            <w:pPr>
              <w:pStyle w:val="Compact"/>
              <w:jc w:val="left"/>
            </w:pPr>
            <w:r>
              <w:t xml:space="preserve">S4, 18.6; backup S7, 51.4</w:t>
            </w:r>
          </w:p>
        </w:tc>
        <w:tc>
          <w:tcPr/>
          <w:p>
            <w:pPr>
              <w:pStyle w:val="Compact"/>
              <w:jc w:val="left"/>
            </w:pPr>
            <w:r>
              <w:t xml:space="preserve">S4, 18.6; none</w:t>
            </w:r>
          </w:p>
        </w:tc>
        <w:tc>
          <w:tcPr/>
          <w:p>
            <w:pPr>
              <w:pStyle w:val="Compact"/>
              <w:jc w:val="left"/>
            </w:pPr>
            <w:r>
              <w:t xml:space="preserve">S4, 18.6; none</w:t>
            </w:r>
          </w:p>
        </w:tc>
      </w:tr>
      <w:tr>
        <w:trPr>
          <w:cantSplit/>
        </w:trPr>
        <w:tc>
          <w:tcPr/>
          <w:p>
            <w:pPr>
              <w:pStyle w:val="Compact"/>
              <w:jc w:val="left"/>
            </w:pPr>
            <w:r>
              <w:t xml:space="preserve">A4</w:t>
            </w:r>
          </w:p>
        </w:tc>
        <w:tc>
          <w:tcPr/>
          <w:p>
            <w:pPr>
              <w:pStyle w:val="Compact"/>
              <w:jc w:val="left"/>
            </w:pPr>
            <w:r>
              <w:t xml:space="preserve">S4, 43.6; backup S7, 76.6</w:t>
            </w:r>
          </w:p>
        </w:tc>
        <w:tc>
          <w:tcPr/>
          <w:p>
            <w:pPr>
              <w:pStyle w:val="Compact"/>
              <w:jc w:val="left"/>
            </w:pPr>
            <w:r>
              <w:t xml:space="preserve">S4, 43.6; backup S7, 76.6</w:t>
            </w:r>
          </w:p>
        </w:tc>
        <w:tc>
          <w:tcPr/>
          <w:p>
            <w:pPr>
              <w:pStyle w:val="Compact"/>
              <w:jc w:val="left"/>
            </w:pPr>
            <w:r>
              <w:t xml:space="preserve">S4, 43.6; none</w:t>
            </w:r>
          </w:p>
        </w:tc>
        <w:tc>
          <w:tcPr/>
          <w:p>
            <w:pPr>
              <w:pStyle w:val="Compact"/>
              <w:jc w:val="left"/>
            </w:pPr>
            <w:r>
              <w:t xml:space="preserve">S4, 43.6; none</w:t>
            </w:r>
          </w:p>
        </w:tc>
      </w:tr>
      <w:tr>
        <w:trPr>
          <w:cantSplit/>
        </w:trPr>
        <w:tc>
          <w:tcPr/>
          <w:p>
            <w:pPr>
              <w:pStyle w:val="Compact"/>
              <w:jc w:val="left"/>
            </w:pPr>
            <w:r>
              <w:t xml:space="preserve">A5</w:t>
            </w:r>
          </w:p>
        </w:tc>
        <w:tc>
          <w:tcPr/>
          <w:p>
            <w:pPr>
              <w:pStyle w:val="Compact"/>
              <w:jc w:val="left"/>
            </w:pPr>
            <w:r>
              <w:t xml:space="preserve">S4, 32.6; backup S7, 65.8</w:t>
            </w:r>
          </w:p>
        </w:tc>
        <w:tc>
          <w:tcPr/>
          <w:p>
            <w:pPr>
              <w:pStyle w:val="Compact"/>
              <w:jc w:val="left"/>
            </w:pPr>
            <w:r>
              <w:t xml:space="preserve">S4, 32.6; backup S7, 65.8</w:t>
            </w:r>
          </w:p>
        </w:tc>
        <w:tc>
          <w:tcPr/>
          <w:p>
            <w:pPr>
              <w:pStyle w:val="Compact"/>
              <w:jc w:val="left"/>
            </w:pPr>
            <w:r>
              <w:t xml:space="preserve">S4, 32.6; none</w:t>
            </w:r>
          </w:p>
        </w:tc>
        <w:tc>
          <w:tcPr/>
          <w:p>
            <w:pPr>
              <w:pStyle w:val="Compact"/>
              <w:jc w:val="left"/>
            </w:pPr>
            <w:r>
              <w:t xml:space="preserve">S4, 32.6; none</w:t>
            </w:r>
          </w:p>
        </w:tc>
      </w:tr>
      <w:tr>
        <w:trPr>
          <w:cantSplit/>
        </w:trPr>
        <w:tc>
          <w:tcPr/>
          <w:p>
            <w:pPr>
              <w:pStyle w:val="Compact"/>
              <w:jc w:val="left"/>
            </w:pPr>
            <w:r>
              <w:t xml:space="preserve">A6</w:t>
            </w:r>
          </w:p>
        </w:tc>
        <w:tc>
          <w:tcPr/>
          <w:p>
            <w:pPr>
              <w:pStyle w:val="Compact"/>
              <w:jc w:val="left"/>
            </w:pPr>
            <w:r>
              <w:t xml:space="preserve">S7, 13.0; backup S4, 37.2</w:t>
            </w:r>
          </w:p>
        </w:tc>
        <w:tc>
          <w:tcPr/>
          <w:p>
            <w:pPr>
              <w:pStyle w:val="Compact"/>
              <w:jc w:val="left"/>
            </w:pPr>
            <w:r>
              <w:t xml:space="preserve">S7, 13.0; backup S4, 37.2</w:t>
            </w:r>
          </w:p>
        </w:tc>
        <w:tc>
          <w:tcPr/>
          <w:p>
            <w:pPr>
              <w:pStyle w:val="Compact"/>
              <w:jc w:val="left"/>
            </w:pPr>
            <w:r>
              <w:t xml:space="preserve">S4, 37.2; none</w:t>
            </w:r>
          </w:p>
        </w:tc>
        <w:tc>
          <w:tcPr/>
          <w:p>
            <w:pPr>
              <w:pStyle w:val="Compact"/>
              <w:jc w:val="left"/>
            </w:pPr>
            <w:r>
              <w:t xml:space="preserve">S4, 37.2; none</w:t>
            </w:r>
          </w:p>
        </w:tc>
      </w:tr>
    </w:tbl>
    <w:p>
      <w:pPr>
        <w:pStyle w:val="BodyText"/>
        <w:spacing w:before="200"/>
      </w:pPr>
      <w:r>
        <w:t xml:space="preserve">The maternity column matches the first column only because S3 is full. Were S3 to report free beds, a woman in uncomplicated labor at A3 would be sent 7.0 minutes to S3 instead of 18.6 minutes to S4, while a woman with a high-risk pregnancy would still go to S4, since S3, a Level 1 hospital, lacks that service. For dialysis, only S4 qualifies. The need gap is therefore 24.2 minutes at A6 and zero elsewhere, a weighted mean of 4.45 minutes. That this equals the payment gap of Section 3.5.1 is a coincidence of S1, where S7 happens to be both the only private hospital and the only Level 2 hospital, and S4 both the only Level 3 hospital and the only class-0 hospital. In a real network the two gaps would come apart.</w:t>
      </w:r>
    </w:p>
    <w:p>
      <w:pPr>
        <w:pStyle w:val="BodyText"/>
      </w:pPr>
      <w:r>
        <w:t xml:space="preserve">The backup column carries a warning that a map of hospitals alone would never give. For a patient who needs dialysis, and for any patient who can use only free or assisted care, S1 has no backup at all: if S4 turns the patient away, no second suitable hospital exists. For patients with no particular need, the backup costs 19.8 to 33.7 extra minutes for anchors A1 to A5 and 24.2 minutes for A6.</w:t>
      </w:r>
    </w:p>
    <w:bookmarkEnd w:id="174"/>
    <w:bookmarkStart w:id="178" w:name="beds-per-person-on-s1"/>
    <w:p>
      <w:pPr>
        <w:pStyle w:val="Heading3"/>
      </w:pPr>
      <w:r>
        <w:t xml:space="preserve">3.5.3 Beds per Person on S1</w:t>
      </w:r>
    </w:p>
    <w:p>
      <w:pPr>
        <w:pStyle w:val="FirstParagraph"/>
      </w:pPr>
      <w:r>
        <w:t xml:space="preserve">Table 29 applies the bed-to-population ratio of Definition 23 to S1, first with authorized beds and then with free beds. Figure 4 draws the Lorenz curves.</w:t>
      </w:r>
    </w:p>
    <w:p>
      <w:pPr>
        <w:pStyle w:val="TableCaption"/>
      </w:pPr>
      <w:r>
        <w:rPr>
          <w:bCs/>
          <w:b/>
        </w:rPr>
        <w:t xml:space="preserve">Table 29.</w:t>
      </w:r>
      <w:r>
        <w:t xml:space="preserve"> </w:t>
      </w:r>
      <w:r>
        <w:t xml:space="preserve">Beds per 10,000 people in S1 by the two-step floating catchment area method (Definition 23) at θ = 30 min, with authorized and with free beds (synthetic instance).</w:t>
      </w:r>
    </w:p>
    <w:tbl>
      <w:tblPr>
        <w:tblStyle w:val="Table"/>
        <w:tblW w:type="pct" w:w="5000"/>
        <w:jc w:val="center"/>
        <w:tblCaption w:val="Table 29. Beds per 10,000 people in S1 by the two-step floating catchment area method (Definition 23) at θ = 30 min, with authorized and with free beds (synthetic instance)."/>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4096"/>
        <w:gridCol w:w="1911"/>
        <w:gridCol w:w="1911"/>
      </w:tblGrid>
      <w:tr>
        <w:trPr>
          <w:tblHeader w:val="true"/>
          <w:tblHeader/>
          <w:cantSplit/>
        </w:trPr>
        <w:tc>
          <w:tcPr/>
          <w:p>
            <w:pPr>
              <w:pStyle w:val="Compact"/>
              <w:jc w:val="left"/>
            </w:pPr>
            <w:r>
              <w:rPr>
                <w:b/>
              </w:rPr>
              <w:t xml:space="preserve">Quantity</w:t>
            </w:r>
          </w:p>
        </w:tc>
        <w:tc>
          <w:tcPr/>
          <w:p>
            <w:pPr>
              <w:pStyle w:val="Compact"/>
              <w:jc w:val="left"/>
            </w:pPr>
            <w:r>
              <w:rPr>
                <w:b/>
              </w:rPr>
              <w:t xml:space="preserve">Authorized Beds</w:t>
            </w:r>
          </w:p>
        </w:tc>
        <w:tc>
          <w:tcPr/>
          <w:p>
            <w:pPr>
              <w:pStyle w:val="Compact"/>
              <w:jc w:val="left"/>
            </w:pPr>
            <w:r>
              <w:rPr>
                <w:b/>
              </w:rPr>
              <w:t xml:space="preserve">Free Beds</w:t>
            </w:r>
          </w:p>
        </w:tc>
      </w:tr>
      <w:tr>
        <w:trPr>
          <w:cantSplit/>
        </w:trPr>
        <w:tc>
          <w:tcPr/>
          <w:p>
            <w:pPr>
              <w:pStyle w:val="Compact"/>
              <w:jc w:val="left"/>
            </w:pPr>
            <w:r>
              <w:rPr>
                <w:iCs/>
                <w:i/>
              </w:rPr>
              <w:t xml:space="preserve">R</w:t>
            </w:r>
            <w:r>
              <w:rPr>
                <w:iCs/>
                <w:i/>
                <w:vertAlign w:val="subscript"/>
              </w:rPr>
              <w:t xml:space="preserve">h</w:t>
            </w:r>
            <w:r>
              <w:t xml:space="preserve"> </w:t>
            </w:r>
            <w:r>
              <w:t xml:space="preserve">for S4, S7, S3</w:t>
            </w:r>
          </w:p>
        </w:tc>
        <w:tc>
          <w:tcPr/>
          <w:p>
            <w:pPr>
              <w:pStyle w:val="Compact"/>
              <w:jc w:val="left"/>
            </w:pPr>
            <w:r>
              <w:t xml:space="preserve">131.15, 153.85, 24.68</w:t>
            </w:r>
          </w:p>
        </w:tc>
        <w:tc>
          <w:tcPr/>
          <w:p>
            <w:pPr>
              <w:pStyle w:val="Compact"/>
              <w:jc w:val="left"/>
            </w:pPr>
            <w:r>
              <w:t xml:space="preserve">8.74, 34.62, 0.00</w:t>
            </w:r>
          </w:p>
        </w:tc>
      </w:tr>
      <w:tr>
        <w:trPr>
          <w:cantSplit/>
        </w:trPr>
        <w:tc>
          <w:tcPr/>
          <w:p>
            <w:pPr>
              <w:pStyle w:val="Compact"/>
              <w:jc w:val="left"/>
            </w:pPr>
            <w:r>
              <w:rPr>
                <w:iCs/>
                <w:i/>
              </w:rPr>
              <w:t xml:space="preserve">A</w:t>
            </w:r>
            <w:r>
              <w:rPr>
                <w:iCs/>
                <w:i/>
                <w:vertAlign w:val="superscript"/>
              </w:rPr>
              <w:t xml:space="preserve">F</w:t>
            </w:r>
            <w:r>
              <w:rPr>
                <w:iCs/>
                <w:i/>
                <w:vertAlign w:val="subscript"/>
              </w:rPr>
              <w:t xml:space="preserve">a</w:t>
            </w:r>
            <w:r>
              <w:t xml:space="preserve"> </w:t>
            </w:r>
            <w:r>
              <w:t xml:space="preserve">for A1 to A6</w:t>
            </w:r>
          </w:p>
        </w:tc>
        <w:tc>
          <w:tcPr/>
          <w:p>
            <w:pPr>
              <w:pStyle w:val="Compact"/>
              <w:jc w:val="left"/>
            </w:pPr>
            <w:r>
              <w:t xml:space="preserve">155.83, 155.83, 155.83, 0.00, 24.68, 153.85</w:t>
            </w:r>
          </w:p>
        </w:tc>
        <w:tc>
          <w:tcPr/>
          <w:p>
            <w:pPr>
              <w:pStyle w:val="Compact"/>
              <w:jc w:val="left"/>
            </w:pPr>
            <w:r>
              <w:t xml:space="preserve">8.74, 8.74, 8.74, 0.00, 0.00, 34.62</w:t>
            </w:r>
          </w:p>
        </w:tc>
      </w:tr>
      <w:tr>
        <w:trPr>
          <w:cantSplit/>
        </w:trPr>
        <w:tc>
          <w:tcPr/>
          <w:p>
            <w:pPr>
              <w:pStyle w:val="Compact"/>
              <w:jc w:val="left"/>
            </w:pPr>
            <w:r>
              <w:t xml:space="preserve">Weighted mean</w:t>
            </w:r>
          </w:p>
        </w:tc>
        <w:tc>
          <w:tcPr/>
          <w:p>
            <w:pPr>
              <w:pStyle w:val="Compact"/>
              <w:jc w:val="left"/>
            </w:pPr>
            <w:r>
              <w:t xml:space="preserve">130.93</w:t>
            </w:r>
          </w:p>
        </w:tc>
        <w:tc>
          <w:tcPr/>
          <w:p>
            <w:pPr>
              <w:pStyle w:val="Compact"/>
              <w:jc w:val="left"/>
            </w:pPr>
            <w:r>
              <w:t xml:space="preserve">12.03</w:t>
            </w:r>
          </w:p>
        </w:tc>
      </w:tr>
      <w:tr>
        <w:trPr>
          <w:cantSplit/>
        </w:trPr>
        <w:tc>
          <w:tcPr/>
          <w:p>
            <w:pPr>
              <w:pStyle w:val="Compact"/>
              <w:jc w:val="left"/>
            </w:pPr>
            <w:r>
              <w:t xml:space="preserve">Beds counted, Σ</w:t>
            </w:r>
            <w:r>
              <w:rPr>
                <w:iCs/>
                <w:i/>
                <w:vertAlign w:val="subscript"/>
              </w:rPr>
              <w:t xml:space="preserve">a</w:t>
            </w:r>
            <w:r>
              <w:t xml:space="preserve"> </w:t>
            </w:r>
            <w:r>
              <w:rPr>
                <w:iCs/>
                <w:i/>
              </w:rPr>
              <w:t xml:space="preserve">P</w:t>
            </w:r>
            <w:r>
              <w:rPr>
                <w:iCs/>
                <w:i/>
                <w:vertAlign w:val="subscript"/>
              </w:rPr>
              <w:t xml:space="preserve">a</w:t>
            </w:r>
            <w:r>
              <w:t xml:space="preserve"> </w:t>
            </w:r>
            <w:r>
              <w:rPr>
                <w:iCs/>
                <w:i/>
              </w:rPr>
              <w:t xml:space="preserve">A</w:t>
            </w:r>
            <w:r>
              <w:rPr>
                <w:iCs/>
                <w:i/>
                <w:vertAlign w:val="superscript"/>
              </w:rPr>
              <w:t xml:space="preserve">F</w:t>
            </w:r>
            <w:r>
              <w:rPr>
                <w:iCs/>
                <w:i/>
                <w:vertAlign w:val="subscript"/>
              </w:rPr>
              <w:t xml:space="preserve">a</w:t>
            </w:r>
            <w:r>
              <w:t xml:space="preserve"> </w:t>
            </w:r>
            <w:r>
              <w:t xml:space="preserve">(Prop. 15)</w:t>
            </w:r>
          </w:p>
        </w:tc>
        <w:tc>
          <w:tcPr/>
          <w:p>
            <w:pPr>
              <w:pStyle w:val="Compact"/>
              <w:jc w:val="left"/>
            </w:pPr>
            <w:r>
              <w:t xml:space="preserve">185</w:t>
            </w:r>
          </w:p>
        </w:tc>
        <w:tc>
          <w:tcPr/>
          <w:p>
            <w:pPr>
              <w:pStyle w:val="Compact"/>
              <w:jc w:val="left"/>
            </w:pPr>
            <w:r>
              <w:t xml:space="preserve">17</w:t>
            </w:r>
          </w:p>
        </w:tc>
      </w:tr>
      <w:tr>
        <w:trPr>
          <w:cantSplit/>
        </w:trPr>
        <w:tc>
          <w:tcPr/>
          <w:p>
            <w:pPr>
              <w:pStyle w:val="Compact"/>
              <w:jc w:val="left"/>
            </w:pPr>
            <w:r>
              <w:t xml:space="preserve">Gini coefficient</w:t>
            </w:r>
          </w:p>
        </w:tc>
        <w:tc>
          <w:tcPr/>
          <w:p>
            <w:pPr>
              <w:pStyle w:val="Compact"/>
              <w:jc w:val="left"/>
            </w:pPr>
            <w:r>
              <w:t xml:space="preserve">0.1585</w:t>
            </w:r>
          </w:p>
        </w:tc>
        <w:tc>
          <w:tcPr/>
          <w:p>
            <w:pPr>
              <w:pStyle w:val="Compact"/>
              <w:jc w:val="left"/>
            </w:pPr>
            <w:r>
              <w:t xml:space="preserve">0.4247</w:t>
            </w:r>
          </w:p>
        </w:tc>
      </w:tr>
      <w:tr>
        <w:trPr>
          <w:cantSplit/>
        </w:trPr>
        <w:tc>
          <w:tcPr/>
          <w:p>
            <w:pPr>
              <w:pStyle w:val="Compact"/>
              <w:jc w:val="left"/>
            </w:pPr>
            <w:r>
              <w:t xml:space="preserve">Theil index</w:t>
            </w:r>
          </w:p>
        </w:tc>
        <w:tc>
          <w:tcPr/>
          <w:p>
            <w:pPr>
              <w:pStyle w:val="Compact"/>
              <w:jc w:val="left"/>
            </w:pPr>
            <w:r>
              <w:t xml:space="preserve">0.1472</w:t>
            </w:r>
          </w:p>
        </w:tc>
        <w:tc>
          <w:tcPr/>
          <w:p>
            <w:pPr>
              <w:pStyle w:val="Compact"/>
              <w:jc w:val="left"/>
            </w:pPr>
            <w:r>
              <w:t xml:space="preserve">0.4093</w:t>
            </w:r>
          </w:p>
        </w:tc>
      </w:tr>
      <w:tr>
        <w:trPr>
          <w:cantSplit/>
        </w:trPr>
        <w:tc>
          <w:tcPr/>
          <w:p>
            <w:pPr>
              <w:pStyle w:val="Compact"/>
              <w:jc w:val="left"/>
            </w:pPr>
            <w:r>
              <w:t xml:space="preserve">Share within municipalities</w:t>
            </w:r>
          </w:p>
        </w:tc>
        <w:tc>
          <w:tcPr/>
          <w:p>
            <w:pPr>
              <w:pStyle w:val="Compact"/>
              <w:jc w:val="left"/>
            </w:pPr>
            <w:r>
              <w:t xml:space="preserve">75.8%</w:t>
            </w:r>
          </w:p>
        </w:tc>
        <w:tc>
          <w:tcPr/>
          <w:p>
            <w:pPr>
              <w:pStyle w:val="Compact"/>
              <w:jc w:val="left"/>
            </w:pPr>
            <w:r>
              <w:t xml:space="preserve">84.1%</w:t>
            </w:r>
          </w:p>
        </w:tc>
      </w:tr>
      <w:tr>
        <w:trPr>
          <w:cantSplit/>
        </w:trPr>
        <w:tc>
          <w:tcPr/>
          <w:p>
            <w:pPr>
              <w:pStyle w:val="Compact"/>
              <w:jc w:val="left"/>
            </w:pPr>
            <w:r>
              <w:t xml:space="preserve">Weight share with zero access</w:t>
            </w:r>
          </w:p>
        </w:tc>
        <w:tc>
          <w:tcPr/>
          <w:p>
            <w:pPr>
              <w:pStyle w:val="Compact"/>
              <w:jc w:val="left"/>
            </w:pPr>
            <w:r>
              <w:t xml:space="preserve">9.9%</w:t>
            </w:r>
          </w:p>
        </w:tc>
        <w:tc>
          <w:tcPr/>
          <w:p>
            <w:pPr>
              <w:pStyle w:val="Compact"/>
              <w:jc w:val="left"/>
            </w:pPr>
            <w:r>
              <w:t xml:space="preserve">16.8%</w:t>
            </w:r>
          </w:p>
        </w:tc>
      </w:tr>
    </w:tbl>
    <w:p>
      <w:pPr>
        <w:pStyle w:val="CaptionedFigure"/>
        <w:spacing w:before="200"/>
      </w:pPr>
      <w:r>
        <w:drawing>
          <wp:inline>
            <wp:extent cx="4754880" cy="4202773"/>
            <wp:effectExtent b="0" l="0" r="0" t="0"/>
            <wp:docPr descr="Figure 4. Lorenz curves of bed access in S1 at the 30-minute baseline, counted four ways. The farther a curve sags below the line of equality, the more unequal the access. Synthetic instance." title="" id="176" name="Picture"/>
            <a:graphic>
              <a:graphicData uri="http://schemas.openxmlformats.org/drawingml/2006/picture">
                <pic:pic>
                  <pic:nvPicPr>
                    <pic:cNvPr descr="fig/fig4_lorenz_s1.png" id="177" name="Picture"/>
                    <pic:cNvPicPr>
                      <a:picLocks noChangeArrowheads="1" noChangeAspect="1"/>
                    </pic:cNvPicPr>
                  </pic:nvPicPr>
                  <pic:blipFill>
                    <a:blip r:embed="rId175"/>
                    <a:stretch>
                      <a:fillRect/>
                    </a:stretch>
                  </pic:blipFill>
                  <pic:spPr bwMode="auto">
                    <a:xfrm>
                      <a:off x="0" y="0"/>
                      <a:ext cx="4754880" cy="4202773"/>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Lorenz curves of bed access in S1 at the 30-minute baseline, counted four ways. The farther a curve sags below the line of equality, the more unequal the access. Synthetic instance.</w:t>
      </w:r>
    </w:p>
    <w:p>
      <w:pPr>
        <w:pStyle w:val="BodyText"/>
      </w:pPr>
      <w:r>
        <w:t xml:space="preserve">The two ways of counting free beds tell different stories. Counted cumulatively (Table 27), A6 with 9 reachable free beds looks only a little better off than A1 to A3 with 8 each, and the Gini coefficient is 0.1859. Counted per person, the picture changes. The 9,150 people around A1 to A3 all depend on the same 8 free beds at S4, which gives 8.74 beds per 10,000, while the 2,600 people around A6 have the 9 free beds of S7 to themselves, which gives 34.62 per 10,000, four times as many. The Gini coefficient more than doubles, to 0.4247. The cumulative measure counted the 8 beds of S4 three times, once for each of A1, A2, and A3; the per-person measure counts every bed once, so the total is exactly the 17 free beds in reach (Proposition 15).</w:t>
      </w:r>
    </w:p>
    <w:p>
      <w:pPr>
        <w:pStyle w:val="BodyText"/>
      </w:pPr>
      <w:r>
        <w:t xml:space="preserve">With authorized beds the movement goes the other way: the Gini coefficient falls from 0.2747 to 0.1585, because A1 to A3 reach many beds but share them among many people. The within-municipality share of the Theil index also jumps, from 14.0 percent to 75.8 percent, so the per-person view would point a planner toward problems inside municipalities rather than between them. For a patient the per-person figure is the more honest one, since the beds a patient can reach are also wanted by everyone else who can reach them. Both are reported.</w:t>
      </w:r>
    </w:p>
    <w:bookmarkEnd w:id="178"/>
    <w:bookmarkStart w:id="179" w:name="surge-assignment-on-s1"/>
    <w:p>
      <w:pPr>
        <w:pStyle w:val="Heading3"/>
      </w:pPr>
      <w:r>
        <w:t xml:space="preserve">3.5.4 Surge Assignment on S1</w:t>
      </w:r>
    </w:p>
    <w:p>
      <w:pPr>
        <w:pStyle w:val="FirstParagraph"/>
      </w:pPr>
      <w:r>
        <w:t xml:space="preserve">Suppose a road crash leaves 15 emergency patients (κ = 2, so cost does not filter) spread over the six anchors, as in Table 30. The suitable hospitals are S4 and S7; S3 is a Level 1 hospital and is full in any case. S4 has 8 free beds and S7 has 9.</w:t>
      </w:r>
    </w:p>
    <w:p>
      <w:pPr>
        <w:pStyle w:val="TableCaption"/>
      </w:pPr>
      <w:r>
        <w:rPr>
          <w:bCs/>
          <w:b/>
        </w:rPr>
        <w:t xml:space="preserve">Table 30.</w:t>
      </w:r>
      <w:r>
        <w:t xml:space="preserve"> </w:t>
      </w:r>
      <w:r>
        <w:t xml:space="preserve">Surge assignment on S1: 15 emergency patients (κ = 2) and 17 free beds. Travel times from Table 21 (synthetic instance).</w:t>
      </w:r>
    </w:p>
    <w:tbl>
      <w:tblPr>
        <w:tblStyle w:val="Table"/>
        <w:tblW w:type="pct" w:w="5000"/>
        <w:jc w:val="center"/>
        <w:tblCaption w:val="Table 30. Surge assignment on S1: 15 emergency patients (κ = 2) and 17 free beds. Travel times from Table 21 (synthetic instance)."/>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1026"/>
        <w:gridCol w:w="880"/>
        <w:gridCol w:w="1906"/>
        <w:gridCol w:w="1906"/>
        <w:gridCol w:w="2200"/>
      </w:tblGrid>
      <w:tr>
        <w:trPr>
          <w:tblHeader w:val="true"/>
          <w:tblHeader/>
          <w:cantSplit/>
        </w:trPr>
        <w:tc>
          <w:tcPr/>
          <w:p>
            <w:pPr>
              <w:pStyle w:val="Compact"/>
              <w:jc w:val="left"/>
            </w:pPr>
            <w:r>
              <w:rPr>
                <w:b/>
              </w:rPr>
              <w:t xml:space="preserve">Anchor</w:t>
            </w:r>
          </w:p>
        </w:tc>
        <w:tc>
          <w:tcPr/>
          <w:p>
            <w:pPr>
              <w:pStyle w:val="Compact"/>
              <w:jc w:val="right"/>
            </w:pPr>
            <w:r>
              <w:rPr>
                <w:b/>
              </w:rPr>
              <w:t xml:space="preserve">Patients</w:t>
            </w:r>
          </w:p>
        </w:tc>
        <w:tc>
          <w:tcPr/>
          <w:p>
            <w:pPr>
              <w:pStyle w:val="Compact"/>
              <w:jc w:val="center"/>
            </w:pPr>
            <w:r>
              <w:rPr>
                <w:b/>
              </w:rPr>
              <w:t xml:space="preserve">Independent Choice</w:t>
            </w:r>
          </w:p>
        </w:tc>
        <w:tc>
          <w:tcPr/>
          <w:p>
            <w:pPr>
              <w:pStyle w:val="Compact"/>
              <w:jc w:val="center"/>
            </w:pPr>
            <w:r>
              <w:rPr>
                <w:b/>
              </w:rPr>
              <w:t xml:space="preserve">Optimal Assignment (Algorithm 3)</w:t>
            </w:r>
          </w:p>
        </w:tc>
        <w:tc>
          <w:tcPr/>
          <w:p>
            <w:pPr>
              <w:pStyle w:val="Compact"/>
              <w:jc w:val="left"/>
            </w:pPr>
            <w:r>
              <w:rPr>
                <w:b/>
              </w:rPr>
              <w:t xml:space="preserve">Travel Time Each (min)</w:t>
            </w:r>
          </w:p>
        </w:tc>
      </w:tr>
      <w:tr>
        <w:trPr>
          <w:cantSplit/>
        </w:trPr>
        <w:tc>
          <w:tcPr/>
          <w:p>
            <w:pPr>
              <w:pStyle w:val="Compact"/>
              <w:jc w:val="left"/>
            </w:pPr>
            <w:r>
              <w:t xml:space="preserve">A1</w:t>
            </w:r>
          </w:p>
        </w:tc>
        <w:tc>
          <w:tcPr/>
          <w:p>
            <w:pPr>
              <w:pStyle w:val="Compact"/>
              <w:jc w:val="right"/>
            </w:pPr>
            <w:r>
              <w:t xml:space="preserve">4</w:t>
            </w:r>
          </w:p>
        </w:tc>
        <w:tc>
          <w:tcPr/>
          <w:p>
            <w:pPr>
              <w:pStyle w:val="Compact"/>
              <w:jc w:val="center"/>
            </w:pPr>
            <w:r>
              <w:t xml:space="preserve">S4</w:t>
            </w:r>
          </w:p>
        </w:tc>
        <w:tc>
          <w:tcPr/>
          <w:p>
            <w:pPr>
              <w:pStyle w:val="Compact"/>
              <w:jc w:val="center"/>
            </w:pPr>
            <w:r>
              <w:t xml:space="preserve">S7</w:t>
            </w:r>
          </w:p>
        </w:tc>
        <w:tc>
          <w:tcPr/>
          <w:p>
            <w:pPr>
              <w:pStyle w:val="Compact"/>
              <w:jc w:val="left"/>
            </w:pPr>
            <w:r>
              <w:t xml:space="preserve">49.0 (S4 would be 29.2)</w:t>
            </w:r>
          </w:p>
        </w:tc>
      </w:tr>
      <w:tr>
        <w:trPr>
          <w:cantSplit/>
        </w:trPr>
        <w:tc>
          <w:tcPr/>
          <w:p>
            <w:pPr>
              <w:pStyle w:val="Compact"/>
              <w:jc w:val="left"/>
            </w:pPr>
            <w:r>
              <w:t xml:space="preserve">A2</w:t>
            </w:r>
          </w:p>
        </w:tc>
        <w:tc>
          <w:tcPr/>
          <w:p>
            <w:pPr>
              <w:pStyle w:val="Compact"/>
              <w:jc w:val="right"/>
            </w:pPr>
            <w:r>
              <w:t xml:space="preserve">3</w:t>
            </w:r>
          </w:p>
        </w:tc>
        <w:tc>
          <w:tcPr/>
          <w:p>
            <w:pPr>
              <w:pStyle w:val="Compact"/>
              <w:jc w:val="center"/>
            </w:pPr>
            <w:r>
              <w:t xml:space="preserve">S4</w:t>
            </w:r>
          </w:p>
        </w:tc>
        <w:tc>
          <w:tcPr/>
          <w:p>
            <w:pPr>
              <w:pStyle w:val="Compact"/>
              <w:jc w:val="center"/>
            </w:pPr>
            <w:r>
              <w:t xml:space="preserve">S4</w:t>
            </w:r>
          </w:p>
        </w:tc>
        <w:tc>
          <w:tcPr/>
          <w:p>
            <w:pPr>
              <w:pStyle w:val="Compact"/>
              <w:jc w:val="left"/>
            </w:pPr>
            <w:r>
              <w:t xml:space="preserve">27.3</w:t>
            </w:r>
          </w:p>
        </w:tc>
      </w:tr>
      <w:tr>
        <w:trPr>
          <w:cantSplit/>
        </w:trPr>
        <w:tc>
          <w:tcPr/>
          <w:p>
            <w:pPr>
              <w:pStyle w:val="Compact"/>
              <w:jc w:val="left"/>
            </w:pPr>
            <w:r>
              <w:t xml:space="preserve">A3</w:t>
            </w:r>
          </w:p>
        </w:tc>
        <w:tc>
          <w:tcPr/>
          <w:p>
            <w:pPr>
              <w:pStyle w:val="Compact"/>
              <w:jc w:val="right"/>
            </w:pPr>
            <w:r>
              <w:t xml:space="preserve">2</w:t>
            </w:r>
          </w:p>
        </w:tc>
        <w:tc>
          <w:tcPr/>
          <w:p>
            <w:pPr>
              <w:pStyle w:val="Compact"/>
              <w:jc w:val="center"/>
            </w:pPr>
            <w:r>
              <w:t xml:space="preserve">S4</w:t>
            </w:r>
          </w:p>
        </w:tc>
        <w:tc>
          <w:tcPr/>
          <w:p>
            <w:pPr>
              <w:pStyle w:val="Compact"/>
              <w:jc w:val="center"/>
            </w:pPr>
            <w:r>
              <w:t xml:space="preserve">S4</w:t>
            </w:r>
          </w:p>
        </w:tc>
        <w:tc>
          <w:tcPr/>
          <w:p>
            <w:pPr>
              <w:pStyle w:val="Compact"/>
              <w:jc w:val="left"/>
            </w:pPr>
            <w:r>
              <w:t xml:space="preserve">18.6</w:t>
            </w:r>
          </w:p>
        </w:tc>
      </w:tr>
      <w:tr>
        <w:trPr>
          <w:cantSplit/>
        </w:trPr>
        <w:tc>
          <w:tcPr/>
          <w:p>
            <w:pPr>
              <w:pStyle w:val="Compact"/>
              <w:jc w:val="left"/>
            </w:pPr>
            <w:r>
              <w:t xml:space="preserve">A4</w:t>
            </w:r>
          </w:p>
        </w:tc>
        <w:tc>
          <w:tcPr/>
          <w:p>
            <w:pPr>
              <w:pStyle w:val="Compact"/>
              <w:jc w:val="right"/>
            </w:pPr>
            <w:r>
              <w:t xml:space="preserve">2</w:t>
            </w:r>
          </w:p>
        </w:tc>
        <w:tc>
          <w:tcPr/>
          <w:p>
            <w:pPr>
              <w:pStyle w:val="Compact"/>
              <w:jc w:val="center"/>
            </w:pPr>
            <w:r>
              <w:t xml:space="preserve">S4</w:t>
            </w:r>
          </w:p>
        </w:tc>
        <w:tc>
          <w:tcPr/>
          <w:p>
            <w:pPr>
              <w:pStyle w:val="Compact"/>
              <w:jc w:val="center"/>
            </w:pPr>
            <w:r>
              <w:t xml:space="preserve">S4</w:t>
            </w:r>
          </w:p>
        </w:tc>
        <w:tc>
          <w:tcPr/>
          <w:p>
            <w:pPr>
              <w:pStyle w:val="Compact"/>
              <w:jc w:val="left"/>
            </w:pPr>
            <w:r>
              <w:t xml:space="preserve">43.6</w:t>
            </w:r>
          </w:p>
        </w:tc>
      </w:tr>
      <w:tr>
        <w:trPr>
          <w:cantSplit/>
        </w:trPr>
        <w:tc>
          <w:tcPr/>
          <w:p>
            <w:pPr>
              <w:pStyle w:val="Compact"/>
              <w:jc w:val="left"/>
            </w:pPr>
            <w:r>
              <w:t xml:space="preserve">A5</w:t>
            </w:r>
          </w:p>
        </w:tc>
        <w:tc>
          <w:tcPr/>
          <w:p>
            <w:pPr>
              <w:pStyle w:val="Compact"/>
              <w:jc w:val="right"/>
            </w:pPr>
            <w:r>
              <w:t xml:space="preserve">1</w:t>
            </w:r>
          </w:p>
        </w:tc>
        <w:tc>
          <w:tcPr/>
          <w:p>
            <w:pPr>
              <w:pStyle w:val="Compact"/>
              <w:jc w:val="center"/>
            </w:pPr>
            <w:r>
              <w:t xml:space="preserve">S4</w:t>
            </w:r>
          </w:p>
        </w:tc>
        <w:tc>
          <w:tcPr/>
          <w:p>
            <w:pPr>
              <w:pStyle w:val="Compact"/>
              <w:jc w:val="center"/>
            </w:pPr>
            <w:r>
              <w:t xml:space="preserve">S4</w:t>
            </w:r>
          </w:p>
        </w:tc>
        <w:tc>
          <w:tcPr/>
          <w:p>
            <w:pPr>
              <w:pStyle w:val="Compact"/>
              <w:jc w:val="left"/>
            </w:pPr>
            <w:r>
              <w:t xml:space="preserve">32.6</w:t>
            </w:r>
          </w:p>
        </w:tc>
      </w:tr>
      <w:tr>
        <w:trPr>
          <w:cantSplit/>
        </w:trPr>
        <w:tc>
          <w:tcPr/>
          <w:p>
            <w:pPr>
              <w:pStyle w:val="Compact"/>
              <w:jc w:val="left"/>
            </w:pPr>
            <w:r>
              <w:t xml:space="preserve">A6</w:t>
            </w:r>
          </w:p>
        </w:tc>
        <w:tc>
          <w:tcPr/>
          <w:p>
            <w:pPr>
              <w:pStyle w:val="Compact"/>
              <w:jc w:val="right"/>
            </w:pPr>
            <w:r>
              <w:t xml:space="preserve">3</w:t>
            </w:r>
          </w:p>
        </w:tc>
        <w:tc>
          <w:tcPr/>
          <w:p>
            <w:pPr>
              <w:pStyle w:val="Compact"/>
              <w:jc w:val="center"/>
            </w:pPr>
            <w:r>
              <w:t xml:space="preserve">S7</w:t>
            </w:r>
          </w:p>
        </w:tc>
        <w:tc>
          <w:tcPr/>
          <w:p>
            <w:pPr>
              <w:pStyle w:val="Compact"/>
              <w:jc w:val="center"/>
            </w:pPr>
            <w:r>
              <w:t xml:space="preserve">S7</w:t>
            </w:r>
          </w:p>
        </w:tc>
        <w:tc>
          <w:tcPr/>
          <w:p>
            <w:pPr>
              <w:pStyle w:val="Compact"/>
              <w:jc w:val="left"/>
            </w:pPr>
            <w:r>
              <w:t xml:space="preserve">13.0</w:t>
            </w:r>
          </w:p>
        </w:tc>
      </w:tr>
      <w:tr>
        <w:trPr>
          <w:cantSplit/>
        </w:trPr>
        <w:tc>
          <w:tcPr/>
          <w:p>
            <w:pPr>
              <w:pStyle w:val="Compact"/>
              <w:jc w:val="left"/>
            </w:pPr>
            <w:r>
              <w:t xml:space="preserve">Total</w:t>
            </w:r>
          </w:p>
        </w:tc>
        <w:tc>
          <w:tcPr/>
          <w:p>
            <w:pPr>
              <w:pStyle w:val="Compact"/>
              <w:jc w:val="right"/>
            </w:pPr>
            <w:r>
              <w:t xml:space="preserve">15</w:t>
            </w:r>
          </w:p>
        </w:tc>
        <w:tc>
          <w:tcPr/>
          <w:p>
            <w:pPr>
              <w:pStyle w:val="Compact"/>
              <w:jc w:val="center"/>
            </w:pPr>
            <w:r>
              <w:t xml:space="preserve">S4: 12 patients for 8 beds; S7: 3</w:t>
            </w:r>
          </w:p>
        </w:tc>
        <w:tc>
          <w:tcPr/>
          <w:p>
            <w:pPr>
              <w:pStyle w:val="Compact"/>
              <w:jc w:val="center"/>
            </w:pPr>
            <w:r>
              <w:t xml:space="preserve">S4: 8; S7: 7</w:t>
            </w:r>
          </w:p>
        </w:tc>
        <w:tc>
          <w:tcPr/>
          <w:p>
            <w:pPr>
              <w:pStyle w:val="Compact"/>
              <w:jc w:val="left"/>
            </w:pPr>
            <w:r>
              <w:t xml:space="preserve">473.9 in all</w:t>
            </w:r>
          </w:p>
        </w:tc>
      </w:tr>
    </w:tbl>
    <w:p>
      <w:pPr>
        <w:pStyle w:val="BodyText"/>
        <w:spacing w:before="200"/>
      </w:pPr>
      <w:r>
        <w:t xml:space="preserve">If every patient follows his or her own nearest-hospital advice, 12 patients head for the 8 free beds of S4 and 4 of them are turned away at the door. The optimal assignment places all 15 patients. It does so by sending the 4 patients from A1 to S7, because their detour, 19.8 minutes each, is the smallest available; moving patients from A2 to A5 instead would cost 32.8 to 33.7 minutes each. The total travel time is 473.9 minutes, against 394.7 minutes if S4 had unlimited beds, so the price of fitting everyone in is 79.2 minutes, shared by four patients who would otherwise not have been admitted at all.</w:t>
      </w:r>
    </w:p>
    <w:p>
      <w:pPr>
        <w:pStyle w:val="BodyText"/>
      </w:pPr>
      <w:r>
        <w:t xml:space="preserve">A first-come rule would leave the outcome to chance: whichever patients called last would be sent to S7, and if those were the patients from A4, each would travel 76.6 minutes instead of 43.6. The assignment settles the question by the arithmetic of the detours rather than by the order of the calls.</w:t>
      </w:r>
    </w:p>
    <w:bookmarkEnd w:id="179"/>
    <w:bookmarkEnd w:id="180"/>
    <w:bookmarkStart w:id="185" w:name="X2d873c26887dbc29d78a12ec600f093590cd5a0"/>
    <w:p>
      <w:pPr>
        <w:pStyle w:val="Heading2"/>
      </w:pPr>
      <w:r>
        <w:t xml:space="preserve">3.6 Computational Experiments on the Open-Data Instance</w:t>
      </w:r>
    </w:p>
    <w:p>
      <w:pPr>
        <w:pStyle w:val="FirstParagraph"/>
      </w:pPr>
      <w:r>
        <w:t xml:space="preserve">These experiments run on the data set that the pipeline of Section 3.1 builds for Albay, together with randomized variants of it. They examine how the model behaves and whether its outputs hold up under different parameter settings. Whether the model agrees with actual field operations in Albay needs field survey data and is left to future work (Section 4.3).</w:t>
      </w:r>
    </w:p>
    <w:bookmarkStart w:id="181" w:name="sensitivity-analysis"/>
    <w:p>
      <w:pPr>
        <w:pStyle w:val="Heading3"/>
      </w:pPr>
      <w:r>
        <w:t xml:space="preserve">3.6.1 Sensitivity Analysis</w:t>
      </w:r>
    </w:p>
    <w:p>
      <w:pPr>
        <w:pStyle w:val="FirstParagraph"/>
      </w:pPr>
      <w:r>
        <w:t xml:space="preserve">The sensitivity tests vary the anchor set, the headways, the vehicle-class limits, the departure-time assumptions, and the travel-time budget. The main baseline is 30 minutes, and other budgets show whether a conclusion depends on that choice. Because the choice of landmarks is a key modeling decision, three anchor sets are compared: terminals alone, terminals with municipal halls, and the full set of Table 4. Only directional conclusions that hold for all three count as robust.</w:t>
      </w:r>
    </w:p>
    <w:p>
      <w:pPr>
        <w:pStyle w:val="BodyText"/>
      </w:pPr>
      <w:r>
        <w:t xml:space="preserve">Hospital mode is re-run under two alternative acuity tables (one lowering each λ(κ) by one level, the other requiring Level 3 care for both emergency levels), under several stabilization margins and freshness limits, under both mobility classes, and with service sets taken from level defaults alone or adjusted by register entries (Equation 12). The open-data instance has no live bed reports, so every hospital sits at UNKNOWN status (Definition 15) and stays eligible. These runs therefore test capability, services, cost, and walking ability, not live capacity.</w:t>
      </w:r>
    </w:p>
    <w:bookmarkEnd w:id="181"/>
    <w:bookmarkStart w:id="182" w:name="statistical-treatment"/>
    <w:p>
      <w:pPr>
        <w:pStyle w:val="Heading3"/>
      </w:pPr>
      <w:r>
        <w:t xml:space="preserve">3.6.2 Statistical Treatment</w:t>
      </w:r>
    </w:p>
    <w:p>
      <w:pPr>
        <w:pStyle w:val="FirstParagraph"/>
      </w:pPr>
      <w:r>
        <w:t xml:space="preserve">Eleven questions are tested formally: six on the transport layer and five on the hospital layer. Each names an estimator and a decision rule at α = 0.05, with Holm’s (1979) step-down procedure applied over the whole family. An effect size accompanies every test, so that a difference too small to matter for planning is not reported as significant. Since every test runs on model outputs, statistical significance here describes the model, not actual road conditions.</w:t>
      </w:r>
    </w:p>
    <w:p>
      <w:pPr>
        <w:pStyle w:val="TableCaption"/>
      </w:pPr>
      <w:r>
        <w:rPr>
          <w:bCs/>
          <w:b/>
        </w:rPr>
        <w:t xml:space="preserve">Table 31.</w:t>
      </w:r>
      <w:r>
        <w:t xml:space="preserve"> </w:t>
      </w:r>
      <w:r>
        <w:t xml:space="preserve">How each question is tested.</w:t>
      </w:r>
    </w:p>
    <w:tbl>
      <w:tblPr>
        <w:tblStyle w:val="Table"/>
        <w:tblW w:type="pct" w:w="5000"/>
        <w:jc w:val="center"/>
        <w:tblCaption w:val="Table 31. How each question is tested."/>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2640"/>
        <w:gridCol w:w="2640"/>
        <w:gridCol w:w="2640"/>
      </w:tblGrid>
      <w:tr>
        <w:trPr>
          <w:tblHeader w:val="true"/>
          <w:tblHeader/>
          <w:cantSplit/>
        </w:trPr>
        <w:tc>
          <w:tcPr/>
          <w:p>
            <w:pPr>
              <w:pStyle w:val="Compact"/>
              <w:jc w:val="left"/>
            </w:pPr>
            <w:r>
              <w:rPr>
                <w:b/>
              </w:rPr>
              <w:t xml:space="preserve">Question</w:t>
            </w:r>
          </w:p>
        </w:tc>
        <w:tc>
          <w:tcPr/>
          <w:p>
            <w:pPr>
              <w:pStyle w:val="Compact"/>
              <w:jc w:val="left"/>
            </w:pPr>
            <w:r>
              <w:rPr>
                <w:b/>
              </w:rPr>
              <w:t xml:space="preserve">Test or Estimator</w:t>
            </w:r>
          </w:p>
        </w:tc>
        <w:tc>
          <w:tcPr/>
          <w:p>
            <w:pPr>
              <w:pStyle w:val="Compact"/>
              <w:jc w:val="left"/>
            </w:pPr>
            <w:r>
              <w:rPr>
                <w:b/>
              </w:rPr>
              <w:t xml:space="preserve">Reason for the Choice</w:t>
            </w:r>
          </w:p>
        </w:tc>
      </w:tr>
      <w:tr>
        <w:trPr>
          <w:cantSplit/>
        </w:trPr>
        <w:tc>
          <w:tcPr/>
          <w:p>
            <w:pPr>
              <w:pStyle w:val="Compact"/>
              <w:jc w:val="left"/>
            </w:pPr>
            <w:r>
              <w:t xml:space="preserve">(S1) Is modeled access more unequal than resampling noise alone would make it?</w:t>
            </w:r>
          </w:p>
        </w:tc>
        <w:tc>
          <w:tcPr/>
          <w:p>
            <w:pPr>
              <w:pStyle w:val="Compact"/>
              <w:jc w:val="left"/>
            </w:pPr>
            <w:r>
              <w:t xml:space="preserve">Weighted Gini (Gini, 1912) with a 95% percentile bootstrap interval from 2,000 resamples (Efron, 1979; Efron &amp; Tibshirani, 1993)</w:t>
            </w:r>
          </w:p>
        </w:tc>
        <w:tc>
          <w:tcPr/>
          <w:p>
            <w:pPr>
              <w:pStyle w:val="Compact"/>
              <w:jc w:val="left"/>
            </w:pPr>
            <w:r>
              <w:t xml:space="preserve">Assumes no distribution; the interval reflects the sampling noise that comes from the anchor set</w:t>
            </w:r>
          </w:p>
        </w:tc>
      </w:tr>
      <w:tr>
        <w:trPr>
          <w:cantSplit/>
        </w:trPr>
        <w:tc>
          <w:tcPr/>
          <w:p>
            <w:pPr>
              <w:pStyle w:val="Compact"/>
              <w:jc w:val="left"/>
            </w:pPr>
            <w:r>
              <w:t xml:space="preserve">(S2) Do urban and rural anchors differ?</w:t>
            </w:r>
          </w:p>
        </w:tc>
        <w:tc>
          <w:tcPr/>
          <w:p>
            <w:pPr>
              <w:pStyle w:val="Compact"/>
              <w:jc w:val="left"/>
            </w:pPr>
            <w:r>
              <w:t xml:space="preserve">Mann-Whitney U (Mann &amp; Whitney, 1947), with the rank-biserial correlation as effect size (Kerby, 2014)</w:t>
            </w:r>
          </w:p>
        </w:tc>
        <w:tc>
          <w:tcPr/>
          <w:p>
            <w:pPr>
              <w:pStyle w:val="Compact"/>
              <w:jc w:val="left"/>
            </w:pPr>
            <w:r>
              <w:t xml:space="preserve">Access is skewed to the right and floored at zero, which rules out a t-test</w:t>
            </w:r>
          </w:p>
        </w:tc>
      </w:tr>
      <w:tr>
        <w:trPr>
          <w:cantSplit/>
        </w:trPr>
        <w:tc>
          <w:tcPr/>
          <w:p>
            <w:pPr>
              <w:pStyle w:val="Compact"/>
              <w:jc w:val="left"/>
            </w:pPr>
            <w:r>
              <w:t xml:space="preserve">(S3) Is the inequality local or structural?</w:t>
            </w:r>
          </w:p>
        </w:tc>
        <w:tc>
          <w:tcPr/>
          <w:p>
            <w:pPr>
              <w:pStyle w:val="Compact"/>
              <w:jc w:val="left"/>
            </w:pPr>
            <w:r>
              <w:t xml:space="preserve">Theil decomposition (Prop. 6; Shorrocks, 1980) with a bootstrap interval for the within-group share</w:t>
            </w:r>
          </w:p>
        </w:tc>
        <w:tc>
          <w:tcPr/>
          <w:p>
            <w:pPr>
              <w:pStyle w:val="Compact"/>
              <w:jc w:val="left"/>
            </w:pPr>
            <w:r>
              <w:t xml:space="preserve">An exact decomposition separates the two explanations cleanly</w:t>
            </w:r>
          </w:p>
        </w:tc>
      </w:tr>
      <w:tr>
        <w:trPr>
          <w:cantSplit/>
        </w:trPr>
        <w:tc>
          <w:tcPr/>
          <w:p>
            <w:pPr>
              <w:pStyle w:val="Compact"/>
              <w:jc w:val="left"/>
            </w:pPr>
            <w:r>
              <w:t xml:space="preserve">(S4) Does modeled access track settlement density?</w:t>
            </w:r>
          </w:p>
        </w:tc>
        <w:tc>
          <w:tcPr/>
          <w:p>
            <w:pPr>
              <w:pStyle w:val="Compact"/>
              <w:jc w:val="left"/>
            </w:pPr>
            <w:r>
              <w:t xml:space="preserve">Spearman rank correlation (Spearman, 1904)</w:t>
            </w:r>
          </w:p>
        </w:tc>
        <w:tc>
          <w:tcPr/>
          <w:p>
            <w:pPr>
              <w:pStyle w:val="Compact"/>
              <w:jc w:val="left"/>
            </w:pPr>
            <w:r>
              <w:t xml:space="preserve">No linear relation is assumed</w:t>
            </w:r>
          </w:p>
        </w:tc>
      </w:tr>
      <w:tr>
        <w:trPr>
          <w:cantSplit/>
        </w:trPr>
        <w:tc>
          <w:tcPr/>
          <w:p>
            <w:pPr>
              <w:pStyle w:val="Compact"/>
              <w:jc w:val="left"/>
            </w:pPr>
            <w:r>
              <w:t xml:space="preserve">(S5) How sensitive is the result to the anchor set?</w:t>
            </w:r>
          </w:p>
        </w:tc>
        <w:tc>
          <w:tcPr/>
          <w:p>
            <w:pPr>
              <w:pStyle w:val="Compact"/>
              <w:jc w:val="left"/>
            </w:pPr>
            <w:r>
              <w:t xml:space="preserve">Median discrete Fréchet distance between Lorenz curves (Eiter &amp; Mannila, 1994)</w:t>
            </w:r>
          </w:p>
        </w:tc>
        <w:tc>
          <w:tcPr/>
          <w:p>
            <w:pPr>
              <w:pStyle w:val="Compact"/>
              <w:jc w:val="left"/>
            </w:pPr>
            <w:r>
              <w:t xml:space="preserve">Compares whole curves rather than single points</w:t>
            </w:r>
          </w:p>
        </w:tc>
      </w:tr>
      <w:tr>
        <w:trPr>
          <w:cantSplit/>
        </w:trPr>
        <w:tc>
          <w:tcPr/>
          <w:p>
            <w:pPr>
              <w:pStyle w:val="Compact"/>
              <w:jc w:val="left"/>
            </w:pPr>
            <w:r>
              <w:t xml:space="preserve">(S6) How sensitive is the result to the headway assumption?</w:t>
            </w:r>
          </w:p>
        </w:tc>
        <w:tc>
          <w:tcPr/>
          <w:p>
            <w:pPr>
              <w:pStyle w:val="Compact"/>
              <w:jc w:val="left"/>
            </w:pPr>
            <w:r>
              <w:t xml:space="preserve">Spread of results when headways are perturbed by ±25% and ±50%</w:t>
            </w:r>
          </w:p>
        </w:tc>
        <w:tc>
          <w:tcPr/>
          <w:p>
            <w:pPr>
              <w:pStyle w:val="Compact"/>
              <w:jc w:val="left"/>
            </w:pPr>
            <w:r>
              <w:t xml:space="preserve">Headway is the least constrained input of the model</w:t>
            </w:r>
          </w:p>
        </w:tc>
      </w:tr>
      <w:tr>
        <w:trPr>
          <w:cantSplit/>
        </w:trPr>
        <w:tc>
          <w:tcPr/>
          <w:p>
            <w:pPr>
              <w:pStyle w:val="Compact"/>
              <w:jc w:val="left"/>
            </w:pPr>
            <w:r>
              <w:t xml:space="preserve">(S7) Do urban and rural anchors differ in payment gap?</w:t>
            </w:r>
          </w:p>
        </w:tc>
        <w:tc>
          <w:tcPr/>
          <w:p>
            <w:pPr>
              <w:pStyle w:val="Compact"/>
              <w:jc w:val="left"/>
            </w:pPr>
            <w:r>
              <w:t xml:space="preserve">Mann-Whitney U with the rank-biserial effect size (Kerby, 2014)</w:t>
            </w:r>
          </w:p>
        </w:tc>
        <w:tc>
          <w:tcPr/>
          <w:p>
            <w:pPr>
              <w:pStyle w:val="Compact"/>
              <w:jc w:val="left"/>
            </w:pPr>
            <w:r>
              <w:t xml:space="preserve">The gap is nonnegative and has many zeros</w:t>
            </w:r>
          </w:p>
        </w:tc>
      </w:tr>
      <w:tr>
        <w:trPr>
          <w:cantSplit/>
        </w:trPr>
        <w:tc>
          <w:tcPr/>
          <w:p>
            <w:pPr>
              <w:pStyle w:val="Compact"/>
              <w:jc w:val="left"/>
            </w:pPr>
            <w:r>
              <w:t xml:space="preserve">(S8) How often is the plain nearest hospital unsuitable?</w:t>
            </w:r>
          </w:p>
        </w:tc>
        <w:tc>
          <w:tcPr/>
          <w:p>
            <w:pPr>
              <w:pStyle w:val="Compact"/>
              <w:jc w:val="left"/>
            </w:pPr>
            <w:r>
              <w:t xml:space="preserve">Weighted share of anchors with a 95% percentile bootstrap interval from 2,000 resamples (Efron &amp; Tibshirani, 1993)</w:t>
            </w:r>
          </w:p>
        </w:tc>
        <w:tc>
          <w:tcPr/>
          <w:p>
            <w:pPr>
              <w:pStyle w:val="Compact"/>
              <w:jc w:val="left"/>
            </w:pPr>
            <w:r>
              <w:t xml:space="preserve">A proportion is better described by an interval than by a test</w:t>
            </w:r>
          </w:p>
        </w:tc>
      </w:tr>
      <w:tr>
        <w:trPr>
          <w:cantSplit/>
        </w:trPr>
        <w:tc>
          <w:tcPr/>
          <w:p>
            <w:pPr>
              <w:pStyle w:val="Compact"/>
              <w:jc w:val="left"/>
            </w:pPr>
            <w:r>
              <w:t xml:space="preserve">(S9) How large is the need gap for dialysis?</w:t>
            </w:r>
          </w:p>
        </w:tc>
        <w:tc>
          <w:tcPr/>
          <w:p>
            <w:pPr>
              <w:pStyle w:val="Compact"/>
              <w:jc w:val="left"/>
            </w:pPr>
            <w:r>
              <w:t xml:space="preserve">Weighted share of anchors with Δ</w:t>
            </w:r>
            <w:r>
              <w:rPr>
                <w:iCs/>
                <w:i/>
                <w:vertAlign w:val="subscript"/>
              </w:rPr>
              <w:t xml:space="preserve">need</w:t>
            </w:r>
            <w:r>
              <w:t xml:space="preserve"> </w:t>
            </w:r>
            <w:r>
              <w:t xml:space="preserve">&gt; 15 min, with a bootstrap interval</w:t>
            </w:r>
          </w:p>
        </w:tc>
        <w:tc>
          <w:tcPr/>
          <w:p>
            <w:pPr>
              <w:pStyle w:val="Compact"/>
              <w:jc w:val="left"/>
            </w:pPr>
            <w:r>
              <w:t xml:space="preserve">Same reason as S8</w:t>
            </w:r>
          </w:p>
        </w:tc>
      </w:tr>
      <w:tr>
        <w:trPr>
          <w:cantSplit/>
        </w:trPr>
        <w:tc>
          <w:tcPr/>
          <w:p>
            <w:pPr>
              <w:pStyle w:val="Compact"/>
              <w:jc w:val="left"/>
            </w:pPr>
            <w:r>
              <w:t xml:space="preserve">(S10) Are a few roads responsible for most of the risk?</w:t>
            </w:r>
          </w:p>
        </w:tc>
        <w:tc>
          <w:tcPr/>
          <w:p>
            <w:pPr>
              <w:pStyle w:val="Compact"/>
              <w:jc w:val="left"/>
            </w:pPr>
            <w:r>
              <w:t xml:space="preserve">Share of open road segments that carry half of the total finite criticality Σ</w:t>
            </w:r>
            <w:r>
              <w:rPr>
                <w:iCs/>
                <w:i/>
                <w:vertAlign w:val="subscript"/>
              </w:rPr>
              <w:t xml:space="preserve">e</w:t>
            </w:r>
            <w:r>
              <w:t xml:space="preserve"> </w:t>
            </w:r>
            <w:r>
              <w:rPr>
                <w:iCs/>
                <w:i/>
              </w:rPr>
              <w:t xml:space="preserve">D</w:t>
            </w:r>
            <w:r>
              <w:rPr>
                <w:iCs/>
                <w:i/>
                <w:vertAlign w:val="subscript"/>
              </w:rPr>
              <w:t xml:space="preserve">e</w:t>
            </w:r>
            <w:r>
              <w:t xml:space="preserve">, with segments of infinite</w:t>
            </w:r>
            <w:r>
              <w:t xml:space="preserve"> </w:t>
            </w:r>
            <w:r>
              <w:rPr>
                <w:iCs/>
                <w:i/>
              </w:rPr>
              <w:t xml:space="preserve">D</w:t>
            </w:r>
            <w:r>
              <w:rPr>
                <w:iCs/>
                <w:i/>
                <w:vertAlign w:val="subscript"/>
              </w:rPr>
              <w:t xml:space="preserve">e</w:t>
            </w:r>
            <w:r>
              <w:t xml:space="preserve"> </w:t>
            </w:r>
            <w:r>
              <w:t xml:space="preserve">counted separately</w:t>
            </w:r>
          </w:p>
        </w:tc>
        <w:tc>
          <w:tcPr/>
          <w:p>
            <w:pPr>
              <w:pStyle w:val="Compact"/>
              <w:jc w:val="left"/>
            </w:pPr>
            <w:r>
              <w:t xml:space="preserve">Concentration is read directly from the sorted criticality values</w:t>
            </w:r>
          </w:p>
        </w:tc>
      </w:tr>
      <w:tr>
        <w:trPr>
          <w:cantSplit/>
        </w:trPr>
        <w:tc>
          <w:tcPr/>
          <w:p>
            <w:pPr>
              <w:pStyle w:val="Compact"/>
              <w:jc w:val="left"/>
            </w:pPr>
            <w:r>
              <w:t xml:space="preserve">(S11) How much access do slow walkers lose?</w:t>
            </w:r>
          </w:p>
        </w:tc>
        <w:tc>
          <w:tcPr/>
          <w:p>
            <w:pPr>
              <w:pStyle w:val="Compact"/>
              <w:jc w:val="left"/>
            </w:pPr>
            <w:r>
              <w:t xml:space="preserve">Paired bootstrap interval for the difference in weighted share of anchors with no suitable hospital within 60 min, slow minus standard class</w:t>
            </w:r>
          </w:p>
        </w:tc>
        <w:tc>
          <w:tcPr/>
          <w:p>
            <w:pPr>
              <w:pStyle w:val="Compact"/>
              <w:jc w:val="left"/>
            </w:pPr>
            <w:r>
              <w:t xml:space="preserve">The same anchors are compared under both classes, so the pairs are kept</w:t>
            </w:r>
          </w:p>
        </w:tc>
      </w:tr>
    </w:tbl>
    <w:bookmarkEnd w:id="182"/>
    <w:bookmarkStart w:id="183" w:name="pre-registered-model-hypotheses"/>
    <w:p>
      <w:pPr>
        <w:pStyle w:val="Heading3"/>
      </w:pPr>
      <w:r>
        <w:t xml:space="preserve">3.6.3 Pre-Registered Model Hypotheses</w:t>
      </w:r>
    </w:p>
    <w:p>
      <w:pPr>
        <w:pStyle w:val="FirstParagraph"/>
      </w:pPr>
      <w:r>
        <w:t xml:space="preserve">All hypotheses and decision rules below were fixed before the study-area instance was run. Each is a statement about the open-data model that can be decided without field measurements or hospital replies.</w:t>
      </w:r>
    </w:p>
    <w:p>
      <w:pPr>
        <w:numPr>
          <w:ilvl w:val="0"/>
          <w:numId w:val="1009"/>
        </w:numPr>
        <w:pStyle w:val="BodyText"/>
        <w:spacing w:after="80"/>
      </w:pPr>
      <w:r>
        <w:rPr>
          <w:bCs/>
          <w:b/>
        </w:rPr>
        <w:t xml:space="preserve">M1.</w:t>
      </w:r>
      <w:r>
        <w:t xml:space="preserve"> </w:t>
      </w:r>
      <w:r>
        <w:t xml:space="preserve">Modeled access to hospital beds has a weighted Gini above 0.30 at the 30-minute baseline. The hypothesis holds if the bootstrap interval lies wholly above 0.30.</w:t>
      </w:r>
    </w:p>
    <w:p>
      <w:pPr>
        <w:numPr>
          <w:ilvl w:val="0"/>
          <w:numId w:val="1009"/>
        </w:numPr>
        <w:pStyle w:val="BodyText"/>
        <w:spacing w:after="80"/>
      </w:pPr>
      <w:r>
        <w:rPr>
          <w:bCs/>
          <w:b/>
        </w:rPr>
        <w:t xml:space="preserve">M2.</w:t>
      </w:r>
      <w:r>
        <w:t xml:space="preserve"> </w:t>
      </w:r>
      <w:r>
        <w:t xml:space="preserve">Urban-center anchors have greater modeled access than rural ones, tested with the Mann-Whitney U at α = 0.05.</w:t>
      </w:r>
    </w:p>
    <w:p>
      <w:pPr>
        <w:numPr>
          <w:ilvl w:val="0"/>
          <w:numId w:val="1009"/>
        </w:numPr>
        <w:pStyle w:val="BodyText"/>
        <w:spacing w:after="80"/>
      </w:pPr>
      <w:r>
        <w:rPr>
          <w:bCs/>
          <w:b/>
        </w:rPr>
        <w:t xml:space="preserve">M3.</w:t>
      </w:r>
      <w:r>
        <w:t xml:space="preserve"> </w:t>
      </w:r>
      <w:r>
        <w:t xml:space="preserve">The between-municipality term is under half of the total, which would make modeled transport disadvantage chiefly a matter of local feeder service.</w:t>
      </w:r>
    </w:p>
    <w:p>
      <w:pPr>
        <w:numPr>
          <w:ilvl w:val="0"/>
          <w:numId w:val="1009"/>
        </w:numPr>
        <w:pStyle w:val="BodyText"/>
        <w:spacing w:after="80"/>
      </w:pPr>
      <w:r>
        <w:rPr>
          <w:bCs/>
          <w:b/>
        </w:rPr>
        <w:t xml:space="preserve">M4.</w:t>
      </w:r>
      <w:r>
        <w:t xml:space="preserve"> </w:t>
      </w:r>
      <w:r>
        <w:t xml:space="preserve">Larger vehicle classes never use more of the road network. Proposition 3 makes this exact rather than typical, so a single violation would point to a faulty road attribute and send that segment back for checking.</w:t>
      </w:r>
    </w:p>
    <w:p>
      <w:pPr>
        <w:numPr>
          <w:ilvl w:val="0"/>
          <w:numId w:val="1009"/>
        </w:numPr>
        <w:pStyle w:val="BodyText"/>
        <w:spacing w:after="80"/>
      </w:pPr>
      <w:r>
        <w:rPr>
          <w:bCs/>
          <w:b/>
        </w:rPr>
        <w:t xml:space="preserve">M5.</w:t>
      </w:r>
      <w:r>
        <w:t xml:space="preserve"> </w:t>
      </w:r>
      <w:r>
        <w:t xml:space="preserve">Under every anchor set of Section 3.6.1 and every θ ∈ {15, 30, 45} min, hypotheses M1 to M3, M6, and M7 point the same way.</w:t>
      </w:r>
    </w:p>
    <w:p>
      <w:pPr>
        <w:numPr>
          <w:ilvl w:val="0"/>
          <w:numId w:val="1009"/>
        </w:numPr>
        <w:pStyle w:val="BodyText"/>
        <w:spacing w:after="80"/>
      </w:pPr>
      <w:r>
        <w:rPr>
          <w:bCs/>
          <w:b/>
        </w:rPr>
        <w:t xml:space="preserve">M6.</w:t>
      </w:r>
      <w:r>
        <w:t xml:space="preserve"> </w:t>
      </w:r>
      <w:r>
        <w:t xml:space="preserve">With κ = 3 and ρ = 0 at the 30-minute baseline, the payment gap is larger at rural anchors than at urban ones, tested with the Mann-Whitney U at α = 0.05.</w:t>
      </w:r>
    </w:p>
    <w:p>
      <w:pPr>
        <w:numPr>
          <w:ilvl w:val="0"/>
          <w:numId w:val="1009"/>
        </w:numPr>
        <w:pStyle w:val="BodyText"/>
        <w:spacing w:after="80"/>
      </w:pPr>
      <w:r>
        <w:rPr>
          <w:bCs/>
          <w:b/>
        </w:rPr>
        <w:t xml:space="preserve">M7.</w:t>
      </w:r>
      <w:r>
        <w:t xml:space="preserve"> </w:t>
      </w:r>
      <w:r>
        <w:t xml:space="preserve">With κ = 2, more than half of the anchor weight has a plain nearest hospital that fails the capability test of Definition 17. The hypothesis is supported if the bootstrap interval lies wholly above 0.5.</w:t>
      </w:r>
    </w:p>
    <w:p>
      <w:pPr>
        <w:numPr>
          <w:ilvl w:val="0"/>
          <w:numId w:val="1009"/>
        </w:numPr>
        <w:pStyle w:val="BodyText"/>
        <w:spacing w:after="80"/>
      </w:pPr>
      <w:r>
        <w:rPr>
          <w:bCs/>
          <w:b/>
        </w:rPr>
        <w:t xml:space="preserve">M8.</w:t>
      </w:r>
      <w:r>
        <w:t xml:space="preserve"> </w:t>
      </w:r>
      <w:r>
        <w:t xml:space="preserve">For κ = 1 and κ = 2, no anchor has a nonzero payment gap. Corollary 11 makes this exact, so any nonzero value would reveal a coding error.</w:t>
      </w:r>
    </w:p>
    <w:p>
      <w:pPr>
        <w:numPr>
          <w:ilvl w:val="0"/>
          <w:numId w:val="1009"/>
        </w:numPr>
        <w:pStyle w:val="BodyText"/>
        <w:spacing w:after="80"/>
      </w:pPr>
      <w:r>
        <w:rPr>
          <w:bCs/>
          <w:b/>
        </w:rPr>
        <w:t xml:space="preserve">M9.</w:t>
      </w:r>
      <w:r>
        <w:t xml:space="preserve"> </w:t>
      </w:r>
      <w:r>
        <w:t xml:space="preserve">With κ = 3, ρ = 3, and</w:t>
      </w:r>
      <w:r>
        <w:t xml:space="preserve"> </w:t>
      </w:r>
      <w:r>
        <w:rPr>
          <w:iCs/>
          <w:i/>
        </w:rPr>
        <w:t xml:space="preserve">N</w:t>
      </w:r>
      <w:r>
        <w:t xml:space="preserve"> </w:t>
      </w:r>
      <w:r>
        <w:t xml:space="preserve">= {DIA}, more than half of the anchor weight has a need gap above 15 minutes. The hypothesis is supported if the bootstrap interval lies wholly above 0.5.</w:t>
      </w:r>
    </w:p>
    <w:p>
      <w:pPr>
        <w:numPr>
          <w:ilvl w:val="0"/>
          <w:numId w:val="1009"/>
        </w:numPr>
        <w:pStyle w:val="BodyText"/>
        <w:spacing w:after="80"/>
      </w:pPr>
      <w:r>
        <w:rPr>
          <w:bCs/>
          <w:b/>
        </w:rPr>
        <w:t xml:space="preserve">M10.</w:t>
      </w:r>
      <w:r>
        <w:t xml:space="preserve"> </w:t>
      </w:r>
      <w:r>
        <w:t xml:space="preserve">For κ = 2 in ambulance mode, fewer than 5 percent of the open road segments carry half of the total finite criticality.</w:t>
      </w:r>
    </w:p>
    <w:p>
      <w:pPr>
        <w:numPr>
          <w:ilvl w:val="0"/>
          <w:numId w:val="1009"/>
        </w:numPr>
        <w:pStyle w:val="BodyText"/>
        <w:spacing w:after="80"/>
      </w:pPr>
      <w:r>
        <w:rPr>
          <w:bCs/>
          <w:b/>
        </w:rPr>
        <w:t xml:space="preserve">M11.</w:t>
      </w:r>
      <w:r>
        <w:t xml:space="preserve"> </w:t>
      </w:r>
      <w:r>
        <w:t xml:space="preserve">The weighted share of anchors with no suitable hospital (κ = 3, ρ = 3) within 60 minutes by public transport is at least 10 percentage points higher for the slow class than for the standard class; supported if the paired bootstrap interval lies wholly above 0.10.</w:t>
      </w:r>
    </w:p>
    <w:p>
      <w:pPr>
        <w:pStyle w:val="FirstParagraph"/>
      </w:pPr>
      <w:r>
        <w:t xml:space="preserve">Within the model, M2 and M6 measure urban-rural gaps relevant to targets 10.2 and 11.2. M7 and M9 measure how often the nearest hospital falls short of the care a patient needs, which bears on target 3.8. M10 and M11 measure how fragile access is, for the road network in a disaster and for patients who walk slowly. Negative results will be reported as well. Fairly even access, a small payment gap, or diffuse road criticality would serve a planner as much as the opposite finding, and either will be reported with the analysis unchanged.</w:t>
      </w:r>
    </w:p>
    <w:bookmarkEnd w:id="183"/>
    <w:bookmarkStart w:id="184" w:name="sensitivity-sweeps"/>
    <w:p>
      <w:pPr>
        <w:pStyle w:val="Heading3"/>
      </w:pPr>
      <w:r>
        <w:t xml:space="preserve">3.6.4 Sensitivity Sweeps</w:t>
      </w:r>
    </w:p>
    <w:p>
      <w:pPr>
        <w:pStyle w:val="FirstParagraph"/>
      </w:pPr>
      <w:r>
        <w:t xml:space="preserve">Seven sweeps recompute the main results across parameter ranges: the travel-time budget; departure windows in the morning peak, at midday, and in the evening; the decay parameter of Definition 8, set to half-lives of 15, 30, or 45 minutes; a half-headway wait model; each of the three anchor sets; the mobility classes; and, for hospital mode, the alternative acuity tables, freshness limits, stabilization margins, and service-set rules of Section 3.6.1. A conclusion counts as robust only if its direction holds across every sweep.</w:t>
      </w:r>
    </w:p>
    <w:bookmarkEnd w:id="184"/>
    <w:bookmarkEnd w:id="185"/>
    <w:bookmarkEnd w:id="186"/>
    <w:bookmarkStart w:id="191" w:name="conclusions"/>
    <w:p>
      <w:pPr>
        <w:pStyle w:val="Heading1"/>
      </w:pPr>
      <w:r>
        <w:t xml:space="preserve">4. CONCLUSIONS</w:t>
      </w:r>
    </w:p>
    <w:bookmarkStart w:id="187" w:name="evaluation-of-the-findings"/>
    <w:p>
      <w:pPr>
        <w:pStyle w:val="Heading2"/>
      </w:pPr>
      <w:r>
        <w:t xml:space="preserve">4.1 Evaluation of the Findings</w:t>
      </w:r>
    </w:p>
    <w:p>
      <w:pPr>
        <w:pStyle w:val="FirstParagraph"/>
      </w:pPr>
      <w:r>
        <w:t xml:space="preserve">The primary question asked how quickly a patient starting from any anchor in Albay can reach a hospital that can treat the patient, has a free bed, and accepts what the patient can pay, and how evenly that access is shared. The study’s answer is that this quantity can be defined precisely, computed exactly, recomputed in milliseconds when a bed report or a road changes, and studied before any field survey. The findings are taken below objective by objective.</w:t>
      </w:r>
    </w:p>
    <w:p>
      <w:pPr>
        <w:pStyle w:val="BodyText"/>
      </w:pPr>
      <w:r>
        <w:rPr>
          <w:bCs/>
          <w:b/>
        </w:rPr>
        <w:t xml:space="preserve">Objective 1: the hospital map and the transport graphs.</w:t>
      </w:r>
      <w:r>
        <w:t xml:space="preserve"> </w:t>
      </w:r>
      <w:r>
        <w:t xml:space="preserve">The label-setting search on the time-expanded graph returns exact earliest arrivals (Proposition 1), and it matched brute-force enumeration in all 1,018 test queries (Tables 14 and 24). The vehicle classes form a partial order, so a larger vehicle never has more access than a smaller one (Proposition 3, Corollary 4), and the van-type ambulance sits between the sport utility vehicle and the jeepney in every limit (Remark 10). The current jeepney fare is subadditive (Proposition 7), which is why a commuting patient is shown the cheapest route beside the fastest. Before this work there was no machine-readable model of public transport or of hospital capability for the 18 LGUs of Albay; open registers proved enough to build one. OpenStreetMap supplies the roads, the health and school registers the destinations, the census the weights, and the LTFRB the fares.</w:t>
      </w:r>
    </w:p>
    <w:p>
      <w:pPr>
        <w:pStyle w:val="BodyText"/>
      </w:pPr>
      <w:r>
        <w:rPr>
          <w:bCs/>
          <w:b/>
        </w:rPr>
        <w:t xml:space="preserve">Objective 2: the patient profile and the suitability rule.</w:t>
      </w:r>
      <w:r>
        <w:t xml:space="preserve"> </w:t>
      </w:r>
      <w:r>
        <w:t xml:space="preserve">A patient’s acuity, required services, payment class, and mobility combine into one rule (Definition 17) whose behavior is provably orderly: more money never removes a hospital, more needs never add one, and an emergency patient is never filtered by ability to pay (Proposition 10). The tests found no violation in 140,000 set-inclusion checks for payment and acuity, 28,037 for needs, and 80,000 payment-gap checks (Tables 15 and 16).</w:t>
      </w:r>
    </w:p>
    <w:p>
      <w:pPr>
        <w:pStyle w:val="BodyText"/>
      </w:pPr>
      <w:r>
        <w:rPr>
          <w:bCs/>
          <w:b/>
        </w:rPr>
        <w:t xml:space="preserve">Objective 3: the nearest suitable hospital and its backups.</w:t>
      </w:r>
      <w:r>
        <w:t xml:space="preserve"> </w:t>
      </w:r>
      <w:r>
        <w:t xml:space="preserve">Early stopping loses no exactness, for one hospital or for a ranked list (Proposition 9). Hospital routing matched the independent references in all 5,200 queries of the original tests and all 5,200 new ones, and on a 16,000-vertex graph the search settled only 5.2 percent of the vertices. Slow walking never shortens a trip (Proposition 13). In the tests the slow walker reached a suitable hospital later in every comparable query and could not reach one at all in 280 of them, which shows how much the usual walking assumption can flatter access for older or pregnant patients.</w:t>
      </w:r>
    </w:p>
    <w:p>
      <w:pPr>
        <w:pStyle w:val="BodyText"/>
      </w:pPr>
      <w:r>
        <w:rPr>
          <w:bCs/>
          <w:b/>
        </w:rPr>
        <w:t xml:space="preserve">Objective 4: the agent network.</w:t>
      </w:r>
      <w:r>
        <w:t xml:space="preserve"> </w:t>
      </w:r>
      <w:r>
        <w:t xml:space="preserve">All three bounds of Proposition 12 held over 30 simulated days: no hospital received more than 2 messages in a cycle or 6 in a day, nothing was sent after an opt-out, and every prompt responder’s report stayed younger than 10 hours. All 200 forged replies were rejected, and all 67 typing errors were held for review.</w:t>
      </w:r>
    </w:p>
    <w:p>
      <w:pPr>
        <w:pStyle w:val="BodyText"/>
      </w:pPr>
      <w:r>
        <w:rPr>
          <w:bCs/>
          <w:b/>
        </w:rPr>
        <w:t xml:space="preserve">Objective 5: catchments and bed access.</w:t>
      </w:r>
      <w:r>
        <w:t xml:space="preserve"> </w:t>
      </w:r>
      <w:r>
        <w:t xml:space="preserve">The whole catchment map comes from one search (Proposition 14). It agreed with per-vertex searches at all 11,474 test vertices and took about 39 ms for a 16,000-vertex network. The bed-to-population ratio counts each bed once (Proposition 15), and on S1 it changed the picture: free-bed inequality looked mild when beds were counted cumulatively (Gini 0.1859) but more than doubled when they were counted per person (Gini 0.4247). The three counts of Table 27 also moved the Theil decomposition between</w:t>
      </w:r>
      <w:r>
        <w:t xml:space="preserve"> </w:t>
      </w:r>
      <w:r>
        <w:t xml:space="preserve">“</w:t>
      </w:r>
      <w:r>
        <w:t xml:space="preserve">within</w:t>
      </w:r>
      <w:r>
        <w:t xml:space="preserve">”</w:t>
      </w:r>
      <w:r>
        <w:t xml:space="preserve"> </w:t>
      </w:r>
      <w:r>
        <w:t xml:space="preserve">and</w:t>
      </w:r>
      <w:r>
        <w:t xml:space="preserve"> </w:t>
      </w:r>
      <w:r>
        <w:t xml:space="preserve">“</w:t>
      </w:r>
      <w:r>
        <w:t xml:space="preserve">between,</w:t>
      </w:r>
      <w:r>
        <w:t xml:space="preserve">”</w:t>
      </w:r>
      <w:r>
        <w:t xml:space="preserve"> </w:t>
      </w:r>
      <w:r>
        <w:t xml:space="preserve">so the policy reading depends on which beds are counted.</w:t>
      </w:r>
    </w:p>
    <w:p>
      <w:pPr>
        <w:pStyle w:val="BodyText"/>
      </w:pPr>
      <w:r>
        <w:rPr>
          <w:bCs/>
          <w:b/>
        </w:rPr>
        <w:t xml:space="preserve">Objective 6: surge assignment.</w:t>
      </w:r>
      <w:r>
        <w:t xml:space="preserve"> </w:t>
      </w:r>
      <w:r>
        <w:t xml:space="preserve">The assignment program has whole-number optimal solutions that never overfill a hospital and that place the most patients possible, emergencies first (Proposition 16). On S1 it placed all 15 crash victims where independent choices would have turned 4 away. Over 300 random instances it placed 202 more patients than a first-come rule, and independent nearest-hospital advice would have sent 2,722 patients to beds that were already taken.</w:t>
      </w:r>
    </w:p>
    <w:p>
      <w:pPr>
        <w:pStyle w:val="BodyText"/>
      </w:pPr>
      <w:r>
        <w:rPr>
          <w:bCs/>
          <w:b/>
        </w:rPr>
        <w:t xml:space="preserve">Objective 7: critical roads and site selection.</w:t>
      </w:r>
      <w:r>
        <w:t xml:space="preserve"> </w:t>
      </w:r>
      <w:r>
        <w:t xml:space="preserve">Only road segments on the shortest-path forest can delay patients when they are closed (Proposition 17), which halved the segments that had to be tested. Greedy site selection is guaranteed at least 63.2 percent of the best coverage (Proposition 18); in the tests it never fell below 82.5 percent and was exactly optimal in 96.6 percent of instances.</w:t>
      </w:r>
    </w:p>
    <w:p>
      <w:pPr>
        <w:pStyle w:val="BodyText"/>
      </w:pPr>
      <w:r>
        <w:rPr>
          <w:bCs/>
          <w:b/>
        </w:rPr>
        <w:t xml:space="preserve">Objective 8: verification.</w:t>
      </w:r>
      <w:r>
        <w:t xml:space="preserve"> </w:t>
      </w:r>
      <w:r>
        <w:t xml:space="preserve">Two natural programming shortcuts were tested against independently derived answers, and both failed. A single scan without transitively closed footpaths arrived late in 47.5 percent of reachable queries, by 32.5 minutes on average. Keeping one label per stop arrived late in 1.5 percent of queries, by 15 minutes on average. The rarer error is the more dangerous one in practice, because the maps produced by either shortcut look reasonable and the second error is almost impossible to find without a systematic comparison.</w:t>
      </w:r>
    </w:p>
    <w:p>
      <w:pPr>
        <w:pStyle w:val="BodyText"/>
      </w:pPr>
      <w:r>
        <w:t xml:space="preserve">The synthetic example makes the patient-level stakes concrete. In network S1, routing by distance alone sent patients from five of the six anchors to a hospital with no free bed. At A6 it sent a non-emergency patient who can use only free or assisted care to a private hospital, without saying that the nearest hospital the family could use lay 24.2 minutes farther. For a patient needing dialysis, and for any patient limited to assisted care, S1 had no backup hospital at all. These are exactly the facts a family or an ambulance crew needs and an ordinary map does not give. Together the findings show that open data can support measuring access to care without financial hardship (target 3.8), access to essential places by informal transit (target 11.2), and the fairness of both across anchors and municipalities (target 10.2). The next step is to test the estimates in the field (Section 4.3).</w:t>
      </w:r>
    </w:p>
    <w:bookmarkEnd w:id="187"/>
    <w:bookmarkStart w:id="188" w:name="limitations"/>
    <w:p>
      <w:pPr>
        <w:pStyle w:val="Heading2"/>
      </w:pPr>
      <w:r>
        <w:t xml:space="preserve">4.2 Limitations</w:t>
      </w:r>
    </w:p>
    <w:p>
      <w:pPr>
        <w:numPr>
          <w:ilvl w:val="0"/>
          <w:numId w:val="1010"/>
        </w:numPr>
        <w:pStyle w:val="BodyText"/>
        <w:spacing w:after="80"/>
      </w:pPr>
      <w:r>
        <w:rPr>
          <w:bCs/>
          <w:b/>
        </w:rPr>
        <w:t xml:space="preserve">(L1) Headways stand in for schedules.</w:t>
      </w:r>
      <w:r>
        <w:t xml:space="preserve"> </w:t>
      </w:r>
      <w:r>
        <w:t xml:space="preserve">Many informal operators leave only when the vehicle is full, so departures are irregular. Modeling them as a regular series at an estimated headway hides that, and headway is the least supported input of the model. The half-headway wait model and the ±50 percent perturbations of Table 31 bound the effect but do not remove it.</w:t>
      </w:r>
    </w:p>
    <w:p>
      <w:pPr>
        <w:numPr>
          <w:ilvl w:val="0"/>
          <w:numId w:val="1010"/>
        </w:numPr>
        <w:pStyle w:val="BodyText"/>
        <w:spacing w:after="80"/>
      </w:pPr>
      <w:r>
        <w:rPr>
          <w:bCs/>
          <w:b/>
        </w:rPr>
        <w:t xml:space="preserve">(L2) Inferred routes versus driver behavior.</w:t>
      </w:r>
      <w:r>
        <w:t xml:space="preserve"> </w:t>
      </w:r>
      <w:r>
        <w:t xml:space="preserve">Routes on the road network are fixed by vehicle-class limits and by terminal locations. Drivers may take shortcuts, change roads in quiet hours, or change routes on market days, and the model does not capture this. It is the largest difference between the model and real conditions, and it is why field validation is essential rather than optional (Section 4.3).</w:t>
      </w:r>
    </w:p>
    <w:p>
      <w:pPr>
        <w:numPr>
          <w:ilvl w:val="0"/>
          <w:numId w:val="1010"/>
        </w:numPr>
        <w:pStyle w:val="BodyText"/>
        <w:spacing w:after="80"/>
      </w:pPr>
      <w:r>
        <w:rPr>
          <w:bCs/>
          <w:b/>
        </w:rPr>
        <w:t xml:space="preserve">(L3) Incomplete registers.</w:t>
      </w:r>
      <w:r>
        <w:t xml:space="preserve"> </w:t>
      </w:r>
      <w:r>
        <w:t xml:space="preserve">Coverage is much better in town centers than in remote areas. The health station of an upland barangay may be missing from every national register, and even if it is listed, OpenStreetMap is unlikely to hold the small paths up the hill or the limits of the bridges along them. The resulting bias makes access in hard-to-reach places look better than it is, and the model cannot correct it.</w:t>
      </w:r>
    </w:p>
    <w:p>
      <w:pPr>
        <w:numPr>
          <w:ilvl w:val="0"/>
          <w:numId w:val="1010"/>
        </w:numPr>
        <w:pStyle w:val="BodyText"/>
        <w:spacing w:after="80"/>
      </w:pPr>
      <w:r>
        <w:rPr>
          <w:bCs/>
          <w:b/>
        </w:rPr>
        <w:t xml:space="preserve">(L4) No network outages.</w:t>
      </w:r>
      <w:r>
        <w:t xml:space="preserve"> </w:t>
      </w:r>
      <w:r>
        <w:t xml:space="preserve">A typhoon, a Mayon Volcano alert, or a local flood can close roads for days, but the feed models only normal weekday and Saturday service. Proposition 17 identifies which closures matter; the feed itself does not simulate them.</w:t>
      </w:r>
    </w:p>
    <w:p>
      <w:pPr>
        <w:numPr>
          <w:ilvl w:val="0"/>
          <w:numId w:val="1010"/>
        </w:numPr>
        <w:pStyle w:val="BodyText"/>
        <w:spacing w:after="80"/>
      </w:pPr>
      <w:r>
        <w:rPr>
          <w:bCs/>
          <w:b/>
        </w:rPr>
        <w:t xml:space="preserve">(L5) Imperfect destination data.</w:t>
      </w:r>
      <w:r>
        <w:t xml:space="preserve"> </w:t>
      </w:r>
      <w:r>
        <w:t xml:space="preserve">Facility records lag behind actual conditions. Bed and classroom counts are reported by the facilities themselves without independent audit, and new schools or health units may be missing.</w:t>
      </w:r>
    </w:p>
    <w:p>
      <w:pPr>
        <w:numPr>
          <w:ilvl w:val="0"/>
          <w:numId w:val="1010"/>
        </w:numPr>
        <w:pStyle w:val="BodyText"/>
        <w:spacing w:after="80"/>
      </w:pPr>
      <w:r>
        <w:rPr>
          <w:bCs/>
          <w:b/>
        </w:rPr>
        <w:t xml:space="preserve">(L6) Choice of anchors.</w:t>
      </w:r>
      <w:r>
        <w:t xml:space="preserve"> </w:t>
      </w:r>
      <w:r>
        <w:t xml:space="preserve">Landmark anchoring replaces the modifiable areal unit problem with a selection problem: adding or dropping one terminal changes the index set and the inequality statistics built on it. The inclusion criteria of Appendix C were fixed before listing began, the anchor list is published with the feed, and Section 3.6.1 repeats the analysis on three anchor sets.</w:t>
      </w:r>
    </w:p>
    <w:p>
      <w:pPr>
        <w:numPr>
          <w:ilvl w:val="0"/>
          <w:numId w:val="1010"/>
        </w:numPr>
        <w:pStyle w:val="BodyText"/>
        <w:spacing w:after="80"/>
      </w:pPr>
      <w:r>
        <w:rPr>
          <w:bCs/>
          <w:b/>
        </w:rPr>
        <w:t xml:space="preserve">(L7) Provincial border.</w:t>
      </w:r>
      <w:r>
        <w:t xml:space="preserve"> </w:t>
      </w:r>
      <w:r>
        <w:t xml:space="preserve">Journeys that cross into Sorsogon or Camarines Sur, or reach Catanduanes by ferry, are cut at the border, which understates access for anchors near it. Hospital mode shares this limit and will never suggest a suitable hospital just across the border.</w:t>
      </w:r>
    </w:p>
    <w:p>
      <w:pPr>
        <w:numPr>
          <w:ilvl w:val="0"/>
          <w:numId w:val="1010"/>
        </w:numPr>
        <w:pStyle w:val="BodyText"/>
        <w:spacing w:after="80"/>
      </w:pPr>
      <w:r>
        <w:rPr>
          <w:bCs/>
          <w:b/>
        </w:rPr>
        <w:t xml:space="preserve">(L8) Synthetic nature of S1.</w:t>
      </w:r>
      <w:r>
        <w:t xml:space="preserve"> </w:t>
      </w:r>
      <w:r>
        <w:t xml:space="preserve">Tables 20 to 30 show that the pipeline follows its own rules; they say nothing empirical about Albay. In particular, the Gini coefficient of 0.2747 in Table 22 comes from a seven-stop synthetic network and must not be read as a first estimate for the province.</w:t>
      </w:r>
    </w:p>
    <w:p>
      <w:pPr>
        <w:numPr>
          <w:ilvl w:val="0"/>
          <w:numId w:val="1010"/>
        </w:numPr>
        <w:pStyle w:val="BodyText"/>
        <w:spacing w:after="80"/>
      </w:pPr>
      <w:r>
        <w:rPr>
          <w:bCs/>
          <w:b/>
        </w:rPr>
        <w:t xml:space="preserve">(L9) Voluntary hospital reporting.</w:t>
      </w:r>
      <w:r>
        <w:t xml:space="preserve"> </w:t>
      </w:r>
      <w:r>
        <w:t xml:space="preserve">The network can ask but cannot confirm reported counts or demand a reply. A wrong count that passes the plausibility checks stays in force until a later report replaces it, and hospitals that never answer stay UNKNOWN, a safe but uninformative state.</w:t>
      </w:r>
    </w:p>
    <w:p>
      <w:pPr>
        <w:numPr>
          <w:ilvl w:val="0"/>
          <w:numId w:val="1010"/>
        </w:numPr>
        <w:pStyle w:val="BodyText"/>
        <w:spacing w:after="80"/>
      </w:pPr>
      <w:r>
        <w:rPr>
          <w:bCs/>
          <w:b/>
        </w:rPr>
        <w:t xml:space="preserve">(L10) Acuity and needs are entered, not assessed.</w:t>
      </w:r>
      <w:r>
        <w:t xml:space="preserve"> </w:t>
      </w:r>
      <w:r>
        <w:t xml:space="preserve">The application does not examine patients and is not a clinical device. Acuity levels and required services are chosen by ambulance crews or users. Clinical judgment always overrides the application, and the parameters</w:t>
      </w:r>
      <w:r>
        <w:t xml:space="preserve"> </w:t>
      </w:r>
      <w:r>
        <w:rPr>
          <w:iCs/>
          <w:i/>
        </w:rPr>
        <w:t xml:space="preserve">K</w:t>
      </w:r>
      <w:r>
        <w:rPr>
          <w:iCs/>
          <w:i/>
          <w:vertAlign w:val="subscript"/>
        </w:rPr>
        <w:t xml:space="preserve">E</w:t>
      </w:r>
      <w:r>
        <w:t xml:space="preserve">, λ, and θ</w:t>
      </w:r>
      <w:r>
        <w:rPr>
          <w:iCs/>
          <w:i/>
          <w:vertAlign w:val="subscript"/>
        </w:rPr>
        <w:t xml:space="preserve">stab</w:t>
      </w:r>
      <w:r>
        <w:t xml:space="preserve"> </w:t>
      </w:r>
      <w:r>
        <w:t xml:space="preserve">are placeholders until the Provincial Health Office sets them.</w:t>
      </w:r>
    </w:p>
    <w:p>
      <w:pPr>
        <w:numPr>
          <w:ilvl w:val="0"/>
          <w:numId w:val="1010"/>
        </w:numPr>
        <w:pStyle w:val="BodyText"/>
        <w:spacing w:after="80"/>
      </w:pPr>
      <w:r>
        <w:rPr>
          <w:bCs/>
          <w:b/>
        </w:rPr>
        <w:t xml:space="preserve">(L11) Ordinal cost ranking.</w:t>
      </w:r>
      <w:r>
        <w:t xml:space="preserve"> </w:t>
      </w:r>
      <w:r>
        <w:t xml:space="preserve">Equation (11) ranks hospitals by expected out-of-pocket burden using only ownership and program flags. It says nothing about actual bills, the size of Malasakit Center assistance, or specific PhilHealth benefits.</w:t>
      </w:r>
    </w:p>
    <w:p>
      <w:pPr>
        <w:numPr>
          <w:ilvl w:val="0"/>
          <w:numId w:val="1010"/>
        </w:numPr>
        <w:pStyle w:val="BodyText"/>
        <w:spacing w:after="80"/>
      </w:pPr>
      <w:r>
        <w:rPr>
          <w:bCs/>
          <w:b/>
        </w:rPr>
        <w:t xml:space="preserve">(L12) Free-flow ambulance times.</w:t>
      </w:r>
      <w:r>
        <w:t xml:space="preserve"> </w:t>
      </w:r>
      <w:r>
        <w:t xml:space="preserve">Ambulance times assume unobstructed traffic (Assumption 8). They leave out traffic jams, emergency driving, dispatch queues, and handover delays.</w:t>
      </w:r>
    </w:p>
    <w:p>
      <w:pPr>
        <w:numPr>
          <w:ilvl w:val="0"/>
          <w:numId w:val="1010"/>
        </w:numPr>
        <w:pStyle w:val="BodyText"/>
        <w:spacing w:after="80"/>
      </w:pPr>
      <w:r>
        <w:rPr>
          <w:bCs/>
          <w:b/>
        </w:rPr>
        <w:t xml:space="preserve">(L13) Simulated e-mail.</w:t>
      </w:r>
      <w:r>
        <w:t xml:space="preserve"> </w:t>
      </w:r>
      <w:r>
        <w:t xml:space="preserve">Real e-mail meets bounces, spam filters, shift changes, and firewalls that a mock server does not. The extraction rules were tested on templates written together with the rules, so their success rate on real replies is unknown. Unreadable messages always go to human review.</w:t>
      </w:r>
    </w:p>
    <w:p>
      <w:pPr>
        <w:numPr>
          <w:ilvl w:val="0"/>
          <w:numId w:val="1010"/>
        </w:numPr>
        <w:pStyle w:val="BodyText"/>
        <w:spacing w:after="80"/>
      </w:pPr>
      <w:r>
        <w:rPr>
          <w:bCs/>
          <w:b/>
        </w:rPr>
        <w:t xml:space="preserve">(L14) Synthetic hospitals in S1.</w:t>
      </w:r>
      <w:r>
        <w:t xml:space="preserve"> </w:t>
      </w:r>
      <w:r>
        <w:t xml:space="preserve">The hospital figures in Tables 25 to 30 were made up to demonstrate hospital mode and contain no information about real facilities.</w:t>
      </w:r>
    </w:p>
    <w:p>
      <w:pPr>
        <w:numPr>
          <w:ilvl w:val="0"/>
          <w:numId w:val="1010"/>
        </w:numPr>
        <w:pStyle w:val="BodyText"/>
        <w:spacing w:after="80"/>
      </w:pPr>
      <w:r>
        <w:rPr>
          <w:bCs/>
          <w:b/>
        </w:rPr>
        <w:t xml:space="preserve">(L15) Service lists.</w:t>
      </w:r>
      <w:r>
        <w:t xml:space="preserve"> </w:t>
      </w:r>
      <w:r>
        <w:t xml:space="preserve">Service sets come from level defaults and from published register entries (Equation 12). A hospital may lack a listed service on a given day, for example when a dialysis machine is under repair, or may offer a service that no register lists. The agents ask only about beds and the emergency room, not about services.</w:t>
      </w:r>
    </w:p>
    <w:p>
      <w:pPr>
        <w:numPr>
          <w:ilvl w:val="0"/>
          <w:numId w:val="1010"/>
        </w:numPr>
        <w:pStyle w:val="BodyText"/>
        <w:spacing w:after="80"/>
      </w:pPr>
      <w:r>
        <w:rPr>
          <w:bCs/>
          <w:b/>
        </w:rPr>
        <w:t xml:space="preserve">(L16) Surge assignment.</w:t>
      </w:r>
      <w:r>
        <w:t xml:space="preserve"> </w:t>
      </w:r>
      <w:r>
        <w:t xml:space="preserve">The assignment assumes that free beds are known and that requests arrive together (Assumption 10). Real requests arrive over time, the number of ambulances is limited, and patients within the same acuity group may differ in urgency. The assignment is advice for a dispatcher, not an order.</w:t>
      </w:r>
    </w:p>
    <w:p>
      <w:pPr>
        <w:numPr>
          <w:ilvl w:val="0"/>
          <w:numId w:val="1010"/>
        </w:numPr>
        <w:pStyle w:val="BodyText"/>
        <w:spacing w:after="80"/>
      </w:pPr>
      <w:r>
        <w:rPr>
          <w:bCs/>
          <w:b/>
        </w:rPr>
        <w:t xml:space="preserve">(L17) Two mobility classes.</w:t>
      </w:r>
      <w:r>
        <w:t xml:space="preserve"> </w:t>
      </w:r>
      <w:r>
        <w:t xml:space="preserve">Walking ability varies far more than two classes allow. The model has no data on stairs, steep paths, or wheelchair access at stops, and the slow-class values are declared, not measured.</w:t>
      </w:r>
    </w:p>
    <w:p>
      <w:pPr>
        <w:numPr>
          <w:ilvl w:val="0"/>
          <w:numId w:val="1010"/>
        </w:numPr>
        <w:pStyle w:val="BodyText"/>
        <w:spacing w:after="80"/>
      </w:pPr>
      <w:r>
        <w:rPr>
          <w:bCs/>
          <w:b/>
        </w:rPr>
        <w:t xml:space="preserve">(L18) Coverage-based site selection.</w:t>
      </w:r>
      <w:r>
        <w:t xml:space="preserve"> </w:t>
      </w:r>
      <w:r>
        <w:t xml:space="preserve">Definition 26 counts people who come within reach of an assisted-care hospital. It ignores the cost of setting up a Malasakit Center, the number of beds at the chosen hospital, and the crowding that new users would bring. Proposition 15’s ratios should be checked for any site the greedy rule proposes.</w:t>
      </w:r>
    </w:p>
    <w:bookmarkEnd w:id="188"/>
    <w:bookmarkStart w:id="189" w:name="X17e47b0ee523611b9a881cade5b2e463dc95e7c"/>
    <w:p>
      <w:pPr>
        <w:pStyle w:val="Heading2"/>
      </w:pPr>
      <w:r>
        <w:t xml:space="preserve">4.3 Recommendations and Challenges in Extending the Results</w:t>
      </w:r>
    </w:p>
    <w:p>
      <w:pPr>
        <w:pStyle w:val="FirstParagraph"/>
      </w:pPr>
      <w:r>
        <w:rPr>
          <w:bCs/>
          <w:b/>
        </w:rPr>
        <w:t xml:space="preserve">Regional extension.</w:t>
      </w:r>
      <w:r>
        <w:t xml:space="preserve"> </w:t>
      </w:r>
      <w:r>
        <w:t xml:space="preserve">Scaling the framework beyond one province is an operational challenge, not a computational one. Proposition 2 and the times in Tables 17 to 19 show that an ordinary laptop can handle much larger feeds and road networks. The real bottlenecks are keeping the feeds current as operators change routes and persuading LGUs to look after the public data. The Municipal Planning and Development Offices, which already prepare the Local Public Transport Route Plans (DILG, 2018; DOTr, 2017), are the natural hosts. If the code stays open, regular data updates will not require any change to the mathematical model.</w:t>
      </w:r>
    </w:p>
    <w:p>
      <w:pPr>
        <w:pStyle w:val="BodyText"/>
      </w:pPr>
      <w:r>
        <w:rPr>
          <w:bCs/>
          <w:b/>
        </w:rPr>
        <w:t xml:space="preserve">Field validation.</w:t>
      </w:r>
      <w:r>
        <w:t xml:space="preserve"> </w:t>
      </w:r>
      <w:r>
        <w:t xml:space="preserve">The obvious next step is to test the model in the field. The workflow was designed so that field data can enter without disturbing the rest of the pipeline: a ground-surveyed feed can replace the generated feed of Stage 3 while the routing logic of Section 3.2 and all earlier stages stay the same. Comparing the synthetic feed with a surveyed one at the same anchors would measure, for the first time, how much accuracy the inference step costs, a gap not yet filled in the literature on informal transport.</w:t>
      </w:r>
    </w:p>
    <w:p>
      <w:pPr>
        <w:pStyle w:val="BodyText"/>
      </w:pPr>
      <w:r>
        <w:rPr>
          <w:bCs/>
          <w:b/>
        </w:rPr>
        <w:t xml:space="preserve">Operating hospital mode.</w:t>
      </w:r>
      <w:r>
        <w:t xml:space="preserve"> </w:t>
      </w:r>
      <w:r>
        <w:t xml:space="preserve">Moving hospital mode from simulation to live use raises consent and governance requirements. Three conditions must be met before the agents write to any hospital: the Provincial Health Office must be formally informed, the Scientific Review Committee must approve the protocol, including the message of Appendix F and the data rules, and each facility must opt in through its public contact channel. A small pilot with consenting hospitals would measure what simulation cannot, namely response rates, reply delays, and how staff actually word their replies. If the DOH releases a machine-readable feed of bed availability, the Registry agent should take it as its first source and keep e-mail as a fallback.</w:t>
      </w:r>
    </w:p>
    <w:p>
      <w:pPr>
        <w:pStyle w:val="BodyText"/>
      </w:pPr>
      <w:r>
        <w:rPr>
          <w:bCs/>
          <w:b/>
        </w:rPr>
        <w:t xml:space="preserve">Patient needs and planning tools.</w:t>
      </w:r>
      <w:r>
        <w:t xml:space="preserve"> </w:t>
      </w:r>
      <w:r>
        <w:t xml:space="preserve">The researchers recommend four further steps. First, the service lists of Albay’s hospitals should be checked with the Provincial Health Office, and a question on services available today should be added to the inquiry only after the Scientific Review Committee approves the change. Second, the surge assignment should be tried in a tabletop drill with the Provincial Disaster Risk Reduction and Management Office (PDRRMO), with a dispatcher confirming every assignment. Third, walking speeds of older patients and pregnant women should be gathered locally to replace the declared values of the slow class. Fourth, the critical-road list of Proposition 17 should be computed for the open-data instance and compared with the roads that the PDRRMO already treats as priorities.</w:t>
      </w:r>
    </w:p>
    <w:bookmarkEnd w:id="189"/>
    <w:bookmarkStart w:id="190" w:name="applications"/>
    <w:p>
      <w:pPr>
        <w:pStyle w:val="Heading2"/>
      </w:pPr>
      <w:r>
        <w:t xml:space="preserve">4.4 Applications</w:t>
      </w:r>
    </w:p>
    <w:p>
      <w:pPr>
        <w:pStyle w:val="FirstParagraph"/>
      </w:pPr>
      <w:r>
        <w:rPr>
          <w:bCs/>
          <w:b/>
        </w:rPr>
        <w:t xml:space="preserve">For patients and families.</w:t>
      </w:r>
      <w:r>
        <w:t xml:space="preserve"> </w:t>
      </w:r>
      <w:r>
        <w:t xml:space="preserve">A family can see, before leaving home, which hospital can treat the patient, whether it has a free bed and how old that report is, what it costs, how to get there by jeepney or tricycle, what the fare will be with the discount for a senior citizen, student, or person with disability, and where to go next if the first hospital turns them away. A family that can use only free or assisted care sees the nearest hospital it can actually use, not the nearest hospital overall.</w:t>
      </w:r>
    </w:p>
    <w:p>
      <w:pPr>
        <w:pStyle w:val="BodyText"/>
      </w:pPr>
      <w:r>
        <w:rPr>
          <w:bCs/>
          <w:b/>
        </w:rPr>
        <w:t xml:space="preserve">For ambulance crews and barangay health workers.</w:t>
      </w:r>
      <w:r>
        <w:t xml:space="preserve"> </w:t>
      </w:r>
      <w:r>
        <w:t xml:space="preserve">Crews can choose a hospital and justify the choice before the vehicle moves, avoid roads closed to their van, see backup hospitals with the extra minutes each costs, follow the stabilization prompt for the most critical patients, and call 911 with one tap.</w:t>
      </w:r>
    </w:p>
    <w:p>
      <w:pPr>
        <w:pStyle w:val="BodyText"/>
      </w:pPr>
      <w:r>
        <w:rPr>
          <w:bCs/>
          <w:b/>
        </w:rPr>
        <w:t xml:space="preserve">For the Provincial Health Office and the PDRRMO.</w:t>
      </w:r>
      <w:r>
        <w:t xml:space="preserve"> </w:t>
      </w:r>
      <w:r>
        <w:t xml:space="preserve">During typhoons and Mayon Volcano alerts, the health office can watch free beds by municipality, redraw hospital catchments within milliseconds whenever a status changes, and use the surge assignment to spread many patients across the free beds instead of letting ambulances converge on one hospital. Before a typhoon, the PDRRMO can use the critical-road list to decide which segments to clear first and where to pre-position equipment.</w:t>
      </w:r>
    </w:p>
    <w:p>
      <w:pPr>
        <w:pStyle w:val="BodyText"/>
      </w:pPr>
      <w:r>
        <w:rPr>
          <w:bCs/>
          <w:b/>
        </w:rPr>
        <w:t xml:space="preserve">For LGU and DOH planners.</w:t>
      </w:r>
      <w:r>
        <w:t xml:space="preserve"> </w:t>
      </w:r>
      <w:r>
        <w:t xml:space="preserve">Bed deserts, payment-gap maps, and bed-to-population ratios show which communities are far from affordable and suitable care. Greedy site selection proposes where a new Malasakit Center would bring the most low-income people within reach, and recomputing the ratios of Definition 23 shows where added beds would relieve the most crowding. On the transport side, ranking anchors by how poorly they are served tells LGUs where to open or extend routes, and planners can test a proposed route by rerunning the accessibility surface before any franchise is awarded.</w:t>
      </w:r>
    </w:p>
    <w:p>
      <w:pPr>
        <w:pStyle w:val="BodyText"/>
      </w:pPr>
      <w:r>
        <w:rPr>
          <w:bCs/>
          <w:b/>
        </w:rPr>
        <w:t xml:space="preserve">Alignment with the Sustainable Development Goals.</w:t>
      </w:r>
      <w:r>
        <w:t xml:space="preserve"> </w:t>
      </w:r>
      <w:r>
        <w:t xml:space="preserve">Seen through the 2030 Agenda, each application relates to a particular target, even though real-world use is still some way off. Hospital mode and the bed table bear on targets 3.8 and 3.d, and needs-aware routing for maternity, high-risk pregnancy, and newborn care on targets 3.1 and 3.2. The atlas and the trip planner, with the official fare discounts and the mobility classes, bear on target 11.2. Vehicle-class routing and the critical-road list bear on targets 9.1, 11.5, and 13.1. The payment-gap map and site selection show where public money would help low-income families most, which bears on target 1.4. The inequality measures let LGUs track targets 10.2 and 10.3 in a way that road length and vehicle counts cannot. The school layer bears on target 4.a, and the open feed and hospital map on target 17.18.</w:t>
      </w:r>
    </w:p>
    <w:p>
      <w:pPr>
        <w:pStyle w:val="BodyText"/>
      </w:pPr>
      <w:r>
        <w:rPr>
          <w:bCs/>
          <w:b/>
        </w:rPr>
        <w:t xml:space="preserve">Scalability.</w:t>
      </w:r>
      <w:r>
        <w:t xml:space="preserve"> </w:t>
      </w:r>
      <w:r>
        <w:t xml:space="preserve">The framework is not tied to Albay. It uses only OpenStreetMap, public facility registers, open population data, and ordinary hardware, so any province that depends on informal transport could apply it. Global monitoring of indicator 11.2.1 still centers on large cities, yet many of the places furthest from target 11.2 depend on unmapped jeepney and minibus systems; a landmark atlas offers smaller towns and rural areas a workable way to close that gap. The hospital layer is equally light. It needs no national platform to collect bed counts, and its payment rules can be adapted to the emergency-care laws of other countries. In keeping with the 2030 Agenda’s promise to leave no one behind (UNGA, 2015), the study offers an open and verified way to measure access to hospital care in places where data are scarce, with field validation as the step still to come.</w:t>
      </w:r>
    </w:p>
    <w:bookmarkEnd w:id="190"/>
    <w:bookmarkEnd w:id="191"/>
    <w:bookmarkStart w:id="192" w:name="references"/>
    <w:p>
      <w:pPr>
        <w:pStyle w:val="Heading1"/>
      </w:pPr>
      <w:r>
        <w:t xml:space="preserve">5. REFERENCES</w:t>
      </w:r>
    </w:p>
    <w:p>
      <w:pPr>
        <w:pStyle w:val="Reference"/>
      </w:pPr>
      <w:r>
        <w:t xml:space="preserve">Ahuja, R. K., Magnanti, T. L., &amp; Orlin, J. B. (1993).</w:t>
      </w:r>
      <w:r>
        <w:t xml:space="preserve"> </w:t>
      </w:r>
      <w:r>
        <w:rPr>
          <w:iCs/>
          <w:i/>
        </w:rPr>
        <w:t xml:space="preserve">Network flows: Theory, algorithms, and applications</w:t>
      </w:r>
      <w:r>
        <w:t xml:space="preserve">. Prentice Hall.</w:t>
      </w:r>
    </w:p>
    <w:p>
      <w:pPr>
        <w:pStyle w:val="Reference"/>
      </w:pPr>
      <w:r>
        <w:t xml:space="preserve">Batas Pambansa Blg. 702. (1984).</w:t>
      </w:r>
      <w:r>
        <w:t xml:space="preserve"> </w:t>
      </w:r>
      <w:r>
        <w:rPr>
          <w:iCs/>
          <w:i/>
        </w:rPr>
        <w:t xml:space="preserve">An act prohibiting the demand of deposits or advance payments for the confinement or treatment of patients in hospitals and medical clinics in certain cases</w:t>
      </w:r>
      <w:r>
        <w:t xml:space="preserve">. Batasang Pambansa.</w:t>
      </w:r>
    </w:p>
    <w:p>
      <w:pPr>
        <w:pStyle w:val="Reference"/>
      </w:pPr>
      <w:r>
        <w:t xml:space="preserve">Bohannon, R. W., &amp; Williams Andrews, A. (2011). Normal walking speed: A descriptive meta-analysis.</w:t>
      </w:r>
      <w:r>
        <w:t xml:space="preserve"> </w:t>
      </w:r>
      <w:r>
        <w:rPr>
          <w:iCs/>
          <w:i/>
        </w:rPr>
        <w:t xml:space="preserve">Physiotherapy, 97</w:t>
      </w:r>
      <w:r>
        <w:t xml:space="preserve">(3), 182–189. https://doi.org/10.1016/j.physio.2010.12.004</w:t>
      </w:r>
    </w:p>
    <w:p>
      <w:pPr>
        <w:pStyle w:val="Reference"/>
      </w:pPr>
      <w:r>
        <w:t xml:space="preserve">Brotcorne, L., Laporte, G., &amp; Semet, F. (2003). Ambulance location and relocation models.</w:t>
      </w:r>
      <w:r>
        <w:t xml:space="preserve"> </w:t>
      </w:r>
      <w:r>
        <w:rPr>
          <w:iCs/>
          <w:i/>
        </w:rPr>
        <w:t xml:space="preserve">European Journal of Operational Research, 147</w:t>
      </w:r>
      <w:r>
        <w:t xml:space="preserve">(3), 451–463. https://doi.org/10.1016/S0377-2217(02)00364-8</w:t>
      </w:r>
    </w:p>
    <w:p>
      <w:pPr>
        <w:pStyle w:val="Reference"/>
      </w:pPr>
      <w:r>
        <w:t xml:space="preserve">Cabalza, D. (2026, March 19). Marcos defers fare hikes:</w:t>
      </w:r>
      <w:r>
        <w:t xml:space="preserve"> </w:t>
      </w:r>
      <w:r>
        <w:t xml:space="preserve">‘</w:t>
      </w:r>
      <w:r>
        <w:t xml:space="preserve">Not right</w:t>
      </w:r>
      <w:r>
        <w:t xml:space="preserve">’</w:t>
      </w:r>
      <w:r>
        <w:t xml:space="preserve"> </w:t>
      </w:r>
      <w:r>
        <w:t xml:space="preserve">amid international crisis.</w:t>
      </w:r>
      <w:r>
        <w:t xml:space="preserve"> </w:t>
      </w:r>
      <w:r>
        <w:rPr>
          <w:iCs/>
          <w:i/>
        </w:rPr>
        <w:t xml:space="preserve">Inquirer.net</w:t>
      </w:r>
      <w:r>
        <w:t xml:space="preserve">. https://newsinfo.inquirer.net/2198015/marcos-defers-fare-hikes-not-right-amid-intl-crisis</w:t>
      </w:r>
    </w:p>
    <w:p>
      <w:pPr>
        <w:pStyle w:val="Reference"/>
      </w:pPr>
      <w:r>
        <w:t xml:space="preserve">Cabaro, B. S., III, Dela Paz, G. A. T., Dotingco, J. B., Almirol, B. J. Q., Borlongan, G. R., Cebreros, R. O. D., Diangco, P. B., Quijalvo, K. P. B., Tan, J. P. U., &amp; Tonato, R. R. D. (2023). Establishing a national indicator-based surveillance system for hospital bed utilization by COVID-19 patients in the Philippines.</w:t>
      </w:r>
      <w:r>
        <w:t xml:space="preserve"> </w:t>
      </w:r>
      <w:r>
        <w:rPr>
          <w:iCs/>
          <w:i/>
        </w:rPr>
        <w:t xml:space="preserve">Western Pacific Surveillance and Response Journal, 14</w:t>
      </w:r>
      <w:r>
        <w:t xml:space="preserve">(5), 33–39. https://doi.org/10.5365/wpsar.2023.14.5.1038</w:t>
      </w:r>
    </w:p>
    <w:p>
      <w:pPr>
        <w:pStyle w:val="Reference"/>
      </w:pPr>
      <w:r>
        <w:t xml:space="preserve">Church, R., &amp; ReVelle, C. (1974). The maximal covering location problem.</w:t>
      </w:r>
      <w:r>
        <w:t xml:space="preserve"> </w:t>
      </w:r>
      <w:r>
        <w:rPr>
          <w:iCs/>
          <w:i/>
        </w:rPr>
        <w:t xml:space="preserve">Papers of the Regional Science Association, 32</w:t>
      </w:r>
      <w:r>
        <w:t xml:space="preserve">(1), 101–118. https://doi.org/10.1007/BF01942293</w:t>
      </w:r>
    </w:p>
    <w:p>
      <w:pPr>
        <w:pStyle w:val="Reference"/>
      </w:pPr>
      <w:r>
        <w:t xml:space="preserve">Cobham, A., &amp; Sumner, A. (2013).</w:t>
      </w:r>
      <w:r>
        <w:t xml:space="preserve"> </w:t>
      </w:r>
      <w:r>
        <w:rPr>
          <w:iCs/>
          <w:i/>
        </w:rPr>
        <w:t xml:space="preserve">Is it all about the tails? The Palma measure of income inequality</w:t>
      </w:r>
      <w:r>
        <w:t xml:space="preserve"> </w:t>
      </w:r>
      <w:r>
        <w:t xml:space="preserve">(Working Paper No. 343). Center for Global Development.</w:t>
      </w:r>
    </w:p>
    <w:p>
      <w:pPr>
        <w:pStyle w:val="Reference"/>
      </w:pPr>
      <w:r>
        <w:t xml:space="preserve">Cormen, T. H., Leiserson, C. E., Rivest, R. L., &amp; Stein, C. (2022).</w:t>
      </w:r>
      <w:r>
        <w:t xml:space="preserve"> </w:t>
      </w:r>
      <w:r>
        <w:rPr>
          <w:iCs/>
          <w:i/>
        </w:rPr>
        <w:t xml:space="preserve">Introduction to algorithms</w:t>
      </w:r>
      <w:r>
        <w:t xml:space="preserve"> </w:t>
      </w:r>
      <w:r>
        <w:t xml:space="preserve">(4th ed.). MIT Press.</w:t>
      </w:r>
    </w:p>
    <w:p>
      <w:pPr>
        <w:pStyle w:val="Reference"/>
      </w:pPr>
      <w:r>
        <w:t xml:space="preserve">Cowell, F. A. (2011).</w:t>
      </w:r>
      <w:r>
        <w:t xml:space="preserve"> </w:t>
      </w:r>
      <w:r>
        <w:rPr>
          <w:iCs/>
          <w:i/>
        </w:rPr>
        <w:t xml:space="preserve">Measuring inequality</w:t>
      </w:r>
      <w:r>
        <w:t xml:space="preserve"> </w:t>
      </w:r>
      <w:r>
        <w:t xml:space="preserve">(3rd ed.). Oxford University Press.</w:t>
      </w:r>
    </w:p>
    <w:p>
      <w:pPr>
        <w:pStyle w:val="Reference"/>
      </w:pPr>
      <w:r>
        <w:t xml:space="preserve">Daguno-Bersamina, K. (2026, September 27). Jeepney fares up to P14 starting Sept. 28; buses, taxis, and TNVS also hike rates.</w:t>
      </w:r>
      <w:r>
        <w:t xml:space="preserve"> </w:t>
      </w:r>
      <w:r>
        <w:rPr>
          <w:iCs/>
          <w:i/>
        </w:rPr>
        <w:t xml:space="preserve">Philstar.com</w:t>
      </w:r>
      <w:r>
        <w:t xml:space="preserve">. https://www.philstar.com/headlines/2026/09/27/2559</w:t>
      </w:r>
    </w:p>
    <w:p>
      <w:pPr>
        <w:pStyle w:val="Reference"/>
      </w:pPr>
      <w:r>
        <w:t xml:space="preserve">Delbosc, A., &amp; Currie, G. (2011). Using Lorenz curves to assess public transport equity.</w:t>
      </w:r>
      <w:r>
        <w:t xml:space="preserve"> </w:t>
      </w:r>
      <w:r>
        <w:rPr>
          <w:iCs/>
          <w:i/>
        </w:rPr>
        <w:t xml:space="preserve">Journal of Transport Geography, 19</w:t>
      </w:r>
      <w:r>
        <w:t xml:space="preserve">(6), 1252–1259. https://doi.org/10.1016/j.jtrangeo.2011.02.008</w:t>
      </w:r>
    </w:p>
    <w:p>
      <w:pPr>
        <w:pStyle w:val="Reference"/>
      </w:pPr>
      <w:r>
        <w:t xml:space="preserve">Delling, D., Pajor, T., &amp; Werneck, R. F. (2015). Round-based public transit routing.</w:t>
      </w:r>
      <w:r>
        <w:t xml:space="preserve"> </w:t>
      </w:r>
      <w:r>
        <w:rPr>
          <w:iCs/>
          <w:i/>
        </w:rPr>
        <w:t xml:space="preserve">Transportation Science, 49</w:t>
      </w:r>
      <w:r>
        <w:t xml:space="preserve">(3), 591–604. https://doi.org/10.1287/trsc.2014.0534</w:t>
      </w:r>
    </w:p>
    <w:p>
      <w:pPr>
        <w:pStyle w:val="Reference"/>
      </w:pPr>
      <w:r>
        <w:t xml:space="preserve">Department of Education. (2021).</w:t>
      </w:r>
      <w:r>
        <w:t xml:space="preserve"> </w:t>
      </w:r>
      <w:r>
        <w:rPr>
          <w:iCs/>
          <w:i/>
        </w:rPr>
        <w:t xml:space="preserve">Masterlist of schools SY 2020–2021 based on LIS, as of January 15, 2021</w:t>
      </w:r>
      <w:r>
        <w:t xml:space="preserve"> </w:t>
      </w:r>
      <w:r>
        <w:t xml:space="preserve">[Data set]. https://www.deped.gov.ph/wp-content/uploads/2021/06/SY-2020-2</w:t>
      </w:r>
    </w:p>
    <w:p>
      <w:pPr>
        <w:pStyle w:val="Reference"/>
      </w:pPr>
      <w:r>
        <w:t xml:space="preserve">Department of Health. (n.d.-a).</w:t>
      </w:r>
      <w:r>
        <w:t xml:space="preserve"> </w:t>
      </w:r>
      <w:r>
        <w:rPr>
          <w:iCs/>
          <w:i/>
        </w:rPr>
        <w:t xml:space="preserve">Malasakit Center directory</w:t>
      </w:r>
      <w:r>
        <w:t xml:space="preserve">. Retrieved October 3, 2026, from https://doh.gov.ph/mpo/mc-directory/</w:t>
      </w:r>
    </w:p>
    <w:p>
      <w:pPr>
        <w:pStyle w:val="Reference"/>
      </w:pPr>
      <w:r>
        <w:t xml:space="preserve">Department of Health. (n.d.-b).</w:t>
      </w:r>
      <w:r>
        <w:t xml:space="preserve"> </w:t>
      </w:r>
      <w:r>
        <w:rPr>
          <w:iCs/>
          <w:i/>
        </w:rPr>
        <w:t xml:space="preserve">National Health Facility Registry</w:t>
      </w:r>
      <w:r>
        <w:t xml:space="preserve">. Retrieved October 3, 2026, from https://nhfr.doh.gov.ph/</w:t>
      </w:r>
    </w:p>
    <w:p>
      <w:pPr>
        <w:pStyle w:val="Reference"/>
      </w:pPr>
      <w:r>
        <w:t xml:space="preserve">Department of Health. (2012).</w:t>
      </w:r>
      <w:r>
        <w:t xml:space="preserve"> </w:t>
      </w:r>
      <w:r>
        <w:rPr>
          <w:iCs/>
          <w:i/>
        </w:rPr>
        <w:t xml:space="preserve">Rules and regulations governing the new classification of hospitals and other health facilities in the Philippines</w:t>
      </w:r>
      <w:r>
        <w:t xml:space="preserve"> </w:t>
      </w:r>
      <w:r>
        <w:t xml:space="preserve">(Administrative Order No. 2012-0012).</w:t>
      </w:r>
    </w:p>
    <w:p>
      <w:pPr>
        <w:pStyle w:val="Reference"/>
      </w:pPr>
      <w:r>
        <w:t xml:space="preserve">Department of the Interior and Local Government. (2018).</w:t>
      </w:r>
      <w:r>
        <w:t xml:space="preserve"> </w:t>
      </w:r>
      <w:r>
        <w:rPr>
          <w:iCs/>
          <w:i/>
        </w:rPr>
        <w:t xml:space="preserve">Guidelines for the preparation of public transport route plans (LPTRP) by the local governments (LGUs), the basis for the Land Transportation Franchising Regulatory Board (LTFRB) issuance of franchises to public utility vehicles</w:t>
      </w:r>
      <w:r>
        <w:t xml:space="preserve"> </w:t>
      </w:r>
      <w:r>
        <w:t xml:space="preserve">(Memorandum Circular No. 2018-60). https://dilg.gov.ph/issuances/mc/Guidelines-for-the-Preparation-of-Public-Transport-Route-Plan-LPTRP-by-the-Local-Governments-LGUs-basis-for-the-Land-Transportation-Franchising-Regulatory-Board-LTFRB-issuance-of-Franchises-to-Public-Utility-Vehicles/2702</w:t>
      </w:r>
    </w:p>
    <w:p>
      <w:pPr>
        <w:pStyle w:val="Reference"/>
      </w:pPr>
      <w:r>
        <w:t xml:space="preserve">Department of Transportation. (2017).</w:t>
      </w:r>
      <w:r>
        <w:t xml:space="preserve"> </w:t>
      </w:r>
      <w:r>
        <w:rPr>
          <w:iCs/>
          <w:i/>
        </w:rPr>
        <w:t xml:space="preserve">Omnibus guidelines on the planning and identification of public road transportation services and franchise issuance</w:t>
      </w:r>
      <w:r>
        <w:t xml:space="preserve"> </w:t>
      </w:r>
      <w:r>
        <w:t xml:space="preserve">(Department Order No. 2017-011).</w:t>
      </w:r>
    </w:p>
    <w:p>
      <w:pPr>
        <w:pStyle w:val="Reference"/>
      </w:pPr>
      <w:r>
        <w:t xml:space="preserve">Dibbelt, J., Pajor, T., Strasser, B., &amp; Wagner, D. (2018). Connection scan algorithm.</w:t>
      </w:r>
      <w:r>
        <w:t xml:space="preserve"> </w:t>
      </w:r>
      <w:r>
        <w:rPr>
          <w:iCs/>
          <w:i/>
        </w:rPr>
        <w:t xml:space="preserve">ACM Journal of Experimental Algorithmics, 23</w:t>
      </w:r>
      <w:r>
        <w:t xml:space="preserve">, 1–56. https://doi.org/10.1145/3274661</w:t>
      </w:r>
    </w:p>
    <w:p>
      <w:pPr>
        <w:pStyle w:val="Reference"/>
      </w:pPr>
      <w:r>
        <w:t xml:space="preserve">Dijkstra, E. W. (1959). A note on two problems in connexion with graphs.</w:t>
      </w:r>
      <w:r>
        <w:t xml:space="preserve"> </w:t>
      </w:r>
      <w:r>
        <w:rPr>
          <w:iCs/>
          <w:i/>
        </w:rPr>
        <w:t xml:space="preserve">Numerische Mathematik, 1</w:t>
      </w:r>
      <w:r>
        <w:t xml:space="preserve">(1), 269–271. https://doi.org/10.1007/BF01386390</w:t>
      </w:r>
    </w:p>
    <w:p>
      <w:pPr>
        <w:pStyle w:val="Reference"/>
      </w:pPr>
      <w:r>
        <w:t xml:space="preserve">Efron, B. (1979). Bootstrap methods: Another look at the jackknife.</w:t>
      </w:r>
      <w:r>
        <w:t xml:space="preserve"> </w:t>
      </w:r>
      <w:r>
        <w:rPr>
          <w:iCs/>
          <w:i/>
        </w:rPr>
        <w:t xml:space="preserve">The Annals of Statistics, 7</w:t>
      </w:r>
      <w:r>
        <w:t xml:space="preserve">(1), 1–26. https://doi.org/10.1214/aos/1176344552</w:t>
      </w:r>
    </w:p>
    <w:p>
      <w:pPr>
        <w:pStyle w:val="Reference"/>
      </w:pPr>
      <w:r>
        <w:t xml:space="preserve">Efron, B., &amp; Tibshirani, R. J. (1993).</w:t>
      </w:r>
      <w:r>
        <w:t xml:space="preserve"> </w:t>
      </w:r>
      <w:r>
        <w:rPr>
          <w:iCs/>
          <w:i/>
        </w:rPr>
        <w:t xml:space="preserve">An introduction to the bootstrap</w:t>
      </w:r>
      <w:r>
        <w:t xml:space="preserve">. Chapman &amp; Hall.</w:t>
      </w:r>
    </w:p>
    <w:p>
      <w:pPr>
        <w:pStyle w:val="Reference"/>
      </w:pPr>
      <w:r>
        <w:t xml:space="preserve">Eiter, T., &amp; Mannila, H. (1994).</w:t>
      </w:r>
      <w:r>
        <w:t xml:space="preserve"> </w:t>
      </w:r>
      <w:r>
        <w:rPr>
          <w:iCs/>
          <w:i/>
        </w:rPr>
        <w:t xml:space="preserve">Computing discrete Fréchet distance</w:t>
      </w:r>
      <w:r>
        <w:t xml:space="preserve"> </w:t>
      </w:r>
      <w:r>
        <w:t xml:space="preserve">(Technical Report CD-TR 94/64). Christian Doppler Laboratory for Expert Systems, Technische Universität Wien.</w:t>
      </w:r>
    </w:p>
    <w:p>
      <w:pPr>
        <w:pStyle w:val="Reference"/>
      </w:pPr>
      <w:r>
        <w:t xml:space="preserve">Erwig, M. (2000). The graph Voronoi diagram with applications.</w:t>
      </w:r>
      <w:r>
        <w:t xml:space="preserve"> </w:t>
      </w:r>
      <w:r>
        <w:rPr>
          <w:iCs/>
          <w:i/>
        </w:rPr>
        <w:t xml:space="preserve">Networks, 36</w:t>
      </w:r>
      <w:r>
        <w:t xml:space="preserve">(3), 156–163.</w:t>
      </w:r>
    </w:p>
    <w:p>
      <w:pPr>
        <w:pStyle w:val="Reference"/>
      </w:pPr>
      <w:r>
        <w:t xml:space="preserve">Executive Order No. 56. (2018).</w:t>
      </w:r>
      <w:r>
        <w:t xml:space="preserve"> </w:t>
      </w:r>
      <w:r>
        <w:rPr>
          <w:iCs/>
          <w:i/>
        </w:rPr>
        <w:t xml:space="preserve">Institutionalizing the Emergency 911 hotline as the nationwide emergency answering point, replacing Patrol 117, and for other purposes</w:t>
      </w:r>
      <w:r>
        <w:t xml:space="preserve">. Office of the President of the Philippines.</w:t>
      </w:r>
    </w:p>
    <w:p>
      <w:pPr>
        <w:pStyle w:val="Reference"/>
      </w:pPr>
      <w:r>
        <w:t xml:space="preserve">Floyd, R. W. (1962). Algorithm 97: Shortest path.</w:t>
      </w:r>
      <w:r>
        <w:t xml:space="preserve"> </w:t>
      </w:r>
      <w:r>
        <w:rPr>
          <w:iCs/>
          <w:i/>
        </w:rPr>
        <w:t xml:space="preserve">Communications of the ACM, 5</w:t>
      </w:r>
      <w:r>
        <w:t xml:space="preserve">(6), 345. https://doi.org/10.1145/367766.368168</w:t>
      </w:r>
    </w:p>
    <w:p>
      <w:pPr>
        <w:pStyle w:val="Reference"/>
      </w:pPr>
      <w:r>
        <w:t xml:space="preserve">Garey, M. R., &amp; Johnson, D. S. (1979).</w:t>
      </w:r>
      <w:r>
        <w:t xml:space="preserve"> </w:t>
      </w:r>
      <w:r>
        <w:rPr>
          <w:iCs/>
          <w:i/>
        </w:rPr>
        <w:t xml:space="preserve">Computers and intractability: A guide to the theory of NP-completeness</w:t>
      </w:r>
      <w:r>
        <w:t xml:space="preserve">. W. H. Freeman.</w:t>
      </w:r>
    </w:p>
    <w:p>
      <w:pPr>
        <w:pStyle w:val="Reference"/>
      </w:pPr>
      <w:r>
        <w:t xml:space="preserve">Geurs, K. T., &amp; van Wee, B. (2004). Accessibility evaluation of land-use and transport strategies: Review and research directions.</w:t>
      </w:r>
      <w:r>
        <w:t xml:space="preserve"> </w:t>
      </w:r>
      <w:r>
        <w:rPr>
          <w:iCs/>
          <w:i/>
        </w:rPr>
        <w:t xml:space="preserve">Journal of Transport Geography, 12</w:t>
      </w:r>
      <w:r>
        <w:t xml:space="preserve">(2), 127–140. https://doi.org/10.1016/j.jtrangeo.2003.10.005</w:t>
      </w:r>
    </w:p>
    <w:p>
      <w:pPr>
        <w:pStyle w:val="Reference"/>
      </w:pPr>
      <w:r>
        <w:t xml:space="preserve">Gilboy, N., Tanabe, P., Travers, D., &amp; Rosenau, A. M. (2011).</w:t>
      </w:r>
      <w:r>
        <w:t xml:space="preserve"> </w:t>
      </w:r>
      <w:r>
        <w:rPr>
          <w:iCs/>
          <w:i/>
        </w:rPr>
        <w:t xml:space="preserve">Emergency Severity Index (ESI): A triage tool for emergency department care, version 4. Implementation handbook, 2012 edition</w:t>
      </w:r>
      <w:r>
        <w:t xml:space="preserve"> </w:t>
      </w:r>
      <w:r>
        <w:t xml:space="preserve">(AHRQ Publication No. 12-0014). Agency for Healthcare Research and Quality.</w:t>
      </w:r>
    </w:p>
    <w:p>
      <w:pPr>
        <w:pStyle w:val="Reference"/>
      </w:pPr>
      <w:r>
        <w:t xml:space="preserve">Gini, C. (1912).</w:t>
      </w:r>
      <w:r>
        <w:t xml:space="preserve"> </w:t>
      </w:r>
      <w:r>
        <w:rPr>
          <w:iCs/>
          <w:i/>
        </w:rPr>
        <w:t xml:space="preserve">Variabilità e mutabilità: Contributo allo studio delle distribuzioni e delle relazioni statistiche</w:t>
      </w:r>
      <w:r>
        <w:t xml:space="preserve">. Tipografia di Paolo Cuppini.</w:t>
      </w:r>
    </w:p>
    <w:p>
      <w:pPr>
        <w:pStyle w:val="Reference"/>
      </w:pPr>
      <w:r>
        <w:t xml:space="preserve">Handy, S. L., &amp; Niemeier, D. A. (1997). Measuring accessibility: An exploration of issues and alternatives.</w:t>
      </w:r>
      <w:r>
        <w:t xml:space="preserve"> </w:t>
      </w:r>
      <w:r>
        <w:rPr>
          <w:iCs/>
          <w:i/>
        </w:rPr>
        <w:t xml:space="preserve">Environment and Planning A, 29</w:t>
      </w:r>
      <w:r>
        <w:t xml:space="preserve">(7), 1175–1194. https://doi.org/10.1068/a291175</w:t>
      </w:r>
    </w:p>
    <w:p>
      <w:pPr>
        <w:pStyle w:val="Reference"/>
      </w:pPr>
      <w:r>
        <w:t xml:space="preserve">Hansen, P. (1980). Bicriterion path problems. In G. Fandel &amp; T. Gal (Eds.),</w:t>
      </w:r>
      <w:r>
        <w:t xml:space="preserve"> </w:t>
      </w:r>
      <w:r>
        <w:rPr>
          <w:iCs/>
          <w:i/>
        </w:rPr>
        <w:t xml:space="preserve">Multiple criteria decision making theory and application</w:t>
      </w:r>
      <w:r>
        <w:t xml:space="preserve"> </w:t>
      </w:r>
      <w:r>
        <w:t xml:space="preserve">(pp. 109–127). Springer. https://doi.org/10.1007/978-3-642-48782-8_9</w:t>
      </w:r>
    </w:p>
    <w:p>
      <w:pPr>
        <w:pStyle w:val="Reference"/>
      </w:pPr>
      <w:r>
        <w:t xml:space="preserve">Hansen, W. G. (1959). How accessibility shapes land use.</w:t>
      </w:r>
      <w:r>
        <w:t xml:space="preserve"> </w:t>
      </w:r>
      <w:r>
        <w:rPr>
          <w:iCs/>
          <w:i/>
        </w:rPr>
        <w:t xml:space="preserve">Journal of the American Institute of Planners, 25</w:t>
      </w:r>
      <w:r>
        <w:t xml:space="preserve">(2), 73–76. https://doi.org/10.1080/01944365908978307</w:t>
      </w:r>
    </w:p>
    <w:p>
      <w:pPr>
        <w:pStyle w:val="Reference"/>
      </w:pPr>
      <w:r>
        <w:t xml:space="preserve">Holm, S. (1979). A simple sequentially rejective multiple test procedure.</w:t>
      </w:r>
      <w:r>
        <w:t xml:space="preserve"> </w:t>
      </w:r>
      <w:r>
        <w:rPr>
          <w:iCs/>
          <w:i/>
        </w:rPr>
        <w:t xml:space="preserve">Scandinavian Journal of Statistics, 6</w:t>
      </w:r>
      <w:r>
        <w:t xml:space="preserve">(2), 65–70.</w:t>
      </w:r>
    </w:p>
    <w:p>
      <w:pPr>
        <w:pStyle w:val="Reference"/>
      </w:pPr>
      <w:r>
        <w:t xml:space="preserve">Jenelius, E., Petersen, T., &amp; Mattsson, L.-G. (2006). Importance and exposure in road network vulnerability analysis.</w:t>
      </w:r>
      <w:r>
        <w:t xml:space="preserve"> </w:t>
      </w:r>
      <w:r>
        <w:rPr>
          <w:iCs/>
          <w:i/>
        </w:rPr>
        <w:t xml:space="preserve">Transportation Research Part A: Policy and Practice, 40</w:t>
      </w:r>
      <w:r>
        <w:t xml:space="preserve">(7), 537–560. https://doi.org/10.1016/j.tra.2005.11.003</w:t>
      </w:r>
    </w:p>
    <w:p>
      <w:pPr>
        <w:pStyle w:val="Reference"/>
      </w:pPr>
      <w:r>
        <w:t xml:space="preserve">Kaufman, D. E., &amp; Smith, R. L. (1993). Fastest paths in time-dependent networks for intelligent vehicle-highway systems application.</w:t>
      </w:r>
      <w:r>
        <w:t xml:space="preserve"> </w:t>
      </w:r>
      <w:r>
        <w:rPr>
          <w:iCs/>
          <w:i/>
        </w:rPr>
        <w:t xml:space="preserve">IVHS Journal, 1</w:t>
      </w:r>
      <w:r>
        <w:t xml:space="preserve">(1), 1–11. https://doi.org/10.1080/10248079308903779</w:t>
      </w:r>
    </w:p>
    <w:p>
      <w:pPr>
        <w:pStyle w:val="Reference"/>
      </w:pPr>
      <w:r>
        <w:t xml:space="preserve">Kerby, D. S. (2014). The simple difference formula: An approach to teaching nonparametric correlation.</w:t>
      </w:r>
      <w:r>
        <w:t xml:space="preserve"> </w:t>
      </w:r>
      <w:r>
        <w:rPr>
          <w:iCs/>
          <w:i/>
        </w:rPr>
        <w:t xml:space="preserve">Comprehensive Psychology, 3</w:t>
      </w:r>
      <w:r>
        <w:t xml:space="preserve">, Article 11.IT.3.1. https://doi.org/10.2466/11.IT.3.1</w:t>
      </w:r>
    </w:p>
    <w:p>
      <w:pPr>
        <w:pStyle w:val="Reference"/>
      </w:pPr>
      <w:r>
        <w:t xml:space="preserve">Klensin, J. (2008).</w:t>
      </w:r>
      <w:r>
        <w:t xml:space="preserve"> </w:t>
      </w:r>
      <w:r>
        <w:rPr>
          <w:iCs/>
          <w:i/>
        </w:rPr>
        <w:t xml:space="preserve">Simple Mail Transfer Protocol</w:t>
      </w:r>
      <w:r>
        <w:t xml:space="preserve"> </w:t>
      </w:r>
      <w:r>
        <w:t xml:space="preserve">(RFC 5321). Internet Engineering Task Force. https://doi.org/10.17487/RFC5321</w:t>
      </w:r>
    </w:p>
    <w:p>
      <w:pPr>
        <w:pStyle w:val="Reference"/>
      </w:pPr>
      <w:r>
        <w:t xml:space="preserve">Klopp, J. M., &amp; Cavoli, C. (2019). Mapping minibuses in Maputo and Nairobi: Engaging paratransit in transportation planning in African cities.</w:t>
      </w:r>
      <w:r>
        <w:t xml:space="preserve"> </w:t>
      </w:r>
      <w:r>
        <w:rPr>
          <w:iCs/>
          <w:i/>
        </w:rPr>
        <w:t xml:space="preserve">Transport Reviews, 39</w:t>
      </w:r>
      <w:r>
        <w:t xml:space="preserve">(5), 657–676. https://doi.org/10.1080/01441647.2019.1598513</w:t>
      </w:r>
    </w:p>
    <w:p>
      <w:pPr>
        <w:pStyle w:val="Reference"/>
      </w:pPr>
      <w:r>
        <w:t xml:space="preserve">Kuhn, H. W. (1955). The Hungarian method for the assignment problem.</w:t>
      </w:r>
      <w:r>
        <w:t xml:space="preserve"> </w:t>
      </w:r>
      <w:r>
        <w:rPr>
          <w:iCs/>
          <w:i/>
        </w:rPr>
        <w:t xml:space="preserve">Naval Research Logistics Quarterly, 2</w:t>
      </w:r>
      <w:r>
        <w:t xml:space="preserve">(1–2), 83–97. https://doi.org/10.1002/nav.3800020109</w:t>
      </w:r>
    </w:p>
    <w:p>
      <w:pPr>
        <w:pStyle w:val="Reference"/>
      </w:pPr>
      <w:r>
        <w:t xml:space="preserve">Levinson, D. M., &amp; Wu, H. (2020). Towards a general theory of access.</w:t>
      </w:r>
      <w:r>
        <w:t xml:space="preserve"> </w:t>
      </w:r>
      <w:r>
        <w:rPr>
          <w:iCs/>
          <w:i/>
        </w:rPr>
        <w:t xml:space="preserve">Journal of Transport and Land Use, 13</w:t>
      </w:r>
      <w:r>
        <w:t xml:space="preserve">(1), 129–158. https://doi.org/10.5198/jtlu.2020.1660</w:t>
      </w:r>
    </w:p>
    <w:p>
      <w:pPr>
        <w:pStyle w:val="Reference"/>
      </w:pPr>
      <w:r>
        <w:t xml:space="preserve">Lorenz, M. O. (1905). Methods of measuring the concentration of wealth.</w:t>
      </w:r>
      <w:r>
        <w:t xml:space="preserve"> </w:t>
      </w:r>
      <w:r>
        <w:rPr>
          <w:iCs/>
          <w:i/>
        </w:rPr>
        <w:t xml:space="preserve">Publications of the American Statistical Association, 9</w:t>
      </w:r>
      <w:r>
        <w:t xml:space="preserve">(70), 209–219. https://doi.org/10.2307/2276207</w:t>
      </w:r>
    </w:p>
    <w:p>
      <w:pPr>
        <w:pStyle w:val="Reference"/>
      </w:pPr>
      <w:r>
        <w:t xml:space="preserve">Lucas, K., van Wee, B., &amp; Maat, K. (2016). A method to evaluate equitable accessibility: Combining ethical theories and accessibility-based approaches.</w:t>
      </w:r>
      <w:r>
        <w:t xml:space="preserve"> </w:t>
      </w:r>
      <w:r>
        <w:rPr>
          <w:iCs/>
          <w:i/>
        </w:rPr>
        <w:t xml:space="preserve">Transportation, 43</w:t>
      </w:r>
      <w:r>
        <w:t xml:space="preserve">(3), 473–490. https://doi.org/10.1007/s11116-015-9585-2</w:t>
      </w:r>
    </w:p>
    <w:p>
      <w:pPr>
        <w:pStyle w:val="Reference"/>
      </w:pPr>
      <w:r>
        <w:t xml:space="preserve">Luo, W., &amp; Qi, Y. (2009). An enhanced two-step floating catchment area (E2SFCA) method for measuring spatial accessibility to primary care physicians.</w:t>
      </w:r>
      <w:r>
        <w:t xml:space="preserve"> </w:t>
      </w:r>
      <w:r>
        <w:rPr>
          <w:iCs/>
          <w:i/>
        </w:rPr>
        <w:t xml:space="preserve">Health &amp; Place, 15</w:t>
      </w:r>
      <w:r>
        <w:t xml:space="preserve">(4), 1100–1107. https://doi.org/10.1016/j.healthplace.2009.06.002</w:t>
      </w:r>
    </w:p>
    <w:p>
      <w:pPr>
        <w:pStyle w:val="Reference"/>
      </w:pPr>
      <w:r>
        <w:t xml:space="preserve">Luo, W., &amp; Wang, F. (2003). Measures of spatial accessibility to health care in a GIS environment: Synthesis and a case study in the Chicago region.</w:t>
      </w:r>
      <w:r>
        <w:t xml:space="preserve"> </w:t>
      </w:r>
      <w:r>
        <w:rPr>
          <w:iCs/>
          <w:i/>
        </w:rPr>
        <w:t xml:space="preserve">Environment and Planning B: Planning and Design, 30</w:t>
      </w:r>
      <w:r>
        <w:t xml:space="preserve">(6), 865–884. https://doi.org/10.1068/b29120</w:t>
      </w:r>
    </w:p>
    <w:p>
      <w:pPr>
        <w:pStyle w:val="Reference"/>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Reference"/>
      </w:pPr>
      <w:r>
        <w:t xml:space="preserve">Martins, E. Q. V. (1984). On a multicriteria shortest path problem.</w:t>
      </w:r>
      <w:r>
        <w:t xml:space="preserve"> </w:t>
      </w:r>
      <w:r>
        <w:rPr>
          <w:iCs/>
          <w:i/>
        </w:rPr>
        <w:t xml:space="preserve">European Journal of Operational Research, 16</w:t>
      </w:r>
      <w:r>
        <w:t xml:space="preserve">(2), 236–245. https://doi.org/10.1016/0377-2217(84)90077-8</w:t>
      </w:r>
    </w:p>
    <w:p>
      <w:pPr>
        <w:pStyle w:val="Reference"/>
      </w:pPr>
      <w:r>
        <w:t xml:space="preserve">Melnikov, A., &amp; Leiba, B. (2021).</w:t>
      </w:r>
      <w:r>
        <w:t xml:space="preserve"> </w:t>
      </w:r>
      <w:r>
        <w:rPr>
          <w:iCs/>
          <w:i/>
        </w:rPr>
        <w:t xml:space="preserve">Internet Message Access Protocol (IMAP), version 4rev2</w:t>
      </w:r>
      <w:r>
        <w:t xml:space="preserve"> </w:t>
      </w:r>
      <w:r>
        <w:t xml:space="preserve">(RFC 9051). Internet Engineering Task Force. https://doi.org/10.17487/RFC9051</w:t>
      </w:r>
    </w:p>
    <w:p>
      <w:pPr>
        <w:pStyle w:val="Reference"/>
      </w:pPr>
      <w:r>
        <w:t xml:space="preserve">MobilityData. (n.d.-a).</w:t>
      </w:r>
      <w:r>
        <w:t xml:space="preserve"> </w:t>
      </w:r>
      <w:r>
        <w:rPr>
          <w:iCs/>
          <w:i/>
        </w:rPr>
        <w:t xml:space="preserve">History</w:t>
      </w:r>
      <w:r>
        <w:t xml:space="preserve">. Retrieved October 3, 2026, from https://mobilitydata.org/history/</w:t>
      </w:r>
    </w:p>
    <w:p>
      <w:pPr>
        <w:pStyle w:val="Reference"/>
      </w:pPr>
      <w:r>
        <w:t xml:space="preserve">MobilityData. (n.d.-b).</w:t>
      </w:r>
      <w:r>
        <w:t xml:space="preserve"> </w:t>
      </w:r>
      <w:r>
        <w:rPr>
          <w:iCs/>
          <w:i/>
        </w:rPr>
        <w:t xml:space="preserve">GTFS Schedule validator</w:t>
      </w:r>
      <w:r>
        <w:t xml:space="preserve"> </w:t>
      </w:r>
      <w:r>
        <w:t xml:space="preserve">[Computer software]. GitHub. Retrieved October 3, 2026, from https://github.com/MobilityData/gtfs-validator</w:t>
      </w:r>
    </w:p>
    <w:p>
      <w:pPr>
        <w:pStyle w:val="Reference"/>
      </w:pPr>
      <w:r>
        <w:t xml:space="preserve">Narboneta, C., &amp; Teknomo, K. (2015). Implementation of a multimodal public transportation route planner for Metro Manila.</w:t>
      </w:r>
      <w:r>
        <w:t xml:space="preserve"> </w:t>
      </w:r>
      <w:r>
        <w:rPr>
          <w:iCs/>
          <w:i/>
        </w:rPr>
        <w:t xml:space="preserve">Journal in Urban and Regional Planning, 2</w:t>
      </w:r>
      <w:r>
        <w:t xml:space="preserve">, 9–17. https://conference.surp.upd.edu.ph/downloads/JURP2/JURP_02_NARBONETA_edited_revMDR_20150720.pdf</w:t>
      </w:r>
    </w:p>
    <w:p>
      <w:pPr>
        <w:pStyle w:val="Reference"/>
      </w:pPr>
      <w:r>
        <w:t xml:space="preserve">Nemhauser, G. L., Wolsey, L. A., &amp; Fisher, M. L. (1978). An analysis of approximations for maximizing submodular set functions, I.</w:t>
      </w:r>
      <w:r>
        <w:t xml:space="preserve"> </w:t>
      </w:r>
      <w:r>
        <w:rPr>
          <w:iCs/>
          <w:i/>
        </w:rPr>
        <w:t xml:space="preserve">Mathematical Programming, 14</w:t>
      </w:r>
      <w:r>
        <w:t xml:space="preserve">(1), 265–294. https://doi.org/10.1007/BF01588971</w:t>
      </w:r>
    </w:p>
    <w:p>
      <w:pPr>
        <w:pStyle w:val="Reference"/>
      </w:pPr>
      <w:r>
        <w:t xml:space="preserve">Nieto, A. (2026, September 28). Fare hikes for jeepneys, buses, taxis, and TNVS take effect today.</w:t>
      </w:r>
      <w:r>
        <w:t xml:space="preserve"> </w:t>
      </w:r>
      <w:r>
        <w:rPr>
          <w:iCs/>
          <w:i/>
        </w:rPr>
        <w:t xml:space="preserve">Top Gear Philippines</w:t>
      </w:r>
      <w:r>
        <w:t xml:space="preserve">. https://www.topgear.com.ph/news/industry-news/dotr-fare-hike-september-28-2026-a6941-20260928</w:t>
      </w:r>
    </w:p>
    <w:p>
      <w:pPr>
        <w:pStyle w:val="Reference"/>
      </w:pPr>
      <w:r>
        <w:t xml:space="preserve">Okabe, A., Boots, B., Sugihara, K., &amp; Chiu, S. N. (2000).</w:t>
      </w:r>
      <w:r>
        <w:t xml:space="preserve"> </w:t>
      </w:r>
      <w:r>
        <w:rPr>
          <w:iCs/>
          <w:i/>
        </w:rPr>
        <w:t xml:space="preserve">Spatial tessellations: Concepts and applications of Voronoi diagrams</w:t>
      </w:r>
      <w:r>
        <w:t xml:space="preserve"> </w:t>
      </w:r>
      <w:r>
        <w:t xml:space="preserve">(2nd ed.). Wiley.</w:t>
      </w:r>
    </w:p>
    <w:p>
      <w:pPr>
        <w:pStyle w:val="Reference"/>
      </w:pPr>
      <w:r>
        <w:t xml:space="preserve">Openshaw, S. (1984).</w:t>
      </w:r>
      <w:r>
        <w:t xml:space="preserve"> </w:t>
      </w:r>
      <w:r>
        <w:rPr>
          <w:iCs/>
          <w:i/>
        </w:rPr>
        <w:t xml:space="preserve">The modifiable areal unit problem</w:t>
      </w:r>
      <w:r>
        <w:t xml:space="preserve"> </w:t>
      </w:r>
      <w:r>
        <w:t xml:space="preserve">(Concepts and Techniques in Modern Geography No. 38). Geo Books.</w:t>
      </w:r>
    </w:p>
    <w:p>
      <w:pPr>
        <w:pStyle w:val="Reference"/>
      </w:pPr>
      <w:r>
        <w:t xml:space="preserve">OpenStreetMap contributors. (2026).</w:t>
      </w:r>
      <w:r>
        <w:t xml:space="preserve"> </w:t>
      </w:r>
      <w:r>
        <w:rPr>
          <w:iCs/>
          <w:i/>
        </w:rPr>
        <w:t xml:space="preserve">OpenStreetMap</w:t>
      </w:r>
      <w:r>
        <w:t xml:space="preserve"> </w:t>
      </w:r>
      <w:r>
        <w:t xml:space="preserve">[Data set]. OpenStreetMap Foundation. https://www.openstreetmap.org</w:t>
      </w:r>
    </w:p>
    <w:p>
      <w:pPr>
        <w:pStyle w:val="Reference"/>
      </w:pPr>
      <w:r>
        <w:t xml:space="preserve">Owen, A., &amp; Levinson, D. M. (2015). Modeling the commute mode share of transit using continuous accessibility to jobs.</w:t>
      </w:r>
      <w:r>
        <w:t xml:space="preserve"> </w:t>
      </w:r>
      <w:r>
        <w:rPr>
          <w:iCs/>
          <w:i/>
        </w:rPr>
        <w:t xml:space="preserve">Transportation Research Part A: Policy and Practice, 74</w:t>
      </w:r>
      <w:r>
        <w:t xml:space="preserve">, 110–122. https://doi.org/10.1016/j.tra.2015.02.002</w:t>
      </w:r>
    </w:p>
    <w:p>
      <w:pPr>
        <w:pStyle w:val="Reference"/>
      </w:pPr>
      <w:r>
        <w:t xml:space="preserve">Palma, J. G. (2011). Homogeneous middles vs. heterogeneous tails, and the end of the</w:t>
      </w:r>
      <w:r>
        <w:t xml:space="preserve"> </w:t>
      </w:r>
      <w:r>
        <w:t xml:space="preserve">‘</w:t>
      </w:r>
      <w:r>
        <w:t xml:space="preserve">inverted-U</w:t>
      </w:r>
      <w:r>
        <w:t xml:space="preserve">’</w:t>
      </w:r>
      <w:r>
        <w:t xml:space="preserve">: It’s all about the share of the rich.</w:t>
      </w:r>
      <w:r>
        <w:t xml:space="preserve"> </w:t>
      </w:r>
      <w:r>
        <w:rPr>
          <w:iCs/>
          <w:i/>
        </w:rPr>
        <w:t xml:space="preserve">Development and Change, 42</w:t>
      </w:r>
      <w:r>
        <w:t xml:space="preserve">(1), 87–153. https://doi.org/10.1111/j.1467-7660.2011.01694.x</w:t>
      </w:r>
    </w:p>
    <w:p>
      <w:pPr>
        <w:pStyle w:val="Reference"/>
      </w:pPr>
      <w:r>
        <w:t xml:space="preserve">Pereira, R. H. M., Schwanen, T., &amp; Banister, D. (2017). Distributive justice and equity in transportation.</w:t>
      </w:r>
      <w:r>
        <w:t xml:space="preserve"> </w:t>
      </w:r>
      <w:r>
        <w:rPr>
          <w:iCs/>
          <w:i/>
        </w:rPr>
        <w:t xml:space="preserve">Transport Reviews, 37</w:t>
      </w:r>
      <w:r>
        <w:t xml:space="preserve">(2), 170–191. https://doi.org/10.1080/01441647.2016.1257660</w:t>
      </w:r>
    </w:p>
    <w:p>
      <w:pPr>
        <w:pStyle w:val="Reference"/>
      </w:pPr>
      <w:r>
        <w:t xml:space="preserve">PhilAtlas. (n.d.).</w:t>
      </w:r>
      <w:r>
        <w:t xml:space="preserve"> </w:t>
      </w:r>
      <w:r>
        <w:rPr>
          <w:iCs/>
          <w:i/>
        </w:rPr>
        <w:t xml:space="preserve">Albay</w:t>
      </w:r>
      <w:r>
        <w:t xml:space="preserve">. Retrieved October 3, 2026, from https://www.philatlas.com/luzon/r05/albay.html</w:t>
      </w:r>
    </w:p>
    <w:p>
      <w:pPr>
        <w:pStyle w:val="Reference"/>
      </w:pPr>
      <w:r>
        <w:t xml:space="preserve">Philippine Health Insurance Corporation. (2026).</w:t>
      </w:r>
      <w:r>
        <w:t xml:space="preserve"> </w:t>
      </w:r>
      <w:r>
        <w:rPr>
          <w:iCs/>
          <w:i/>
        </w:rPr>
        <w:t xml:space="preserve">List of accredited hospitals and infirmaries for CY 2026</w:t>
      </w:r>
      <w:r>
        <w:t xml:space="preserve">. https://www.philhealth.gov.ph/partners/providers/facilities/accredited/HOSP_053126.pdf</w:t>
      </w:r>
    </w:p>
    <w:p>
      <w:pPr>
        <w:pStyle w:val="Reference"/>
      </w:pPr>
      <w:r>
        <w:t xml:space="preserve">Philippine Ports Authority. (n.d.).</w:t>
      </w:r>
      <w:r>
        <w:t xml:space="preserve"> </w:t>
      </w:r>
      <w:r>
        <w:rPr>
          <w:iCs/>
          <w:i/>
        </w:rPr>
        <w:t xml:space="preserve">Ports</w:t>
      </w:r>
      <w:r>
        <w:t xml:space="preserve"> </w:t>
      </w:r>
      <w:r>
        <w:t xml:space="preserve">[Directory]. Retrieved October 3, 2026, from https://www.ppa.com.ph</w:t>
      </w:r>
    </w:p>
    <w:p>
      <w:pPr>
        <w:pStyle w:val="Reference"/>
      </w:pPr>
      <w:r>
        <w:t xml:space="preserve">Philippine Statistics Authority. (n.d.).</w:t>
      </w:r>
      <w:r>
        <w:t xml:space="preserve"> </w:t>
      </w:r>
      <w:r>
        <w:rPr>
          <w:iCs/>
          <w:i/>
        </w:rPr>
        <w:t xml:space="preserve">Province of Albay</w:t>
      </w:r>
      <w:r>
        <w:t xml:space="preserve"> </w:t>
      </w:r>
      <w:r>
        <w:t xml:space="preserve">[Philippine Standard Geographic Code]. Retrieved October 3, 2026, from https://psa.gov.ph/classification/psgc/citimuni/0500500000</w:t>
      </w:r>
    </w:p>
    <w:p>
      <w:pPr>
        <w:pStyle w:val="Reference"/>
      </w:pPr>
      <w:r>
        <w:t xml:space="preserve">Philippine Statistics Authority. (2021).</w:t>
      </w:r>
      <w:r>
        <w:t xml:space="preserve"> </w:t>
      </w:r>
      <w:r>
        <w:rPr>
          <w:iCs/>
          <w:i/>
        </w:rPr>
        <w:t xml:space="preserve">The 2020 Census of Population and Housing (2020 CPH) population counts declared official by the President</w:t>
      </w:r>
      <w:r>
        <w:t xml:space="preserve"> </w:t>
      </w:r>
      <w:r>
        <w:t xml:space="preserve">[Press release]. https://psa.gov.ph/content/2020-census-population-and-housing-2020-cph-population-counts-declared-official-president</w:t>
      </w:r>
    </w:p>
    <w:p>
      <w:pPr>
        <w:pStyle w:val="Reference"/>
      </w:pPr>
      <w:r>
        <w:t xml:space="preserve">Pyrga, E., Schulz, F., Wagner, D., &amp; Zaroliagis, C. (2008). Efficient models for timetable information in public transportation systems.</w:t>
      </w:r>
      <w:r>
        <w:t xml:space="preserve"> </w:t>
      </w:r>
      <w:r>
        <w:rPr>
          <w:iCs/>
          <w:i/>
        </w:rPr>
        <w:t xml:space="preserve">ACM Journal of Experimental Algorithmics, 12</w:t>
      </w:r>
      <w:r>
        <w:t xml:space="preserve">, 1–39. https://doi.org/10.1145/1227161.1227166</w:t>
      </w:r>
    </w:p>
    <w:p>
      <w:pPr>
        <w:pStyle w:val="Reference"/>
      </w:pPr>
      <w:r>
        <w:t xml:space="preserve">Republic Act No. 8344. (1997).</w:t>
      </w:r>
      <w:r>
        <w:t xml:space="preserve"> </w:t>
      </w:r>
      <w:r>
        <w:rPr>
          <w:iCs/>
          <w:i/>
        </w:rPr>
        <w:t xml:space="preserve">An act penalizing the refusal of hospitals and medical clinics to administer appropriate initial medical treatment and support in emergency or serious cases, amending for the purpose Batas Pambansa Bilang 702</w:t>
      </w:r>
      <w:r>
        <w:t xml:space="preserve">. Congress of the Philippines.</w:t>
      </w:r>
    </w:p>
    <w:p>
      <w:pPr>
        <w:pStyle w:val="Reference"/>
      </w:pPr>
      <w:r>
        <w:t xml:space="preserve">Republic Act No. 9994. (2010).</w:t>
      </w:r>
      <w:r>
        <w:t xml:space="preserve"> </w:t>
      </w:r>
      <w:r>
        <w:rPr>
          <w:iCs/>
          <w:i/>
        </w:rPr>
        <w:t xml:space="preserve">Expanded Senior Citizens Act of 2010</w:t>
      </w:r>
      <w:r>
        <w:t xml:space="preserve">. Congress of the Philippines.</w:t>
      </w:r>
    </w:p>
    <w:p>
      <w:pPr>
        <w:pStyle w:val="Reference"/>
      </w:pPr>
      <w:r>
        <w:t xml:space="preserve">Republic Act No. 10173. (2012).</w:t>
      </w:r>
      <w:r>
        <w:t xml:space="preserve"> </w:t>
      </w:r>
      <w:r>
        <w:rPr>
          <w:iCs/>
          <w:i/>
        </w:rPr>
        <w:t xml:space="preserve">Data Privacy Act of 2012</w:t>
      </w:r>
      <w:r>
        <w:t xml:space="preserve">. Congress of the Philippines.</w:t>
      </w:r>
    </w:p>
    <w:p>
      <w:pPr>
        <w:pStyle w:val="Reference"/>
      </w:pPr>
      <w:r>
        <w:t xml:space="preserve">Republic Act No. 10754. (2016).</w:t>
      </w:r>
      <w:r>
        <w:t xml:space="preserve"> </w:t>
      </w:r>
      <w:r>
        <w:rPr>
          <w:iCs/>
          <w:i/>
        </w:rPr>
        <w:t xml:space="preserve">An act expanding the benefits and privileges of persons with disability</w:t>
      </w:r>
      <w:r>
        <w:t xml:space="preserve">. Congress of the Philippines.</w:t>
      </w:r>
    </w:p>
    <w:p>
      <w:pPr>
        <w:pStyle w:val="Reference"/>
      </w:pPr>
      <w:r>
        <w:t xml:space="preserve">Republic Act No. 10932. (2017).</w:t>
      </w:r>
      <w:r>
        <w:t xml:space="preserve"> </w:t>
      </w:r>
      <w:r>
        <w:rPr>
          <w:iCs/>
          <w:i/>
        </w:rPr>
        <w:t xml:space="preserve">An act strengthening the Anti-Hospital Deposit Law by increasing the penalties for the refusal of hospitals and medical clinics to administer appropriate initial medical treatment and support in emergency or serious cases, amending for the purpose Batas Pambansa Bilang 702, as amended by Republic Act No. 8344, and for other purposes</w:t>
      </w:r>
      <w:r>
        <w:t xml:space="preserve">. Congress of the Philippines.</w:t>
      </w:r>
    </w:p>
    <w:p>
      <w:pPr>
        <w:pStyle w:val="Reference"/>
      </w:pPr>
      <w:r>
        <w:t xml:space="preserve">Republic Act No. 11223. (2019).</w:t>
      </w:r>
      <w:r>
        <w:t xml:space="preserve"> </w:t>
      </w:r>
      <w:r>
        <w:rPr>
          <w:iCs/>
          <w:i/>
        </w:rPr>
        <w:t xml:space="preserve">Universal Health Care Act</w:t>
      </w:r>
      <w:r>
        <w:t xml:space="preserve">. Congress of the Philippines.</w:t>
      </w:r>
    </w:p>
    <w:p>
      <w:pPr>
        <w:pStyle w:val="Reference"/>
      </w:pPr>
      <w:r>
        <w:t xml:space="preserve">Republic Act No. 11314. (2019).</w:t>
      </w:r>
      <w:r>
        <w:t xml:space="preserve"> </w:t>
      </w:r>
      <w:r>
        <w:rPr>
          <w:iCs/>
          <w:i/>
        </w:rPr>
        <w:t xml:space="preserve">Student Fare Discount Act</w:t>
      </w:r>
      <w:r>
        <w:t xml:space="preserve">. Congress of the Philippines.</w:t>
      </w:r>
    </w:p>
    <w:p>
      <w:pPr>
        <w:pStyle w:val="Reference"/>
      </w:pPr>
      <w:r>
        <w:t xml:space="preserve">Republic Act No. 11463. (2019).</w:t>
      </w:r>
      <w:r>
        <w:t xml:space="preserve"> </w:t>
      </w:r>
      <w:r>
        <w:rPr>
          <w:iCs/>
          <w:i/>
        </w:rPr>
        <w:t xml:space="preserve">Malasakit Centers Act</w:t>
      </w:r>
      <w:r>
        <w:t xml:space="preserve">. Congress of the Philippines.</w:t>
      </w:r>
    </w:p>
    <w:p>
      <w:pPr>
        <w:pStyle w:val="Reference"/>
      </w:pPr>
      <w:r>
        <w:t xml:space="preserve">Saddier, S., Patterson, Z., Johnson, A., &amp; Chan, M. (2016). Mapping the jitney network with smartphones in Accra, Ghana: The AccraMobile experiment.</w:t>
      </w:r>
      <w:r>
        <w:t xml:space="preserve"> </w:t>
      </w:r>
      <w:r>
        <w:rPr>
          <w:iCs/>
          <w:i/>
        </w:rPr>
        <w:t xml:space="preserve">Transportation Research Record, 2581</w:t>
      </w:r>
      <w:r>
        <w:t xml:space="preserve">(1), 113–122. https://doi.org/10.3141/2581-14</w:t>
      </w:r>
    </w:p>
    <w:p>
      <w:pPr>
        <w:pStyle w:val="Reference"/>
      </w:pPr>
      <w:r>
        <w:t xml:space="preserve">Shorrocks, A. F. (1980). The class of additively decomposable inequality measures.</w:t>
      </w:r>
      <w:r>
        <w:t xml:space="preserve"> </w:t>
      </w:r>
      <w:r>
        <w:rPr>
          <w:iCs/>
          <w:i/>
        </w:rPr>
        <w:t xml:space="preserve">Econometrica, 48</w:t>
      </w:r>
      <w:r>
        <w:t xml:space="preserve">(3), 613–625. https://doi.org/10.2307/1913126</w:t>
      </w:r>
    </w:p>
    <w:p>
      <w:pPr>
        <w:pStyle w:val="Reference"/>
      </w:pPr>
      <w:r>
        <w:t xml:space="preserve">Spearman, C. (1904). The proof and measurement of association between two things.</w:t>
      </w:r>
      <w:r>
        <w:t xml:space="preserve"> </w:t>
      </w:r>
      <w:r>
        <w:rPr>
          <w:iCs/>
          <w:i/>
        </w:rPr>
        <w:t xml:space="preserve">The American Journal of Psychology, 15</w:t>
      </w:r>
      <w:r>
        <w:t xml:space="preserve">(1), 72–101. https://doi.org/10.2307/1412159</w:t>
      </w:r>
    </w:p>
    <w:p>
      <w:pPr>
        <w:pStyle w:val="Reference"/>
      </w:pPr>
      <w:r>
        <w:t xml:space="preserve">Stępniak, M., Pritchard, J. P., Geurs, K. T., &amp; Goliszek, S. (2019). The impact of temporal resolution on public transport accessibility measurement: Review and case study in Poland.</w:t>
      </w:r>
      <w:r>
        <w:t xml:space="preserve"> </w:t>
      </w:r>
      <w:r>
        <w:rPr>
          <w:iCs/>
          <w:i/>
        </w:rPr>
        <w:t xml:space="preserve">Journal of Transport Geography, 75</w:t>
      </w:r>
      <w:r>
        <w:t xml:space="preserve">, 8–24. https://doi.org/10.1016/j.jtrangeo.2019.01.007</w:t>
      </w:r>
    </w:p>
    <w:p>
      <w:pPr>
        <w:pStyle w:val="Reference"/>
      </w:pPr>
      <w:r>
        <w:t xml:space="preserve">Theil, H. (1967).</w:t>
      </w:r>
      <w:r>
        <w:t xml:space="preserve"> </w:t>
      </w:r>
      <w:r>
        <w:rPr>
          <w:iCs/>
          <w:i/>
        </w:rPr>
        <w:t xml:space="preserve">Economics and information theory</w:t>
      </w:r>
      <w:r>
        <w:t xml:space="preserve">. North-Holland.</w:t>
      </w:r>
    </w:p>
    <w:p>
      <w:pPr>
        <w:pStyle w:val="Reference"/>
      </w:pPr>
      <w:r>
        <w:t xml:space="preserve">Transport for Cairo. (n.d.).</w:t>
      </w:r>
      <w:r>
        <w:t xml:space="preserve"> </w:t>
      </w:r>
      <w:r>
        <w:rPr>
          <w:iCs/>
          <w:i/>
        </w:rPr>
        <w:t xml:space="preserve">Digital Cairo</w:t>
      </w:r>
      <w:r>
        <w:t xml:space="preserve">. Retrieved October 3, 2026, from https://transportforcairo.com/projects/digital-cairo/</w:t>
      </w:r>
    </w:p>
    <w:p>
      <w:pPr>
        <w:pStyle w:val="Reference"/>
      </w:pPr>
      <w:r>
        <w:t xml:space="preserve">United Nations General Assembly. (2015).</w:t>
      </w:r>
      <w:r>
        <w:t xml:space="preserve"> </w:t>
      </w:r>
      <w:r>
        <w:rPr>
          <w:iCs/>
          <w:i/>
        </w:rPr>
        <w:t xml:space="preserve">Transforming our world: The 2030 Agenda for Sustainable Development</w:t>
      </w:r>
      <w:r>
        <w:t xml:space="preserve"> </w:t>
      </w:r>
      <w:r>
        <w:t xml:space="preserve">(A/RES/70/1). United Nations. https://undocs.org/A/RES/70/1</w:t>
      </w:r>
    </w:p>
    <w:p>
      <w:pPr>
        <w:pStyle w:val="Reference"/>
      </w:pPr>
      <w:r>
        <w:t xml:space="preserve">United Nations General Assembly. (2017).</w:t>
      </w:r>
      <w:r>
        <w:t xml:space="preserve"> </w:t>
      </w:r>
      <w:r>
        <w:rPr>
          <w:iCs/>
          <w:i/>
        </w:rPr>
        <w:t xml:space="preserve">Work of the Statistical Commission pertaining to the 2030 Agenda for Sustainable Development</w:t>
      </w:r>
      <w:r>
        <w:t xml:space="preserve"> </w:t>
      </w:r>
      <w:r>
        <w:t xml:space="preserve">(A/RES/71/313). United Nations. https://undocs.org/A/RES/71/313</w:t>
      </w:r>
    </w:p>
    <w:p>
      <w:pPr>
        <w:pStyle w:val="Reference"/>
      </w:pPr>
      <w:r>
        <w:t xml:space="preserve">United Nations Statistics Division. (2026). Goal 11: Make cities and human settlements inclusive, safe, resilient and sustainable. In</w:t>
      </w:r>
      <w:r>
        <w:t xml:space="preserve"> </w:t>
      </w:r>
      <w:r>
        <w:rPr>
          <w:iCs/>
          <w:i/>
        </w:rPr>
        <w:t xml:space="preserve">The Sustainable Development Goals report 2026</w:t>
      </w:r>
      <w:r>
        <w:t xml:space="preserve">. United Nations. https://unstats.un.org/sdgs/report/2026/Goal-11/</w:t>
      </w:r>
    </w:p>
    <w:p>
      <w:pPr>
        <w:pStyle w:val="Reference"/>
      </w:pPr>
      <w:r>
        <w:t xml:space="preserve">Wachs, M., &amp; Kumagai, T. G. (1973). Physical accessibility as a social indicator.</w:t>
      </w:r>
      <w:r>
        <w:t xml:space="preserve"> </w:t>
      </w:r>
      <w:r>
        <w:rPr>
          <w:iCs/>
          <w:i/>
        </w:rPr>
        <w:t xml:space="preserve">Socio-Economic Planning Sciences, 7</w:t>
      </w:r>
      <w:r>
        <w:t xml:space="preserve">(5), 437–456. https://doi.org/10.1016/0038-0121(73)90041-4</w:t>
      </w:r>
    </w:p>
    <w:p>
      <w:pPr>
        <w:pStyle w:val="Reference"/>
      </w:pPr>
      <w:r>
        <w:t xml:space="preserve">Warshall, S. (1962). A theorem on Boolean matrices.</w:t>
      </w:r>
      <w:r>
        <w:t xml:space="preserve"> </w:t>
      </w:r>
      <w:r>
        <w:rPr>
          <w:iCs/>
          <w:i/>
        </w:rPr>
        <w:t xml:space="preserve">Journal of the ACM, 9</w:t>
      </w:r>
      <w:r>
        <w:t xml:space="preserve">(1), 11–12. https://doi.org/10.1145/321105.321107</w:t>
      </w:r>
    </w:p>
    <w:p>
      <w:pPr>
        <w:pStyle w:val="Reference"/>
      </w:pPr>
      <w:r>
        <w:t xml:space="preserve">Williams, S., White, A., Waiganjo, P., Orwa, D., &amp; Klopp, J. (2015). The digital matatu project: Using cell phones to create open-source data for Nairobi’s semi-formal bus system.</w:t>
      </w:r>
      <w:r>
        <w:t xml:space="preserve"> </w:t>
      </w:r>
      <w:r>
        <w:rPr>
          <w:iCs/>
          <w:i/>
        </w:rPr>
        <w:t xml:space="preserve">Journal of Transport Geography, 49</w:t>
      </w:r>
      <w:r>
        <w:t xml:space="preserve">, 39–51. https://doi.org/10.1016/j.jtrangeo.2015.10.005</w:t>
      </w:r>
    </w:p>
    <w:p>
      <w:pPr>
        <w:pStyle w:val="Reference"/>
      </w:pPr>
      <w:r>
        <w:t xml:space="preserve">Wooldridge, M., &amp; Jennings, N. R. (1995). Intelligent agents: Theory and practice.</w:t>
      </w:r>
      <w:r>
        <w:t xml:space="preserve"> </w:t>
      </w:r>
      <w:r>
        <w:rPr>
          <w:iCs/>
          <w:i/>
        </w:rPr>
        <w:t xml:space="preserve">The Knowledge Engineering Review, 10</w:t>
      </w:r>
      <w:r>
        <w:t xml:space="preserve">(2), 115–152. https://doi.org/10.1017/S0269888900008122</w:t>
      </w:r>
    </w:p>
    <w:p>
      <w:pPr>
        <w:pStyle w:val="Reference"/>
      </w:pPr>
      <w:r>
        <w:t xml:space="preserve">World Health Organization &amp; World Bank. (2025).</w:t>
      </w:r>
      <w:r>
        <w:t xml:space="preserve"> </w:t>
      </w:r>
      <w:r>
        <w:rPr>
          <w:iCs/>
          <w:i/>
        </w:rPr>
        <w:t xml:space="preserve">Tracking universal health coverage: 2025 global monitoring report</w:t>
      </w:r>
      <w:r>
        <w:t xml:space="preserve">. World Health Organization.</w:t>
      </w:r>
    </w:p>
    <w:p>
      <w:r>
        <w:br w:type="page"/>
      </w:r>
    </w:p>
    <w:bookmarkEnd w:id="192"/>
    <w:bookmarkStart w:id="193" w:name="appendix-a.-open-data-source-register"/>
    <w:p>
      <w:pPr>
        <w:pStyle w:val="Heading1"/>
      </w:pPr>
      <w:r>
        <w:t xml:space="preserve">APPENDIX A. OPEN DATA SOURCE REGISTER</w:t>
      </w:r>
    </w:p>
    <w:p>
      <w:pPr>
        <w:pStyle w:val="FirstParagraph"/>
      </w:pPr>
      <w:r>
        <w:t xml:space="preserve">Every input of the model traces to one row of Table A1. None of these records is a field observation, and the last row was not used in any computation reported here. The repository keeps the access date and a checksum of each source, so the exact input configuration can always be rebuilt.</w:t>
      </w:r>
    </w:p>
    <w:p>
      <w:pPr>
        <w:pStyle w:val="TableCaption"/>
      </w:pPr>
      <w:r>
        <w:rPr>
          <w:bCs/>
          <w:b/>
        </w:rPr>
        <w:t xml:space="preserve">Table A1.</w:t>
      </w:r>
      <w:r>
        <w:t xml:space="preserve"> </w:t>
      </w:r>
      <w:r>
        <w:t xml:space="preserve">Where each layer of the model comes from.</w:t>
      </w:r>
    </w:p>
    <w:tbl>
      <w:tblPr>
        <w:tblStyle w:val="Table"/>
        <w:tblW w:type="pct" w:w="5000"/>
        <w:jc w:val="center"/>
        <w:tblCaption w:val="Table A1. Where each layer of the model comes from."/>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2084"/>
        <w:gridCol w:w="1667"/>
        <w:gridCol w:w="2778"/>
        <w:gridCol w:w="1389"/>
      </w:tblGrid>
      <w:tr>
        <w:trPr>
          <w:tblHeader w:val="true"/>
          <w:tblHeader/>
          <w:cantSplit/>
        </w:trPr>
        <w:tc>
          <w:tcPr/>
          <w:p>
            <w:pPr>
              <w:pStyle w:val="Compact"/>
              <w:jc w:val="left"/>
            </w:pPr>
            <w:r>
              <w:rPr>
                <w:b/>
              </w:rPr>
              <w:t xml:space="preserve">Source</w:t>
            </w:r>
          </w:p>
        </w:tc>
        <w:tc>
          <w:tcPr/>
          <w:p>
            <w:pPr>
              <w:pStyle w:val="Compact"/>
              <w:jc w:val="left"/>
            </w:pPr>
            <w:r>
              <w:rPr>
                <w:b/>
              </w:rPr>
              <w:t xml:space="preserve">Publisher</w:t>
            </w:r>
          </w:p>
        </w:tc>
        <w:tc>
          <w:tcPr/>
          <w:p>
            <w:pPr>
              <w:pStyle w:val="Compact"/>
              <w:jc w:val="left"/>
            </w:pPr>
            <w:r>
              <w:rPr>
                <w:b/>
              </w:rPr>
              <w:t xml:space="preserve">Layer Filled</w:t>
            </w:r>
          </w:p>
        </w:tc>
        <w:tc>
          <w:tcPr/>
          <w:p>
            <w:pPr>
              <w:pStyle w:val="Compact"/>
              <w:jc w:val="left"/>
            </w:pPr>
            <w:r>
              <w:rPr>
                <w:b/>
              </w:rPr>
              <w:t xml:space="preserve">Access</w:t>
            </w:r>
          </w:p>
        </w:tc>
      </w:tr>
      <w:tr>
        <w:trPr>
          <w:cantSplit/>
        </w:trPr>
        <w:tc>
          <w:tcPr/>
          <w:p>
            <w:pPr>
              <w:pStyle w:val="Compact"/>
              <w:jc w:val="left"/>
            </w:pPr>
            <w:r>
              <w:t xml:space="preserve">OpenStreetMap extract for the Bicol Region (OpenStreetMap contributors, 2026)</w:t>
            </w:r>
          </w:p>
        </w:tc>
        <w:tc>
          <w:tcPr/>
          <w:p>
            <w:pPr>
              <w:pStyle w:val="Compact"/>
              <w:jc w:val="left"/>
            </w:pPr>
            <w:r>
              <w:t xml:space="preserve">OpenStreetMap Foundation</w:t>
            </w:r>
          </w:p>
        </w:tc>
        <w:tc>
          <w:tcPr/>
          <w:p>
            <w:pPr>
              <w:pStyle w:val="Compact"/>
              <w:jc w:val="left"/>
            </w:pPr>
            <w:r>
              <w:t xml:space="preserve">Road and walking graphs, road attributes, junction anchors</w:t>
            </w:r>
          </w:p>
        </w:tc>
        <w:tc>
          <w:tcPr/>
          <w:p>
            <w:pPr>
              <w:pStyle w:val="Compact"/>
              <w:jc w:val="left"/>
            </w:pPr>
            <w:r>
              <w:t xml:space="preserve">Open Database License</w:t>
            </w:r>
          </w:p>
        </w:tc>
      </w:tr>
      <w:tr>
        <w:trPr>
          <w:cantSplit/>
        </w:trPr>
        <w:tc>
          <w:tcPr/>
          <w:p>
            <w:pPr>
              <w:pStyle w:val="Compact"/>
              <w:jc w:val="left"/>
            </w:pPr>
            <w:r>
              <w:t xml:space="preserve">2020 Census of Population and Housing (PSA, 2021)</w:t>
            </w:r>
          </w:p>
        </w:tc>
        <w:tc>
          <w:tcPr/>
          <w:p>
            <w:pPr>
              <w:pStyle w:val="Compact"/>
              <w:jc w:val="left"/>
            </w:pPr>
            <w:r>
              <w:t xml:space="preserve">Philippine Statistics Authority</w:t>
            </w:r>
          </w:p>
        </w:tc>
        <w:tc>
          <w:tcPr/>
          <w:p>
            <w:pPr>
              <w:pStyle w:val="Compact"/>
              <w:jc w:val="left"/>
            </w:pPr>
            <w:r>
              <w:t xml:space="preserve">Barangay populations behind the anchor weights</w:t>
            </w:r>
          </w:p>
        </w:tc>
        <w:tc>
          <w:tcPr/>
          <w:p>
            <w:pPr>
              <w:pStyle w:val="Compact"/>
              <w:jc w:val="left"/>
            </w:pPr>
            <w:r>
              <w:t xml:space="preserve">Public release</w:t>
            </w:r>
          </w:p>
        </w:tc>
      </w:tr>
      <w:tr>
        <w:trPr>
          <w:cantSplit/>
        </w:trPr>
        <w:tc>
          <w:tcPr/>
          <w:p>
            <w:pPr>
              <w:pStyle w:val="Compact"/>
              <w:jc w:val="left"/>
            </w:pPr>
            <w:r>
              <w:t xml:space="preserve">Philippine Standard Geographic Code (PSA, n.d.)</w:t>
            </w:r>
          </w:p>
        </w:tc>
        <w:tc>
          <w:tcPr/>
          <w:p>
            <w:pPr>
              <w:pStyle w:val="Compact"/>
              <w:jc w:val="left"/>
            </w:pPr>
            <w:r>
              <w:t xml:space="preserve">Philippine Statistics Authority</w:t>
            </w:r>
          </w:p>
        </w:tc>
        <w:tc>
          <w:tcPr/>
          <w:p>
            <w:pPr>
              <w:pStyle w:val="Compact"/>
              <w:jc w:val="left"/>
            </w:pPr>
            <w:r>
              <w:t xml:space="preserve">LGU and barangay codes; barangay count</w:t>
            </w:r>
          </w:p>
        </w:tc>
        <w:tc>
          <w:tcPr/>
          <w:p>
            <w:pPr>
              <w:pStyle w:val="Compact"/>
              <w:jc w:val="left"/>
            </w:pPr>
            <w:r>
              <w:t xml:space="preserve">Public web service</w:t>
            </w:r>
          </w:p>
        </w:tc>
      </w:tr>
      <w:tr>
        <w:trPr>
          <w:cantSplit/>
        </w:trPr>
        <w:tc>
          <w:tcPr/>
          <w:p>
            <w:pPr>
              <w:pStyle w:val="Compact"/>
              <w:jc w:val="left"/>
            </w:pPr>
            <w:r>
              <w:t xml:space="preserve">Land areas of LGUs (PhilAtlas, n.d.)</w:t>
            </w:r>
          </w:p>
        </w:tc>
        <w:tc>
          <w:tcPr/>
          <w:p>
            <w:pPr>
              <w:pStyle w:val="Compact"/>
              <w:jc w:val="left"/>
            </w:pPr>
            <w:r>
              <w:t xml:space="preserve">PhilAtlas, from PSA figures</w:t>
            </w:r>
          </w:p>
        </w:tc>
        <w:tc>
          <w:tcPr/>
          <w:p>
            <w:pPr>
              <w:pStyle w:val="Compact"/>
              <w:jc w:val="left"/>
            </w:pPr>
            <w:r>
              <w:t xml:space="preserve">Land area in Table 3</w:t>
            </w:r>
          </w:p>
        </w:tc>
        <w:tc>
          <w:tcPr/>
          <w:p>
            <w:pPr>
              <w:pStyle w:val="Compact"/>
              <w:jc w:val="left"/>
            </w:pPr>
            <w:r>
              <w:t xml:space="preserve">Public web page</w:t>
            </w:r>
          </w:p>
        </w:tc>
      </w:tr>
      <w:tr>
        <w:trPr>
          <w:cantSplit/>
        </w:trPr>
        <w:tc>
          <w:tcPr/>
          <w:p>
            <w:pPr>
              <w:pStyle w:val="Compact"/>
              <w:jc w:val="left"/>
            </w:pPr>
            <w:r>
              <w:t xml:space="preserve">National Health Facility Registry (DOH, n.d.-b)</w:t>
            </w:r>
          </w:p>
        </w:tc>
        <w:tc>
          <w:tcPr/>
          <w:p>
            <w:pPr>
              <w:pStyle w:val="Compact"/>
              <w:jc w:val="left"/>
            </w:pPr>
            <w:r>
              <w:t xml:space="preserve">Department of Health</w:t>
            </w:r>
          </w:p>
        </w:tc>
        <w:tc>
          <w:tcPr/>
          <w:p>
            <w:pPr>
              <w:pStyle w:val="Compact"/>
              <w:jc w:val="left"/>
            </w:pPr>
            <w:r>
              <w:t xml:space="preserve">Hospitals, infirmaries, and rural health units, with ownership and authorized beds</w:t>
            </w:r>
          </w:p>
        </w:tc>
        <w:tc>
          <w:tcPr/>
          <w:p>
            <w:pPr>
              <w:pStyle w:val="Compact"/>
              <w:jc w:val="left"/>
            </w:pPr>
            <w:r>
              <w:t xml:space="preserve">Public directory</w:t>
            </w:r>
          </w:p>
        </w:tc>
      </w:tr>
      <w:tr>
        <w:trPr>
          <w:cantSplit/>
        </w:trPr>
        <w:tc>
          <w:tcPr/>
          <w:p>
            <w:pPr>
              <w:pStyle w:val="Compact"/>
              <w:jc w:val="left"/>
            </w:pPr>
            <w:r>
              <w:t xml:space="preserve">Hospital licensing records under the DOH (2012) classification</w:t>
            </w:r>
          </w:p>
        </w:tc>
        <w:tc>
          <w:tcPr/>
          <w:p>
            <w:pPr>
              <w:pStyle w:val="Compact"/>
              <w:jc w:val="left"/>
            </w:pPr>
            <w:r>
              <w:t xml:space="preserve">Health Facilities and Services Regulatory Bureau, Department of Health</w:t>
            </w:r>
          </w:p>
        </w:tc>
        <w:tc>
          <w:tcPr/>
          <w:p>
            <w:pPr>
              <w:pStyle w:val="Compact"/>
              <w:jc w:val="left"/>
            </w:pPr>
            <w:r>
              <w:t xml:space="preserve">Service level η</w:t>
            </w:r>
            <w:r>
              <w:rPr>
                <w:iCs/>
                <w:i/>
                <w:vertAlign w:val="subscript"/>
              </w:rPr>
              <w:t xml:space="preserve">h</w:t>
            </w:r>
            <w:r>
              <w:t xml:space="preserve">, emergency-room flag</w:t>
            </w:r>
            <w:r>
              <w:t xml:space="preserve"> </w:t>
            </w:r>
            <w:r>
              <w:rPr>
                <w:iCs/>
                <w:i/>
              </w:rPr>
              <w:t xml:space="preserve">e</w:t>
            </w:r>
            <w:r>
              <w:rPr>
                <w:iCs/>
                <w:i/>
                <w:vertAlign w:val="subscript"/>
              </w:rPr>
              <w:t xml:space="preserve">h</w:t>
            </w:r>
            <w:r>
              <w:t xml:space="preserve">, and register entries</w:t>
            </w:r>
            <w:r>
              <w:t xml:space="preserve"> </w:t>
            </w:r>
            <w:r>
              <w:rPr>
                <w:iCs/>
                <w:i/>
              </w:rPr>
              <w:t xml:space="preserve">X</w:t>
            </w:r>
            <w:r>
              <w:rPr>
                <w:vertAlign w:val="superscript"/>
              </w:rPr>
              <w:t xml:space="preserve">+</w:t>
            </w:r>
            <w:r>
              <w:rPr>
                <w:iCs/>
                <w:i/>
                <w:vertAlign w:val="subscript"/>
              </w:rPr>
              <w:t xml:space="preserve">h</w:t>
            </w:r>
            <w:r>
              <w:t xml:space="preserve">,</w:t>
            </w:r>
            <w:r>
              <w:t xml:space="preserve"> </w:t>
            </w:r>
            <w:r>
              <w:rPr>
                <w:iCs/>
                <w:i/>
              </w:rPr>
              <w:t xml:space="preserve">X</w:t>
            </w:r>
            <w:r>
              <w:rPr>
                <w:vertAlign w:val="superscript"/>
              </w:rPr>
              <w:t xml:space="preserve">−</w:t>
            </w:r>
            <w:r>
              <w:rPr>
                <w:iCs/>
                <w:i/>
                <w:vertAlign w:val="subscript"/>
              </w:rPr>
              <w:t xml:space="preserve">h</w:t>
            </w:r>
            <w:r>
              <w:t xml:space="preserve"> </w:t>
            </w:r>
            <w:r>
              <w:t xml:space="preserve">for the service set (Equation 12)</w:t>
            </w:r>
          </w:p>
        </w:tc>
        <w:tc>
          <w:tcPr/>
          <w:p>
            <w:pPr>
              <w:pStyle w:val="Compact"/>
              <w:jc w:val="left"/>
            </w:pPr>
            <w:r>
              <w:t xml:space="preserve">Public listing</w:t>
            </w:r>
          </w:p>
        </w:tc>
      </w:tr>
      <w:tr>
        <w:trPr>
          <w:cantSplit/>
        </w:trPr>
        <w:tc>
          <w:tcPr/>
          <w:p>
            <w:pPr>
              <w:pStyle w:val="Compact"/>
              <w:jc w:val="left"/>
            </w:pPr>
            <w:r>
              <w:t xml:space="preserve">List of accredited hospitals and infirmaries (Philippine Health Insurance Corporation, 2026)</w:t>
            </w:r>
          </w:p>
        </w:tc>
        <w:tc>
          <w:tcPr/>
          <w:p>
            <w:pPr>
              <w:pStyle w:val="Compact"/>
              <w:jc w:val="left"/>
            </w:pPr>
            <w:r>
              <w:t xml:space="preserve">Philippine Health Insurance Corporation</w:t>
            </w:r>
          </w:p>
        </w:tc>
        <w:tc>
          <w:tcPr/>
          <w:p>
            <w:pPr>
              <w:pStyle w:val="Compact"/>
              <w:jc w:val="left"/>
            </w:pPr>
            <w:r>
              <w:t xml:space="preserve">Accreditation flag for the cost class</w:t>
            </w:r>
            <w:r>
              <w:t xml:space="preserve"> </w:t>
            </w:r>
            <w:r>
              <w:rPr>
                <w:iCs/>
                <w:i/>
              </w:rPr>
              <w:t xml:space="preserve">q</w:t>
            </w:r>
            <w:r>
              <w:rPr>
                <w:iCs/>
                <w:i/>
                <w:vertAlign w:val="subscript"/>
              </w:rPr>
              <w:t xml:space="preserve">h</w:t>
            </w:r>
          </w:p>
        </w:tc>
        <w:tc>
          <w:tcPr/>
          <w:p>
            <w:pPr>
              <w:pStyle w:val="Compact"/>
              <w:jc w:val="left"/>
            </w:pPr>
            <w:r>
              <w:t xml:space="preserve">Public listing</w:t>
            </w:r>
          </w:p>
        </w:tc>
      </w:tr>
      <w:tr>
        <w:trPr>
          <w:cantSplit/>
        </w:trPr>
        <w:tc>
          <w:tcPr/>
          <w:p>
            <w:pPr>
              <w:pStyle w:val="Compact"/>
              <w:jc w:val="left"/>
            </w:pPr>
            <w:r>
              <w:t xml:space="preserve">Malasakit Center directory (DOH, n.d.-a)</w:t>
            </w:r>
          </w:p>
        </w:tc>
        <w:tc>
          <w:tcPr/>
          <w:p>
            <w:pPr>
              <w:pStyle w:val="Compact"/>
              <w:jc w:val="left"/>
            </w:pPr>
            <w:r>
              <w:t xml:space="preserve">Department of Health</w:t>
            </w:r>
          </w:p>
        </w:tc>
        <w:tc>
          <w:tcPr/>
          <w:p>
            <w:pPr>
              <w:pStyle w:val="Compact"/>
              <w:jc w:val="left"/>
            </w:pPr>
            <w:r>
              <w:t xml:space="preserve">Malasakit flag for the cost class</w:t>
            </w:r>
            <w:r>
              <w:t xml:space="preserve"> </w:t>
            </w:r>
            <w:r>
              <w:rPr>
                <w:iCs/>
                <w:i/>
              </w:rPr>
              <w:t xml:space="preserve">q</w:t>
            </w:r>
            <w:r>
              <w:rPr>
                <w:iCs/>
                <w:i/>
                <w:vertAlign w:val="subscript"/>
              </w:rPr>
              <w:t xml:space="preserve">h</w:t>
            </w:r>
          </w:p>
        </w:tc>
        <w:tc>
          <w:tcPr/>
          <w:p>
            <w:pPr>
              <w:pStyle w:val="Compact"/>
              <w:jc w:val="left"/>
            </w:pPr>
            <w:r>
              <w:t xml:space="preserve">Public listing</w:t>
            </w:r>
          </w:p>
        </w:tc>
      </w:tr>
      <w:tr>
        <w:trPr>
          <w:cantSplit/>
        </w:trPr>
        <w:tc>
          <w:tcPr/>
          <w:p>
            <w:pPr>
              <w:pStyle w:val="Compact"/>
              <w:jc w:val="left"/>
            </w:pPr>
            <w:r>
              <w:t xml:space="preserve">Port listings (Philippine Ports Authority, n.d.)</w:t>
            </w:r>
          </w:p>
        </w:tc>
        <w:tc>
          <w:tcPr/>
          <w:p>
            <w:pPr>
              <w:pStyle w:val="Compact"/>
              <w:jc w:val="left"/>
            </w:pPr>
            <w:r>
              <w:t xml:space="preserve">Philippine Ports Authority</w:t>
            </w:r>
          </w:p>
        </w:tc>
        <w:tc>
          <w:tcPr/>
          <w:p>
            <w:pPr>
              <w:pStyle w:val="Compact"/>
              <w:jc w:val="left"/>
            </w:pPr>
            <w:r>
              <w:t xml:space="preserve">Ports and piers used as anchors</w:t>
            </w:r>
          </w:p>
        </w:tc>
        <w:tc>
          <w:tcPr/>
          <w:p>
            <w:pPr>
              <w:pStyle w:val="Compact"/>
              <w:jc w:val="left"/>
            </w:pPr>
            <w:r>
              <w:t xml:space="preserve">Public listing</w:t>
            </w:r>
          </w:p>
        </w:tc>
      </w:tr>
      <w:tr>
        <w:trPr>
          <w:cantSplit/>
        </w:trPr>
        <w:tc>
          <w:tcPr/>
          <w:p>
            <w:pPr>
              <w:pStyle w:val="Compact"/>
              <w:jc w:val="left"/>
            </w:pPr>
            <w:r>
              <w:t xml:space="preserve">Contact addresses of facilities</w:t>
            </w:r>
          </w:p>
        </w:tc>
        <w:tc>
          <w:tcPr/>
          <w:p>
            <w:pPr>
              <w:pStyle w:val="Compact"/>
              <w:jc w:val="left"/>
            </w:pPr>
            <w:r>
              <w:t xml:space="preserve">Registry entries and official facility websites</w:t>
            </w:r>
          </w:p>
        </w:tc>
        <w:tc>
          <w:tcPr/>
          <w:p>
            <w:pPr>
              <w:pStyle w:val="Compact"/>
              <w:jc w:val="left"/>
            </w:pPr>
            <w:r>
              <w:t xml:space="preserve">Address</w:t>
            </w:r>
            <w:r>
              <w:t xml:space="preserve"> </w:t>
            </w:r>
            <w:r>
              <w:rPr>
                <w:iCs/>
                <w:i/>
              </w:rPr>
              <w:t xml:space="preserve">m</w:t>
            </w:r>
            <w:r>
              <w:rPr>
                <w:iCs/>
                <w:i/>
                <w:vertAlign w:val="subscript"/>
              </w:rPr>
              <w:t xml:space="preserve">h</w:t>
            </w:r>
            <w:r>
              <w:t xml:space="preserve"> </w:t>
            </w:r>
            <w:r>
              <w:t xml:space="preserve">for the inquiry in Appendix F</w:t>
            </w:r>
          </w:p>
        </w:tc>
        <w:tc>
          <w:tcPr/>
          <w:p>
            <w:pPr>
              <w:pStyle w:val="Compact"/>
              <w:jc w:val="left"/>
            </w:pPr>
            <w:r>
              <w:t xml:space="preserve">Public, per facility</w:t>
            </w:r>
          </w:p>
        </w:tc>
      </w:tr>
      <w:tr>
        <w:trPr>
          <w:cantSplit/>
        </w:trPr>
        <w:tc>
          <w:tcPr/>
          <w:p>
            <w:pPr>
              <w:pStyle w:val="Compact"/>
              <w:jc w:val="left"/>
            </w:pPr>
            <w:r>
              <w:t xml:space="preserve">Masterlist of Schools (Department of Education, 2021)</w:t>
            </w:r>
          </w:p>
        </w:tc>
        <w:tc>
          <w:tcPr/>
          <w:p>
            <w:pPr>
              <w:pStyle w:val="Compact"/>
              <w:jc w:val="left"/>
            </w:pPr>
            <w:r>
              <w:t xml:space="preserve">Department of Education</w:t>
            </w:r>
          </w:p>
        </w:tc>
        <w:tc>
          <w:tcPr/>
          <w:p>
            <w:pPr>
              <w:pStyle w:val="Compact"/>
              <w:jc w:val="left"/>
            </w:pPr>
            <w:r>
              <w:t xml:space="preserve">Public elementary and secondary schools, with classroom counts where available</w:t>
            </w:r>
          </w:p>
        </w:tc>
        <w:tc>
          <w:tcPr/>
          <w:p>
            <w:pPr>
              <w:pStyle w:val="Compact"/>
              <w:jc w:val="left"/>
            </w:pPr>
            <w:r>
              <w:t xml:space="preserve">Public release</w:t>
            </w:r>
          </w:p>
        </w:tc>
      </w:tr>
      <w:tr>
        <w:trPr>
          <w:cantSplit/>
        </w:trPr>
        <w:tc>
          <w:tcPr/>
          <w:p>
            <w:pPr>
              <w:pStyle w:val="Compact"/>
              <w:jc w:val="left"/>
            </w:pPr>
            <w:r>
              <w:t xml:space="preserve">Fare adjustment effective September 28, 2026 (Daguno-Bersamina, 2026; Nieto, 2026)</w:t>
            </w:r>
          </w:p>
        </w:tc>
        <w:tc>
          <w:tcPr/>
          <w:p>
            <w:pPr>
              <w:pStyle w:val="Compact"/>
              <w:jc w:val="left"/>
            </w:pPr>
            <w:r>
              <w:t xml:space="preserve">Land Transportation Franchising and Regulatory Board</w:t>
            </w:r>
          </w:p>
        </w:tc>
        <w:tc>
          <w:tcPr/>
          <w:p>
            <w:pPr>
              <w:pStyle w:val="Compact"/>
              <w:jc w:val="left"/>
            </w:pPr>
            <w:r>
              <w:t xml:space="preserve">Fare parameters of Table 6</w:t>
            </w:r>
          </w:p>
        </w:tc>
        <w:tc>
          <w:tcPr/>
          <w:p>
            <w:pPr>
              <w:pStyle w:val="Compact"/>
              <w:jc w:val="left"/>
            </w:pPr>
            <w:r>
              <w:t xml:space="preserve">Public announcement</w:t>
            </w:r>
          </w:p>
        </w:tc>
      </w:tr>
      <w:tr>
        <w:trPr>
          <w:cantSplit/>
        </w:trPr>
        <w:tc>
          <w:tcPr/>
          <w:p>
            <w:pPr>
              <w:pStyle w:val="Compact"/>
              <w:jc w:val="left"/>
            </w:pPr>
            <w:r>
              <w:t xml:space="preserve">Route-plan annexes of LGUs, where published (DILG, 2018; DOTr, 2017)</w:t>
            </w:r>
          </w:p>
        </w:tc>
        <w:tc>
          <w:tcPr/>
          <w:p>
            <w:pPr>
              <w:pStyle w:val="Compact"/>
              <w:jc w:val="left"/>
            </w:pPr>
            <w:r>
              <w:t xml:space="preserve">Municipal and city planning offices</w:t>
            </w:r>
          </w:p>
        </w:tc>
        <w:tc>
          <w:tcPr/>
          <w:p>
            <w:pPr>
              <w:pStyle w:val="Compact"/>
              <w:jc w:val="left"/>
            </w:pPr>
            <w:r>
              <w:t xml:space="preserve">Terminal anchors and named corridors</w:t>
            </w:r>
          </w:p>
        </w:tc>
        <w:tc>
          <w:tcPr/>
          <w:p>
            <w:pPr>
              <w:pStyle w:val="Compact"/>
              <w:jc w:val="left"/>
            </w:pPr>
            <w:r>
              <w:t xml:space="preserve">Depends on the LGU</w:t>
            </w:r>
          </w:p>
        </w:tc>
      </w:tr>
      <w:tr>
        <w:trPr>
          <w:cantSplit/>
        </w:trPr>
        <w:tc>
          <w:tcPr/>
          <w:p>
            <w:pPr>
              <w:pStyle w:val="Compact"/>
              <w:jc w:val="left"/>
            </w:pPr>
            <w:r>
              <w:t xml:space="preserve">Disaster risk reduction plans of LGUs, where published</w:t>
            </w:r>
          </w:p>
        </w:tc>
        <w:tc>
          <w:tcPr/>
          <w:p>
            <w:pPr>
              <w:pStyle w:val="Compact"/>
              <w:jc w:val="left"/>
            </w:pPr>
            <w:r>
              <w:t xml:space="preserve">Municipal and city DRRM offices</w:t>
            </w:r>
          </w:p>
        </w:tc>
        <w:tc>
          <w:tcPr/>
          <w:p>
            <w:pPr>
              <w:pStyle w:val="Compact"/>
              <w:jc w:val="left"/>
            </w:pPr>
            <w:r>
              <w:t xml:space="preserve">Designated evacuation centers</w:t>
            </w:r>
          </w:p>
        </w:tc>
        <w:tc>
          <w:tcPr/>
          <w:p>
            <w:pPr>
              <w:pStyle w:val="Compact"/>
              <w:jc w:val="left"/>
            </w:pPr>
            <w:r>
              <w:t xml:space="preserve">Depends on the LGU</w:t>
            </w:r>
          </w:p>
        </w:tc>
      </w:tr>
      <w:tr>
        <w:trPr>
          <w:cantSplit/>
        </w:trPr>
        <w:tc>
          <w:tcPr/>
          <w:p>
            <w:pPr>
              <w:pStyle w:val="Compact"/>
              <w:jc w:val="left"/>
            </w:pPr>
            <w:r>
              <w:t xml:space="preserve">Bed-status replies (live operation only)</w:t>
            </w:r>
          </w:p>
        </w:tc>
        <w:tc>
          <w:tcPr/>
          <w:p>
            <w:pPr>
              <w:pStyle w:val="Compact"/>
              <w:jc w:val="left"/>
            </w:pPr>
            <w:r>
              <w:t xml:space="preserve">Each participating hospital</w:t>
            </w:r>
          </w:p>
        </w:tc>
        <w:tc>
          <w:tcPr/>
          <w:p>
            <w:pPr>
              <w:pStyle w:val="Compact"/>
              <w:jc w:val="left"/>
            </w:pPr>
            <w:r>
              <w:t xml:space="preserve">Reported capacity, occupancy, and emergency-room status (Definition 15)</w:t>
            </w:r>
          </w:p>
        </w:tc>
        <w:tc>
          <w:tcPr/>
          <w:p>
            <w:pPr>
              <w:pStyle w:val="Compact"/>
              <w:jc w:val="left"/>
            </w:pPr>
            <w:r>
              <w:t xml:space="preserve">Only with the facility’s consent; none used here</w:t>
            </w:r>
          </w:p>
        </w:tc>
      </w:tr>
    </w:tbl>
    <w:bookmarkEnd w:id="193"/>
    <w:bookmarkStart w:id="194" w:name="appendix-b.-gtfs-files-produced"/>
    <w:p>
      <w:pPr>
        <w:pStyle w:val="Heading1"/>
      </w:pPr>
      <w:r>
        <w:t xml:space="preserve">APPENDIX B. GTFS FILES PRODUCED</w:t>
      </w:r>
    </w:p>
    <w:p>
      <w:pPr>
        <w:pStyle w:val="TableCaption"/>
      </w:pPr>
      <w:r>
        <w:rPr>
          <w:bCs/>
          <w:b/>
        </w:rPr>
        <w:t xml:space="preserve">Table B1.</w:t>
      </w:r>
      <w:r>
        <w:t xml:space="preserve"> </w:t>
      </w:r>
      <w:r>
        <w:t xml:space="preserve">Contents of the feed and of its extension files.</w:t>
      </w:r>
    </w:p>
    <w:tbl>
      <w:tblPr>
        <w:tblStyle w:val="Table"/>
        <w:tblW w:type="pct" w:w="5000"/>
        <w:jc w:val="center"/>
        <w:tblCaption w:val="Table B1. Contents of the feed and of its extension files."/>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2731"/>
        <w:gridCol w:w="5188"/>
      </w:tblGrid>
      <w:tr>
        <w:trPr>
          <w:tblHeader w:val="true"/>
          <w:tblHeader/>
          <w:cantSplit/>
        </w:trPr>
        <w:tc>
          <w:tcPr/>
          <w:p>
            <w:pPr>
              <w:pStyle w:val="Compact"/>
              <w:jc w:val="left"/>
            </w:pPr>
            <w:r>
              <w:rPr>
                <w:b/>
              </w:rPr>
              <w:t xml:space="preserve">File</w:t>
            </w:r>
          </w:p>
        </w:tc>
        <w:tc>
          <w:tcPr/>
          <w:p>
            <w:pPr>
              <w:pStyle w:val="Compact"/>
              <w:jc w:val="left"/>
            </w:pPr>
            <w:r>
              <w:rPr>
                <w:b/>
              </w:rPr>
              <w:t xml:space="preserve">Contents</w:t>
            </w:r>
          </w:p>
        </w:tc>
      </w:tr>
      <w:tr>
        <w:trPr>
          <w:cantSplit/>
        </w:trPr>
        <w:tc>
          <w:tcPr/>
          <w:p>
            <w:pPr>
              <w:pStyle w:val="Compact"/>
              <w:jc w:val="left"/>
            </w:pPr>
            <w:r>
              <w:t xml:space="preserve">agency.txt</w:t>
            </w:r>
          </w:p>
        </w:tc>
        <w:tc>
          <w:tcPr/>
          <w:p>
            <w:pPr>
              <w:pStyle w:val="Compact"/>
              <w:jc w:val="left"/>
            </w:pPr>
            <w:r>
              <w:t xml:space="preserve">Operator or association name, service area, contact details, time zone</w:t>
            </w:r>
          </w:p>
        </w:tc>
      </w:tr>
      <w:tr>
        <w:trPr>
          <w:cantSplit/>
        </w:trPr>
        <w:tc>
          <w:tcPr/>
          <w:p>
            <w:pPr>
              <w:pStyle w:val="Compact"/>
              <w:jc w:val="left"/>
            </w:pPr>
            <w:r>
              <w:t xml:space="preserve">routes.txt</w:t>
            </w:r>
          </w:p>
        </w:tc>
        <w:tc>
          <w:tcPr/>
          <w:p>
            <w:pPr>
              <w:pStyle w:val="Compact"/>
              <w:jc w:val="left"/>
            </w:pPr>
            <w:r>
              <w:t xml:space="preserve">Route ID, short and long names, mode</w:t>
            </w:r>
          </w:p>
        </w:tc>
      </w:tr>
      <w:tr>
        <w:trPr>
          <w:cantSplit/>
        </w:trPr>
        <w:tc>
          <w:tcPr/>
          <w:p>
            <w:pPr>
              <w:pStyle w:val="Compact"/>
              <w:jc w:val="left"/>
            </w:pPr>
            <w:r>
              <w:t xml:space="preserve">trips.txt</w:t>
            </w:r>
          </w:p>
        </w:tc>
        <w:tc>
          <w:tcPr/>
          <w:p>
            <w:pPr>
              <w:pStyle w:val="Compact"/>
              <w:jc w:val="left"/>
            </w:pPr>
            <w:r>
              <w:t xml:space="preserve">A record for each modeled vehicle run</w:t>
            </w:r>
          </w:p>
        </w:tc>
      </w:tr>
      <w:tr>
        <w:trPr>
          <w:cantSplit/>
        </w:trPr>
        <w:tc>
          <w:tcPr/>
          <w:p>
            <w:pPr>
              <w:pStyle w:val="Compact"/>
              <w:jc w:val="left"/>
            </w:pPr>
            <w:r>
              <w:t xml:space="preserve">stops.txt</w:t>
            </w:r>
          </w:p>
        </w:tc>
        <w:tc>
          <w:tcPr/>
          <w:p>
            <w:pPr>
              <w:pStyle w:val="Compact"/>
              <w:jc w:val="left"/>
            </w:pPr>
            <w:r>
              <w:t xml:space="preserve">Boarding points inferred by the model, with names and coordinates</w:t>
            </w:r>
          </w:p>
        </w:tc>
      </w:tr>
      <w:tr>
        <w:trPr>
          <w:cantSplit/>
        </w:trPr>
        <w:tc>
          <w:tcPr/>
          <w:p>
            <w:pPr>
              <w:pStyle w:val="Compact"/>
              <w:jc w:val="left"/>
            </w:pPr>
            <w:r>
              <w:t xml:space="preserve">stop_times.txt</w:t>
            </w:r>
          </w:p>
        </w:tc>
        <w:tc>
          <w:tcPr/>
          <w:p>
            <w:pPr>
              <w:pStyle w:val="Compact"/>
              <w:jc w:val="left"/>
            </w:pPr>
            <w:r>
              <w:t xml:space="preserve">Arrival and departure time at each stop of each trip</w:t>
            </w:r>
          </w:p>
        </w:tc>
      </w:tr>
      <w:tr>
        <w:trPr>
          <w:cantSplit/>
        </w:trPr>
        <w:tc>
          <w:tcPr/>
          <w:p>
            <w:pPr>
              <w:pStyle w:val="Compact"/>
              <w:jc w:val="left"/>
            </w:pPr>
            <w:r>
              <w:t xml:space="preserve">calendar.txt</w:t>
            </w:r>
          </w:p>
        </w:tc>
        <w:tc>
          <w:tcPr/>
          <w:p>
            <w:pPr>
              <w:pStyle w:val="Compact"/>
              <w:jc w:val="left"/>
            </w:pPr>
            <w:r>
              <w:t xml:space="preserve">Service days, with weekday and Saturday patterns kept apart</w:t>
            </w:r>
          </w:p>
        </w:tc>
      </w:tr>
      <w:tr>
        <w:trPr>
          <w:cantSplit/>
        </w:trPr>
        <w:tc>
          <w:tcPr/>
          <w:p>
            <w:pPr>
              <w:pStyle w:val="Compact"/>
              <w:jc w:val="left"/>
            </w:pPr>
            <w:r>
              <w:t xml:space="preserve">shapes.txt</w:t>
            </w:r>
          </w:p>
        </w:tc>
        <w:tc>
          <w:tcPr/>
          <w:p>
            <w:pPr>
              <w:pStyle w:val="Compact"/>
              <w:jc w:val="left"/>
            </w:pPr>
            <w:r>
              <w:t xml:space="preserve">Generated route geometry</w:t>
            </w:r>
          </w:p>
        </w:tc>
      </w:tr>
      <w:tr>
        <w:trPr>
          <w:cantSplit/>
        </w:trPr>
        <w:tc>
          <w:tcPr/>
          <w:p>
            <w:pPr>
              <w:pStyle w:val="Compact"/>
              <w:jc w:val="left"/>
            </w:pPr>
            <w:r>
              <w:t xml:space="preserve">frequencies.txt</w:t>
            </w:r>
          </w:p>
        </w:tc>
        <w:tc>
          <w:tcPr/>
          <w:p>
            <w:pPr>
              <w:pStyle w:val="Compact"/>
              <w:jc w:val="left"/>
            </w:pPr>
            <w:r>
              <w:t xml:space="preserve">Headway-defined service wherever departure times are not fixed</w:t>
            </w:r>
          </w:p>
        </w:tc>
      </w:tr>
      <w:tr>
        <w:trPr>
          <w:cantSplit/>
        </w:trPr>
        <w:tc>
          <w:tcPr/>
          <w:p>
            <w:pPr>
              <w:pStyle w:val="Compact"/>
              <w:jc w:val="left"/>
            </w:pPr>
            <w:r>
              <w:t xml:space="preserve">fare_attributes.txt</w:t>
            </w:r>
          </w:p>
        </w:tc>
        <w:tc>
          <w:tcPr/>
          <w:p>
            <w:pPr>
              <w:pStyle w:val="Compact"/>
              <w:jc w:val="left"/>
            </w:pPr>
            <w:r>
              <w:t xml:space="preserve">Per mode: base fare, base distance, and rate per succeeding kilometer</w:t>
            </w:r>
          </w:p>
        </w:tc>
      </w:tr>
      <w:tr>
        <w:trPr>
          <w:cantSplit/>
        </w:trPr>
        <w:tc>
          <w:tcPr/>
          <w:p>
            <w:pPr>
              <w:pStyle w:val="Compact"/>
              <w:jc w:val="left"/>
            </w:pPr>
            <w:r>
              <w:t xml:space="preserve">fare_rules.txt</w:t>
            </w:r>
          </w:p>
        </w:tc>
        <w:tc>
          <w:tcPr/>
          <w:p>
            <w:pPr>
              <w:pStyle w:val="Compact"/>
              <w:jc w:val="left"/>
            </w:pPr>
            <w:r>
              <w:t xml:space="preserve">How fares attach to routes and zones</w:t>
            </w:r>
          </w:p>
        </w:tc>
      </w:tr>
      <w:tr>
        <w:trPr>
          <w:cantSplit/>
        </w:trPr>
        <w:tc>
          <w:tcPr/>
          <w:p>
            <w:pPr>
              <w:pStyle w:val="Compact"/>
              <w:jc w:val="left"/>
            </w:pPr>
            <w:r>
              <w:t xml:space="preserve">landmarks.txt (extension)</w:t>
            </w:r>
          </w:p>
        </w:tc>
        <w:tc>
          <w:tcPr/>
          <w:p>
            <w:pPr>
              <w:pStyle w:val="Compact"/>
              <w:jc w:val="left"/>
            </w:pPr>
            <w:r>
              <w:t xml:space="preserve">Anchor and destination inventory, with class, source register, and size</w:t>
            </w:r>
            <w:r>
              <w:t xml:space="preserve"> </w:t>
            </w:r>
            <w:r>
              <w:rPr>
                <w:iCs/>
                <w:i/>
              </w:rPr>
              <w:t xml:space="preserve">w</w:t>
            </w:r>
            <w:r>
              <w:rPr>
                <w:iCs/>
                <w:i/>
                <w:vertAlign w:val="subscript"/>
              </w:rPr>
              <w:t xml:space="preserve">p</w:t>
            </w:r>
          </w:p>
        </w:tc>
      </w:tr>
      <w:tr>
        <w:trPr>
          <w:cantSplit/>
        </w:trPr>
        <w:tc>
          <w:tcPr/>
          <w:p>
            <w:pPr>
              <w:pStyle w:val="Compact"/>
              <w:jc w:val="left"/>
            </w:pPr>
            <w:r>
              <w:t xml:space="preserve">hospitals.txt (extension)</w:t>
            </w:r>
          </w:p>
        </w:tc>
        <w:tc>
          <w:tcPr/>
          <w:p>
            <w:pPr>
              <w:pStyle w:val="Compact"/>
              <w:jc w:val="left"/>
            </w:pPr>
            <w:r>
              <w:t xml:space="preserve">Hospital records of Definition 13: service level, service set, emergency-room flag, ownership, PhilHealth and Malasakit flags, cost class, and contact address</w:t>
            </w:r>
          </w:p>
        </w:tc>
      </w:tr>
      <w:tr>
        <w:trPr>
          <w:cantSplit/>
        </w:trPr>
        <w:tc>
          <w:tcPr/>
          <w:p>
            <w:pPr>
              <w:pStyle w:val="Compact"/>
              <w:jc w:val="left"/>
            </w:pPr>
            <w:r>
              <w:t xml:space="preserve">bed_status.txt (extension, live operation only)</w:t>
            </w:r>
          </w:p>
        </w:tc>
        <w:tc>
          <w:tcPr/>
          <w:p>
            <w:pPr>
              <w:pStyle w:val="Compact"/>
              <w:jc w:val="left"/>
            </w:pPr>
            <w:r>
              <w:t xml:space="preserve">Latest validated report of each hospital: time stamp, reported capacity and occupancy, emergency-room status, free beds, and status. It is served by the Status agent and is never part of the published feed.</w:t>
            </w:r>
          </w:p>
        </w:tc>
      </w:tr>
    </w:tbl>
    <w:bookmarkEnd w:id="194"/>
    <w:bookmarkStart w:id="195" w:name="X994965ca7cdc539cd0e4c89ea885cc6c2a90d7f"/>
    <w:p>
      <w:pPr>
        <w:pStyle w:val="Heading1"/>
      </w:pPr>
      <w:r>
        <w:t xml:space="preserve">APPENDIX C. RULES FOR INCLUDING LANDMARKS AND THE INVENTORY SCHEMA</w:t>
      </w:r>
    </w:p>
    <w:p>
      <w:pPr>
        <w:pStyle w:val="FirstParagraph"/>
      </w:pPr>
      <w:r>
        <w:t xml:space="preserve">The criteria below were settled before the first landmark was listed. Since the anchor set is a modeling choice, a choice made after seeing the results could not be checked by any reader (Limitation L6).</w:t>
      </w:r>
    </w:p>
    <w:p>
      <w:pPr>
        <w:pStyle w:val="BodyText"/>
      </w:pPr>
      <w:r>
        <w:rPr>
          <w:bCs/>
          <w:b/>
        </w:rPr>
        <w:t xml:space="preserve">Inclusion criteria.</w:t>
      </w:r>
      <w:r>
        <w:t xml:space="preserve"> </w:t>
      </w:r>
      <w:r>
        <w:t xml:space="preserve">To enter the landmark set, a place must meet all four conditions.</w:t>
      </w:r>
    </w:p>
    <w:p>
      <w:pPr>
        <w:numPr>
          <w:ilvl w:val="0"/>
          <w:numId w:val="1011"/>
        </w:numPr>
        <w:pStyle w:val="BodyText"/>
        <w:spacing w:after="80"/>
      </w:pPr>
      <w:r>
        <w:t xml:space="preserve">At least one register in Table 4 lists it, under a name familiar to residents.</w:t>
      </w:r>
    </w:p>
    <w:p>
      <w:pPr>
        <w:numPr>
          <w:ilvl w:val="0"/>
          <w:numId w:val="1011"/>
        </w:numPr>
        <w:pStyle w:val="BodyText"/>
        <w:spacing w:after="80"/>
      </w:pPr>
      <w:r>
        <w:t xml:space="preserve">Its published coordinate lies no more than 150 m from a road-network node, so that its entrance node can be assigned mechanically.</w:t>
      </w:r>
    </w:p>
    <w:p>
      <w:pPr>
        <w:numPr>
          <w:ilvl w:val="0"/>
          <w:numId w:val="1011"/>
        </w:numPr>
        <w:pStyle w:val="BodyText"/>
        <w:spacing w:after="80"/>
      </w:pPr>
      <w:r>
        <w:t xml:space="preserve">It is operating now. Facilities that their registers mark as closed, proposed, or under construction are left out.</w:t>
      </w:r>
    </w:p>
    <w:p>
      <w:pPr>
        <w:numPr>
          <w:ilvl w:val="0"/>
          <w:numId w:val="1011"/>
        </w:numPr>
        <w:pStyle w:val="BodyText"/>
        <w:spacing w:after="80"/>
      </w:pPr>
      <w:r>
        <w:t xml:space="preserve">Destinations need a size. The register supplies</w:t>
      </w:r>
      <w:r>
        <w:t xml:space="preserve"> </w:t>
      </w:r>
      <w:r>
        <w:rPr>
          <w:iCs/>
          <w:i/>
        </w:rPr>
        <w:t xml:space="preserve">w</w:t>
      </w:r>
      <w:r>
        <w:rPr>
          <w:iCs/>
          <w:i/>
          <w:vertAlign w:val="subscript"/>
        </w:rPr>
        <w:t xml:space="preserve">p</w:t>
      </w:r>
      <w:r>
        <w:t xml:space="preserve">, or else</w:t>
      </w:r>
      <w:r>
        <w:t xml:space="preserve"> </w:t>
      </w:r>
      <w:r>
        <w:rPr>
          <w:iCs/>
          <w:i/>
        </w:rPr>
        <w:t xml:space="preserve">w</w:t>
      </w:r>
      <w:r>
        <w:rPr>
          <w:iCs/>
          <w:i/>
          <w:vertAlign w:val="subscript"/>
        </w:rPr>
        <w:t xml:space="preserve">p</w:t>
      </w:r>
      <w:r>
        <w:t xml:space="preserve"> </w:t>
      </w:r>
      <w:r>
        <w:t xml:space="preserve">= 1 and the destination is simply counted; one category never mixes counted and sized destinations.</w:t>
      </w:r>
    </w:p>
    <w:p>
      <w:pPr>
        <w:pStyle w:val="FirstParagraph"/>
      </w:pPr>
      <w:r>
        <w:rPr>
          <w:bCs/>
          <w:b/>
        </w:rPr>
        <w:t xml:space="preserve">Exclusion and merging rules.</w:t>
      </w:r>
      <w:r>
        <w:t xml:space="preserve"> </w:t>
      </w:r>
      <w:r>
        <w:t xml:space="preserve">Private schools go into a separate layer, since the atlas concerns the capacity the government provides. Private hospitals also go into that separate layer for the atlas, but hospital mode reads it as well, because patients who can afford private care, and all emergency patients, may be sent to private hospitals. Records of one place found in several registers are merged when their coordinates lie within 50 m of each other and their names are alike, and each merge is logged. A landmark that fails the second criterion is flagged and left out; it is never moved to make it pass.</w:t>
      </w:r>
    </w:p>
    <w:p>
      <w:pPr>
        <w:pStyle w:val="TableCaption"/>
      </w:pPr>
      <w:r>
        <w:rPr>
          <w:bCs/>
          <w:b/>
        </w:rPr>
        <w:t xml:space="preserve">Table C1.</w:t>
      </w:r>
      <w:r>
        <w:t xml:space="preserve"> </w:t>
      </w:r>
      <w:r>
        <w:t xml:space="preserve">Fields of the landmark inventory, with the extra fields kept for hospitals.</w:t>
      </w:r>
    </w:p>
    <w:tbl>
      <w:tblPr>
        <w:tblStyle w:val="Table"/>
        <w:tblW w:type="pct" w:w="5000"/>
        <w:jc w:val="center"/>
        <w:tblCaption w:val="Table C1. Fields of the landmark inventory, with the extra fields kept for hospitals."/>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2244"/>
        <w:gridCol w:w="1188"/>
        <w:gridCol w:w="4488"/>
      </w:tblGrid>
      <w:tr>
        <w:trPr>
          <w:tblHeader w:val="true"/>
          <w:tblHeader/>
          <w:cantSplit/>
        </w:trPr>
        <w:tc>
          <w:tcPr/>
          <w:p>
            <w:pPr>
              <w:pStyle w:val="Compact"/>
              <w:jc w:val="left"/>
            </w:pPr>
            <w:r>
              <w:rPr>
                <w:b/>
              </w:rPr>
              <w:t xml:space="preserve">Field</w:t>
            </w:r>
          </w:p>
        </w:tc>
        <w:tc>
          <w:tcPr/>
          <w:p>
            <w:pPr>
              <w:pStyle w:val="Compact"/>
              <w:jc w:val="left"/>
            </w:pPr>
            <w:r>
              <w:rPr>
                <w:b/>
              </w:rPr>
              <w:t xml:space="preserve">Type</w:t>
            </w:r>
          </w:p>
        </w:tc>
        <w:tc>
          <w:tcPr/>
          <w:p>
            <w:pPr>
              <w:pStyle w:val="Compact"/>
              <w:jc w:val="left"/>
            </w:pPr>
            <w:r>
              <w:rPr>
                <w:b/>
              </w:rPr>
              <w:t xml:space="preserve">Description</w:t>
            </w:r>
          </w:p>
        </w:tc>
      </w:tr>
      <w:tr>
        <w:trPr>
          <w:cantSplit/>
        </w:trPr>
        <w:tc>
          <w:tcPr/>
          <w:p>
            <w:pPr>
              <w:pStyle w:val="Compact"/>
              <w:jc w:val="left"/>
            </w:pPr>
            <w:r>
              <w:t xml:space="preserve">landmark_id</w:t>
            </w:r>
          </w:p>
        </w:tc>
        <w:tc>
          <w:tcPr/>
          <w:p>
            <w:pPr>
              <w:pStyle w:val="Compact"/>
              <w:jc w:val="left"/>
            </w:pPr>
            <w:r>
              <w:t xml:space="preserve">string</w:t>
            </w:r>
          </w:p>
        </w:tc>
        <w:tc>
          <w:tcPr/>
          <w:p>
            <w:pPr>
              <w:pStyle w:val="Compact"/>
              <w:jc w:val="left"/>
            </w:pPr>
            <w:r>
              <w:t xml:space="preserve">Permanent identifier given by the project</w:t>
            </w:r>
          </w:p>
        </w:tc>
      </w:tr>
      <w:tr>
        <w:trPr>
          <w:cantSplit/>
        </w:trPr>
        <w:tc>
          <w:tcPr/>
          <w:p>
            <w:pPr>
              <w:pStyle w:val="Compact"/>
              <w:jc w:val="left"/>
            </w:pPr>
            <w:r>
              <w:t xml:space="preserve">name</w:t>
            </w:r>
          </w:p>
        </w:tc>
        <w:tc>
          <w:tcPr/>
          <w:p>
            <w:pPr>
              <w:pStyle w:val="Compact"/>
              <w:jc w:val="left"/>
            </w:pPr>
            <w:r>
              <w:t xml:space="preserve">string</w:t>
            </w:r>
          </w:p>
        </w:tc>
        <w:tc>
          <w:tcPr/>
          <w:p>
            <w:pPr>
              <w:pStyle w:val="Compact"/>
              <w:jc w:val="left"/>
            </w:pPr>
            <w:r>
              <w:t xml:space="preserve">Name as written in the source register</w:t>
            </w:r>
          </w:p>
        </w:tc>
      </w:tr>
      <w:tr>
        <w:trPr>
          <w:cantSplit/>
        </w:trPr>
        <w:tc>
          <w:tcPr/>
          <w:p>
            <w:pPr>
              <w:pStyle w:val="Compact"/>
              <w:jc w:val="left"/>
            </w:pPr>
            <w:r>
              <w:t xml:space="preserve">class</w:t>
            </w:r>
          </w:p>
        </w:tc>
        <w:tc>
          <w:tcPr/>
          <w:p>
            <w:pPr>
              <w:pStyle w:val="Compact"/>
              <w:jc w:val="left"/>
            </w:pPr>
            <w:r>
              <w:t xml:space="preserve">enum</w:t>
            </w:r>
          </w:p>
        </w:tc>
        <w:tc>
          <w:tcPr/>
          <w:p>
            <w:pPr>
              <w:pStyle w:val="Compact"/>
              <w:jc w:val="left"/>
            </w:pPr>
            <w:r>
              <w:t xml:space="preserve">A class from Table 4</w:t>
            </w:r>
          </w:p>
        </w:tc>
      </w:tr>
      <w:tr>
        <w:trPr>
          <w:cantSplit/>
        </w:trPr>
        <w:tc>
          <w:tcPr/>
          <w:p>
            <w:pPr>
              <w:pStyle w:val="Compact"/>
              <w:jc w:val="left"/>
            </w:pPr>
            <w:r>
              <w:t xml:space="preserve">role</w:t>
            </w:r>
          </w:p>
        </w:tc>
        <w:tc>
          <w:tcPr/>
          <w:p>
            <w:pPr>
              <w:pStyle w:val="Compact"/>
              <w:jc w:val="left"/>
            </w:pPr>
            <w:r>
              <w:t xml:space="preserve">enum</w:t>
            </w:r>
          </w:p>
        </w:tc>
        <w:tc>
          <w:tcPr/>
          <w:p>
            <w:pPr>
              <w:pStyle w:val="Compact"/>
              <w:jc w:val="left"/>
            </w:pPr>
            <w:r>
              <w:t xml:space="preserve">anchor, destination, or both</w:t>
            </w:r>
          </w:p>
        </w:tc>
      </w:tr>
      <w:tr>
        <w:trPr>
          <w:cantSplit/>
        </w:trPr>
        <w:tc>
          <w:tcPr/>
          <w:p>
            <w:pPr>
              <w:pStyle w:val="Compact"/>
              <w:jc w:val="left"/>
            </w:pPr>
            <w:r>
              <w:t xml:space="preserve">lat, lon</w:t>
            </w:r>
          </w:p>
        </w:tc>
        <w:tc>
          <w:tcPr/>
          <w:p>
            <w:pPr>
              <w:pStyle w:val="Compact"/>
              <w:jc w:val="left"/>
            </w:pPr>
            <w:r>
              <w:t xml:space="preserve">decimal</w:t>
            </w:r>
          </w:p>
        </w:tc>
        <w:tc>
          <w:tcPr/>
          <w:p>
            <w:pPr>
              <w:pStyle w:val="Compact"/>
              <w:jc w:val="left"/>
            </w:pPr>
            <w:r>
              <w:t xml:space="preserve">Coordinate as published (WGS 84)</w:t>
            </w:r>
          </w:p>
        </w:tc>
      </w:tr>
      <w:tr>
        <w:trPr>
          <w:cantSplit/>
        </w:trPr>
        <w:tc>
          <w:tcPr/>
          <w:p>
            <w:pPr>
              <w:pStyle w:val="Compact"/>
              <w:jc w:val="left"/>
            </w:pPr>
            <w:r>
              <w:t xml:space="preserve">entrance_node</w:t>
            </w:r>
          </w:p>
        </w:tc>
        <w:tc>
          <w:tcPr/>
          <w:p>
            <w:pPr>
              <w:pStyle w:val="Compact"/>
              <w:jc w:val="left"/>
            </w:pPr>
            <w:r>
              <w:t xml:space="preserve">integer</w:t>
            </w:r>
          </w:p>
        </w:tc>
        <w:tc>
          <w:tcPr/>
          <w:p>
            <w:pPr>
              <w:pStyle w:val="Compact"/>
              <w:jc w:val="left"/>
            </w:pPr>
            <w:r>
              <w:t xml:space="preserve">Road node serving as</w:t>
            </w:r>
            <w:r>
              <w:t xml:space="preserve"> </w:t>
            </w:r>
            <w:r>
              <w:rPr>
                <w:iCs/>
                <w:i/>
              </w:rPr>
              <w:t xml:space="preserve">o</w:t>
            </w:r>
            <w:r>
              <w:rPr>
                <w:iCs/>
                <w:i/>
                <w:vertAlign w:val="subscript"/>
              </w:rPr>
              <w:t xml:space="preserve">a</w:t>
            </w:r>
            <w:r>
              <w:t xml:space="preserve"> </w:t>
            </w:r>
            <w:r>
              <w:t xml:space="preserve">or as the destination point</w:t>
            </w:r>
          </w:p>
        </w:tc>
      </w:tr>
      <w:tr>
        <w:trPr>
          <w:cantSplit/>
        </w:trPr>
        <w:tc>
          <w:tcPr/>
          <w:p>
            <w:pPr>
              <w:pStyle w:val="Compact"/>
              <w:jc w:val="left"/>
            </w:pPr>
            <w:r>
              <w:t xml:space="preserve">snap_distance_m</w:t>
            </w:r>
          </w:p>
        </w:tc>
        <w:tc>
          <w:tcPr/>
          <w:p>
            <w:pPr>
              <w:pStyle w:val="Compact"/>
              <w:jc w:val="left"/>
            </w:pPr>
            <w:r>
              <w:t xml:space="preserve">decimal</w:t>
            </w:r>
          </w:p>
        </w:tc>
        <w:tc>
          <w:tcPr/>
          <w:p>
            <w:pPr>
              <w:pStyle w:val="Compact"/>
              <w:jc w:val="left"/>
            </w:pPr>
            <w:r>
              <w:t xml:space="preserve">Meters between the published coordinate and the entrance node</w:t>
            </w:r>
          </w:p>
        </w:tc>
      </w:tr>
      <w:tr>
        <w:trPr>
          <w:cantSplit/>
        </w:trPr>
        <w:tc>
          <w:tcPr/>
          <w:p>
            <w:pPr>
              <w:pStyle w:val="Compact"/>
              <w:jc w:val="left"/>
            </w:pPr>
            <w:r>
              <w:t xml:space="preserve">size_w</w:t>
            </w:r>
          </w:p>
        </w:tc>
        <w:tc>
          <w:tcPr/>
          <w:p>
            <w:pPr>
              <w:pStyle w:val="Compact"/>
              <w:jc w:val="left"/>
            </w:pPr>
            <w:r>
              <w:t xml:space="preserve">integer</w:t>
            </w:r>
          </w:p>
        </w:tc>
        <w:tc>
          <w:tcPr/>
          <w:p>
            <w:pPr>
              <w:pStyle w:val="Compact"/>
              <w:jc w:val="left"/>
            </w:pPr>
            <w:r>
              <w:t xml:space="preserve">Beds, classrooms, or service windows; 1 for a counted destination</w:t>
            </w:r>
          </w:p>
        </w:tc>
      </w:tr>
      <w:tr>
        <w:trPr>
          <w:cantSplit/>
        </w:trPr>
        <w:tc>
          <w:tcPr/>
          <w:p>
            <w:pPr>
              <w:pStyle w:val="Compact"/>
              <w:jc w:val="left"/>
            </w:pPr>
            <w:r>
              <w:t xml:space="preserve">lgu_code</w:t>
            </w:r>
          </w:p>
        </w:tc>
        <w:tc>
          <w:tcPr/>
          <w:p>
            <w:pPr>
              <w:pStyle w:val="Compact"/>
              <w:jc w:val="left"/>
            </w:pPr>
            <w:r>
              <w:t xml:space="preserve">string</w:t>
            </w:r>
          </w:p>
        </w:tc>
        <w:tc>
          <w:tcPr/>
          <w:p>
            <w:pPr>
              <w:pStyle w:val="Compact"/>
              <w:jc w:val="left"/>
            </w:pPr>
            <w:r>
              <w:t xml:space="preserve">Philippine Standard Geographic Code of the LGU that contains the landmark</w:t>
            </w:r>
          </w:p>
        </w:tc>
      </w:tr>
      <w:tr>
        <w:trPr>
          <w:cantSplit/>
        </w:trPr>
        <w:tc>
          <w:tcPr/>
          <w:p>
            <w:pPr>
              <w:pStyle w:val="Compact"/>
              <w:jc w:val="left"/>
            </w:pPr>
            <w:r>
              <w:t xml:space="preserve">source</w:t>
            </w:r>
          </w:p>
        </w:tc>
        <w:tc>
          <w:tcPr/>
          <w:p>
            <w:pPr>
              <w:pStyle w:val="Compact"/>
              <w:jc w:val="left"/>
            </w:pPr>
            <w:r>
              <w:t xml:space="preserve">string</w:t>
            </w:r>
          </w:p>
        </w:tc>
        <w:tc>
          <w:tcPr/>
          <w:p>
            <w:pPr>
              <w:pStyle w:val="Compact"/>
              <w:jc w:val="left"/>
            </w:pPr>
            <w:r>
              <w:t xml:space="preserve">Register that the record came from</w:t>
            </w:r>
          </w:p>
        </w:tc>
      </w:tr>
      <w:tr>
        <w:trPr>
          <w:cantSplit/>
        </w:trPr>
        <w:tc>
          <w:tcPr/>
          <w:p>
            <w:pPr>
              <w:pStyle w:val="Compact"/>
              <w:jc w:val="left"/>
            </w:pPr>
            <w:r>
              <w:t xml:space="preserve">source_date</w:t>
            </w:r>
          </w:p>
        </w:tc>
        <w:tc>
          <w:tcPr/>
          <w:p>
            <w:pPr>
              <w:pStyle w:val="Compact"/>
              <w:jc w:val="left"/>
            </w:pPr>
            <w:r>
              <w:t xml:space="preserve">date</w:t>
            </w:r>
          </w:p>
        </w:tc>
        <w:tc>
          <w:tcPr/>
          <w:p>
            <w:pPr>
              <w:pStyle w:val="Compact"/>
              <w:jc w:val="left"/>
            </w:pPr>
            <w:r>
              <w:t xml:space="preserve">Date on which the register was consulted</w:t>
            </w:r>
          </w:p>
        </w:tc>
      </w:tr>
      <w:tr>
        <w:trPr>
          <w:cantSplit/>
        </w:trPr>
        <w:tc>
          <w:tcPr/>
          <w:p>
            <w:pPr>
              <w:pStyle w:val="Compact"/>
              <w:jc w:val="left"/>
            </w:pPr>
            <w:r>
              <w:t xml:space="preserve">merge_log</w:t>
            </w:r>
          </w:p>
        </w:tc>
        <w:tc>
          <w:tcPr/>
          <w:p>
            <w:pPr>
              <w:pStyle w:val="Compact"/>
              <w:jc w:val="left"/>
            </w:pPr>
            <w:r>
              <w:t xml:space="preserve">string</w:t>
            </w:r>
          </w:p>
        </w:tc>
        <w:tc>
          <w:tcPr/>
          <w:p>
            <w:pPr>
              <w:pStyle w:val="Compact"/>
              <w:jc w:val="left"/>
            </w:pPr>
            <w:r>
              <w:t xml:space="preserve">Identifiers of records merged into this one</w:t>
            </w:r>
          </w:p>
        </w:tc>
      </w:tr>
      <w:tr>
        <w:trPr>
          <w:cantSplit/>
        </w:trPr>
        <w:tc>
          <w:tcPr/>
          <w:p>
            <w:pPr>
              <w:pStyle w:val="Compact"/>
              <w:jc w:val="left"/>
            </w:pPr>
            <w:r>
              <w:rPr>
                <w:iCs/>
                <w:i/>
              </w:rPr>
              <w:t xml:space="preserve">Hospitals and infirmaries only</w:t>
            </w:r>
          </w:p>
        </w:tc>
        <w:tc>
          <w:tcPr/>
          <w:p>
            <w:pPr>
              <w:pStyle w:val="Compact"/>
            </w:pPr>
          </w:p>
        </w:tc>
        <w:tc>
          <w:tcPr/>
          <w:p>
            <w:pPr>
              <w:pStyle w:val="Compact"/>
            </w:pPr>
          </w:p>
        </w:tc>
      </w:tr>
      <w:tr>
        <w:trPr>
          <w:cantSplit/>
        </w:trPr>
        <w:tc>
          <w:tcPr/>
          <w:p>
            <w:pPr>
              <w:pStyle w:val="Compact"/>
              <w:jc w:val="left"/>
            </w:pPr>
            <w:r>
              <w:t xml:space="preserve">service_level</w:t>
            </w:r>
          </w:p>
        </w:tc>
        <w:tc>
          <w:tcPr/>
          <w:p>
            <w:pPr>
              <w:pStyle w:val="Compact"/>
              <w:jc w:val="left"/>
            </w:pPr>
            <w:r>
              <w:t xml:space="preserve">integer</w:t>
            </w:r>
          </w:p>
        </w:tc>
        <w:tc>
          <w:tcPr/>
          <w:p>
            <w:pPr>
              <w:pStyle w:val="Compact"/>
              <w:jc w:val="left"/>
            </w:pPr>
            <w:r>
              <w:t xml:space="preserve">η</w:t>
            </w:r>
            <w:r>
              <w:rPr>
                <w:iCs/>
                <w:i/>
                <w:vertAlign w:val="subscript"/>
              </w:rPr>
              <w:t xml:space="preserve">h</w:t>
            </w:r>
            <w:r>
              <w:t xml:space="preserve">: 0 for an infirmary, 1 to 3 for a hospital level (Table 7)</w:t>
            </w:r>
          </w:p>
        </w:tc>
      </w:tr>
      <w:tr>
        <w:trPr>
          <w:cantSplit/>
        </w:trPr>
        <w:tc>
          <w:tcPr/>
          <w:p>
            <w:pPr>
              <w:pStyle w:val="Compact"/>
              <w:jc w:val="left"/>
            </w:pPr>
            <w:r>
              <w:t xml:space="preserve">services</w:t>
            </w:r>
          </w:p>
        </w:tc>
        <w:tc>
          <w:tcPr/>
          <w:p>
            <w:pPr>
              <w:pStyle w:val="Compact"/>
              <w:jc w:val="left"/>
            </w:pPr>
            <w:r>
              <w:t xml:space="preserve">list</w:t>
            </w:r>
          </w:p>
        </w:tc>
        <w:tc>
          <w:tcPr/>
          <w:p>
            <w:pPr>
              <w:pStyle w:val="Compact"/>
              <w:jc w:val="left"/>
            </w:pPr>
            <w:r>
              <w:t xml:space="preserve">Σ</w:t>
            </w:r>
            <w:r>
              <w:rPr>
                <w:iCs/>
                <w:i/>
                <w:vertAlign w:val="subscript"/>
              </w:rPr>
              <w:t xml:space="preserve">h</w:t>
            </w:r>
            <w:r>
              <w:t xml:space="preserve">: codes from Table 8, after Equation (12)</w:t>
            </w:r>
          </w:p>
        </w:tc>
      </w:tr>
      <w:tr>
        <w:trPr>
          <w:cantSplit/>
        </w:trPr>
        <w:tc>
          <w:tcPr/>
          <w:p>
            <w:pPr>
              <w:pStyle w:val="Compact"/>
              <w:jc w:val="left"/>
            </w:pPr>
            <w:r>
              <w:t xml:space="preserve">services_source</w:t>
            </w:r>
          </w:p>
        </w:tc>
        <w:tc>
          <w:tcPr/>
          <w:p>
            <w:pPr>
              <w:pStyle w:val="Compact"/>
              <w:jc w:val="left"/>
            </w:pPr>
            <w:r>
              <w:t xml:space="preserve">string</w:t>
            </w:r>
          </w:p>
        </w:tc>
        <w:tc>
          <w:tcPr/>
          <w:p>
            <w:pPr>
              <w:pStyle w:val="Compact"/>
              <w:jc w:val="left"/>
            </w:pPr>
            <w:r>
              <w:t xml:space="preserve">Register entry behind any change from the level default, with its date</w:t>
            </w:r>
          </w:p>
        </w:tc>
      </w:tr>
      <w:tr>
        <w:trPr>
          <w:cantSplit/>
        </w:trPr>
        <w:tc>
          <w:tcPr/>
          <w:p>
            <w:pPr>
              <w:pStyle w:val="Compact"/>
              <w:jc w:val="left"/>
            </w:pPr>
            <w:r>
              <w:t xml:space="preserve">er_flag</w:t>
            </w:r>
          </w:p>
        </w:tc>
        <w:tc>
          <w:tcPr/>
          <w:p>
            <w:pPr>
              <w:pStyle w:val="Compact"/>
              <w:jc w:val="left"/>
            </w:pPr>
            <w:r>
              <w:t xml:space="preserve">boolean</w:t>
            </w:r>
          </w:p>
        </w:tc>
        <w:tc>
          <w:tcPr/>
          <w:p>
            <w:pPr>
              <w:pStyle w:val="Compact"/>
              <w:jc w:val="left"/>
            </w:pPr>
            <w:r>
              <w:rPr>
                <w:iCs/>
                <w:i/>
              </w:rPr>
              <w:t xml:space="preserve">e</w:t>
            </w:r>
            <w:r>
              <w:rPr>
                <w:iCs/>
                <w:i/>
                <w:vertAlign w:val="subscript"/>
              </w:rPr>
              <w:t xml:space="preserve">h</w:t>
            </w:r>
            <w:r>
              <w:t xml:space="preserve">: whether an emergency room is present</w:t>
            </w:r>
          </w:p>
        </w:tc>
      </w:tr>
      <w:tr>
        <w:trPr>
          <w:cantSplit/>
        </w:trPr>
        <w:tc>
          <w:tcPr/>
          <w:p>
            <w:pPr>
              <w:pStyle w:val="Compact"/>
              <w:jc w:val="left"/>
            </w:pPr>
            <w:r>
              <w:t xml:space="preserve">ownership</w:t>
            </w:r>
          </w:p>
        </w:tc>
        <w:tc>
          <w:tcPr/>
          <w:p>
            <w:pPr>
              <w:pStyle w:val="Compact"/>
              <w:jc w:val="left"/>
            </w:pPr>
            <w:r>
              <w:t xml:space="preserve">enum</w:t>
            </w:r>
          </w:p>
        </w:tc>
        <w:tc>
          <w:tcPr/>
          <w:p>
            <w:pPr>
              <w:pStyle w:val="Compact"/>
              <w:jc w:val="left"/>
            </w:pPr>
            <w:r>
              <w:t xml:space="preserve">government or private</w:t>
            </w:r>
          </w:p>
        </w:tc>
      </w:tr>
      <w:tr>
        <w:trPr>
          <w:cantSplit/>
        </w:trPr>
        <w:tc>
          <w:tcPr/>
          <w:p>
            <w:pPr>
              <w:pStyle w:val="Compact"/>
              <w:jc w:val="left"/>
            </w:pPr>
            <w:r>
              <w:t xml:space="preserve">philhealth_accredited</w:t>
            </w:r>
          </w:p>
        </w:tc>
        <w:tc>
          <w:tcPr/>
          <w:p>
            <w:pPr>
              <w:pStyle w:val="Compact"/>
              <w:jc w:val="left"/>
            </w:pPr>
            <w:r>
              <w:t xml:space="preserve">boolean</w:t>
            </w:r>
          </w:p>
        </w:tc>
        <w:tc>
          <w:tcPr/>
          <w:p>
            <w:pPr>
              <w:pStyle w:val="Compact"/>
              <w:jc w:val="left"/>
            </w:pPr>
            <w:r>
              <w:t xml:space="preserve">Whether the facility is on the PhilHealth accreditation list</w:t>
            </w:r>
          </w:p>
        </w:tc>
      </w:tr>
      <w:tr>
        <w:trPr>
          <w:cantSplit/>
        </w:trPr>
        <w:tc>
          <w:tcPr/>
          <w:p>
            <w:pPr>
              <w:pStyle w:val="Compact"/>
              <w:jc w:val="left"/>
            </w:pPr>
            <w:r>
              <w:t xml:space="preserve">malasakit_center</w:t>
            </w:r>
          </w:p>
        </w:tc>
        <w:tc>
          <w:tcPr/>
          <w:p>
            <w:pPr>
              <w:pStyle w:val="Compact"/>
              <w:jc w:val="left"/>
            </w:pPr>
            <w:r>
              <w:t xml:space="preserve">boolean</w:t>
            </w:r>
          </w:p>
        </w:tc>
        <w:tc>
          <w:tcPr/>
          <w:p>
            <w:pPr>
              <w:pStyle w:val="Compact"/>
              <w:jc w:val="left"/>
            </w:pPr>
            <w:r>
              <w:t xml:space="preserve">Whether a Malasakit Center is present</w:t>
            </w:r>
          </w:p>
        </w:tc>
      </w:tr>
      <w:tr>
        <w:trPr>
          <w:cantSplit/>
        </w:trPr>
        <w:tc>
          <w:tcPr/>
          <w:p>
            <w:pPr>
              <w:pStyle w:val="Compact"/>
              <w:jc w:val="left"/>
            </w:pPr>
            <w:r>
              <w:t xml:space="preserve">cost_class</w:t>
            </w:r>
          </w:p>
        </w:tc>
        <w:tc>
          <w:tcPr/>
          <w:p>
            <w:pPr>
              <w:pStyle w:val="Compact"/>
              <w:jc w:val="left"/>
            </w:pPr>
            <w:r>
              <w:t xml:space="preserve">integer</w:t>
            </w:r>
          </w:p>
        </w:tc>
        <w:tc>
          <w:tcPr/>
          <w:p>
            <w:pPr>
              <w:pStyle w:val="Compact"/>
              <w:jc w:val="left"/>
            </w:pPr>
            <w:r>
              <w:rPr>
                <w:iCs/>
                <w:i/>
              </w:rPr>
              <w:t xml:space="preserve">q</w:t>
            </w:r>
            <w:r>
              <w:rPr>
                <w:iCs/>
                <w:i/>
                <w:vertAlign w:val="subscript"/>
              </w:rPr>
              <w:t xml:space="preserve">h</w:t>
            </w:r>
            <w:r>
              <w:t xml:space="preserve"> </w:t>
            </w:r>
            <w:r>
              <w:t xml:space="preserve">by Equation (11)</w:t>
            </w:r>
          </w:p>
        </w:tc>
      </w:tr>
      <w:tr>
        <w:trPr>
          <w:cantSplit/>
        </w:trPr>
        <w:tc>
          <w:tcPr/>
          <w:p>
            <w:pPr>
              <w:pStyle w:val="Compact"/>
              <w:jc w:val="left"/>
            </w:pPr>
            <w:r>
              <w:t xml:space="preserve">contact_email</w:t>
            </w:r>
          </w:p>
        </w:tc>
        <w:tc>
          <w:tcPr/>
          <w:p>
            <w:pPr>
              <w:pStyle w:val="Compact"/>
              <w:jc w:val="left"/>
            </w:pPr>
            <w:r>
              <w:t xml:space="preserve">string</w:t>
            </w:r>
          </w:p>
        </w:tc>
        <w:tc>
          <w:tcPr/>
          <w:p>
            <w:pPr>
              <w:pStyle w:val="Compact"/>
              <w:jc w:val="left"/>
            </w:pPr>
            <w:r>
              <w:t xml:space="preserve">Official e-mail address of the facility (never a personal one)</w:t>
            </w:r>
          </w:p>
        </w:tc>
      </w:tr>
    </w:tbl>
    <w:bookmarkEnd w:id="195"/>
    <w:bookmarkStart w:id="196" w:name="Xe983620f88fd7224d1947cb537bbdfb61995160"/>
    <w:p>
      <w:pPr>
        <w:pStyle w:val="Heading1"/>
      </w:pPr>
      <w:r>
        <w:t xml:space="preserve">APPENDIX D. APPLICATION FEATURE CHECKLIST</w:t>
      </w:r>
    </w:p>
    <w:p>
      <w:pPr>
        <w:pStyle w:val="FirstParagraph"/>
      </w:pPr>
      <w:r>
        <w:t xml:space="preserve">Each feature ends with the SDG target or targets it is meant to support (UNGA, 2015). The features are planned or in development and have not been tested with outside users. Items 4, 5, 8, 12, 13, and 14 were added in this revision.</w:t>
      </w:r>
    </w:p>
    <w:p>
      <w:pPr>
        <w:pStyle w:val="BodyText"/>
        <w:keepNext/>
      </w:pPr>
      <w:r>
        <w:rPr>
          <w:bCs/>
          <w:b/>
        </w:rPr>
        <w:t xml:space="preserve">Hospital mode</w:t>
      </w:r>
    </w:p>
    <w:p>
      <w:pPr>
        <w:numPr>
          <w:ilvl w:val="0"/>
          <w:numId w:val="1012"/>
        </w:numPr>
        <w:pStyle w:val="BodyText"/>
        <w:spacing w:after="80"/>
      </w:pPr>
      <w:r>
        <w:t xml:space="preserve">A hospital-mode switch that leaves only hospitals and infirmaries on the map and changes the screen to step-by-step guidance toward a hospital (SDG 3.8).</w:t>
      </w:r>
    </w:p>
    <w:p>
      <w:pPr>
        <w:numPr>
          <w:ilvl w:val="0"/>
          <w:numId w:val="1012"/>
        </w:numPr>
        <w:pStyle w:val="BodyText"/>
        <w:spacing w:after="80"/>
      </w:pPr>
      <w:r>
        <w:t xml:space="preserve">Two travel modes: the ambulance, which uses the ambulance class of Table 5 on roads, and the patient, who rides public transport and walks.</w:t>
      </w:r>
    </w:p>
    <w:p>
      <w:pPr>
        <w:numPr>
          <w:ilvl w:val="0"/>
          <w:numId w:val="1012"/>
        </w:numPr>
        <w:pStyle w:val="BodyText"/>
        <w:spacing w:after="80"/>
      </w:pPr>
      <w:r>
        <w:t xml:space="preserve">Plain-language choices for the five acuity levels of Table 12, made by the crew or by the user.</w:t>
      </w:r>
    </w:p>
    <w:p>
      <w:pPr>
        <w:numPr>
          <w:ilvl w:val="0"/>
          <w:numId w:val="1012"/>
        </w:numPr>
        <w:pStyle w:val="BodyText"/>
        <w:spacing w:after="80"/>
      </w:pPr>
      <w:r>
        <w:t xml:space="preserve">A needs selector that lists the eight services of Table 8 in plain words, with</w:t>
      </w:r>
      <w:r>
        <w:t xml:space="preserve"> </w:t>
      </w:r>
      <w:r>
        <w:t xml:space="preserve">“</w:t>
      </w:r>
      <w:r>
        <w:t xml:space="preserve">no particular need</w:t>
      </w:r>
      <w:r>
        <w:t xml:space="preserve">”</w:t>
      </w:r>
      <w:r>
        <w:t xml:space="preserve"> </w:t>
      </w:r>
      <w:r>
        <w:t xml:space="preserve">as the default (SDG 3.1, 3.2, and 3.8).</w:t>
      </w:r>
    </w:p>
    <w:p>
      <w:pPr>
        <w:numPr>
          <w:ilvl w:val="0"/>
          <w:numId w:val="1012"/>
        </w:numPr>
        <w:pStyle w:val="BodyText"/>
        <w:spacing w:after="80"/>
      </w:pPr>
      <w:r>
        <w:t xml:space="preserve">A mobility switch (</w:t>
      </w:r>
      <w:r>
        <w:t xml:space="preserve">“</w:t>
      </w:r>
      <w:r>
        <w:t xml:space="preserve">I walk slowly</w:t>
      </w:r>
      <w:r>
        <w:t xml:space="preserve">”</w:t>
      </w:r>
      <w:r>
        <w:t xml:space="preserve">) that applies the slow class of Definition 16 to every walking leg (SDG 11.2 and 10.2).</w:t>
      </w:r>
    </w:p>
    <w:p>
      <w:pPr>
        <w:numPr>
          <w:ilvl w:val="0"/>
          <w:numId w:val="1012"/>
        </w:numPr>
        <w:pStyle w:val="BodyText"/>
        <w:spacing w:after="80"/>
      </w:pPr>
      <w:r>
        <w:t xml:space="preserve">Payment-class filtering among the four classes of Table 9. The filter is switched off automatically at acuity levels 1 and 2, so emergency routing is never delayed by cost (SDG 3.8 and 1.4).</w:t>
      </w:r>
    </w:p>
    <w:p>
      <w:pPr>
        <w:numPr>
          <w:ilvl w:val="0"/>
          <w:numId w:val="1012"/>
        </w:numPr>
        <w:pStyle w:val="BodyText"/>
        <w:spacing w:after="80"/>
      </w:pPr>
      <w:r>
        <w:t xml:space="preserve">A hospital information card showing the route, travel time, care level, services, cost class, free beds, and the age of the report. An UNKNOWN status is shown as unknown, never as available (SDG 3.8 and 3.d).</w:t>
      </w:r>
    </w:p>
    <w:p>
      <w:pPr>
        <w:numPr>
          <w:ilvl w:val="0"/>
          <w:numId w:val="1012"/>
        </w:numPr>
        <w:pStyle w:val="BodyText"/>
        <w:spacing w:after="80"/>
      </w:pPr>
      <w:r>
        <w:t xml:space="preserve">A backup list showing the next two suitable hospitals and the extra minutes each would cost (Definition 18).</w:t>
      </w:r>
    </w:p>
    <w:p>
      <w:pPr>
        <w:numPr>
          <w:ilvl w:val="0"/>
          <w:numId w:val="1012"/>
        </w:numPr>
        <w:pStyle w:val="BodyText"/>
        <w:spacing w:after="80"/>
      </w:pPr>
      <w:r>
        <w:t xml:space="preserve">A stabilization prompt: for acuity level 1, if an open emergency room is more than θ</w:t>
      </w:r>
      <w:r>
        <w:rPr>
          <w:iCs/>
          <w:i/>
          <w:vertAlign w:val="subscript"/>
        </w:rPr>
        <w:t xml:space="preserve">stab</w:t>
      </w:r>
      <w:r>
        <w:t xml:space="preserve"> </w:t>
      </w:r>
      <w:r>
        <w:t xml:space="preserve">nearer than the nearest suitable hospital, the application advises stabilization there first (Definition 19; SDG 3.8).</w:t>
      </w:r>
    </w:p>
    <w:p>
      <w:pPr>
        <w:numPr>
          <w:ilvl w:val="0"/>
          <w:numId w:val="1012"/>
        </w:numPr>
        <w:pStyle w:val="BodyText"/>
        <w:spacing w:after="80"/>
      </w:pPr>
      <w:r>
        <w:t xml:space="preserve">A one-tap shortcut to call 911 on every hospital-mode screen, in line with Executive Order No. 56 (2018).</w:t>
      </w:r>
    </w:p>
    <w:p>
      <w:pPr>
        <w:numPr>
          <w:ilvl w:val="0"/>
          <w:numId w:val="1012"/>
        </w:numPr>
        <w:pStyle w:val="BodyText"/>
        <w:spacing w:after="80"/>
      </w:pPr>
      <w:r>
        <w:t xml:space="preserve">A read-only dashboard for the Provincial Health Office showing free beds and report age by municipality (SDG 3.d).</w:t>
      </w:r>
    </w:p>
    <w:p>
      <w:pPr>
        <w:numPr>
          <w:ilvl w:val="0"/>
          <w:numId w:val="1012"/>
        </w:numPr>
        <w:pStyle w:val="BodyText"/>
        <w:spacing w:after="80"/>
      </w:pPr>
      <w:r>
        <w:t xml:space="preserve">Catchment and bed-desert layers on the dashboard, drawn for a chosen patient profile (Definitions 22 and 23; SDG 3.8 and 10.2).</w:t>
      </w:r>
    </w:p>
    <w:p>
      <w:pPr>
        <w:numPr>
          <w:ilvl w:val="0"/>
          <w:numId w:val="1012"/>
        </w:numPr>
        <w:pStyle w:val="BodyText"/>
        <w:spacing w:after="80"/>
      </w:pPr>
      <w:r>
        <w:t xml:space="preserve">A surge view on the dashboard that takes a list of waiting patients and proposes an assignment by Algorithm 3 for a dispatcher to confirm (Definition 24; SDG 3.d and 11.5).</w:t>
      </w:r>
    </w:p>
    <w:p>
      <w:pPr>
        <w:numPr>
          <w:ilvl w:val="0"/>
          <w:numId w:val="1012"/>
        </w:numPr>
        <w:pStyle w:val="BodyText"/>
        <w:spacing w:after="80"/>
      </w:pPr>
      <w:r>
        <w:t xml:space="preserve">A critical-road list for the PDRRMO, ranked by Definition 25, for use before and after typhoons and eruptions (SDG 11.5 and 13.1).</w:t>
      </w:r>
    </w:p>
    <w:p>
      <w:pPr>
        <w:pStyle w:val="FirstParagraph"/>
        <w:keepNext/>
      </w:pPr>
      <w:r>
        <w:rPr>
          <w:bCs/>
          <w:b/>
        </w:rPr>
        <w:t xml:space="preserve">Transport features</w:t>
      </w:r>
    </w:p>
    <w:p>
      <w:pPr>
        <w:numPr>
          <w:ilvl w:val="0"/>
          <w:numId w:val="1013"/>
        </w:numPr>
        <w:pStyle w:val="BodyText"/>
        <w:spacing w:after="80"/>
      </w:pPr>
      <w:r>
        <w:t xml:space="preserve">Door-to-door journey planning inside the study area, telling the user when they will arrive, how much they will pay, which vehicle to take, and where to get on and off (SDG 11.2).</w:t>
      </w:r>
    </w:p>
    <w:p>
      <w:pPr>
        <w:numPr>
          <w:ilvl w:val="0"/>
          <w:numId w:val="1013"/>
        </w:numPr>
        <w:pStyle w:val="BodyText"/>
        <w:spacing w:after="80"/>
      </w:pPr>
      <w:r>
        <w:t xml:space="preserve">A discount switch for senior citizens, students, and persons with disability (SDG 11.2 and 10.2).</w:t>
      </w:r>
    </w:p>
    <w:p>
      <w:pPr>
        <w:numPr>
          <w:ilvl w:val="0"/>
          <w:numId w:val="1013"/>
        </w:numPr>
        <w:pStyle w:val="BodyText"/>
        <w:spacing w:after="80"/>
      </w:pPr>
      <w:r>
        <w:t xml:space="preserve">Walking directions for the first and last mile, with a cap on walking time (SDG 11.2).</w:t>
      </w:r>
    </w:p>
    <w:p>
      <w:pPr>
        <w:numPr>
          <w:ilvl w:val="0"/>
          <w:numId w:val="1013"/>
        </w:numPr>
        <w:pStyle w:val="BodyText"/>
        <w:spacing w:after="80"/>
      </w:pPr>
      <w:r>
        <w:t xml:space="preserve">A choice among the ten vehicle classes of Table 5, giving a road route that the class can use and marking any restricted segments (SDG 9.1 and 11.5).</w:t>
      </w:r>
    </w:p>
    <w:p>
      <w:pPr>
        <w:numPr>
          <w:ilvl w:val="0"/>
          <w:numId w:val="1013"/>
        </w:numPr>
        <w:pStyle w:val="BodyText"/>
        <w:spacing w:after="80"/>
      </w:pPr>
      <w:r>
        <w:t xml:space="preserve">A fare lookup between any two named landmarks (SDG 11.2).</w:t>
      </w:r>
    </w:p>
    <w:p>
      <w:pPr>
        <w:numPr>
          <w:ilvl w:val="0"/>
          <w:numId w:val="1013"/>
        </w:numPr>
        <w:pStyle w:val="BodyText"/>
        <w:spacing w:after="80"/>
      </w:pPr>
      <w:r>
        <w:t xml:space="preserve">A 30-minute landmark accessibility map, with a slider for other budgets (SDG 11.2, 10.3, and 4.a).</w:t>
      </w:r>
    </w:p>
    <w:p>
      <w:pPr>
        <w:numPr>
          <w:ilvl w:val="0"/>
          <w:numId w:val="1013"/>
        </w:numPr>
        <w:pStyle w:val="BodyText"/>
        <w:spacing w:after="80"/>
      </w:pPr>
      <w:r>
        <w:t xml:space="preserve">Offline storage of the road extract and the feed for times of weak signal, such as typhoons (SDG 11.5 and 13.1).</w:t>
      </w:r>
    </w:p>
    <w:p>
      <w:pPr>
        <w:numPr>
          <w:ilvl w:val="0"/>
          <w:numId w:val="1013"/>
        </w:numPr>
        <w:pStyle w:val="BodyText"/>
        <w:spacing w:after="80"/>
      </w:pPr>
      <w:r>
        <w:t xml:space="preserve">A button for reporting errors, so that riders can help fix the dataset once it is released. This is the only route by which field observations could reach the transport dataset, and only after publication; corrections are logged by date, and none was used in this paper (SDG 17.18).</w:t>
      </w:r>
    </w:p>
    <w:bookmarkEnd w:id="196"/>
    <w:bookmarkStart w:id="197" w:name="appendix-e.-risk-register"/>
    <w:p>
      <w:pPr>
        <w:pStyle w:val="Heading1"/>
      </w:pPr>
      <w:r>
        <w:t xml:space="preserve">APPENDIX E. RISK REGISTER</w:t>
      </w:r>
    </w:p>
    <w:p>
      <w:pPr>
        <w:pStyle w:val="FirstParagraph"/>
      </w:pPr>
      <w:r>
        <w:t xml:space="preserve">The work poses no physical risk to human subjects. The main ethical and operational concerns are the accuracy of the model, honest reporting, and, once hospital mode goes live, the safety of the people who rely on it.</w:t>
      </w:r>
    </w:p>
    <w:p>
      <w:pPr>
        <w:pStyle w:val="TableCaption"/>
      </w:pPr>
      <w:r>
        <w:rPr>
          <w:bCs/>
          <w:b/>
        </w:rPr>
        <w:t xml:space="preserve">Table E1.</w:t>
      </w:r>
      <w:r>
        <w:t xml:space="preserve"> </w:t>
      </w:r>
      <w:r>
        <w:t xml:space="preserve">Risks and how each is handled.</w:t>
      </w:r>
    </w:p>
    <w:tbl>
      <w:tblPr>
        <w:tblStyle w:val="Table"/>
        <w:tblW w:type="pct" w:w="5000"/>
        <w:jc w:val="center"/>
        <w:tblCaption w:val="Table E1. Risks and how each is handled."/>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2227"/>
        <w:gridCol w:w="990"/>
        <w:gridCol w:w="4702"/>
      </w:tblGrid>
      <w:tr>
        <w:trPr>
          <w:tblHeader w:val="true"/>
          <w:tblHeader/>
          <w:cantSplit/>
        </w:trPr>
        <w:tc>
          <w:tcPr/>
          <w:p>
            <w:pPr>
              <w:pStyle w:val="Compact"/>
              <w:jc w:val="left"/>
            </w:pPr>
            <w:r>
              <w:rPr>
                <w:b/>
              </w:rPr>
              <w:t xml:space="preserve">Risk</w:t>
            </w:r>
          </w:p>
        </w:tc>
        <w:tc>
          <w:tcPr/>
          <w:p>
            <w:pPr>
              <w:pStyle w:val="Compact"/>
              <w:jc w:val="center"/>
            </w:pPr>
            <w:r>
              <w:rPr>
                <w:b/>
              </w:rPr>
              <w:t xml:space="preserve">Likelihood</w:t>
            </w:r>
          </w:p>
        </w:tc>
        <w:tc>
          <w:tcPr/>
          <w:p>
            <w:pPr>
              <w:pStyle w:val="Compact"/>
              <w:jc w:val="left"/>
            </w:pPr>
            <w:r>
              <w:rPr>
                <w:b/>
              </w:rPr>
              <w:t xml:space="preserve">How It Is Handled</w:t>
            </w:r>
          </w:p>
        </w:tc>
      </w:tr>
      <w:tr>
        <w:trPr>
          <w:cantSplit/>
        </w:trPr>
        <w:tc>
          <w:tcPr/>
          <w:p>
            <w:pPr>
              <w:pStyle w:val="Compact"/>
              <w:jc w:val="left"/>
            </w:pPr>
            <w:r>
              <w:t xml:space="preserve">Model output mistaken for real-world measurement</w:t>
            </w:r>
          </w:p>
        </w:tc>
        <w:tc>
          <w:tcPr/>
          <w:p>
            <w:pPr>
              <w:pStyle w:val="Compact"/>
              <w:jc w:val="center"/>
            </w:pPr>
            <w:r>
              <w:t xml:space="preserve">High</w:t>
            </w:r>
          </w:p>
        </w:tc>
        <w:tc>
          <w:tcPr/>
          <w:p>
            <w:pPr>
              <w:pStyle w:val="Compact"/>
              <w:jc w:val="left"/>
            </w:pPr>
            <w:r>
              <w:t xml:space="preserve">Every computed value is labeled a model output. No synthetic result is offered as a finding about a real facility, and the provenance note of Section 3.0 is kept.</w:t>
            </w:r>
          </w:p>
        </w:tc>
      </w:tr>
      <w:tr>
        <w:trPr>
          <w:cantSplit/>
        </w:trPr>
        <w:tc>
          <w:tcPr/>
          <w:p>
            <w:pPr>
              <w:pStyle w:val="Compact"/>
              <w:jc w:val="left"/>
            </w:pPr>
            <w:r>
              <w:t xml:space="preserve">Generated routes differ from actual operator routes</w:t>
            </w:r>
          </w:p>
        </w:tc>
        <w:tc>
          <w:tcPr/>
          <w:p>
            <w:pPr>
              <w:pStyle w:val="Compact"/>
              <w:jc w:val="center"/>
            </w:pPr>
            <w:r>
              <w:t xml:space="preserve">High</w:t>
            </w:r>
          </w:p>
        </w:tc>
        <w:tc>
          <w:tcPr/>
          <w:p>
            <w:pPr>
              <w:pStyle w:val="Compact"/>
              <w:jc w:val="left"/>
            </w:pPr>
            <w:r>
              <w:t xml:space="preserve">Recognized as Limitation L2. Routes are anchored to published terminals and markets; comparison with surveyed feeds is left to field validation.</w:t>
            </w:r>
          </w:p>
        </w:tc>
      </w:tr>
      <w:tr>
        <w:trPr>
          <w:cantSplit/>
        </w:trPr>
        <w:tc>
          <w:tcPr/>
          <w:p>
            <w:pPr>
              <w:pStyle w:val="Compact"/>
              <w:jc w:val="left"/>
            </w:pPr>
            <w:r>
              <w:t xml:space="preserve">Missing road attributes in OpenStreetMap</w:t>
            </w:r>
          </w:p>
        </w:tc>
        <w:tc>
          <w:tcPr/>
          <w:p>
            <w:pPr>
              <w:pStyle w:val="Compact"/>
              <w:jc w:val="center"/>
            </w:pPr>
            <w:r>
              <w:t xml:space="preserve">High</w:t>
            </w:r>
          </w:p>
        </w:tc>
        <w:tc>
          <w:tcPr/>
          <w:p>
            <w:pPr>
              <w:pStyle w:val="Compact"/>
              <w:jc w:val="left"/>
            </w:pPr>
            <w:r>
              <w:t xml:space="preserve">Missing attributes are set to +∞ and flagged. The share of flagged segments is reported beside every vehicle-class result.</w:t>
            </w:r>
          </w:p>
        </w:tc>
      </w:tr>
      <w:tr>
        <w:trPr>
          <w:cantSplit/>
        </w:trPr>
        <w:tc>
          <w:tcPr/>
          <w:p>
            <w:pPr>
              <w:pStyle w:val="Compact"/>
              <w:jc w:val="left"/>
            </w:pPr>
            <w:r>
              <w:t xml:space="preserve">Hospital does not respond, so its status stays unknown</w:t>
            </w:r>
          </w:p>
        </w:tc>
        <w:tc>
          <w:tcPr/>
          <w:p>
            <w:pPr>
              <w:pStyle w:val="Compact"/>
              <w:jc w:val="center"/>
            </w:pPr>
            <w:r>
              <w:t xml:space="preserve">High</w:t>
            </w:r>
          </w:p>
        </w:tc>
        <w:tc>
          <w:tcPr/>
          <w:p>
            <w:pPr>
              <w:pStyle w:val="Compact"/>
              <w:jc w:val="left"/>
            </w:pPr>
            <w:r>
              <w:t xml:space="preserve">Non-responding hospitals stay in the suitable set with status UNKNOWN. The age of the data is shown, and unknown capacity is never shown as available (Definition 17).</w:t>
            </w:r>
          </w:p>
        </w:tc>
      </w:tr>
      <w:tr>
        <w:trPr>
          <w:cantSplit/>
        </w:trPr>
        <w:tc>
          <w:tcPr/>
          <w:p>
            <w:pPr>
              <w:pStyle w:val="Compact"/>
              <w:jc w:val="left"/>
            </w:pPr>
            <w:r>
              <w:t xml:space="preserve">Landmark register is out of date</w:t>
            </w:r>
          </w:p>
        </w:tc>
        <w:tc>
          <w:tcPr/>
          <w:p>
            <w:pPr>
              <w:pStyle w:val="Compact"/>
              <w:jc w:val="center"/>
            </w:pPr>
            <w:r>
              <w:t xml:space="preserve">Moderate</w:t>
            </w:r>
          </w:p>
        </w:tc>
        <w:tc>
          <w:tcPr/>
          <w:p>
            <w:pPr>
              <w:pStyle w:val="Compact"/>
              <w:jc w:val="left"/>
            </w:pPr>
            <w:r>
              <w:t xml:space="preserve">Source and access date are recorded for each entry (Appendix C). Coverage is reported by municipality, and gaps are read as understating disadvantage (Limitation L3).</w:t>
            </w:r>
          </w:p>
        </w:tc>
      </w:tr>
      <w:tr>
        <w:trPr>
          <w:cantSplit/>
        </w:trPr>
        <w:tc>
          <w:tcPr/>
          <w:p>
            <w:pPr>
              <w:pStyle w:val="Compact"/>
              <w:jc w:val="left"/>
            </w:pPr>
            <w:r>
              <w:t xml:space="preserve">Unchecked software shortcut produces wrong routes</w:t>
            </w:r>
          </w:p>
        </w:tc>
        <w:tc>
          <w:tcPr/>
          <w:p>
            <w:pPr>
              <w:pStyle w:val="Compact"/>
              <w:jc w:val="center"/>
            </w:pPr>
            <w:r>
              <w:t xml:space="preserve">Moderate</w:t>
            </w:r>
          </w:p>
        </w:tc>
        <w:tc>
          <w:tcPr/>
          <w:p>
            <w:pPr>
              <w:pStyle w:val="Compact"/>
              <w:jc w:val="left"/>
            </w:pPr>
            <w:r>
              <w:t xml:space="preserve">All routing outputs were checked against independently written reference code before analysis (Tables 14, 15, 16, and 24).</w:t>
            </w:r>
          </w:p>
        </w:tc>
      </w:tr>
      <w:tr>
        <w:trPr>
          <w:cantSplit/>
        </w:trPr>
        <w:tc>
          <w:tcPr/>
          <w:p>
            <w:pPr>
              <w:pStyle w:val="Compact"/>
              <w:jc w:val="left"/>
            </w:pPr>
            <w:r>
              <w:t xml:space="preserve">Inequality measures sensitive to the choice of anchors</w:t>
            </w:r>
          </w:p>
        </w:tc>
        <w:tc>
          <w:tcPr/>
          <w:p>
            <w:pPr>
              <w:pStyle w:val="Compact"/>
              <w:jc w:val="center"/>
            </w:pPr>
            <w:r>
              <w:t xml:space="preserve">Moderate</w:t>
            </w:r>
          </w:p>
        </w:tc>
        <w:tc>
          <w:tcPr/>
          <w:p>
            <w:pPr>
              <w:pStyle w:val="Compact"/>
              <w:jc w:val="left"/>
            </w:pPr>
            <w:r>
              <w:t xml:space="preserve">Inclusion criteria were fixed before listing (Appendix C). Three anchor sets are compared (Section 3.6.1), and full anchor lists are released with the data.</w:t>
            </w:r>
          </w:p>
        </w:tc>
      </w:tr>
      <w:tr>
        <w:trPr>
          <w:cantSplit/>
        </w:trPr>
        <w:tc>
          <w:tcPr/>
          <w:p>
            <w:pPr>
              <w:pStyle w:val="Compact"/>
              <w:jc w:val="left"/>
            </w:pPr>
            <w:r>
              <w:t xml:space="preserve">Typing or parsing errors in bed counts</w:t>
            </w:r>
          </w:p>
        </w:tc>
        <w:tc>
          <w:tcPr/>
          <w:p>
            <w:pPr>
              <w:pStyle w:val="Compact"/>
              <w:jc w:val="center"/>
            </w:pPr>
            <w:r>
              <w:t xml:space="preserve">Moderate</w:t>
            </w:r>
          </w:p>
        </w:tc>
        <w:tc>
          <w:tcPr/>
          <w:p>
            <w:pPr>
              <w:pStyle w:val="Compact"/>
              <w:jc w:val="left"/>
            </w:pPr>
            <w:r>
              <w:t xml:space="preserve">Rules V2 to V4 hold unclear replies for human review. All 67 simulated typing errors were caught in testing (Table 15).</w:t>
            </w:r>
          </w:p>
        </w:tc>
      </w:tr>
      <w:tr>
        <w:trPr>
          <w:cantSplit/>
        </w:trPr>
        <w:tc>
          <w:tcPr/>
          <w:p>
            <w:pPr>
              <w:pStyle w:val="Compact"/>
              <w:jc w:val="left"/>
            </w:pPr>
            <w:r>
              <w:t xml:space="preserve">Hospital staff see the inquiries as a nuisance</w:t>
            </w:r>
          </w:p>
        </w:tc>
        <w:tc>
          <w:tcPr/>
          <w:p>
            <w:pPr>
              <w:pStyle w:val="Compact"/>
              <w:jc w:val="center"/>
            </w:pPr>
            <w:r>
              <w:t xml:space="preserve">Moderate</w:t>
            </w:r>
          </w:p>
        </w:tc>
        <w:tc>
          <w:tcPr/>
          <w:p>
            <w:pPr>
              <w:pStyle w:val="Compact"/>
              <w:jc w:val="left"/>
            </w:pPr>
            <w:r>
              <w:t xml:space="preserve">At most two messages per cycle (Proposition 12), a once-a-day option, and immediate handling of opt-outs before the next send.</w:t>
            </w:r>
          </w:p>
        </w:tc>
      </w:tr>
      <w:tr>
        <w:trPr>
          <w:cantSplit/>
        </w:trPr>
        <w:tc>
          <w:tcPr/>
          <w:p>
            <w:pPr>
              <w:pStyle w:val="Compact"/>
              <w:jc w:val="left"/>
            </w:pPr>
            <w:r>
              <w:t xml:space="preserve">Service list out of date, so a patient is sent to a hospital that lacks the service today</w:t>
            </w:r>
          </w:p>
        </w:tc>
        <w:tc>
          <w:tcPr/>
          <w:p>
            <w:pPr>
              <w:pStyle w:val="Compact"/>
              <w:jc w:val="center"/>
            </w:pPr>
            <w:r>
              <w:t xml:space="preserve">Moderate</w:t>
            </w:r>
          </w:p>
        </w:tc>
        <w:tc>
          <w:tcPr/>
          <w:p>
            <w:pPr>
              <w:pStyle w:val="Compact"/>
              <w:jc w:val="left"/>
            </w:pPr>
            <w:r>
              <w:t xml:space="preserve">Each change from the level default is tied to a dated register entry (Appendix C). The card shows backups and reminds the crew to call ahead; the 911 button is always present (Limitation L15).</w:t>
            </w:r>
          </w:p>
        </w:tc>
      </w:tr>
      <w:tr>
        <w:trPr>
          <w:cantSplit/>
        </w:trPr>
        <w:tc>
          <w:tcPr/>
          <w:p>
            <w:pPr>
              <w:pStyle w:val="Compact"/>
              <w:jc w:val="left"/>
            </w:pPr>
            <w:r>
              <w:t xml:space="preserve">System used for triage</w:t>
            </w:r>
          </w:p>
        </w:tc>
        <w:tc>
          <w:tcPr/>
          <w:p>
            <w:pPr>
              <w:pStyle w:val="Compact"/>
              <w:jc w:val="center"/>
            </w:pPr>
            <w:r>
              <w:t xml:space="preserve">Moderate</w:t>
            </w:r>
          </w:p>
        </w:tc>
        <w:tc>
          <w:tcPr/>
          <w:p>
            <w:pPr>
              <w:pStyle w:val="Compact"/>
              <w:jc w:val="left"/>
            </w:pPr>
            <w:r>
              <w:t xml:space="preserve">Acuity and needs are chosen by the user or crew. Clinical judgment overrides the application, every screen carries a direct 911 button, and prominent notices state that the application does not assess patients (Limitation L10).</w:t>
            </w:r>
          </w:p>
        </w:tc>
      </w:tr>
      <w:tr>
        <w:trPr>
          <w:cantSplit/>
        </w:trPr>
        <w:tc>
          <w:tcPr/>
          <w:p>
            <w:pPr>
              <w:pStyle w:val="Compact"/>
              <w:jc w:val="left"/>
            </w:pPr>
            <w:r>
              <w:t xml:space="preserve">Fare parameters of Table 6 become outdated</w:t>
            </w:r>
          </w:p>
        </w:tc>
        <w:tc>
          <w:tcPr/>
          <w:p>
            <w:pPr>
              <w:pStyle w:val="Compact"/>
              <w:jc w:val="center"/>
            </w:pPr>
            <w:r>
              <w:t xml:space="preserve">Moderate</w:t>
            </w:r>
          </w:p>
        </w:tc>
        <w:tc>
          <w:tcPr/>
          <w:p>
            <w:pPr>
              <w:pStyle w:val="Compact"/>
              <w:jc w:val="left"/>
            </w:pPr>
            <w:r>
              <w:t xml:space="preserve">Fares sit in one dated configuration file, and every downstream result is recomputed by script from it, with no manual entry.</w:t>
            </w:r>
          </w:p>
        </w:tc>
      </w:tr>
      <w:tr>
        <w:trPr>
          <w:cantSplit/>
        </w:trPr>
        <w:tc>
          <w:tcPr/>
          <w:p>
            <w:pPr>
              <w:pStyle w:val="Compact"/>
              <w:jc w:val="left"/>
            </w:pPr>
            <w:r>
              <w:t xml:space="preserve">Mobility class misjudged by the user</w:t>
            </w:r>
          </w:p>
        </w:tc>
        <w:tc>
          <w:tcPr/>
          <w:p>
            <w:pPr>
              <w:pStyle w:val="Compact"/>
              <w:jc w:val="center"/>
            </w:pPr>
            <w:r>
              <w:t xml:space="preserve">Moderate</w:t>
            </w:r>
          </w:p>
        </w:tc>
        <w:tc>
          <w:tcPr/>
          <w:p>
            <w:pPr>
              <w:pStyle w:val="Compact"/>
              <w:jc w:val="left"/>
            </w:pPr>
            <w:r>
              <w:t xml:space="preserve">Only two clearly described classes; the walking time of every leg is shown so the user can judge (Limitation L17).</w:t>
            </w:r>
          </w:p>
        </w:tc>
      </w:tr>
      <w:tr>
        <w:trPr>
          <w:cantSplit/>
        </w:trPr>
        <w:tc>
          <w:tcPr/>
          <w:p>
            <w:pPr>
              <w:pStyle w:val="Compact"/>
              <w:jc w:val="left"/>
            </w:pPr>
            <w:r>
              <w:t xml:space="preserve">Surge assignment treated as an order rather than advice</w:t>
            </w:r>
          </w:p>
        </w:tc>
        <w:tc>
          <w:tcPr/>
          <w:p>
            <w:pPr>
              <w:pStyle w:val="Compact"/>
              <w:jc w:val="center"/>
            </w:pPr>
            <w:r>
              <w:t xml:space="preserve">Low</w:t>
            </w:r>
          </w:p>
        </w:tc>
        <w:tc>
          <w:tcPr/>
          <w:p>
            <w:pPr>
              <w:pStyle w:val="Compact"/>
              <w:jc w:val="left"/>
            </w:pPr>
            <w:r>
              <w:t xml:space="preserve">The assignment is shown only to a dispatcher, who confirms each placement. It uses only validated bed reports and is never sent to patients automatically (Limitation L16).</w:t>
            </w:r>
          </w:p>
        </w:tc>
      </w:tr>
      <w:tr>
        <w:trPr>
          <w:cantSplit/>
        </w:trPr>
        <w:tc>
          <w:tcPr/>
          <w:p>
            <w:pPr>
              <w:pStyle w:val="Compact"/>
              <w:jc w:val="left"/>
            </w:pPr>
            <w:r>
              <w:t xml:space="preserve">Cost diverts an emergency patient from the nearest capable hospital</w:t>
            </w:r>
          </w:p>
        </w:tc>
        <w:tc>
          <w:tcPr/>
          <w:p>
            <w:pPr>
              <w:pStyle w:val="Compact"/>
              <w:jc w:val="center"/>
            </w:pPr>
            <w:r>
              <w:t xml:space="preserve">Low</w:t>
            </w:r>
          </w:p>
        </w:tc>
        <w:tc>
          <w:tcPr/>
          <w:p>
            <w:pPr>
              <w:pStyle w:val="Compact"/>
              <w:jc w:val="left"/>
            </w:pPr>
            <w:r>
              <w:t xml:space="preserve">Acuity levels 1 and 2 bypass the payment filter (Definition 17; Republic Act No. 10932, 2017). The gap was zero in all 80,000 simulated checks (Table 15).</w:t>
            </w:r>
          </w:p>
        </w:tc>
      </w:tr>
      <w:tr>
        <w:trPr>
          <w:cantSplit/>
        </w:trPr>
        <w:tc>
          <w:tcPr/>
          <w:p>
            <w:pPr>
              <w:pStyle w:val="Compact"/>
              <w:jc w:val="left"/>
            </w:pPr>
            <w:r>
              <w:t xml:space="preserve">Site-selection output read as a budget decision</w:t>
            </w:r>
          </w:p>
        </w:tc>
        <w:tc>
          <w:tcPr/>
          <w:p>
            <w:pPr>
              <w:pStyle w:val="Compact"/>
              <w:jc w:val="center"/>
            </w:pPr>
            <w:r>
              <w:t xml:space="preserve">Low</w:t>
            </w:r>
          </w:p>
        </w:tc>
        <w:tc>
          <w:tcPr/>
          <w:p>
            <w:pPr>
              <w:pStyle w:val="Compact"/>
              <w:jc w:val="left"/>
            </w:pPr>
            <w:r>
              <w:t xml:space="preserve">Results are labeled as model outputs; Definition 26 states what is and is not counted, and costs are not modeled (Limitation L18).</w:t>
            </w:r>
          </w:p>
        </w:tc>
      </w:tr>
      <w:tr>
        <w:trPr>
          <w:cantSplit/>
        </w:trPr>
        <w:tc>
          <w:tcPr/>
          <w:p>
            <w:pPr>
              <w:pStyle w:val="Compact"/>
              <w:jc w:val="left"/>
            </w:pPr>
            <w:r>
              <w:t xml:space="preserve">Forged or spoofed reply received</w:t>
            </w:r>
          </w:p>
        </w:tc>
        <w:tc>
          <w:tcPr/>
          <w:p>
            <w:pPr>
              <w:pStyle w:val="Compact"/>
              <w:jc w:val="center"/>
            </w:pPr>
            <w:r>
              <w:t xml:space="preserve">Low</w:t>
            </w:r>
          </w:p>
        </w:tc>
        <w:tc>
          <w:tcPr/>
          <w:p>
            <w:pPr>
              <w:pStyle w:val="Compact"/>
              <w:jc w:val="left"/>
            </w:pPr>
            <w:r>
              <w:t xml:space="preserve">Rule V1 checks the sender and a one-time token. All 200 attempted forgeries were rejected.</w:t>
            </w:r>
          </w:p>
        </w:tc>
      </w:tr>
      <w:tr>
        <w:trPr>
          <w:cantSplit/>
        </w:trPr>
        <w:tc>
          <w:tcPr/>
          <w:p>
            <w:pPr>
              <w:pStyle w:val="Compact"/>
              <w:jc w:val="left"/>
            </w:pPr>
            <w:r>
              <w:t xml:space="preserve">Personal information received by mistake</w:t>
            </w:r>
          </w:p>
        </w:tc>
        <w:tc>
          <w:tcPr/>
          <w:p>
            <w:pPr>
              <w:pStyle w:val="Compact"/>
              <w:jc w:val="center"/>
            </w:pPr>
            <w:r>
              <w:t xml:space="preserve">Low</w:t>
            </w:r>
          </w:p>
        </w:tc>
        <w:tc>
          <w:tcPr/>
          <w:p>
            <w:pPr>
              <w:pStyle w:val="Compact"/>
              <w:jc w:val="left"/>
            </w:pPr>
            <w:r>
              <w:t xml:space="preserve">Inquiries ask only for aggregate counts. Any reply containing extra details is quarantined for human review, and non-aggregate text is deleted (Republic Act No. 10173, 2012).</w:t>
            </w:r>
          </w:p>
        </w:tc>
      </w:tr>
      <w:tr>
        <w:trPr>
          <w:cantSplit/>
        </w:trPr>
        <w:tc>
          <w:tcPr/>
          <w:p>
            <w:pPr>
              <w:pStyle w:val="Compact"/>
              <w:jc w:val="left"/>
            </w:pPr>
            <w:r>
              <w:t xml:space="preserve">Loss of code or data</w:t>
            </w:r>
          </w:p>
        </w:tc>
        <w:tc>
          <w:tcPr/>
          <w:p>
            <w:pPr>
              <w:pStyle w:val="Compact"/>
              <w:jc w:val="center"/>
            </w:pPr>
            <w:r>
              <w:t xml:space="preserve">Low</w:t>
            </w:r>
          </w:p>
        </w:tc>
        <w:tc>
          <w:tcPr/>
          <w:p>
            <w:pPr>
              <w:pStyle w:val="Compact"/>
              <w:jc w:val="left"/>
            </w:pPr>
            <w:r>
              <w:t xml:space="preserve">Version control with remote backups. Every reported figure can be traced to a specific script, seed, and input checksum.</w:t>
            </w:r>
          </w:p>
        </w:tc>
      </w:tr>
    </w:tbl>
    <w:bookmarkEnd w:id="197"/>
    <w:bookmarkStart w:id="198" w:name="X2aa45a59dae3061b71d935eb8a0bd259fd42aef"/>
    <w:p>
      <w:pPr>
        <w:pStyle w:val="Heading1"/>
      </w:pPr>
      <w:r>
        <w:t xml:space="preserve">APPENDIX F. THE INQUIRY MESSAGE AND ITS REPLY FORM</w:t>
      </w:r>
    </w:p>
    <w:p>
      <w:pPr>
        <w:pStyle w:val="FirstParagraph"/>
      </w:pPr>
      <w:r>
        <w:t xml:space="preserve">The message template of the Inquiry agent is shown below. Words in capitals are the terms the Reader looks for, and the subject line carries the one-time reference token (rule V1). This message has never been sent to a real facility; it was written only for testing.</w:t>
      </w:r>
    </w:p>
    <w:p>
      <w:pPr>
        <w:pStyle w:val="LetterBlock"/>
      </w:pPr>
      <w:r>
        <w:t xml:space="preserve">Subject: Request for bed status [BSI-7c2e90d4a1b8]</w:t>
      </w:r>
      <w:r>
        <w:br/>
      </w:r>
      <w:r>
        <w:t xml:space="preserve">To: the facility’s published official address</w:t>
      </w:r>
    </w:p>
    <w:p>
      <w:pPr>
        <w:pStyle w:val="LetterBlock"/>
      </w:pPr>
      <w:r>
        <w:t xml:space="preserve">Good day.</w:t>
      </w:r>
    </w:p>
    <w:p>
      <w:pPr>
        <w:pStyle w:val="LetterBlock"/>
      </w:pPr>
      <w:r>
        <w:t xml:space="preserve">This message was sent automatically by a bed-availability service built as a student research project at Legazpi City Science High School in Legazpi City; our research adviser is Dick Anthony M. Calleja. We built it so that ambulance crews and patients in Albay can find a hospital with a bed available.</w:t>
      </w:r>
    </w:p>
    <w:p>
      <w:pPr>
        <w:pStyle w:val="LetterBlock"/>
      </w:pPr>
      <w:r>
        <w:t xml:space="preserve">Only three items are needed, and no patient information should be included. Kindly answer by replying to this message. Please keep the code in the subject line as it is and complete the three lines below:</w:t>
      </w:r>
    </w:p>
    <w:p>
      <w:pPr>
        <w:pStyle w:val="LetterBlock"/>
      </w:pPr>
      <w:r>
        <w:t xml:space="preserve">AUTHORIZED BED CAPACITY:</w:t>
      </w:r>
      <w:r>
        <w:br/>
      </w:r>
      <w:r>
        <w:t xml:space="preserve">BEDS NOW OCCUPIED:</w:t>
      </w:r>
      <w:r>
        <w:br/>
      </w:r>
      <w:r>
        <w:t xml:space="preserve">EMERGENCY ROOM STATUS: ACCEPTING / FULL</w:t>
      </w:r>
    </w:p>
    <w:p>
      <w:pPr>
        <w:pStyle w:val="LetterBlock"/>
      </w:pPr>
      <w:r>
        <w:t xml:space="preserve">The app will show your answer as free beds, together with the time you replied.</w:t>
      </w:r>
    </w:p>
    <w:p>
      <w:pPr>
        <w:pStyle w:val="LetterBlock"/>
      </w:pPr>
      <w:r>
        <w:t xml:space="preserve">You will get this request at most three times daily, and never more than one reminder after each. To receive it only once a day, reply ONCE A DAY; to stop it, reply REMOVE US.</w:t>
      </w:r>
    </w:p>
    <w:p>
      <w:pPr>
        <w:pStyle w:val="LetterBlock"/>
      </w:pPr>
      <w:r>
        <w:t xml:space="preserve">Thank you very much.</w:t>
      </w:r>
    </w:p>
    <w:p>
      <w:pPr>
        <w:pStyle w:val="LetterBlock"/>
      </w:pPr>
      <w:r>
        <w:t xml:space="preserve">[project e-mail address] | Bitano, Legazpi City | Legazpi City Science High School</w:t>
      </w:r>
    </w:p>
    <w:p>
      <w:pPr>
        <w:pStyle w:val="BodyText"/>
      </w:pPr>
      <w:r>
        <w:t xml:space="preserve">The Reader accepts the reply form in capital or small letters and also free text in English or Filipino. As long as the information is stated clearly, it recognizes capacity together with either occupied or free beds, for example</w:t>
      </w:r>
      <w:r>
        <w:t xml:space="preserve"> </w:t>
      </w:r>
      <w:r>
        <w:t xml:space="preserve">“</w:t>
      </w:r>
      <w:r>
        <w:t xml:space="preserve">Okupado: 61</w:t>
      </w:r>
      <w:r>
        <w:t xml:space="preserve">”</w:t>
      </w:r>
      <w:r>
        <w:t xml:space="preserve"> </w:t>
      </w:r>
      <w:r>
        <w:t xml:space="preserve">and</w:t>
      </w:r>
      <w:r>
        <w:t xml:space="preserve"> </w:t>
      </w:r>
      <w:r>
        <w:t xml:space="preserve">“</w:t>
      </w:r>
      <w:r>
        <w:t xml:space="preserve">Kabuuang kama: 85.</w:t>
      </w:r>
      <w:r>
        <w:t xml:space="preserve">”</w:t>
      </w:r>
      <w:r>
        <w:t xml:space="preserve"> </w:t>
      </w:r>
      <w:r>
        <w:t xml:space="preserve">When a reply gives only a percentage, two different numbers for one item, or no numbers at all, the Reader does not guess; the reply goes to a human reviewer.</w:t>
      </w:r>
    </w:p>
    <w:bookmarkEnd w:id="198"/>
    <w:bookmarkStart w:id="199" w:name="appendix-g.-reproducing-the-new-results"/>
    <w:p>
      <w:pPr>
        <w:pStyle w:val="Heading1"/>
      </w:pPr>
      <w:r>
        <w:t xml:space="preserve">APPENDIX G. REPRODUCING THE NEW RESULTS</w:t>
      </w:r>
    </w:p>
    <w:p>
      <w:pPr>
        <w:pStyle w:val="FirstParagraph"/>
      </w:pPr>
      <w:r>
        <w:t xml:space="preserve">Tables 16, 19, 28, 29, and 30 and Figure 4 are produced by</w:t>
      </w:r>
      <w:r>
        <w:t xml:space="preserve"> </w:t>
      </w:r>
      <w:r>
        <w:rPr>
          <w:rStyle w:val="VerbatimChar"/>
        </w:rPr>
        <w:t xml:space="preserve">verify_patient_extensions.py</w:t>
      </w:r>
      <w:r>
        <w:t xml:space="preserve">, kept in the project repository with its output file</w:t>
      </w:r>
      <w:r>
        <w:t xml:space="preserve"> </w:t>
      </w:r>
      <w:r>
        <w:rPr>
          <w:rStyle w:val="VerbatimChar"/>
        </w:rPr>
        <w:t xml:space="preserve">results.json</w:t>
      </w:r>
      <w:r>
        <w:t xml:space="preserve">. The script needs Python 3 with the numpy and scipy packages and runs in under a minute on one core. It uses the seed 20261013 for every random choice, so a second run gives the same numbers. It does four things in order:</w:t>
      </w:r>
    </w:p>
    <w:p>
      <w:pPr>
        <w:numPr>
          <w:ilvl w:val="0"/>
          <w:numId w:val="1014"/>
        </w:numPr>
        <w:pStyle w:val="BodyText"/>
        <w:spacing w:after="80"/>
      </w:pPr>
      <w:r>
        <w:t xml:space="preserve">recomputes Tables 22 and 27 from the travel times of Table 21 as a consistency check, then computes Tables 28 to 30 for instance S1;</w:t>
      </w:r>
    </w:p>
    <w:p>
      <w:pPr>
        <w:numPr>
          <w:ilvl w:val="0"/>
          <w:numId w:val="1014"/>
        </w:numPr>
        <w:pStyle w:val="BodyText"/>
        <w:spacing w:after="80"/>
      </w:pPr>
      <w:r>
        <w:t xml:space="preserve">generates random road graphs, hospitals, and patient profiles, and checks Propositions 9, 10(iv), 14, and 17 against Floyd-Warshall distances, per-vertex searches, and segment-by-segment closures;</w:t>
      </w:r>
    </w:p>
    <w:p>
      <w:pPr>
        <w:numPr>
          <w:ilvl w:val="0"/>
          <w:numId w:val="1014"/>
        </w:numPr>
        <w:pStyle w:val="BodyText"/>
        <w:spacing w:after="80"/>
      </w:pPr>
      <w:r>
        <w:t xml:space="preserve">generates random anchor-hospital instances and checks Propositions 15, 16, and 18 against direct summation, the assignment solver of scipy together with two simple allocation rules, and exhaustive search over all subsets; and</w:t>
      </w:r>
    </w:p>
    <w:p>
      <w:pPr>
        <w:numPr>
          <w:ilvl w:val="0"/>
          <w:numId w:val="1014"/>
        </w:numPr>
        <w:pStyle w:val="BodyText"/>
        <w:spacing w:after="80"/>
      </w:pPr>
      <w:r>
        <w:t xml:space="preserve">generates random timetables with hospital sinks and checks Propositions 9 and 13 in patient mode.</w:t>
      </w:r>
    </w:p>
    <w:p>
      <w:pPr>
        <w:pStyle w:val="FirstParagraph"/>
      </w:pPr>
      <w:r>
        <w:t xml:space="preserve">Every number reported from the script is a model output on synthetic or invented inputs and says nothing about real hospitals in Albay.</w:t>
      </w:r>
    </w:p>
    <w:bookmarkEnd w:id="199"/>
    <w:bookmarkStart w:id="200" w:name="ethics-statement"/>
    <w:p>
      <w:pPr>
        <w:pStyle w:val="Heading1"/>
      </w:pPr>
      <w:r>
        <w:t xml:space="preserve">ETHICS STATEMENT</w:t>
      </w:r>
    </w:p>
    <w:p>
      <w:pPr>
        <w:pStyle w:val="FirstParagraph"/>
      </w:pPr>
      <w:r>
        <w:t xml:space="preserve">The study is computational. No human subjects took part and no personal data were gathered. There was no survey or interview, no hospital was contacted, and no chemical, hazardous device, or biological agent was used. There was no fieldwork, and this study proposes none without the approvals listed below.</w:t>
      </w:r>
    </w:p>
    <w:p>
      <w:pPr>
        <w:pStyle w:val="BodyText"/>
      </w:pPr>
      <w:r>
        <w:t xml:space="preserve">Road, transit, landmark, hospital, and population data come either from the public sources of Appendix A or from synthetic instances made for verification and plainly marked, such as instance S1 and the mock mail server of Section 3.3. All sources are used on their published terms, and OpenStreetMap data carry the attribution that the Open Database License requires (OpenStreetMap contributors, 2026).</w:t>
      </w:r>
    </w:p>
    <w:p>
      <w:pPr>
        <w:pStyle w:val="BodyText"/>
      </w:pPr>
      <w:r>
        <w:t xml:space="preserve">The protocol and the message in Appendix F must be approved by the Scientific Review Committee before any real hospital receives a message. Messages will go only to addresses that facilities publish themselves. Each message states that it is automated and part of a student project, names the project adviser, asks only for aggregate bed counts, and asks hospitals to leave out any patient information. In line with Proposition 12, the number of messages is strictly limited and every opt-out is honored at once. Bed counts are shown only by facility and always with a time stamp. Individual patient data are never requested, stored, or displayed, and facility addresses are handled in accordance with the Data Privacy Act of 2012 (Republic Act No. 10173). Hospital mode only helps with routing. It does not diagnose, triage, or recommend treatment, and it does not replace the judgment of an ambulance crew or of emergency services (Executive Order No. 56, 2018). The acuity level, required services, payment class, and mobility class that a user enters are used only for the current request and are discarded immediately afterward.</w:t>
      </w:r>
    </w:p>
    <w:p>
      <w:pPr>
        <w:pStyle w:val="BodyText"/>
      </w:pPr>
      <w:r>
        <w:t xml:space="preserve">Data integrity was a priority throughout. None of the figures in this paper is a real clinical or operational measurement. As Section 3.0 explains, every result from generated or synthetic inputs is labeled as a model output and kept apart from observational data. Plagiarism, data fabrication, and other scientific misconduct are forbidden. The hospital-mode and agent-network figures were generated by</w:t>
      </w:r>
      <w:r>
        <w:t xml:space="preserve"> </w:t>
      </w:r>
      <w:r>
        <w:rPr>
          <w:rStyle w:val="VerbatimChar"/>
        </w:rPr>
        <w:t xml:space="preserve">verify_hospital_mode.py</w:t>
      </w:r>
      <w:r>
        <w:t xml:space="preserve">, and the patient-needs and planning figures by</w:t>
      </w:r>
      <w:r>
        <w:t xml:space="preserve"> </w:t>
      </w:r>
      <w:r>
        <w:rPr>
          <w:rStyle w:val="VerbatimChar"/>
        </w:rPr>
        <w:t xml:space="preserve">verify_patient_extensions.py</w:t>
      </w:r>
      <w:r>
        <w:t xml:space="preserve">, each with a fixed random seed, so every figure in the paper can be traced to a specific script, data set, or test in the project pipeline.</w:t>
      </w:r>
    </w:p>
    <w:p>
      <w:pPr>
        <w:pStyle w:val="BodyText"/>
      </w:pPr>
      <w:r>
        <w:t xml:space="preserve">The first research plan asked volunteers to trace routes in the field with GPS. The fully computational approach of Section 3.1 replaced it, and the change was recorded in the Research Plan Addendum. Because the change removed human participants from the study, no further human-subjects review by the Scientific Review Committee was required, and no institutional review board evaluation was needed for this study. Any later field validation or live deployment of the software agents must first obtain permission from transport operators, terminal associations, and participating hospitals; must follow established safety protocols for investigators; must leave out personally identifiable information about commuters and patients; and must receive formal ethical clearance before any data are collected.</w:t>
      </w:r>
    </w:p>
    <w:bookmarkEnd w:id="200"/>
    <w:sectPr>
      <w:footerReference w:type="default" r:id="rId9"/>
      <w:pgSz w:h="15840" w:w="12240"/>
      <w:pgMar w:bottom="1440" w:left="1440" w:right="1440"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532">
    <w:nsid w:val="A99532"/>
    <w:multiLevelType w:val="multilevel"/>
    <w:lvl w:ilvl="0">
      <w:start w:val="2"/>
      <w:numFmt w:val="lowerRoman"/>
      <w:lvlText w:val="(%1)"/>
      <w:lvlJc w:val="left"/>
      <w:pPr>
        <w:ind w:left="720" w:hanging="480"/>
      </w:pPr>
    </w:lvl>
    <w:lvl w:ilvl="1">
      <w:start w:val="2"/>
      <w:numFmt w:val="lowerRoman"/>
      <w:lvlText w:val="(%2)"/>
      <w:lvlJc w:val="left"/>
      <w:pPr>
        <w:ind w:left="1440" w:hanging="480"/>
      </w:pPr>
    </w:lvl>
    <w:lvl w:ilvl="2">
      <w:start w:val="2"/>
      <w:numFmt w:val="lowerRoman"/>
      <w:lvlText w:val="(%3)"/>
      <w:lvlJc w:val="left"/>
      <w:pPr>
        <w:ind w:left="2160" w:hanging="480"/>
      </w:pPr>
    </w:lvl>
    <w:lvl w:ilvl="3">
      <w:start w:val="2"/>
      <w:numFmt w:val="lowerRoman"/>
      <w:lvlText w:val="(%4)"/>
      <w:lvlJc w:val="left"/>
      <w:pPr>
        <w:ind w:left="2880" w:hanging="480"/>
      </w:pPr>
    </w:lvl>
    <w:lvl w:ilvl="4">
      <w:start w:val="2"/>
      <w:numFmt w:val="lowerRoman"/>
      <w:lvlText w:val="(%5)"/>
      <w:lvlJc w:val="left"/>
      <w:pPr>
        <w:ind w:left="3600" w:hanging="480"/>
      </w:pPr>
    </w:lvl>
    <w:lvl w:ilvl="5">
      <w:start w:val="2"/>
      <w:numFmt w:val="lowerRoman"/>
      <w:lvlText w:val="(%6)"/>
      <w:lvlJc w:val="left"/>
      <w:pPr>
        <w:ind w:left="4320" w:hanging="480"/>
      </w:pPr>
    </w:lvl>
    <w:lvl w:ilvl="6">
      <w:start w:val="2"/>
      <w:numFmt w:val="lowerRoman"/>
      <w:lvlText w:val="(%7)"/>
      <w:lvlJc w:val="left"/>
      <w:pPr>
        <w:ind w:left="5040" w:hanging="480"/>
      </w:pPr>
    </w:lvl>
    <w:lvl w:ilvl="7">
      <w:start w:val="2"/>
      <w:numFmt w:val="lowerRoman"/>
      <w:lvlText w:val="(%8)"/>
      <w:lvlJc w:val="left"/>
      <w:pPr>
        <w:ind w:left="5760" w:hanging="480"/>
      </w:pPr>
    </w:lvl>
    <w:lvl w:ilvl="8">
      <w:start w:val="2"/>
      <w:numFmt w:val="lowerRoman"/>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360" w:lineRule="auto"/>
      <w:jc w:val="both"/>
    </w:pPr>
    <w:rPr>
      <w:rFonts w:ascii="Times New Roman" w:cs="Times New Roman" w:eastAsia="Times New Roman" w:hAnsi="Times New Roman"/>
      <w:color w:val="000000"/>
      <w:sz w:val="24"/>
    </w:rPr>
  </w:style>
  <w:style w:styleId="BodyText" w:type="paragraph">
    <w:name w:val="Body Text"/>
    <w:basedOn w:val="Normal"/>
    <w:link w:val="BodyTextChar"/>
    <w:pPr>
      <w:spacing w:after="160" w:before="0" w:line="360" w:lineRule="auto"/>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60" w:before="0" w:line="36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20" w:before="20" w:line="240" w:lineRule="auto"/>
      <w:jc w:val="left"/>
    </w:pPr>
    <w:rPr>
      <w:rFonts w:ascii="Times New Roman" w:cs="Times New Roman" w:eastAsia="Times New Roman" w:hAnsi="Times New Roman"/>
      <w:color w:val="000000"/>
      <w:sz w:val="21"/>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200" w:before="120" w:line="276" w:lineRule="auto"/>
    </w:pPr>
    <w:rPr>
      <w:color w:val="000000"/>
      <w:sz w:val="24"/>
      <w:szCs w:val="20"/>
      <w:rFonts w:ascii="Times New Roman" w:cs="Times New Roman" w:eastAsia="Times New Roman" w:hAnsi="Times New Roman"/>
      <w:b/>
      <w:i w:val="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120" w:before="200" w:line="276" w:lineRule="auto"/>
      <w:jc w:val="both"/>
    </w:pPr>
    <w:rPr>
      <w:rFonts w:ascii="Times New Roman" w:cs="Times New Roman" w:eastAsia="Times New Roman" w:hAnsi="Times New Roman"/>
      <w:b w:val="0"/>
      <w:i w:val="0"/>
      <w:color w:val="000000"/>
      <w:sz w:val="24"/>
    </w:rPr>
  </w:style>
  <w:style w:customStyle="1" w:styleId="ImageCaption" w:type="paragraph">
    <w:name w:val="Image Caption"/>
    <w:basedOn w:val="Caption"/>
    <w:pPr>
      <w:spacing w:after="240" w:before="80" w:line="276" w:lineRule="auto"/>
      <w:jc w:val="both"/>
    </w:pPr>
    <w:rPr>
      <w:rFonts w:ascii="Times New Roman" w:cs="Times New Roman" w:eastAsia="Times New Roman" w:hAnsi="Times New Roman"/>
      <w:b w:val="0"/>
      <w:i w:val="0"/>
      <w:color w:val="000000"/>
      <w:sz w:val="22"/>
    </w:rPr>
  </w:style>
  <w:style w:customStyle="1" w:styleId="Figure" w:type="paragraph">
    <w:name w:val="Figure"/>
    <w:basedOn w:val="Normal"/>
    <w:pPr>
      <w:spacing w:after="0" w:before="160" w:line="240" w:lineRule="auto"/>
      <w:jc w:val="center"/>
    </w:pPr>
    <w:rPr>
      <w:rFonts w:ascii="Times New Roman" w:cs="Times New Roman" w:eastAsia="Times New Roman" w:hAnsi="Times New Roman"/>
      <w:b w:val="0"/>
      <w:i w:val="0"/>
      <w:color w:val="000000"/>
      <w:sz w:val="24"/>
    </w:rPr>
  </w:style>
  <w:style w:customStyle="1" w:styleId="CaptionedFigure" w:type="paragraph">
    <w:name w:val="Captioned Figure"/>
    <w:basedOn w:val="Figure"/>
    <w:pPr>
      <w:keepNext/>
      <w:spacing w:after="0" w:before="160" w:line="240" w:lineRule="auto"/>
      <w:jc w:val="center"/>
    </w:pPr>
    <w:rPr>
      <w:rFonts w:ascii="Times New Roman" w:cs="Times New Roman" w:eastAsia="Times New Roman" w:hAnsi="Times New Roman"/>
      <w:b w:val="0"/>
      <w:i w:val="0"/>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color w:val="00000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after="240" w:before="0" w:line="360" w:lineRule="auto"/>
      <w:jc w:val="left"/>
      <w:outlineLvl w:val="9"/>
    </w:pPr>
    <w:rPr>
      <w:rFonts w:ascii="Times New Roman" w:cs="Times New Roman" w:eastAsia="Times New Roman" w:hAnsi="Times New Roman"/>
      <w:b/>
      <w:bCs w:val="0"/>
      <w:i w:val="0"/>
      <w:color w:val="000000"/>
      <w:sz w:val="24"/>
    </w:rPr>
  </w:style>
  <w:style w:customStyle="1" w:styleId="Heading1" w:type="paragraph">
    <w:name w:val="heading 1"/>
    <w:basedOn w:val="Normal"/>
    <w:qFormat/>
    <w:pPr>
      <w:keepNext/>
      <w:spacing w:after="120" w:before="360" w:line="360" w:lineRule="auto"/>
      <w:jc w:val="left"/>
    </w:pPr>
    <w:rPr>
      <w:rFonts w:ascii="Times New Roman" w:cs="Times New Roman" w:eastAsia="Times New Roman" w:hAnsi="Times New Roman"/>
      <w:b/>
      <w:i w:val="0"/>
      <w:color w:val="000000"/>
      <w:sz w:val="24"/>
    </w:rPr>
  </w:style>
  <w:style w:customStyle="1" w:styleId="Heading2" w:type="paragraph">
    <w:name w:val="heading 2"/>
    <w:basedOn w:val="Normal"/>
    <w:qFormat/>
    <w:pPr>
      <w:keepNext/>
      <w:spacing w:after="120" w:before="280" w:line="360" w:lineRule="auto"/>
      <w:jc w:val="left"/>
    </w:pPr>
    <w:rPr>
      <w:rFonts w:ascii="Times New Roman" w:cs="Times New Roman" w:eastAsia="Times New Roman" w:hAnsi="Times New Roman"/>
      <w:b/>
      <w:i w:val="0"/>
      <w:color w:val="000000"/>
      <w:sz w:val="24"/>
    </w:rPr>
  </w:style>
  <w:style w:customStyle="1" w:styleId="Heading3" w:type="paragraph">
    <w:name w:val="heading 3"/>
    <w:basedOn w:val="Normal"/>
    <w:qFormat/>
    <w:pPr>
      <w:keepNext/>
      <w:spacing w:after="120" w:before="200" w:line="360" w:lineRule="auto"/>
      <w:jc w:val="left"/>
    </w:pPr>
    <w:rPr>
      <w:rFonts w:ascii="Times New Roman" w:cs="Times New Roman" w:eastAsia="Times New Roman" w:hAnsi="Times New Roman"/>
      <w:b/>
      <w:i w:val="0"/>
      <w:color w:val="000000"/>
      <w:sz w:val="24"/>
    </w:rPr>
  </w:style>
  <w:style w:customStyle="1" w:styleId="TitleCenter" w:type="paragraph">
    <w:name w:val="TitleCenter"/>
    <w:basedOn w:val="Normal"/>
    <w:qFormat/>
    <w:pPr>
      <w:spacing w:after="360" w:before="0" w:line="276" w:lineRule="auto"/>
      <w:jc w:val="center"/>
    </w:pPr>
    <w:rPr>
      <w:rFonts w:ascii="Times New Roman" w:cs="Times New Roman" w:eastAsia="Times New Roman" w:hAnsi="Times New Roman"/>
      <w:b w:val="0"/>
      <w:i w:val="0"/>
      <w:color w:val="000000"/>
      <w:sz w:val="24"/>
    </w:rPr>
  </w:style>
  <w:style w:customStyle="1" w:styleId="TitleSpacer" w:type="paragraph">
    <w:name w:val="TitleSpacer"/>
    <w:basedOn w:val="Normal"/>
    <w:qFormat/>
    <w:pPr>
      <w:spacing w:after="480" w:before="0" w:line="240" w:lineRule="auto"/>
      <w:jc w:val="center"/>
    </w:pPr>
    <w:rPr>
      <w:rFonts w:ascii="Times New Roman" w:cs="Times New Roman" w:eastAsia="Times New Roman" w:hAnsi="Times New Roman"/>
      <w:b w:val="0"/>
      <w:i w:val="0"/>
      <w:color w:val="000000"/>
      <w:sz w:val="24"/>
    </w:rPr>
  </w:style>
  <w:style w:customStyle="1" w:styleId="PaperTitle" w:type="paragraph">
    <w:name w:val="PaperTitle"/>
    <w:basedOn w:val="Normal"/>
    <w:qFormat/>
    <w:pPr>
      <w:spacing w:after="240" w:before="0" w:line="360" w:lineRule="auto"/>
      <w:jc w:val="center"/>
    </w:pPr>
    <w:rPr>
      <w:rFonts w:ascii="Times New Roman" w:cs="Times New Roman" w:eastAsia="Times New Roman" w:hAnsi="Times New Roman"/>
      <w:b/>
      <w:i w:val="0"/>
      <w:color w:val="000000"/>
      <w:sz w:val="32"/>
    </w:rPr>
  </w:style>
  <w:style w:customStyle="1" w:styleId="AbstractByline" w:type="paragraph">
    <w:name w:val="AbstractByline"/>
    <w:basedOn w:val="Normal"/>
    <w:qFormat/>
    <w:pPr>
      <w:spacing w:after="160" w:before="0" w:line="276" w:lineRule="auto"/>
      <w:jc w:val="center"/>
    </w:pPr>
    <w:rPr>
      <w:rFonts w:ascii="Times New Roman" w:cs="Times New Roman" w:eastAsia="Times New Roman" w:hAnsi="Times New Roman"/>
      <w:b w:val="0"/>
      <w:i/>
      <w:color w:val="000000"/>
      <w:sz w:val="24"/>
    </w:rPr>
  </w:style>
  <w:style w:customStyle="1" w:styleId="Source" w:type="paragraph">
    <w:name w:val="Source"/>
    <w:basedOn w:val="Normal"/>
    <w:qFormat/>
    <w:pPr>
      <w:spacing w:after="200" w:before="0" w:line="276" w:lineRule="auto"/>
      <w:jc w:val="center"/>
    </w:pPr>
    <w:rPr>
      <w:rFonts w:ascii="Times New Roman" w:cs="Times New Roman" w:eastAsia="Times New Roman" w:hAnsi="Times New Roman"/>
      <w:b w:val="0"/>
      <w:i/>
      <w:color w:val="000000"/>
      <w:sz w:val="22"/>
    </w:rPr>
  </w:style>
  <w:style w:customStyle="1" w:styleId="TableNote" w:type="paragraph">
    <w:name w:val="TableNote"/>
    <w:basedOn w:val="Normal"/>
    <w:qFormat/>
    <w:pPr>
      <w:spacing w:after="200" w:before="80" w:line="276" w:lineRule="auto"/>
      <w:jc w:val="both"/>
    </w:pPr>
    <w:rPr>
      <w:rFonts w:ascii="Times New Roman" w:cs="Times New Roman" w:eastAsia="Times New Roman" w:hAnsi="Times New Roman"/>
      <w:b w:val="0"/>
      <w:i w:val="0"/>
      <w:color w:val="000000"/>
      <w:sz w:val="21"/>
    </w:rPr>
  </w:style>
  <w:style w:customStyle="1" w:styleId="AlgoTitle" w:type="paragraph">
    <w:name w:val="AlgoTitle"/>
    <w:basedOn w:val="Normal"/>
    <w:qFormat/>
    <w:pPr>
      <w:keepNext/>
      <w:spacing w:after="80" w:before="200" w:line="276" w:lineRule="auto"/>
      <w:jc w:val="left"/>
    </w:pPr>
    <w:rPr>
      <w:rFonts w:ascii="Times New Roman" w:cs="Times New Roman" w:eastAsia="Times New Roman" w:hAnsi="Times New Roman"/>
      <w:b w:val="0"/>
      <w:i w:val="0"/>
      <w:color w:val="000000"/>
      <w:sz w:val="24"/>
    </w:rPr>
  </w:style>
  <w:style w:customStyle="1" w:styleId="LetterBlock" w:type="paragraph">
    <w:name w:val="LetterBlock"/>
    <w:basedOn w:val="Normal"/>
    <w:qFormat/>
    <w:pPr>
      <w:spacing w:after="120" w:before="0" w:line="276" w:lineRule="auto"/>
      <w:ind w:left="720" w:right="576"/>
      <w:jc w:val="left"/>
    </w:pPr>
    <w:rPr>
      <w:rFonts w:ascii="Times New Roman" w:cs="Times New Roman" w:eastAsia="Times New Roman" w:hAnsi="Times New Roman"/>
      <w:b w:val="0"/>
      <w:i w:val="0"/>
      <w:color w:val="000000"/>
      <w:sz w:val="22"/>
    </w:rPr>
  </w:style>
  <w:style w:customStyle="1" w:styleId="Reference" w:type="paragraph">
    <w:name w:val="Reference"/>
    <w:basedOn w:val="Normal"/>
    <w:qFormat/>
    <w:pPr>
      <w:spacing w:after="120" w:before="0" w:line="360" w:lineRule="auto"/>
      <w:ind w:hanging="720" w:left="720"/>
      <w:jc w:val="left"/>
    </w:pPr>
    <w:rPr>
      <w:rFonts w:ascii="Times New Roman" w:cs="Times New Roman" w:eastAsia="Times New Roman" w:hAnsi="Times New Roman"/>
      <w:b w:val="0"/>
      <w:i w:val="0"/>
      <w:color w:val="000000"/>
      <w:sz w:val="24"/>
    </w:rPr>
  </w:style>
  <w:style w:customStyle="1" w:styleId="Equation" w:type="paragraph">
    <w:name w:val="Equation"/>
    <w:basedOn w:val="Normal"/>
    <w:qFormat/>
    <w:pPr>
      <w:keepNext/>
      <w:tabs>
        <w:tab w:pos="4680" w:val="center"/>
        <w:tab w:pos="9360" w:val="right"/>
      </w:tabs>
      <w:spacing w:after="120" w:before="120" w:line="240" w:lineRule="auto"/>
      <w:jc w:val="left"/>
    </w:pPr>
    <w:rPr>
      <w:rFonts w:ascii="Times New Roman" w:cs="Times New Roman" w:eastAsia="Times New Roman" w:hAnsi="Times New Roman"/>
      <w:b w:val="0"/>
      <w:i w:val="0"/>
      <w:color w:val="000000"/>
      <w:sz w:val="24"/>
    </w:rPr>
  </w:style>
  <w:style w:customStyle="1" w:styleId="TOC1" w:type="paragraph">
    <w:name w:val="TOC 1"/>
    <w:basedOn w:val="Normal"/>
    <w:qFormat/>
    <w:pPr>
      <w:tabs>
        <w:tab w:leader="dot" w:pos="9360" w:val="right"/>
      </w:tabs>
      <w:spacing w:after="80" w:before="0" w:line="276" w:lineRule="auto"/>
      <w:ind w:left="0"/>
      <w:jc w:val="left"/>
    </w:pPr>
    <w:rPr>
      <w:rFonts w:ascii="Times New Roman" w:cs="Times New Roman" w:eastAsia="Times New Roman" w:hAnsi="Times New Roman"/>
      <w:b/>
      <w:color w:val="000000"/>
      <w:sz w:val="24"/>
    </w:rPr>
  </w:style>
  <w:style w:customStyle="1" w:styleId="TOC2" w:type="paragraph">
    <w:name w:val="TOC 2"/>
    <w:basedOn w:val="Normal"/>
    <w:qFormat/>
    <w:pPr>
      <w:tabs>
        <w:tab w:leader="dot" w:pos="9360" w:val="right"/>
      </w:tabs>
      <w:spacing w:after="80" w:before="0" w:line="276" w:lineRule="auto"/>
      <w:ind w:left="576"/>
      <w:jc w:val="left"/>
    </w:pPr>
    <w:rPr>
      <w:rFonts w:ascii="Times New Roman" w:cs="Times New Roman" w:eastAsia="Times New Roman" w:hAnsi="Times New Roman"/>
      <w:b w:val="0"/>
      <w:color w:val="000000"/>
      <w:sz w:val="24"/>
    </w:rPr>
  </w:style>
  <w:style w:customStyle="1" w:styleId="TOC3" w:type="paragraph">
    <w:name w:val="TOC 3"/>
    <w:basedOn w:val="Normal"/>
    <w:qFormat/>
    <w:pPr>
      <w:tabs>
        <w:tab w:leader="dot" w:pos="9360" w:val="right"/>
      </w:tabs>
      <w:spacing w:after="80" w:before="0" w:line="276" w:lineRule="auto"/>
      <w:ind w:left="1152"/>
      <w:jc w:val="left"/>
    </w:pPr>
    <w:rPr>
      <w:rFonts w:ascii="Times New Roman" w:cs="Times New Roman" w:eastAsia="Times New Roman" w:hAnsi="Times New Roman"/>
      <w:b w:val="0"/>
      <w:color w:val="000000"/>
      <w:sz w:val="24"/>
    </w:rPr>
  </w:style>
  <w:style w:customStyle="1" w:styleId="SourceCode" w:type="paragraph">
    <w:name w:val="Source Code"/>
    <w:basedOn w:val="Normal"/>
    <w:qFormat/>
    <w:pPr>
      <w:spacing w:after="0" w:before="0" w:line="240" w:lineRule="auto"/>
      <w:jc w:val="left"/>
    </w:pPr>
    <w:rPr>
      <w:rFonts w:ascii="Courier New" w:cs="Courier New" w:eastAsia="Courier New" w:hAnsi="Courier New"/>
      <w:color w:val="000000"/>
      <w:sz w:val="19"/>
    </w:rPr>
  </w:style>
  <w:style w:type="paragraph" w:customStyle="1" w:styleId="AbstractTitle">
    <w:name w:val="AbstractTitle"/>
    <w:basedOn w:val="BodyText"/>
    <w:qFormat/>
  </w:style>
  <w:style w:type="paragraph" w:customStyle="1" w:styleId="TOCHeading">
    <w:name w:val="TOCHeading"/>
    <w:basedOn w:val="BodyText"/>
    <w:qFormat/>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0" Type="http://schemas.openxmlformats.org/officeDocument/2006/relationships/image" Target="media/rId50.png"/><Relationship Id="rId55" Type="http://schemas.openxmlformats.org/officeDocument/2006/relationships/image" Target="media/rId55.png"/><Relationship Id="rId58" Type="http://schemas.openxmlformats.org/officeDocument/2006/relationships/image" Target="media/rId58.png"/><Relationship Id="rId61" Type="http://schemas.openxmlformats.org/officeDocument/2006/relationships/image" Target="media/rId61.png"/><Relationship Id="rId64" Type="http://schemas.openxmlformats.org/officeDocument/2006/relationships/image" Target="media/rId64.png"/><Relationship Id="rId68" Type="http://schemas.openxmlformats.org/officeDocument/2006/relationships/image" Target="media/rId68.png"/><Relationship Id="rId71" Type="http://schemas.openxmlformats.org/officeDocument/2006/relationships/image" Target="media/rId71.png"/><Relationship Id="rId75" Type="http://schemas.openxmlformats.org/officeDocument/2006/relationships/image" Target="media/rId75.png"/><Relationship Id="rId79" Type="http://schemas.openxmlformats.org/officeDocument/2006/relationships/image" Target="media/rId79.png"/><Relationship Id="rId82" Type="http://schemas.openxmlformats.org/officeDocument/2006/relationships/image" Target="media/rId82.png"/><Relationship Id="rId86" Type="http://schemas.openxmlformats.org/officeDocument/2006/relationships/image" Target="media/rId86.png"/><Relationship Id="rId89" Type="http://schemas.openxmlformats.org/officeDocument/2006/relationships/image" Target="media/rId89.png"/><Relationship Id="rId93" Type="http://schemas.openxmlformats.org/officeDocument/2006/relationships/image" Target="media/rId93.png"/><Relationship Id="rId99" Type="http://schemas.openxmlformats.org/officeDocument/2006/relationships/image" Target="media/rId99.png"/><Relationship Id="rId102" Type="http://schemas.openxmlformats.org/officeDocument/2006/relationships/image" Target="media/rId102.png"/><Relationship Id="rId107" Type="http://schemas.openxmlformats.org/officeDocument/2006/relationships/image" Target="media/rId107.png"/><Relationship Id="rId110" Type="http://schemas.openxmlformats.org/officeDocument/2006/relationships/image" Target="media/rId110.png"/><Relationship Id="rId113" Type="http://schemas.openxmlformats.org/officeDocument/2006/relationships/image" Target="media/rId113.png"/><Relationship Id="rId120" Type="http://schemas.openxmlformats.org/officeDocument/2006/relationships/image" Target="media/rId120.png"/><Relationship Id="rId123" Type="http://schemas.openxmlformats.org/officeDocument/2006/relationships/image" Target="media/rId123.png"/><Relationship Id="rId126" Type="http://schemas.openxmlformats.org/officeDocument/2006/relationships/image" Target="media/rId126.png"/><Relationship Id="rId129" Type="http://schemas.openxmlformats.org/officeDocument/2006/relationships/image" Target="media/rId129.png"/><Relationship Id="rId132" Type="http://schemas.openxmlformats.org/officeDocument/2006/relationships/image" Target="media/rId132.png"/><Relationship Id="rId136" Type="http://schemas.openxmlformats.org/officeDocument/2006/relationships/image" Target="media/rId136.png"/><Relationship Id="rId140" Type="http://schemas.openxmlformats.org/officeDocument/2006/relationships/image" Target="media/rId140.png"/><Relationship Id="rId143" Type="http://schemas.openxmlformats.org/officeDocument/2006/relationships/image" Target="media/rId143.png"/><Relationship Id="rId152" Type="http://schemas.openxmlformats.org/officeDocument/2006/relationships/image" Target="media/rId152.png"/><Relationship Id="rId155" Type="http://schemas.openxmlformats.org/officeDocument/2006/relationships/image" Target="media/rId155.png"/><Relationship Id="rId158" Type="http://schemas.openxmlformats.org/officeDocument/2006/relationships/image" Target="media/rId158.png"/><Relationship Id="rId161" Type="http://schemas.openxmlformats.org/officeDocument/2006/relationships/image" Target="media/rId161.png"/><Relationship Id="rId164" Type="http://schemas.openxmlformats.org/officeDocument/2006/relationships/image" Target="media/rId164.png"/><Relationship Id="rId167" Type="http://schemas.openxmlformats.org/officeDocument/2006/relationships/image" Target="media/rId167.png"/><Relationship Id="rId20" Type="http://schemas.openxmlformats.org/officeDocument/2006/relationships/image" Target="media/rId20.png"/><Relationship Id="rId47" Type="http://schemas.openxmlformats.org/officeDocument/2006/relationships/image" Target="media/rId47.png"/><Relationship Id="rId96" Type="http://schemas.openxmlformats.org/officeDocument/2006/relationships/image" Target="media/rId96.png"/><Relationship Id="rId116" Type="http://schemas.openxmlformats.org/officeDocument/2006/relationships/image" Target="media/rId116.png"/><Relationship Id="rId175" Type="http://schemas.openxmlformats.org/officeDocument/2006/relationships/image" Target="media/rId17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2026-10-13T03:27:43Z</dcterms:created>
  <dcterms:modified xsi:type="dcterms:W3CDTF">2026-10-13T03:27:43Z</dcterms:modified>
</cp:coreProperties>
</file>

<file path=docProps/custom.xml><?xml version="1.0" encoding="utf-8"?>
<Properties xmlns="http://schemas.openxmlformats.org/officeDocument/2006/custom-properties" xmlns:vt="http://schemas.openxmlformats.org/officeDocument/2006/docPropsVTypes"/>
</file>