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0078" w14:textId="531F96E0" w:rsidR="00187D59" w:rsidRDefault="00187D59" w:rsidP="00187D5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EPM</w:t>
      </w:r>
    </w:p>
    <w:p w14:paraId="7DEBE098" w14:textId="77777777" w:rsidR="00967E8E" w:rsidRDefault="00967E8E" w:rsidP="00187D59">
      <w:pPr>
        <w:pStyle w:val="Default"/>
        <w:jc w:val="center"/>
        <w:rPr>
          <w:b/>
          <w:bCs/>
          <w:sz w:val="32"/>
          <w:szCs w:val="32"/>
        </w:rPr>
      </w:pPr>
    </w:p>
    <w:p w14:paraId="0B9E41B1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Lékařské aplikace EM pole – tepelné vs. netepelné účinky. </w:t>
      </w:r>
    </w:p>
    <w:p w14:paraId="514ACADD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Lékařské aplikace EM pole – léčba (uvést základní příklady). </w:t>
      </w:r>
    </w:p>
    <w:p w14:paraId="3D555687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Lékařské aplikace EM pole – diagnostika (uvést základní příklady). </w:t>
      </w:r>
    </w:p>
    <w:p w14:paraId="0DE55582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Lékařské aplikace mikrovlnné techniky – součást přístrojů (uvést základní příklady). </w:t>
      </w:r>
    </w:p>
    <w:p w14:paraId="320E1540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Interakce EM pole s biologickou tkání. </w:t>
      </w:r>
    </w:p>
    <w:p w14:paraId="6151F47E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Biologické účinky EM pole (uvést základní kritéria). </w:t>
      </w:r>
    </w:p>
    <w:p w14:paraId="201D611D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Technické vybavení (souprava) pro léčbu mikrovlnnou termoterapií. </w:t>
      </w:r>
    </w:p>
    <w:p w14:paraId="2223591F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Efektivní hloubka hypertermického ohřevu. </w:t>
      </w:r>
    </w:p>
    <w:p w14:paraId="411ECDF5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Frekvence vyčleněné pro lékařské účely. </w:t>
      </w:r>
    </w:p>
    <w:p w14:paraId="55D005B9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Aplikátory tvořené vlnovodem. </w:t>
      </w:r>
    </w:p>
    <w:p w14:paraId="28785C41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Planární aplikátory. </w:t>
      </w:r>
    </w:p>
    <w:p w14:paraId="2C77FF7C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Aplikátory pro </w:t>
      </w:r>
      <w:proofErr w:type="spellStart"/>
      <w:r>
        <w:rPr>
          <w:rFonts w:ascii="Times New Roman" w:hAnsi="Times New Roman" w:cs="Times New Roman"/>
          <w:sz w:val="23"/>
          <w:szCs w:val="23"/>
        </w:rPr>
        <w:t>intrakavitární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termoterapii. </w:t>
      </w:r>
    </w:p>
    <w:p w14:paraId="1290F1AB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Aplikátory pro regionální termoterapii. </w:t>
      </w:r>
    </w:p>
    <w:p w14:paraId="5D93FABF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Vodní bolus – jeho základní funkce. </w:t>
      </w:r>
    </w:p>
    <w:p w14:paraId="1107521F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Metody testování aplikátorů pro termoterapii. </w:t>
      </w:r>
    </w:p>
    <w:p w14:paraId="60E635D8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Invazivní měření teploty. </w:t>
      </w:r>
    </w:p>
    <w:p w14:paraId="7AAC7D5A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Neinvazivní měření teploty. </w:t>
      </w:r>
    </w:p>
    <w:p w14:paraId="4651D663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Interakce EM pole se systémem pro měření teploty. </w:t>
      </w:r>
    </w:p>
    <w:p w14:paraId="4C9A74FF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Princip měření teploty mikrovlnným radiometrem resp. IR kamerou. </w:t>
      </w:r>
    </w:p>
    <w:p w14:paraId="5C873D17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Klinické využití diatermie (uvést základní pří</w:t>
      </w:r>
      <w:r w:rsidR="00CB4A15">
        <w:rPr>
          <w:rFonts w:ascii="Times New Roman" w:hAnsi="Times New Roman" w:cs="Times New Roman"/>
          <w:sz w:val="23"/>
          <w:szCs w:val="23"/>
        </w:rPr>
        <w:t>klady).</w:t>
      </w:r>
    </w:p>
    <w:p w14:paraId="4B3F8F1F" w14:textId="77777777" w:rsidR="00187D59" w:rsidRDefault="00187D59" w:rsidP="00967E8E">
      <w:pPr>
        <w:pStyle w:val="Default"/>
        <w:numPr>
          <w:ilvl w:val="0"/>
          <w:numId w:val="2"/>
        </w:numPr>
        <w:spacing w:after="27"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Klinické využití hypertermie (uvést základní pří</w:t>
      </w:r>
      <w:r w:rsidR="00CB4A15">
        <w:rPr>
          <w:rFonts w:ascii="Times New Roman" w:hAnsi="Times New Roman" w:cs="Times New Roman"/>
          <w:sz w:val="23"/>
          <w:szCs w:val="23"/>
        </w:rPr>
        <w:t>klady).</w:t>
      </w:r>
    </w:p>
    <w:p w14:paraId="60626416" w14:textId="77777777" w:rsidR="00CB4A15" w:rsidRDefault="00187D59" w:rsidP="00967E8E">
      <w:pPr>
        <w:pStyle w:val="Default"/>
        <w:numPr>
          <w:ilvl w:val="0"/>
          <w:numId w:val="2"/>
        </w:numPr>
        <w:spacing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Klinické využití </w:t>
      </w:r>
      <w:proofErr w:type="spellStart"/>
      <w:r>
        <w:rPr>
          <w:rFonts w:ascii="Times New Roman" w:hAnsi="Times New Roman" w:cs="Times New Roman"/>
          <w:sz w:val="23"/>
          <w:szCs w:val="23"/>
        </w:rPr>
        <w:t>termoablace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(uvést základní příklady)</w:t>
      </w:r>
      <w:r w:rsidR="00CB4A15">
        <w:rPr>
          <w:rFonts w:ascii="Times New Roman" w:hAnsi="Times New Roman" w:cs="Times New Roman"/>
          <w:sz w:val="23"/>
          <w:szCs w:val="23"/>
        </w:rPr>
        <w:t>.</w:t>
      </w:r>
    </w:p>
    <w:p w14:paraId="39A6994D" w14:textId="77777777" w:rsidR="00453713" w:rsidRDefault="00453713" w:rsidP="00967E8E">
      <w:pPr>
        <w:pStyle w:val="Default"/>
        <w:numPr>
          <w:ilvl w:val="0"/>
          <w:numId w:val="2"/>
        </w:numPr>
        <w:spacing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Expoziční komory pro výzkum biologických účinků EM pole.</w:t>
      </w:r>
    </w:p>
    <w:p w14:paraId="4753FBBC" w14:textId="77777777" w:rsidR="009D6110" w:rsidRDefault="009D6110" w:rsidP="00967E8E">
      <w:pPr>
        <w:pStyle w:val="Default"/>
        <w:numPr>
          <w:ilvl w:val="0"/>
          <w:numId w:val="2"/>
        </w:numPr>
        <w:spacing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Biologické účinky optického záření.</w:t>
      </w:r>
    </w:p>
    <w:p w14:paraId="7BED3030" w14:textId="77777777" w:rsidR="00187D59" w:rsidRDefault="00CB4A15" w:rsidP="00967E8E">
      <w:pPr>
        <w:pStyle w:val="Default"/>
        <w:numPr>
          <w:ilvl w:val="0"/>
          <w:numId w:val="2"/>
        </w:numPr>
        <w:spacing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Biologické účinky ionizujícího záření, jejich rozdělení.</w:t>
      </w:r>
    </w:p>
    <w:p w14:paraId="555E99EC" w14:textId="77777777" w:rsidR="00CB4A15" w:rsidRDefault="00CB4A15" w:rsidP="00967E8E">
      <w:pPr>
        <w:pStyle w:val="Default"/>
        <w:numPr>
          <w:ilvl w:val="0"/>
          <w:numId w:val="2"/>
        </w:numPr>
        <w:spacing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Základní limity dávek</w:t>
      </w:r>
      <w:r w:rsidR="00453713">
        <w:rPr>
          <w:rFonts w:ascii="Times New Roman" w:hAnsi="Times New Roman" w:cs="Times New Roman"/>
          <w:sz w:val="23"/>
          <w:szCs w:val="23"/>
        </w:rPr>
        <w:t xml:space="preserve"> ionizujícího záření</w:t>
      </w:r>
      <w:r w:rsidR="009D6110">
        <w:rPr>
          <w:rFonts w:ascii="Times New Roman" w:hAnsi="Times New Roman" w:cs="Times New Roman"/>
          <w:sz w:val="23"/>
          <w:szCs w:val="23"/>
        </w:rPr>
        <w:t>.</w:t>
      </w:r>
    </w:p>
    <w:p w14:paraId="2943CF92" w14:textId="77777777" w:rsidR="009D6110" w:rsidRDefault="009D6110" w:rsidP="00967E8E">
      <w:pPr>
        <w:pStyle w:val="Default"/>
        <w:numPr>
          <w:ilvl w:val="0"/>
          <w:numId w:val="2"/>
        </w:numPr>
        <w:spacing w:line="14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Klinické využití ionizujícího záření.</w:t>
      </w:r>
    </w:p>
    <w:p w14:paraId="297EEFE7" w14:textId="77777777" w:rsidR="00C03819" w:rsidRDefault="00C03819"/>
    <w:sectPr w:rsidR="00C03819" w:rsidSect="00967E8E">
      <w:pgSz w:w="11906" w:h="17338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3C6F"/>
    <w:multiLevelType w:val="hybridMultilevel"/>
    <w:tmpl w:val="3D6CB1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A2828"/>
    <w:multiLevelType w:val="hybridMultilevel"/>
    <w:tmpl w:val="FD9014B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D59"/>
    <w:rsid w:val="00187D59"/>
    <w:rsid w:val="00453713"/>
    <w:rsid w:val="00737471"/>
    <w:rsid w:val="00967E8E"/>
    <w:rsid w:val="009D6110"/>
    <w:rsid w:val="00C03819"/>
    <w:rsid w:val="00CB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9A96"/>
  <w15:chartTrackingRefBased/>
  <w15:docId w15:val="{4F8D5496-54B0-4EB6-94AF-D2C6E12A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7D5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Láďa</dc:creator>
  <cp:keywords/>
  <dc:description/>
  <cp:lastModifiedBy>Zeleny, Michal</cp:lastModifiedBy>
  <cp:revision>2</cp:revision>
  <dcterms:created xsi:type="dcterms:W3CDTF">2022-06-13T20:07:00Z</dcterms:created>
  <dcterms:modified xsi:type="dcterms:W3CDTF">2022-06-13T20:07:00Z</dcterms:modified>
</cp:coreProperties>
</file>