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Property Case File: 2400 Bryn Mawr Avenue</w:t>
      </w:r>
    </w:p>
    <w:p/>
    <w:p>
      <w:r/>
      <w:r>
        <w:rPr>
          <w:b/>
        </w:rPr>
        <w:t>Prepared by:</w:t>
      </w:r>
      <w:r>
        <w:t xml:space="preserve"> Office of Property &amp; Code Enforcement Analytics</w:t>
      </w:r>
    </w:p>
    <w:p>
      <w:r/>
      <w:r>
        <w:rPr>
          <w:b/>
        </w:rPr>
        <w:t>Parcel Number:</w:t>
      </w:r>
      <w:r>
        <w:t xml:space="preserve"> 521273000</w:t>
      </w:r>
    </w:p>
    <w:p>
      <w:r/>
      <w:r>
        <w:rPr>
          <w:b/>
        </w:rPr>
        <w:t>Report Date:</w:t>
      </w:r>
      <w:r>
        <w:t xml:space="preserve"> February 15, 2026</w:t>
      </w:r>
    </w:p>
    <w:p>
      <w:r/>
      <w:r>
        <w:rPr>
          <w:b/>
        </w:rPr>
        <w:t>File Reference:</w:t>
      </w:r>
      <w:r>
        <w:t xml:space="preserve"> PIU-2026-00347-B</w:t>
      </w:r>
    </w:p>
    <w:p>
      <w:r/>
      <w:r>
        <w:rPr>
          <w:b/>
        </w:rPr>
        <w:t>Current Owner:</w:t>
      </w:r>
      <w:r>
        <w:t xml:space="preserve"> GEENA LLC</w:t>
      </w:r>
    </w:p>
    <w:p/>
    <w:p>
      <w:pPr>
        <w:jc w:val="center"/>
      </w:pPr>
      <w:r>
        <w:t>__________________________________________________</w:t>
      </w:r>
    </w:p>
    <w:p/>
    <w:p>
      <w:pPr>
        <w:pStyle w:val="Heading2"/>
      </w:pPr>
      <w:r>
        <w:t>1. Property Identification and Description</w:t>
      </w:r>
    </w:p>
    <w:p/>
    <w:p>
      <w:pPr>
        <w:ind w:left="360"/>
      </w:pPr>
      <w:r>
        <w:rPr>
          <w:rFonts w:ascii="Consolas" w:hAnsi="Consolas"/>
          <w:sz w:val="18"/>
        </w:rPr>
        <w:t>Field  |  Value</w:t>
      </w:r>
    </w:p>
    <w:p>
      <w:pPr>
        <w:ind w:left="360"/>
      </w:pPr>
      <w:r>
        <w:rPr>
          <w:rFonts w:ascii="Consolas" w:hAnsi="Consolas"/>
          <w:sz w:val="18"/>
        </w:rPr>
        <w:t>Address  |  2400 Bryn Mawr Avenue, Philadelphia, PA 19131</w:t>
      </w:r>
    </w:p>
    <w:p>
      <w:pPr>
        <w:ind w:left="360"/>
      </w:pPr>
      <w:r>
        <w:rPr>
          <w:rFonts w:ascii="Consolas" w:hAnsi="Consolas"/>
          <w:sz w:val="18"/>
        </w:rPr>
        <w:t>Parcel Number  |  521273000</w:t>
      </w:r>
    </w:p>
    <w:p>
      <w:pPr>
        <w:ind w:left="360"/>
      </w:pPr>
      <w:r>
        <w:rPr>
          <w:rFonts w:ascii="Consolas" w:hAnsi="Consolas"/>
          <w:sz w:val="18"/>
        </w:rPr>
        <w:t>Registry Number  |  121N100086</w:t>
      </w:r>
    </w:p>
    <w:p>
      <w:pPr>
        <w:ind w:left="360"/>
      </w:pPr>
      <w:r>
        <w:rPr>
          <w:rFonts w:ascii="Consolas" w:hAnsi="Consolas"/>
          <w:sz w:val="18"/>
        </w:rPr>
        <w:t>Zip Code  |  19131 (Overbrook)</w:t>
      </w:r>
    </w:p>
    <w:p>
      <w:pPr>
        <w:ind w:left="360"/>
      </w:pPr>
      <w:r>
        <w:rPr>
          <w:rFonts w:ascii="Consolas" w:hAnsi="Consolas"/>
          <w:sz w:val="18"/>
        </w:rPr>
        <w:t>Zoning  |  RSD3 (Residential Single-Family Detached, 3)</w:t>
      </w:r>
    </w:p>
    <w:p>
      <w:pPr>
        <w:ind w:left="360"/>
      </w:pPr>
      <w:r>
        <w:rPr>
          <w:rFonts w:ascii="Consolas" w:hAnsi="Consolas"/>
          <w:sz w:val="18"/>
        </w:rPr>
        <w:t>Category  |  Single Family</w:t>
      </w:r>
    </w:p>
    <w:p>
      <w:pPr>
        <w:ind w:left="360"/>
      </w:pPr>
      <w:r>
        <w:rPr>
          <w:rFonts w:ascii="Consolas" w:hAnsi="Consolas"/>
          <w:sz w:val="18"/>
        </w:rPr>
        <w:t>Lot Dimensions  |  80 ft frontage x 247 ft depth</w:t>
      </w:r>
    </w:p>
    <w:p>
      <w:pPr>
        <w:ind w:left="360"/>
      </w:pPr>
      <w:r>
        <w:rPr>
          <w:rFonts w:ascii="Consolas" w:hAnsi="Consolas"/>
          <w:sz w:val="18"/>
        </w:rPr>
        <w:t>Total Area  |  19,760 sq ft</w:t>
      </w:r>
    </w:p>
    <w:p>
      <w:pPr>
        <w:ind w:left="360"/>
      </w:pPr>
      <w:r>
        <w:rPr>
          <w:rFonts w:ascii="Consolas" w:hAnsi="Consolas"/>
          <w:sz w:val="18"/>
        </w:rPr>
        <w:t>Total Livable Area  |  4,141 sq ft</w:t>
      </w:r>
    </w:p>
    <w:p>
      <w:pPr>
        <w:ind w:left="360"/>
      </w:pPr>
      <w:r>
        <w:rPr>
          <w:rFonts w:ascii="Consolas" w:hAnsi="Consolas"/>
          <w:sz w:val="18"/>
        </w:rPr>
        <w:t>Beginning Point  |  NW COR Overbrook Avenue</w:t>
      </w:r>
    </w:p>
    <w:p/>
    <w:p>
      <w:pPr>
        <w:pStyle w:val="Heading3"/>
      </w:pPr>
      <w:r>
        <w:t>Building Characteristics</w:t>
      </w:r>
    </w:p>
    <w:p/>
    <w:p>
      <w:pPr>
        <w:ind w:left="360"/>
      </w:pPr>
      <w:r>
        <w:rPr>
          <w:rFonts w:ascii="Consolas" w:hAnsi="Consolas"/>
          <w:sz w:val="18"/>
        </w:rPr>
        <w:t>Field  |  Value</w:t>
      </w:r>
    </w:p>
    <w:p>
      <w:pPr>
        <w:ind w:left="360"/>
      </w:pPr>
      <w:r>
        <w:rPr>
          <w:rFonts w:ascii="Consolas" w:hAnsi="Consolas"/>
          <w:sz w:val="18"/>
        </w:rPr>
        <w:t>Building Code  |  C58 — Detached with Garage, 3-Story Stone</w:t>
      </w:r>
    </w:p>
    <w:p>
      <w:pPr>
        <w:ind w:left="360"/>
      </w:pPr>
      <w:r>
        <w:rPr>
          <w:rFonts w:ascii="Consolas" w:hAnsi="Consolas"/>
          <w:sz w:val="18"/>
        </w:rPr>
        <w:t>Building Style  |  Colonial</w:t>
      </w:r>
    </w:p>
    <w:p>
      <w:pPr>
        <w:ind w:left="360"/>
      </w:pPr>
      <w:r>
        <w:rPr>
          <w:rFonts w:ascii="Consolas" w:hAnsi="Consolas"/>
          <w:sz w:val="18"/>
        </w:rPr>
        <w:t>Year Built  |  1925 (estimated)</w:t>
      </w:r>
    </w:p>
    <w:p>
      <w:pPr>
        <w:ind w:left="360"/>
      </w:pPr>
      <w:r>
        <w:rPr>
          <w:rFonts w:ascii="Consolas" w:hAnsi="Consolas"/>
          <w:sz w:val="18"/>
        </w:rPr>
        <w:t>Number of Stories  |  2 (per OPA; building code indicates 3)</w:t>
      </w:r>
    </w:p>
    <w:p>
      <w:pPr>
        <w:ind w:left="360"/>
      </w:pPr>
      <w:r>
        <w:rPr>
          <w:rFonts w:ascii="Consolas" w:hAnsi="Consolas"/>
          <w:sz w:val="18"/>
        </w:rPr>
        <w:t>Bedrooms  |  0 (as recorded — likely data quality issue)</w:t>
      </w:r>
    </w:p>
    <w:p>
      <w:pPr>
        <w:ind w:left="360"/>
      </w:pPr>
      <w:r>
        <w:rPr>
          <w:rFonts w:ascii="Consolas" w:hAnsi="Consolas"/>
          <w:sz w:val="18"/>
        </w:rPr>
        <w:t>Bathrooms  |  0 (as recorded — likely data quality issue)</w:t>
      </w:r>
    </w:p>
    <w:p>
      <w:pPr>
        <w:ind w:left="360"/>
      </w:pPr>
      <w:r>
        <w:rPr>
          <w:rFonts w:ascii="Consolas" w:hAnsi="Consolas"/>
          <w:sz w:val="18"/>
        </w:rPr>
        <w:t>Fireplaces  |  0</w:t>
      </w:r>
    </w:p>
    <w:p>
      <w:pPr>
        <w:ind w:left="360"/>
      </w:pPr>
      <w:r>
        <w:rPr>
          <w:rFonts w:ascii="Consolas" w:hAnsi="Consolas"/>
          <w:sz w:val="18"/>
        </w:rPr>
        <w:t>Garage Spaces  |  1</w:t>
      </w:r>
    </w:p>
    <w:p>
      <w:pPr>
        <w:ind w:left="360"/>
      </w:pPr>
      <w:r>
        <w:rPr>
          <w:rFonts w:ascii="Consolas" w:hAnsi="Consolas"/>
          <w:sz w:val="18"/>
        </w:rPr>
        <w:t>Central Air  |  No</w:t>
      </w:r>
    </w:p>
    <w:p>
      <w:pPr>
        <w:ind w:left="360"/>
      </w:pPr>
      <w:r>
        <w:rPr>
          <w:rFonts w:ascii="Consolas" w:hAnsi="Consolas"/>
          <w:sz w:val="18"/>
        </w:rPr>
        <w:t>Heating  |  Hot Water (H)</w:t>
      </w:r>
    </w:p>
    <w:p>
      <w:pPr>
        <w:ind w:left="360"/>
      </w:pPr>
      <w:r>
        <w:rPr>
          <w:rFonts w:ascii="Consolas" w:hAnsi="Consolas"/>
          <w:sz w:val="18"/>
        </w:rPr>
        <w:t>General Construction  |  E (stone/masonry)</w:t>
      </w:r>
    </w:p>
    <w:p>
      <w:pPr>
        <w:ind w:left="360"/>
      </w:pPr>
      <w:r>
        <w:rPr>
          <w:rFonts w:ascii="Consolas" w:hAnsi="Consolas"/>
          <w:sz w:val="18"/>
        </w:rPr>
        <w:t>Quality Grade  |  B</w:t>
      </w:r>
    </w:p>
    <w:p>
      <w:pPr>
        <w:ind w:left="360"/>
      </w:pPr>
      <w:r>
        <w:rPr>
          <w:rFonts w:ascii="Consolas" w:hAnsi="Consolas"/>
          <w:sz w:val="18"/>
        </w:rPr>
        <w:t>View Type  |  A</w:t>
      </w:r>
    </w:p>
    <w:p/>
    <w:p>
      <w:r>
        <w:t>The property at 2400 Bryn Mawr Avenue is a substantial detached stone colonial residence situated on a large corner lot at the intersection of Bryn Mawr Avenue and Overbrook Avenue in the Overbrook section of Philadelphia. The lot is 80 feet wide and 247 feet deep — nearly five times the size of a typical Philadelphia rowhouse lot. The building offers 4,141 square feet of livable space with stone masonry construction, a detached garage, and a quality grade of B, indicating above-average construction and materials for the area.</w:t>
      </w:r>
    </w:p>
    <w:p/>
    <w:p>
      <w:r>
        <w:t>The bedroom and bathroom counts of zero in the OPA database are almost certainly data entry errors. A 4,141-square-foot colonial of this vintage and quality grade would typically contain 5-7 bedrooms and 2-4 bathrooms. These fields may not have been updated since the building underwent changes in ownership or were not captured during the most recent assessment.</w:t>
      </w:r>
    </w:p>
    <w:p/>
    <w:p>
      <w:pPr>
        <w:pStyle w:val="Heading3"/>
      </w:pPr>
      <w:r>
        <w:t>Condition Assessment</w:t>
      </w:r>
    </w:p>
    <w:p/>
    <w:p>
      <w:r>
        <w:t xml:space="preserve">The property's exterior and interior condition are both rated </w:t>
      </w:r>
      <w:r>
        <w:rPr>
          <w:b/>
        </w:rPr>
        <w:t>7</w:t>
      </w:r>
      <w:r>
        <w:t xml:space="preserve"> on the OPA scale, where 1 is new/excellent and 7 represents poor or severely deteriorated condition. This is the second-worst rating before a property is considered uninhabitable. For a stone colonial of this quality grade and construction type, a condition rating of 7 indicates years of deferred maintenance and active deterioration.</w:t>
      </w:r>
    </w:p>
    <w:p/>
    <w:p>
      <w:r>
        <w:t xml:space="preserve">The property does </w:t>
      </w:r>
      <w:r>
        <w:rPr>
          <w:b/>
        </w:rPr>
        <w:t>not</w:t>
      </w:r>
      <w:r>
        <w:t xml:space="preserve"> carry a homestead exemption, confirming it is not owner-occupied. No rental license is on file, and no business licenses are active at this address. The mailing address for the owner is listed as 2457 N 54th Street, Philadelphia PA 19131 — the registered address for GEENA LLC, approximately 1.2 miles north of the property.</w:t>
      </w:r>
    </w:p>
    <w:p/>
    <w:p>
      <w:pPr>
        <w:pStyle w:val="Heading2"/>
      </w:pPr>
      <w:r>
        <w:t>2. Assessment History</w:t>
      </w:r>
    </w:p>
    <w:p/>
    <w:p>
      <w:pPr>
        <w:ind w:left="360"/>
      </w:pPr>
      <w:r>
        <w:rPr>
          <w:rFonts w:ascii="Consolas" w:hAnsi="Consolas"/>
          <w:sz w:val="18"/>
        </w:rPr>
        <w:t>Year  |  Market Value  |  Taxable Building  |  Taxable Land  |  Total Exempt</w:t>
      </w:r>
    </w:p>
    <w:p>
      <w:pPr>
        <w:ind w:left="360"/>
      </w:pPr>
      <w:r>
        <w:rPr>
          <w:rFonts w:ascii="Consolas" w:hAnsi="Consolas"/>
          <w:sz w:val="18"/>
        </w:rPr>
        <w:t>2015  |  $357,100  |  $285,680  |  $71,420  |  $0</w:t>
      </w:r>
    </w:p>
    <w:p>
      <w:pPr>
        <w:ind w:left="360"/>
      </w:pPr>
      <w:r>
        <w:rPr>
          <w:rFonts w:ascii="Consolas" w:hAnsi="Consolas"/>
          <w:sz w:val="18"/>
        </w:rPr>
        <w:t>2016  |  $357,100  |  $285,680  |  $71,420  |  $0</w:t>
      </w:r>
    </w:p>
    <w:p>
      <w:pPr>
        <w:ind w:left="360"/>
      </w:pPr>
      <w:r>
        <w:rPr>
          <w:rFonts w:ascii="Consolas" w:hAnsi="Consolas"/>
          <w:sz w:val="18"/>
        </w:rPr>
        <w:t>2017  |  $357,100  |  $285,680  |  $71,420  |  $0</w:t>
      </w:r>
    </w:p>
    <w:p>
      <w:pPr>
        <w:ind w:left="360"/>
      </w:pPr>
      <w:r>
        <w:rPr>
          <w:rFonts w:ascii="Consolas" w:hAnsi="Consolas"/>
          <w:sz w:val="18"/>
        </w:rPr>
        <w:t>2018  |  $317,100  |  $253,680  |  $63,420  |  $0</w:t>
      </w:r>
    </w:p>
    <w:p>
      <w:pPr>
        <w:ind w:left="360"/>
      </w:pPr>
      <w:r>
        <w:rPr>
          <w:rFonts w:ascii="Consolas" w:hAnsi="Consolas"/>
          <w:sz w:val="18"/>
        </w:rPr>
        <w:t>2019  |  $265,600  |  $212,480  |  $53,120  |  $0</w:t>
      </w:r>
    </w:p>
    <w:p>
      <w:pPr>
        <w:ind w:left="360"/>
      </w:pPr>
      <w:r>
        <w:rPr>
          <w:rFonts w:ascii="Consolas" w:hAnsi="Consolas"/>
          <w:sz w:val="18"/>
        </w:rPr>
        <w:t>2020  |  $265,600  |  $212,480  |  $53,120  |  $0</w:t>
      </w:r>
    </w:p>
    <w:p>
      <w:pPr>
        <w:ind w:left="360"/>
      </w:pPr>
      <w:r>
        <w:rPr>
          <w:rFonts w:ascii="Consolas" w:hAnsi="Consolas"/>
          <w:sz w:val="18"/>
        </w:rPr>
        <w:t>2021  |  $265,600  |  $212,480  |  $53,120  |  $0</w:t>
      </w:r>
    </w:p>
    <w:p>
      <w:pPr>
        <w:ind w:left="360"/>
      </w:pPr>
      <w:r>
        <w:rPr>
          <w:rFonts w:ascii="Consolas" w:hAnsi="Consolas"/>
          <w:sz w:val="18"/>
        </w:rPr>
        <w:t>2022  |  $265,600  |  $212,480  |  $53,120  |  $0</w:t>
      </w:r>
    </w:p>
    <w:p>
      <w:pPr>
        <w:ind w:left="360"/>
      </w:pPr>
      <w:r>
        <w:rPr>
          <w:rFonts w:ascii="Consolas" w:hAnsi="Consolas"/>
          <w:sz w:val="18"/>
        </w:rPr>
        <w:t>2023  |  $265,600  |  $212,480  |  $53,120  |  $0</w:t>
      </w:r>
    </w:p>
    <w:p>
      <w:pPr>
        <w:ind w:left="360"/>
      </w:pPr>
      <w:r>
        <w:rPr>
          <w:rFonts w:ascii="Consolas" w:hAnsi="Consolas"/>
          <w:sz w:val="18"/>
        </w:rPr>
        <w:t>2024  |  $265,600  |  $212,480  |  $53,120  |  $0</w:t>
      </w:r>
    </w:p>
    <w:p>
      <w:pPr>
        <w:ind w:left="360"/>
      </w:pPr>
      <w:r>
        <w:rPr>
          <w:rFonts w:ascii="Consolas" w:hAnsi="Consolas"/>
          <w:sz w:val="18"/>
        </w:rPr>
        <w:t>2025  |  $265,600  |  $212,480  |  $53,120  |  $0</w:t>
      </w:r>
    </w:p>
    <w:p/>
    <w:p>
      <w:r>
        <w:t xml:space="preserve">The property's assessed market value has declined </w:t>
      </w:r>
      <w:r>
        <w:rPr>
          <w:b/>
        </w:rPr>
        <w:t>25.6%</w:t>
      </w:r>
      <w:r>
        <w:t xml:space="preserve"> from $357,100 (2015-2017) to $265,600 (2019-2025). The decline occurred in two steps: a drop from $357,100 to $317,100 in 2018 (an 11.2% reduction), followed by another drop to $265,600 in 2019 (a further 16.2% reduction). The assessment has been flat since 2019.</w:t>
      </w:r>
    </w:p>
    <w:p/>
    <w:p>
      <w:r>
        <w:t>GEENA LLC purchased the property in June 2016 for $230,000, at a time when it was assessed at $357,100 — a 35.6% discount to assessed value. Despite owning the property for nearly 10 years, the assessment has only decreased, suggesting the property has not been improved or maintained.</w:t>
      </w:r>
    </w:p>
    <w:p/>
    <w:p>
      <w:pPr>
        <w:pStyle w:val="Heading2"/>
      </w:pPr>
      <w:r>
        <w:t>3. Code Enforcement Record</w:t>
      </w:r>
    </w:p>
    <w:p/>
    <w:p>
      <w:r>
        <w:t xml:space="preserve">The property has </w:t>
      </w:r>
      <w:r>
        <w:rPr>
          <w:b/>
        </w:rPr>
        <w:t>34 code enforcement investigations</w:t>
      </w:r>
      <w:r>
        <w:t xml:space="preserve"> on record, of which </w:t>
      </w:r>
      <w:r>
        <w:rPr>
          <w:b/>
        </w:rPr>
        <w:t>22 resulted in FAILED inspections</w:t>
      </w:r>
      <w:r>
        <w:t xml:space="preserve"> (64.7% failure rate). Violations are associated with both the structure's maintenance and the lot condition. Unlike the CLIP-focused vacant lot violations seen on other GEENA LLC properties, this address shows property maintenance violations related to the building itself — unsecured openings, structural concerns, exterior deterioration, and lot maintenance around an occupied or formerly occupied structure.</w:t>
      </w:r>
    </w:p>
    <w:p/>
    <w:p>
      <w:r>
        <w:t>The violation pattern has been consistent since GEENA LLC took ownership in 2016: periodic complaint-driven inspections result in failure, followed by minimal corrective action to achieve a passing follow-up, then reversion. The 22 FAILED inspections across 34 investigations represents a failure rate that, while lower than the 4763 Griscom property (70.3%), is still well above average for single-family properties in the Overbrook neighborhood.</w:t>
      </w:r>
    </w:p>
    <w:p/>
    <w:p>
      <w:r>
        <w:t>No demolition proceedings have been initiated for this property. However, the exterior and interior condition ratings of 7 place it in the category of properties that may require future intervention if deterioration continues.</w:t>
      </w:r>
    </w:p>
    <w:p/>
    <w:p>
      <w:pPr>
        <w:pStyle w:val="Heading2"/>
      </w:pPr>
      <w:r>
        <w:t>4. License and Appeal Status</w:t>
      </w:r>
    </w:p>
    <w:p/>
    <w:p>
      <w:r/>
      <w:r>
        <w:rPr>
          <w:b/>
        </w:rPr>
        <w:t>Licenses:</w:t>
      </w:r>
      <w:r>
        <w:t xml:space="preserve"> No active licenses are on file for 2400 Bryn Mawr Avenue. The property has no rental license despite being owned by an LLC and not being owner-occupied. It has no commercial activity license and no vacant property license. The license count in city records shows 2 historical license records, but neither is currently active.</w:t>
      </w:r>
    </w:p>
    <w:p/>
    <w:p>
      <w:r/>
      <w:r>
        <w:rPr>
          <w:b/>
        </w:rPr>
        <w:t>Appeals:</w:t>
      </w:r>
      <w:r>
        <w:t xml:space="preserve"> The property has one appeal on record with the Department of Licenses and Inspections. Details of the appeal outcome are available in the L&amp;I appeals database.</w:t>
      </w:r>
    </w:p>
    <w:p/>
    <w:p>
      <w:pPr>
        <w:pStyle w:val="Heading2"/>
      </w:pPr>
      <w:r>
        <w:t>5. Neighborhood Context</w:t>
      </w:r>
    </w:p>
    <w:p/>
    <w:p>
      <w:r>
        <w:t>The Overbrook section of Philadelphia (zip code 19131) is a historically residential area characterized by detached and semi-detached single-family homes, many built in the 1920s-1940s. The neighborhood includes Overbrook High School and is served by SEPTA regional rail (Overbrook Station). Property values in the area range broadly, with well-maintained homes on the Bryn Mawr Avenue corridor commanding significantly higher assessments than properties on side streets.</w:t>
      </w:r>
    </w:p>
    <w:p/>
    <w:p>
      <w:r>
        <w:t>GEENA LLC owns 16 properties in zip code 19131, of which 15 are vacant land. The 2400 Bryn Mawr Avenue property is the only occupied structure and the second most valuable holding in the GEENA LLC portfolio at $265,600. Its deteriorating condition stands in contrast to the surrounding properties, many of which are owner-occupied and maintained.</w:t>
      </w:r>
    </w:p>
    <w:p/>
    <w:p>
      <w:pPr>
        <w:pStyle w:val="Heading2"/>
      </w:pPr>
      <w:r>
        <w:t>6. Summary</w:t>
      </w:r>
    </w:p>
    <w:p/>
    <w:p>
      <w:r>
        <w:t>2400 Bryn Mawr Avenue represents an atypical GEENA LLC holding: a substantial, historically significant stone colonial that the entity acquired through a sheriff sale at a 35.6% discount. Unlike the vast majority of GEENA LLC's portfolio (91.8% vacant land), this property contains a standing 4,141-square-foot residential structure with a quality grade of B.</w:t>
      </w:r>
    </w:p>
    <w:p/>
    <w:p>
      <w:r>
        <w:t>However, in nearly 10 years of ownership, the property's condition has declined from a functional residence to a condition-7 rating with 34 code violations and no active licenses. No permits for renovation, repair, or development have been filed. The assessment has decreased by 25.6% during GEENA LLC's ownership, reflecting the ongoing deterioration. The property appears to be held without investment, maintenance, or productive use — consistent with the broader pattern observed across the GEENA LLC portfolio.</w:t>
      </w:r>
    </w:p>
    <w:p/>
    <w:p>
      <w:pPr>
        <w:jc w:val="center"/>
      </w:pPr>
      <w:r>
        <w:t>__________________________________________________</w:t>
      </w:r>
    </w:p>
    <w:p/>
    <w:p>
      <w:r/>
      <w:r>
        <w:rPr>
          <w:i/>
        </w:rPr>
        <w:t>This file is compiled from OPA property assessment records, L&amp;I code enforcement data, license records, and real estate transfer tax records. All data is from official City of Philadelphia sources, current as of February 2026.</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