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Entity Investigation Report: GEENA LLC</w:t>
      </w:r>
    </w:p>
    <w:p/>
    <w:p>
      <w:r/>
      <w:r>
        <w:rPr>
          <w:b/>
        </w:rPr>
        <w:t>Prepared by:</w:t>
      </w:r>
      <w:r>
        <w:t xml:space="preserve"> Office of Property &amp; Code Enforcement Analytics</w:t>
      </w:r>
    </w:p>
    <w:p>
      <w:r/>
      <w:r>
        <w:rPr>
          <w:b/>
        </w:rPr>
        <w:t>Report Date:</w:t>
      </w:r>
      <w:r>
        <w:t xml:space="preserve"> February 15, 2026</w:t>
      </w:r>
    </w:p>
    <w:p>
      <w:r/>
      <w:r>
        <w:rPr>
          <w:b/>
        </w:rPr>
        <w:t>Investigation Reference:</w:t>
      </w:r>
      <w:r>
        <w:t xml:space="preserve"> PIU-2026-00347</w:t>
      </w:r>
    </w:p>
    <w:p>
      <w:r/>
      <w:r>
        <w:rPr>
          <w:b/>
        </w:rPr>
        <w:t>Classification:</w:t>
      </w:r>
      <w:r>
        <w:t xml:space="preserve"> Public Record Review</w:t>
      </w:r>
    </w:p>
    <w:p/>
    <w:p>
      <w:pPr>
        <w:jc w:val="center"/>
      </w:pPr>
      <w:r>
        <w:t>__________________________________________________</w:t>
      </w:r>
    </w:p>
    <w:p/>
    <w:p>
      <w:pPr>
        <w:pStyle w:val="Heading2"/>
      </w:pPr>
      <w:r>
        <w:t>1. Entity Overview</w:t>
      </w:r>
    </w:p>
    <w:p/>
    <w:p>
      <w:r>
        <w:t>GEENA LLC is a Pennsylvania limited liability company that maintains a registered mailing address at 2457 N 54th Street, Philadelphia, PA 19131. The entity first appears in Philadelphia property transfer records in 2009 with the purchase of two adjacent parcels on N Broad Street. Since that initial acquisition, GEENA LLC has assembled a portfolio of 194 properties across 15 zip codes in Philadelphia, with a current combined assessed market value of approximately $8.62 million.</w:t>
      </w:r>
    </w:p>
    <w:p/>
    <w:p>
      <w:r>
        <w:t>The entity operates no licensed businesses at any of its properties. No rental licenses, commercial activity licenses, or vacant property licenses are on file with the Department of Licenses and Inspections for any GEENA LLC-owned parcel. Despite holding 16 properties classified as residential structures (single family, multi-family, or apartments), none carry a homestead exemption, indicating none are owner-occupied.</w:t>
      </w:r>
    </w:p>
    <w:p/>
    <w:p>
      <w:pPr>
        <w:pStyle w:val="Heading2"/>
      </w:pPr>
      <w:r>
        <w:t>2. Portfolio Composition</w:t>
      </w:r>
    </w:p>
    <w:p/>
    <w:p>
      <w:r>
        <w:t>GEENA LLC's portfolio is overwhelmingly composed of vacant land. Of the 194 properties currently registered under this entity, 178 (91.8%) are classified as vacant land. The remaining 16 properties include single-family homes, multi-family structures, and one apartment building.</w:t>
      </w:r>
    </w:p>
    <w:p/>
    <w:p>
      <w:pPr>
        <w:pStyle w:val="Heading3"/>
      </w:pPr>
      <w:r>
        <w:t>Property Distribution by Zip Code</w:t>
      </w:r>
    </w:p>
    <w:p/>
    <w:p>
      <w:pPr>
        <w:ind w:left="360"/>
      </w:pPr>
      <w:r>
        <w:rPr>
          <w:rFonts w:ascii="Consolas" w:hAnsi="Consolas"/>
          <w:sz w:val="18"/>
        </w:rPr>
        <w:t>Zip Code  |  Properties  |  Vacant  |  Total Assessed Value  |  Avg Value</w:t>
      </w:r>
    </w:p>
    <w:p>
      <w:pPr>
        <w:ind w:left="360"/>
      </w:pPr>
      <w:r>
        <w:rPr>
          <w:rFonts w:ascii="Consolas" w:hAnsi="Consolas"/>
          <w:sz w:val="18"/>
        </w:rPr>
        <w:t>19104 (University City / Mantua)  |  50  |  45  |  $1,968,100  |  $39,362</w:t>
      </w:r>
    </w:p>
    <w:p>
      <w:pPr>
        <w:ind w:left="360"/>
      </w:pPr>
      <w:r>
        <w:rPr>
          <w:rFonts w:ascii="Consolas" w:hAnsi="Consolas"/>
          <w:sz w:val="18"/>
        </w:rPr>
        <w:t>19132 (Strawberry Mansion)  |  36  |  33  |  $949,600  |  $26,378</w:t>
      </w:r>
    </w:p>
    <w:p>
      <w:pPr>
        <w:ind w:left="360"/>
      </w:pPr>
      <w:r>
        <w:rPr>
          <w:rFonts w:ascii="Consolas" w:hAnsi="Consolas"/>
          <w:sz w:val="18"/>
        </w:rPr>
        <w:t>19133 (Fairhill / Kensington)  |  34  |  33  |  $976,900  |  $28,738</w:t>
      </w:r>
    </w:p>
    <w:p>
      <w:pPr>
        <w:ind w:left="360"/>
      </w:pPr>
      <w:r>
        <w:rPr>
          <w:rFonts w:ascii="Consolas" w:hAnsi="Consolas"/>
          <w:sz w:val="18"/>
        </w:rPr>
        <w:t>19131 (Overbrook)  |  16  |  15  |  $817,900  |  $51,119</w:t>
      </w:r>
    </w:p>
    <w:p>
      <w:pPr>
        <w:ind w:left="360"/>
      </w:pPr>
      <w:r>
        <w:rPr>
          <w:rFonts w:ascii="Consolas" w:hAnsi="Consolas"/>
          <w:sz w:val="18"/>
        </w:rPr>
        <w:t>19121 (Brewerytown / Sharswood)  |  14  |  13  |  $1,299,200  |  $92,800</w:t>
      </w:r>
    </w:p>
    <w:p>
      <w:pPr>
        <w:ind w:left="360"/>
      </w:pPr>
      <w:r>
        <w:rPr>
          <w:rFonts w:ascii="Consolas" w:hAnsi="Consolas"/>
          <w:sz w:val="18"/>
        </w:rPr>
        <w:t>19140 (Logan / Hunting Park)  |  11  |  10  |  $515,100  |  $46,827</w:t>
      </w:r>
    </w:p>
    <w:p>
      <w:pPr>
        <w:ind w:left="360"/>
      </w:pPr>
      <w:r>
        <w:rPr>
          <w:rFonts w:ascii="Consolas" w:hAnsi="Consolas"/>
          <w:sz w:val="18"/>
        </w:rPr>
        <w:t>19122 (Northern Liberties / Norris Sq)  |  11  |  10  |  $891,500  |  $81,045</w:t>
      </w:r>
    </w:p>
    <w:p>
      <w:pPr>
        <w:ind w:left="360"/>
      </w:pPr>
      <w:r>
        <w:rPr>
          <w:rFonts w:ascii="Consolas" w:hAnsi="Consolas"/>
          <w:sz w:val="18"/>
        </w:rPr>
        <w:t>19124 (Frankford)  |  7  |  7  |  $313,100  |  $44,729</w:t>
      </w:r>
    </w:p>
    <w:p>
      <w:pPr>
        <w:ind w:left="360"/>
      </w:pPr>
      <w:r>
        <w:rPr>
          <w:rFonts w:ascii="Consolas" w:hAnsi="Consolas"/>
          <w:sz w:val="18"/>
        </w:rPr>
        <w:t>Other (7 zip codes)  |  15  |  12  |  $891,300  |  $59,420</w:t>
      </w:r>
    </w:p>
    <w:p>
      <w:pPr>
        <w:ind w:left="360"/>
      </w:pPr>
      <w:r>
        <w:rPr>
          <w:rFonts w:ascii="Consolas" w:hAnsi="Consolas"/>
          <w:sz w:val="18"/>
        </w:rPr>
        <w:t>**Total**  |  **194**  |  **178**  |  **$8,621,700**  |  **$44,442**</w:t>
      </w:r>
    </w:p>
    <w:p/>
    <w:p>
      <w:r>
        <w:t>The geographic concentration in zip codes 19104, 19132, and 19133 accounts for 61.9% of all GEENA LLC holdings. These three zip codes are among the highest-vacancy, highest-violation areas in the city, according to L&amp;I area statistics.</w:t>
      </w:r>
    </w:p>
    <w:p/>
    <w:p>
      <w:pPr>
        <w:pStyle w:val="Heading3"/>
      </w:pPr>
      <w:r>
        <w:t>Highest-Value Holdings</w:t>
      </w:r>
    </w:p>
    <w:p/>
    <w:p>
      <w:r>
        <w:t>The five most valuable properties in the portfolio are:</w:t>
      </w:r>
    </w:p>
    <w:p/>
    <w:p>
      <w:r>
        <w:t xml:space="preserve">1. </w:t>
      </w:r>
      <w:r>
        <w:rPr>
          <w:b/>
        </w:rPr>
        <w:t>2539 Cecil B Moore Ave</w:t>
      </w:r>
      <w:r>
        <w:t xml:space="preserve"> (19121) — Multi-family, $629,400 assessed value. Purchased May 25, 2017 for $46,000 at sheriff sale. Assessed value is 13.7x the purchase price.</w:t>
      </w:r>
    </w:p>
    <w:p>
      <w:r>
        <w:t xml:space="preserve">2. </w:t>
      </w:r>
      <w:r>
        <w:rPr>
          <w:b/>
        </w:rPr>
        <w:t>2400 Bryn Mawr Ave</w:t>
      </w:r>
      <w:r>
        <w:t xml:space="preserve"> (19131) — Single family, 3-story stone colonial, $265,600 assessed value. Purchased June 6, 2016 for $230,000 at sheriff sale. See separate property case file (PIU-2026-00347-B).</w:t>
      </w:r>
    </w:p>
    <w:p>
      <w:r>
        <w:t xml:space="preserve">3. </w:t>
      </w:r>
      <w:r>
        <w:rPr>
          <w:b/>
        </w:rPr>
        <w:t>2645 Kensington Ave</w:t>
      </w:r>
      <w:r>
        <w:t xml:space="preserve"> (19125) — Multi-family, $252,400 assessed value. Purchased November 18, 2017 for $43,000.</w:t>
      </w:r>
    </w:p>
    <w:p>
      <w:r>
        <w:t xml:space="preserve">4. </w:t>
      </w:r>
      <w:r>
        <w:rPr>
          <w:b/>
        </w:rPr>
        <w:t>7322 Drexel Rd</w:t>
      </w:r>
      <w:r>
        <w:t xml:space="preserve"> (19151) — Single family, $175,700 assessed value. Purchased March 21, 2016 for $54,000.</w:t>
      </w:r>
    </w:p>
    <w:p>
      <w:r>
        <w:t xml:space="preserve">5. </w:t>
      </w:r>
      <w:r>
        <w:rPr>
          <w:b/>
        </w:rPr>
        <w:t>1746 N 27th St</w:t>
      </w:r>
      <w:r>
        <w:t xml:space="preserve"> (19121) — Vacant land, $140,700 assessed value. Purchased January 12, 2018 for $46,000.</w:t>
      </w:r>
    </w:p>
    <w:p/>
    <w:p>
      <w:pPr>
        <w:pStyle w:val="Heading2"/>
      </w:pPr>
      <w:r>
        <w:t>3. Acquisition Patterns</w:t>
      </w:r>
    </w:p>
    <w:p/>
    <w:p>
      <w:r>
        <w:t>GEENA LLC has acquired properties through two primary channels:</w:t>
      </w:r>
    </w:p>
    <w:p/>
    <w:p>
      <w:r/>
      <w:r>
        <w:rPr>
          <w:b/>
        </w:rPr>
        <w:t>Sheriff Sales (Foreclosure Auctions):</w:t>
      </w:r>
      <w:r>
        <w:t xml:space="preserve"> At least 47 properties were acquired through sheriff sales, based on transfer records showing "SHERIFF'S DEED" or "DEED SHERIFF" document types. These acquisitions occurred primarily between 2016 and 2020. Properties acquired at sheriff sale were purchased at a median discount of approximately 72% below assessed value.</w:t>
      </w:r>
    </w:p>
    <w:p/>
    <w:p>
      <w:r/>
      <w:r>
        <w:rPr>
          <w:b/>
        </w:rPr>
        <w:t>Standard Deed Transfers:</w:t>
      </w:r>
      <w:r>
        <w:t xml:space="preserve"> The remaining properties were acquired through conventional deed transfers, often from individuals or other LLCs. Many of these transfers also reflect below-market pricing, with purchase prices frequently ranging between $5,000 and $50,000 for properties assessed at significantly higher values.</w:t>
      </w:r>
    </w:p>
    <w:p/>
    <w:p>
      <w:pPr>
        <w:pStyle w:val="Heading3"/>
      </w:pPr>
      <w:r>
        <w:t>Acquisition Timeline</w:t>
      </w:r>
    </w:p>
    <w:p/>
    <w:p>
      <w:pPr>
        <w:ind w:left="360"/>
      </w:pPr>
      <w:r>
        <w:rPr>
          <w:rFonts w:ascii="Consolas" w:hAnsi="Consolas"/>
          <w:sz w:val="18"/>
        </w:rPr>
        <w:t>Year  |  Properties Acquired  |  Total Spent  |  Avg Purchase Price</w:t>
      </w:r>
    </w:p>
    <w:p>
      <w:pPr>
        <w:ind w:left="360"/>
      </w:pPr>
      <w:r>
        <w:rPr>
          <w:rFonts w:ascii="Consolas" w:hAnsi="Consolas"/>
          <w:sz w:val="18"/>
        </w:rPr>
        <w:t>2009  |  2  |  $400,000  |  $200,000</w:t>
      </w:r>
    </w:p>
    <w:p>
      <w:pPr>
        <w:ind w:left="360"/>
      </w:pPr>
      <w:r>
        <w:rPr>
          <w:rFonts w:ascii="Consolas" w:hAnsi="Consolas"/>
          <w:sz w:val="18"/>
        </w:rPr>
        <w:t>2016  |  8  |  $627,000  |  $78,375</w:t>
      </w:r>
    </w:p>
    <w:p>
      <w:pPr>
        <w:ind w:left="360"/>
      </w:pPr>
      <w:r>
        <w:rPr>
          <w:rFonts w:ascii="Consolas" w:hAnsi="Consolas"/>
          <w:sz w:val="18"/>
        </w:rPr>
        <w:t>2017  |  22  |  $598,500  |  $27,205</w:t>
      </w:r>
    </w:p>
    <w:p>
      <w:pPr>
        <w:ind w:left="360"/>
      </w:pPr>
      <w:r>
        <w:rPr>
          <w:rFonts w:ascii="Consolas" w:hAnsi="Consolas"/>
          <w:sz w:val="18"/>
        </w:rPr>
        <w:t>2018  |  41  |  $1,207,100  |  $29,441</w:t>
      </w:r>
    </w:p>
    <w:p>
      <w:pPr>
        <w:ind w:left="360"/>
      </w:pPr>
      <w:r>
        <w:rPr>
          <w:rFonts w:ascii="Consolas" w:hAnsi="Consolas"/>
          <w:sz w:val="18"/>
        </w:rPr>
        <w:t>2019  |  52  |  $989,300  |  $19,025</w:t>
      </w:r>
    </w:p>
    <w:p>
      <w:pPr>
        <w:ind w:left="360"/>
      </w:pPr>
      <w:r>
        <w:rPr>
          <w:rFonts w:ascii="Consolas" w:hAnsi="Consolas"/>
          <w:sz w:val="18"/>
        </w:rPr>
        <w:t>2020  |  18  |  $287,600  |  $15,978</w:t>
      </w:r>
    </w:p>
    <w:p>
      <w:pPr>
        <w:ind w:left="360"/>
      </w:pPr>
      <w:r>
        <w:rPr>
          <w:rFonts w:ascii="Consolas" w:hAnsi="Consolas"/>
          <w:sz w:val="18"/>
        </w:rPr>
        <w:t>2021  |  14  |  $461,000  |  $32,929</w:t>
      </w:r>
    </w:p>
    <w:p/>
    <w:p>
      <w:r>
        <w:t>The acquisition rate peaked in 2018-2019 with an average purchase price below $25,000 per property. The entity concentrated on purchasing distressed and foreclosed properties at deep discounts during this period.</w:t>
      </w:r>
    </w:p>
    <w:p/>
    <w:p>
      <w:pPr>
        <w:pStyle w:val="Heading2"/>
      </w:pPr>
      <w:r>
        <w:t>4. Code Enforcement History</w:t>
      </w:r>
    </w:p>
    <w:p/>
    <w:p>
      <w:r>
        <w:t>GEENA LLC properties have accumulated a total of 1,411 code enforcement investigation records with the Department of Licenses and Inspections. Of these, 823 (58.3%) resulted in FAILED inspections. This represents one of the highest failure rates among private property owners with portfolios of 10 or more properties in Philadelphia.</w:t>
      </w:r>
    </w:p>
    <w:p/>
    <w:p>
      <w:r>
        <w:t>The predominant violation type is "NOTICE OF VIOLATION" with case responsibility assigned to "CLIP" and "CLIP - VACANT LOT INVESTIGATOR," reflecting the vacant nature of the portfolio. Violations are concentrated in the areas of lot maintenance, debris accumulation, illegal dumping, and failure to secure vacant structures.</w:t>
      </w:r>
    </w:p>
    <w:p/>
    <w:p>
      <w:pPr>
        <w:pStyle w:val="Heading3"/>
      </w:pPr>
      <w:r>
        <w:t>Violation Severity by Property Type</w:t>
      </w:r>
    </w:p>
    <w:p/>
    <w:p>
      <w:r>
        <w:t>Occupied structures in the portfolio present particularly concerning patterns. The single-family home at 2400 Bryn Mawr Ave (19131) has accumulated 34 violations with 22 FAILED inspections since GEENA LLC took ownership in 2016. The multi-family property at 2539 Cecil B Moore Ave (19121) shows a similar pattern with repeated maintenance failures. Neither property has an active rental license on file, despite the multi-family classification.</w:t>
      </w:r>
    </w:p>
    <w:p/>
    <w:p>
      <w:pPr>
        <w:pStyle w:val="Heading3"/>
      </w:pPr>
      <w:r>
        <w:t>Properties Requiring City Demolition</w:t>
      </w:r>
    </w:p>
    <w:p/>
    <w:p>
      <w:r>
        <w:t>The city has initiated or completed demolition proceedings on 40 GEENA LLC properties. Demolitions were conducted by contractors under the City of Philadelphia Department of L&amp;I Contractual Services program, indicating these were city-initiated demolitions at taxpayer expense due to public safety concerns — not voluntary demolitions by the owner.</w:t>
      </w:r>
    </w:p>
    <w:p/>
    <w:p>
      <w:r>
        <w:t>Notable demolitions include the building at 4763 Griscom St (19124), demolished in June 2019 by Pedro Palmer Construction Inc. under city case number 571777. The property had been in deteriorating condition for years and posed a hazardous condition to the surrounding neighborhood. See separate enforcement file (PIU-2026-00347-A) for the complete history of this property.</w:t>
      </w:r>
    </w:p>
    <w:p/>
    <w:p>
      <w:pPr>
        <w:pStyle w:val="Heading2"/>
      </w:pPr>
      <w:r>
        <w:t>5. Assessment Value Trends</w:t>
      </w:r>
    </w:p>
    <w:p/>
    <w:p>
      <w:r>
        <w:t>The portfolio's total assessed value has declined over time, primarily because structures were demolished (either by the city or through natural deterioration), converting improved properties to vacant land. When a building is demolished, the assessed market value drops to land-only value, and the taxable building component falls to $0.</w:t>
      </w:r>
    </w:p>
    <w:p/>
    <w:p>
      <w:r>
        <w:t>For example, the property at 4763 Griscom St was assessed at $56,900 from 2015-2018, reflecting a standing structure. After the city demolished the building in mid-2019, the assessment dropped to $37,200 for 2019 and then to $17,500 for 2020-2024 (land-only value). The 2025 assessment rose slightly to $24,800, reflecting land value adjustments in the area.</w:t>
      </w:r>
    </w:p>
    <w:p/>
    <w:p>
      <w:r>
        <w:t>Across the portfolio, GEENA LLC has paid approximately $4.57 million to acquire 194 properties now assessed at $8.62 million. However, the ongoing code enforcement costs, city-funded demolitions, and neighborhood impact associated with these properties are borne primarily by the city and neighboring residents.</w:t>
      </w:r>
    </w:p>
    <w:p/>
    <w:p>
      <w:pPr>
        <w:pStyle w:val="Heading2"/>
      </w:pPr>
      <w:r>
        <w:t>6. Related Entities and Addresses</w:t>
      </w:r>
    </w:p>
    <w:p/>
    <w:p>
      <w:r>
        <w:t>The entity resolution graph links GEENA LLC to 631 property-address combinations through shared mailing addresses, permit contractor records, and tax account references. Key associated addresses and entities identified through property records include:</w:t>
      </w:r>
    </w:p>
    <w:p/>
    <w:p>
      <w:pPr>
        <w:pStyle w:val="ListBullet"/>
      </w:pPr>
      <w:r>
        <w:t>**2457 N 54th St, Philadelphia PA 19131** — The registered mailing address for GEENA LLC. This address appears as the mailing address on all 194 properties.</w:t>
      </w:r>
    </w:p>
    <w:p>
      <w:pPr>
        <w:pStyle w:val="ListBullet"/>
      </w:pPr>
      <w:r>
        <w:t>**Bartholomew N. Emanuel, 2819 Smedley Street, Philadelphia PA 19145** — Listed as an applicant on building permits filed for GEENA LLC properties.</w:t>
      </w:r>
    </w:p>
    <w:p>
      <w:pPr>
        <w:pStyle w:val="ListBullet"/>
      </w:pPr>
      <w:r>
        <w:t>**Stronghold Development &amp; Construction LLC, 2209 North American Street, Philadelphia PA 19133** — Contractor listed on permits for GEENA LLC properties.</w:t>
      </w:r>
    </w:p>
    <w:p>
      <w:pPr>
        <w:pStyle w:val="ListBullet"/>
      </w:pPr>
      <w:r>
        <w:t>**MED DCD Group LLC, 3 Cambridge, Brookhaven PA 19015** — An entity linked through permit records to GEENA LLC properties.</w:t>
      </w:r>
    </w:p>
    <w:p>
      <w:pPr>
        <w:pStyle w:val="ListBullet"/>
      </w:pPr>
      <w:r>
        <w:t>**Colin Johnson, 1717 Georges Lane, Philadelphia PA 19131** — Individual listed on permits for GEENA LLC properties. The Georges Lane address is approximately 0.4 miles from the GEENA LLC mailing address on N 54th Street.</w:t>
      </w:r>
    </w:p>
    <w:p/>
    <w:p>
      <w:r>
        <w:t>These connections suggest a network of individuals and entities involved in the acquisition, management, or nominal development of GEENA LLC's property portfolio.</w:t>
      </w:r>
    </w:p>
    <w:p/>
    <w:p>
      <w:pPr>
        <w:pStyle w:val="Heading2"/>
      </w:pPr>
      <w:r>
        <w:t>7. Summary of Findings</w:t>
      </w:r>
    </w:p>
    <w:p/>
    <w:p>
      <w:r>
        <w:t>GEENA LLC has assembled one of the largest privately held portfolios of vacant and distressed properties in Philadelphia. The entity's pattern of behavior — acquiring properties at deep discounts through sheriff sales, allowing them to deteriorate, accumulating code violations, and ultimately requiring city-funded demolitions — is consistent with patterns identified in prior investigations of speculative property accumulation in high-poverty census tracts.</w:t>
      </w:r>
    </w:p>
    <w:p/>
    <w:p>
      <w:r>
        <w:t>The absence of any business licenses, rental licenses, or homestead exemptions across the entire portfolio indicates no productive use of these properties. The concentration in historically disadvantaged neighborhoods (19104, 19132, 19133) and the 91.8% vacancy rate raise questions about whether the entity is holding land speculatively while the surrounding communities bear the costs of maintenance failures, illegal dumping, and public safety hazards.</w:t>
      </w:r>
    </w:p>
    <w:p/>
    <w:p>
      <w:pPr>
        <w:jc w:val="center"/>
      </w:pPr>
      <w:r>
        <w:t>__________________________________________________</w:t>
      </w:r>
    </w:p>
    <w:p/>
    <w:p>
      <w:r/>
      <w:r>
        <w:rPr>
          <w:i/>
        </w:rPr>
        <w:t>This report is based on publicly available records from the City of Philadelphia Office of Property Assessment, Department of Licenses and Inspections, and real estate transfer tax database. It does not constitute a legal finding or formal accusation. All data is current as of February 2026.</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