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Property Enforcement File: 4763 Griscom Street</w:t>
      </w:r>
    </w:p>
    <w:p/>
    <w:p>
      <w:r/>
      <w:r>
        <w:rPr>
          <w:b/>
        </w:rPr>
        <w:t>Prepared by:</w:t>
      </w:r>
      <w:r>
        <w:t xml:space="preserve"> Community Life Improvement Program (CLIP), Department of Licenses and Inspections</w:t>
      </w:r>
    </w:p>
    <w:p>
      <w:r/>
      <w:r>
        <w:rPr>
          <w:b/>
        </w:rPr>
        <w:t>Parcel Number:</w:t>
      </w:r>
      <w:r>
        <w:t xml:space="preserve"> 232452100</w:t>
      </w:r>
    </w:p>
    <w:p>
      <w:r/>
      <w:r>
        <w:rPr>
          <w:b/>
        </w:rPr>
        <w:t>Report Date:</w:t>
      </w:r>
      <w:r>
        <w:t xml:space="preserve"> January 10, 2026</w:t>
      </w:r>
    </w:p>
    <w:p>
      <w:r/>
      <w:r>
        <w:rPr>
          <w:b/>
        </w:rPr>
        <w:t>File Reference:</w:t>
      </w:r>
      <w:r>
        <w:t xml:space="preserve"> PIU-2026-00347-A</w:t>
      </w:r>
    </w:p>
    <w:p>
      <w:r/>
      <w:r>
        <w:rPr>
          <w:b/>
        </w:rPr>
        <w:t>Current Owner:</w:t>
      </w:r>
      <w:r>
        <w:t xml:space="preserve"> GEENA LLC</w:t>
      </w:r>
    </w:p>
    <w:p>
      <w:r/>
      <w:r>
        <w:rPr>
          <w:b/>
        </w:rPr>
        <w:t>Property Classification:</w:t>
      </w:r>
      <w:r>
        <w:t xml:space="preserve"> Vacant Land (formerly Single Family Residential)</w:t>
      </w:r>
    </w:p>
    <w:p/>
    <w:p>
      <w:pPr>
        <w:jc w:val="center"/>
      </w:pPr>
      <w:r>
        <w:t>__________________________________________________</w:t>
      </w:r>
    </w:p>
    <w:p/>
    <w:p>
      <w:pPr>
        <w:pStyle w:val="Heading2"/>
      </w:pPr>
      <w:r>
        <w:t>1. Property Identification</w:t>
      </w:r>
    </w:p>
    <w:p/>
    <w:p>
      <w:pPr>
        <w:ind w:left="360"/>
      </w:pPr>
      <w:r>
        <w:rPr>
          <w:rFonts w:ascii="Consolas" w:hAnsi="Consolas"/>
          <w:sz w:val="18"/>
        </w:rPr>
        <w:t>Field  |  Value</w:t>
      </w:r>
    </w:p>
    <w:p>
      <w:pPr>
        <w:ind w:left="360"/>
      </w:pPr>
      <w:r>
        <w:rPr>
          <w:rFonts w:ascii="Consolas" w:hAnsi="Consolas"/>
          <w:sz w:val="18"/>
        </w:rPr>
        <w:t>Address  |  4763 Griscom Street, Philadelphia, PA 19124</w:t>
      </w:r>
    </w:p>
    <w:p>
      <w:pPr>
        <w:ind w:left="360"/>
      </w:pPr>
      <w:r>
        <w:rPr>
          <w:rFonts w:ascii="Consolas" w:hAnsi="Consolas"/>
          <w:sz w:val="18"/>
        </w:rPr>
        <w:t>Parcel Number  |  232452100</w:t>
      </w:r>
    </w:p>
    <w:p>
      <w:pPr>
        <w:ind w:left="360"/>
      </w:pPr>
      <w:r>
        <w:rPr>
          <w:rFonts w:ascii="Consolas" w:hAnsi="Consolas"/>
          <w:sz w:val="18"/>
        </w:rPr>
        <w:t>Registry Number  |  090N050299</w:t>
      </w:r>
    </w:p>
    <w:p>
      <w:pPr>
        <w:ind w:left="360"/>
      </w:pPr>
      <w:r>
        <w:rPr>
          <w:rFonts w:ascii="Consolas" w:hAnsi="Consolas"/>
          <w:sz w:val="18"/>
        </w:rPr>
        <w:t>Zip Code  |  19124 (Frankford)</w:t>
      </w:r>
    </w:p>
    <w:p>
      <w:pPr>
        <w:ind w:left="360"/>
      </w:pPr>
      <w:r>
        <w:rPr>
          <w:rFonts w:ascii="Consolas" w:hAnsi="Consolas"/>
          <w:sz w:val="18"/>
        </w:rPr>
        <w:t>Zoning  |  CMX2 (Commercial Mixed-Use, 2)</w:t>
      </w:r>
    </w:p>
    <w:p>
      <w:pPr>
        <w:ind w:left="360"/>
      </w:pPr>
      <w:r>
        <w:rPr>
          <w:rFonts w:ascii="Consolas" w:hAnsi="Consolas"/>
          <w:sz w:val="18"/>
        </w:rPr>
        <w:t>Lot Dimensions  |  20 ft frontage x 75 ft depth</w:t>
      </w:r>
    </w:p>
    <w:p>
      <w:pPr>
        <w:ind w:left="360"/>
      </w:pPr>
      <w:r>
        <w:rPr>
          <w:rFonts w:ascii="Consolas" w:hAnsi="Consolas"/>
          <w:sz w:val="18"/>
        </w:rPr>
        <w:t>Total Area  |  1,498 sq ft</w:t>
      </w:r>
    </w:p>
    <w:p>
      <w:pPr>
        <w:ind w:left="360"/>
      </w:pPr>
      <w:r>
        <w:rPr>
          <w:rFonts w:ascii="Consolas" w:hAnsi="Consolas"/>
          <w:sz w:val="18"/>
        </w:rPr>
        <w:t>Beginning Point  |  SEC Foulkrod Street</w:t>
      </w:r>
    </w:p>
    <w:p>
      <w:pPr>
        <w:ind w:left="360"/>
      </w:pPr>
      <w:r>
        <w:rPr>
          <w:rFonts w:ascii="Consolas" w:hAnsi="Consolas"/>
          <w:sz w:val="18"/>
        </w:rPr>
        <w:t>Council District  |  7</w:t>
      </w:r>
    </w:p>
    <w:p>
      <w:pPr>
        <w:ind w:left="360"/>
      </w:pPr>
      <w:r>
        <w:rPr>
          <w:rFonts w:ascii="Consolas" w:hAnsi="Consolas"/>
          <w:sz w:val="18"/>
        </w:rPr>
        <w:t>Police District  |  15</w:t>
      </w:r>
    </w:p>
    <w:p>
      <w:pPr>
        <w:ind w:left="360"/>
      </w:pPr>
      <w:r>
        <w:rPr>
          <w:rFonts w:ascii="Consolas" w:hAnsi="Consolas"/>
          <w:sz w:val="18"/>
        </w:rPr>
        <w:t>L&amp;I District  |  East</w:t>
      </w:r>
    </w:p>
    <w:p>
      <w:pPr>
        <w:ind w:left="360"/>
      </w:pPr>
      <w:r>
        <w:rPr>
          <w:rFonts w:ascii="Consolas" w:hAnsi="Consolas"/>
          <w:sz w:val="18"/>
        </w:rPr>
        <w:t>Political Ward  |  23</w:t>
      </w:r>
    </w:p>
    <w:p/>
    <w:p>
      <w:r>
        <w:t>The property is located at the southeast corner of Griscom Street and Foulkrod Street in the Frankford section of Philadelphia. It is currently a vacant lot with no standing structures. The building that previously occupied the lot was demolished by the city in June 2019 (see Section 4).</w:t>
      </w:r>
    </w:p>
    <w:p/>
    <w:p>
      <w:pPr>
        <w:pStyle w:val="Heading2"/>
      </w:pPr>
      <w:r>
        <w:t>2. Current Assessment and Valuation</w:t>
      </w:r>
    </w:p>
    <w:p/>
    <w:p>
      <w:r>
        <w:t xml:space="preserve">As of the 2025 tax year, the property is assessed at a total market value of </w:t>
      </w:r>
      <w:r>
        <w:rPr>
          <w:b/>
        </w:rPr>
        <w:t>$24,800</w:t>
      </w:r>
      <w:r>
        <w:t>. The entire assessed value is attributed to land ($24,800 taxable land), with $0 taxable building value, reflecting the vacant lot status.</w:t>
      </w:r>
    </w:p>
    <w:p/>
    <w:p>
      <w:pPr>
        <w:pStyle w:val="Heading3"/>
      </w:pPr>
      <w:r>
        <w:t>Assessment History (2015-2025)</w:t>
      </w:r>
    </w:p>
    <w:p/>
    <w:p>
      <w:pPr>
        <w:ind w:left="360"/>
      </w:pPr>
      <w:r>
        <w:rPr>
          <w:rFonts w:ascii="Consolas" w:hAnsi="Consolas"/>
          <w:sz w:val="18"/>
        </w:rPr>
        <w:t>Year  |  Market Value  |  Taxable Building  |  Taxable Land  |  Notes</w:t>
      </w:r>
    </w:p>
    <w:p>
      <w:pPr>
        <w:ind w:left="360"/>
      </w:pPr>
      <w:r>
        <w:rPr>
          <w:rFonts w:ascii="Consolas" w:hAnsi="Consolas"/>
          <w:sz w:val="18"/>
        </w:rPr>
        <w:t>2015  |  $56,900  |  $39,973  |  $16,927  |  Standing structure</w:t>
      </w:r>
    </w:p>
    <w:p>
      <w:pPr>
        <w:ind w:left="360"/>
      </w:pPr>
      <w:r>
        <w:rPr>
          <w:rFonts w:ascii="Consolas" w:hAnsi="Consolas"/>
          <w:sz w:val="18"/>
        </w:rPr>
        <w:t>2016  |  $56,900  |  $39,973  |  $16,927  |  Standing structure</w:t>
      </w:r>
    </w:p>
    <w:p>
      <w:pPr>
        <w:ind w:left="360"/>
      </w:pPr>
      <w:r>
        <w:rPr>
          <w:rFonts w:ascii="Consolas" w:hAnsi="Consolas"/>
          <w:sz w:val="18"/>
        </w:rPr>
        <w:t>2017  |  $56,900  |  $42,390  |  $14,510  |  Standing structure</w:t>
      </w:r>
    </w:p>
    <w:p>
      <w:pPr>
        <w:ind w:left="360"/>
      </w:pPr>
      <w:r>
        <w:rPr>
          <w:rFonts w:ascii="Consolas" w:hAnsi="Consolas"/>
          <w:sz w:val="18"/>
        </w:rPr>
        <w:t>2018  |  $56,900  |  $42,390  |  $14,510  |  Standing structure</w:t>
      </w:r>
    </w:p>
    <w:p>
      <w:pPr>
        <w:ind w:left="360"/>
      </w:pPr>
      <w:r>
        <w:rPr>
          <w:rFonts w:ascii="Consolas" w:hAnsi="Consolas"/>
          <w:sz w:val="18"/>
        </w:rPr>
        <w:t>2019  |  $37,200  |  $27,714  |  $9,486  |  Demolition year (building removed mid-year)</w:t>
      </w:r>
    </w:p>
    <w:p>
      <w:pPr>
        <w:ind w:left="360"/>
      </w:pPr>
      <w:r>
        <w:rPr>
          <w:rFonts w:ascii="Consolas" w:hAnsi="Consolas"/>
          <w:sz w:val="18"/>
        </w:rPr>
        <w:t>2020  |  $17,500  |  $0  |  $17,500  |  Vacant land only</w:t>
      </w:r>
    </w:p>
    <w:p>
      <w:pPr>
        <w:ind w:left="360"/>
      </w:pPr>
      <w:r>
        <w:rPr>
          <w:rFonts w:ascii="Consolas" w:hAnsi="Consolas"/>
          <w:sz w:val="18"/>
        </w:rPr>
        <w:t>2021  |  $17,500  |  $0  |  $17,500  |  Vacant land only</w:t>
      </w:r>
    </w:p>
    <w:p>
      <w:pPr>
        <w:ind w:left="360"/>
      </w:pPr>
      <w:r>
        <w:rPr>
          <w:rFonts w:ascii="Consolas" w:hAnsi="Consolas"/>
          <w:sz w:val="18"/>
        </w:rPr>
        <w:t>2022  |  $17,500  |  $0  |  $17,500  |  Vacant land only</w:t>
      </w:r>
    </w:p>
    <w:p>
      <w:pPr>
        <w:ind w:left="360"/>
      </w:pPr>
      <w:r>
        <w:rPr>
          <w:rFonts w:ascii="Consolas" w:hAnsi="Consolas"/>
          <w:sz w:val="18"/>
        </w:rPr>
        <w:t>2023  |  $17,500  |  $0  |  $17,500  |  Vacant land only</w:t>
      </w:r>
    </w:p>
    <w:p>
      <w:pPr>
        <w:ind w:left="360"/>
      </w:pPr>
      <w:r>
        <w:rPr>
          <w:rFonts w:ascii="Consolas" w:hAnsi="Consolas"/>
          <w:sz w:val="18"/>
        </w:rPr>
        <w:t>2024  |  $17,500  |  $0  |  $17,500  |  Vacant land only</w:t>
      </w:r>
    </w:p>
    <w:p>
      <w:pPr>
        <w:ind w:left="360"/>
      </w:pPr>
      <w:r>
        <w:rPr>
          <w:rFonts w:ascii="Consolas" w:hAnsi="Consolas"/>
          <w:sz w:val="18"/>
        </w:rPr>
        <w:t>2025  |  $24,800  |  $0  |  $24,800  |  Land value increase</w:t>
      </w:r>
    </w:p>
    <w:p/>
    <w:p>
      <w:r>
        <w:t>The assessment history documents a clear value collapse. The property held steady at $56,900 through 2018 while the structure was standing. The 2019 assessment of $37,200 reflects a partial-year adjustment as the building was demolished in June 2019. By 2020, the market value had fallen to $17,500 — a 69.2% decline from the pre-demolition value. The building component fell to $0 permanently. The 2025 assessment shows a modest recovery to $24,800, driven by land value appreciation in the surrounding area, not any improvement to the property.</w:t>
      </w:r>
    </w:p>
    <w:p/>
    <w:p>
      <w:pPr>
        <w:pStyle w:val="Heading2"/>
      </w:pPr>
      <w:r>
        <w:t>3. Code Enforcement Record</w:t>
      </w:r>
    </w:p>
    <w:p/>
    <w:p>
      <w:r>
        <w:t xml:space="preserve">The property has accumulated </w:t>
      </w:r>
      <w:r>
        <w:rPr>
          <w:b/>
        </w:rPr>
        <w:t>64 code enforcement investigations</w:t>
      </w:r>
      <w:r>
        <w:t xml:space="preserve"> with the Department of Licenses and Inspections. Of these, </w:t>
      </w:r>
      <w:r>
        <w:rPr>
          <w:b/>
        </w:rPr>
        <w:t>45 resulted in FAILED inspections</w:t>
      </w:r>
      <w:r>
        <w:t xml:space="preserve"> (70.3% failure rate). The investigations span from 2016 through 2024, with violations occurring under multiple owners prior to GEENA LLC's acquisition and continuing without interruption after the transfer.</w:t>
      </w:r>
    </w:p>
    <w:p/>
    <w:p>
      <w:r>
        <w:t>All investigations since 2020 list the owner as GEENA LLC and are classified as "NOTICE OF VIOLATION" with case responsibility assigned to CLIP and CLIP - Vacant Lot Investigator. The violation pattern is cyclical: the property fails inspection for lot maintenance issues (overgrown vegetation, debris, dumping), a notice of violation is issued, the lot is eventually cleaned to pass a follow-up inspection, and within weeks to months a new violation cycle begins.</w:t>
      </w:r>
    </w:p>
    <w:p/>
    <w:p>
      <w:pPr>
        <w:pStyle w:val="Heading3"/>
      </w:pPr>
      <w:r>
        <w:t>Recent Enforcement Activity (2022-2024)</w:t>
      </w:r>
    </w:p>
    <w:p/>
    <w:p>
      <w:pPr>
        <w:ind w:left="360"/>
      </w:pPr>
      <w:r>
        <w:rPr>
          <w:rFonts w:ascii="Consolas" w:hAnsi="Consolas"/>
          <w:sz w:val="18"/>
        </w:rPr>
        <w:t>Case Number  |  Date Filed  |  Final Status  |  Investigator  |  Days to Resolution</w:t>
      </w:r>
    </w:p>
    <w:p>
      <w:pPr>
        <w:ind w:left="360"/>
      </w:pPr>
      <w:r>
        <w:rPr>
          <w:rFonts w:ascii="Consolas" w:hAnsi="Consolas"/>
          <w:sz w:val="18"/>
        </w:rPr>
        <w:t>CF-2024-065589  |  June 2024  |  PASSED (Jul 23, 2024)  |  CLIP  |  32</w:t>
      </w:r>
    </w:p>
    <w:p>
      <w:pPr>
        <w:ind w:left="360"/>
      </w:pPr>
      <w:r>
        <w:rPr>
          <w:rFonts w:ascii="Consolas" w:hAnsi="Consolas"/>
          <w:sz w:val="18"/>
        </w:rPr>
        <w:t>CF-2024-048352  |  May 2024  |  PASSED (Jul 22, 2024)  |  CLIP - Vacant Lot  |  63</w:t>
      </w:r>
    </w:p>
    <w:p>
      <w:pPr>
        <w:ind w:left="360"/>
      </w:pPr>
      <w:r>
        <w:rPr>
          <w:rFonts w:ascii="Consolas" w:hAnsi="Consolas"/>
          <w:sz w:val="18"/>
        </w:rPr>
        <w:t>CF-2023-057245  |  June 2023  |  PASSED (Aug 22, 2023)  |  CLIP - Vacant Lot  |  67</w:t>
      </w:r>
    </w:p>
    <w:p>
      <w:pPr>
        <w:ind w:left="360"/>
      </w:pPr>
      <w:r>
        <w:rPr>
          <w:rFonts w:ascii="Consolas" w:hAnsi="Consolas"/>
          <w:sz w:val="18"/>
        </w:rPr>
        <w:t>CF-2023-016937  |  March 2023  |  PASSED (Mar 21, 2023)  |  CLIP - Vacant Lot  |  19</w:t>
      </w:r>
    </w:p>
    <w:p>
      <w:pPr>
        <w:ind w:left="360"/>
      </w:pPr>
      <w:r>
        <w:rPr>
          <w:rFonts w:ascii="Consolas" w:hAnsi="Consolas"/>
          <w:sz w:val="18"/>
        </w:rPr>
        <w:t>CF-2022-106865  |  October 2022  |  PASSED (Nov 18, 2022)  |  CLIP  |  31</w:t>
      </w:r>
    </w:p>
    <w:p>
      <w:pPr>
        <w:ind w:left="360"/>
      </w:pPr>
      <w:r>
        <w:rPr>
          <w:rFonts w:ascii="Consolas" w:hAnsi="Consolas"/>
          <w:sz w:val="18"/>
        </w:rPr>
        <w:t>CF-2022-091847  |  November 2022  |  PASSED (Nov 15, 2022)  |  CLIP - Vacant Lot  |  varies</w:t>
      </w:r>
    </w:p>
    <w:p/>
    <w:p>
      <w:r>
        <w:t>Each case typically involves two to three investigation records: an initial FAILED inspection, sometimes a second FAILED follow-up, and a final PASSED inspection after remediation. The property has never gone more than four months without a new violation case since GEENA LLC took ownership.</w:t>
      </w:r>
    </w:p>
    <w:p/>
    <w:p>
      <w:pPr>
        <w:pStyle w:val="Heading3"/>
      </w:pPr>
      <w:r>
        <w:t>Pre-Demolition Violations (2016-2019)</w:t>
      </w:r>
    </w:p>
    <w:p/>
    <w:p>
      <w:r>
        <w:t>Before the building was demolished, the property had 21 violation investigations related to the deteriorating structure. These included hazardous building conditions, unsecured openings, and structural concerns. Case priorities during this period were classified as "HAZARDOUS" rather than the "STANDARD" priority assigned to vacant lot violations. The building was in severe disrepair by the time the city ordered demolition in early 2019, with the case responsibility assigned to a "PROPERTY MAINTENANCE INVESTIGATOR."</w:t>
      </w:r>
    </w:p>
    <w:p/>
    <w:p>
      <w:pPr>
        <w:pStyle w:val="Heading2"/>
      </w:pPr>
      <w:r>
        <w:t>4. City-Ordered Demolition</w:t>
      </w:r>
    </w:p>
    <w:p/>
    <w:p>
      <w:r>
        <w:t>The building at 4763 Griscom Street was demolished under city authority in 2019. The demolition was not initiated by the property owner.</w:t>
      </w:r>
    </w:p>
    <w:p/>
    <w:p>
      <w:pPr>
        <w:ind w:left="360"/>
      </w:pPr>
      <w:r>
        <w:rPr>
          <w:rFonts w:ascii="Consolas" w:hAnsi="Consolas"/>
          <w:sz w:val="18"/>
        </w:rPr>
        <w:t>Field  |  Value</w:t>
      </w:r>
    </w:p>
    <w:p>
      <w:pPr>
        <w:ind w:left="360"/>
      </w:pPr>
      <w:r>
        <w:rPr>
          <w:rFonts w:ascii="Consolas" w:hAnsi="Consolas"/>
          <w:sz w:val="18"/>
        </w:rPr>
        <w:t>Case/Permit Number  |  571777</w:t>
      </w:r>
    </w:p>
    <w:p>
      <w:pPr>
        <w:ind w:left="360"/>
      </w:pPr>
      <w:r>
        <w:rPr>
          <w:rFonts w:ascii="Consolas" w:hAnsi="Consolas"/>
          <w:sz w:val="18"/>
        </w:rPr>
        <w:t>Applicant  |  City of Philadelphia Dept. of L&amp;I DBA: Contractual Services</w:t>
      </w:r>
    </w:p>
    <w:p>
      <w:pPr>
        <w:ind w:left="360"/>
      </w:pPr>
      <w:r>
        <w:rPr>
          <w:rFonts w:ascii="Consolas" w:hAnsi="Consolas"/>
          <w:sz w:val="18"/>
        </w:rPr>
        <w:t>Applicant Type  |  CITY_DEMO</w:t>
      </w:r>
    </w:p>
    <w:p>
      <w:pPr>
        <w:ind w:left="360"/>
      </w:pPr>
      <w:r>
        <w:rPr>
          <w:rFonts w:ascii="Consolas" w:hAnsi="Consolas"/>
          <w:sz w:val="18"/>
        </w:rPr>
        <w:t>City Demolition  |  YES</w:t>
      </w:r>
    </w:p>
    <w:p>
      <w:pPr>
        <w:ind w:left="360"/>
      </w:pPr>
      <w:r>
        <w:rPr>
          <w:rFonts w:ascii="Consolas" w:hAnsi="Consolas"/>
          <w:sz w:val="18"/>
        </w:rPr>
        <w:t>Type of Work  |  CASE</w:t>
      </w:r>
    </w:p>
    <w:p>
      <w:pPr>
        <w:ind w:left="360"/>
      </w:pPr>
      <w:r>
        <w:rPr>
          <w:rFonts w:ascii="Consolas" w:hAnsi="Consolas"/>
          <w:sz w:val="18"/>
        </w:rPr>
        <w:t>Contractor  |  Pedro Palmer Construction Inc.</w:t>
      </w:r>
    </w:p>
    <w:p>
      <w:pPr>
        <w:ind w:left="360"/>
      </w:pPr>
      <w:r>
        <w:rPr>
          <w:rFonts w:ascii="Consolas" w:hAnsi="Consolas"/>
          <w:sz w:val="18"/>
        </w:rPr>
        <w:t>Start Date  |  April 9, 2019</w:t>
      </w:r>
    </w:p>
    <w:p>
      <w:pPr>
        <w:ind w:left="360"/>
      </w:pPr>
      <w:r>
        <w:rPr>
          <w:rFonts w:ascii="Consolas" w:hAnsi="Consolas"/>
          <w:sz w:val="18"/>
        </w:rPr>
        <w:t>Completion Date  |  June 7, 2019</w:t>
      </w:r>
    </w:p>
    <w:p>
      <w:pPr>
        <w:ind w:left="360"/>
      </w:pPr>
      <w:r>
        <w:rPr>
          <w:rFonts w:ascii="Consolas" w:hAnsi="Consolas"/>
          <w:sz w:val="18"/>
        </w:rPr>
        <w:t>Status  |  COMPLETED</w:t>
      </w:r>
    </w:p>
    <w:p>
      <w:pPr>
        <w:ind w:left="360"/>
      </w:pPr>
      <w:r>
        <w:rPr>
          <w:rFonts w:ascii="Consolas" w:hAnsi="Consolas"/>
          <w:sz w:val="18"/>
        </w:rPr>
        <w:t>Owner at Time of Demolition  |  Martinez, Ricky H.</w:t>
      </w:r>
    </w:p>
    <w:p/>
    <w:p>
      <w:r>
        <w:t>The demolition was classified as a city-initiated demolition (CITY_DEMO), meaning the City of Philadelphia determined the structure posed a public safety hazard and ordered its removal at taxpayer expense. The building was demolished between April 9 and June 7, 2019, by Pedro Palmer Construction Inc. under the L&amp;I Contractual Services program. At the time of demolition, the property was still in the name of the previous owner, Ricky H. Martinez. GEENA LLC acquired the property approximately six months later through a sheriff sale in December 2019.</w:t>
      </w:r>
    </w:p>
    <w:p/>
    <w:p>
      <w:pPr>
        <w:pStyle w:val="Heading2"/>
      </w:pPr>
      <w:r>
        <w:t>5. Neighborhood Context</w:t>
      </w:r>
    </w:p>
    <w:p/>
    <w:p>
      <w:r>
        <w:t>The property is located on a block in Frankford (zip code 19124) that includes a mix of occupied rowhouses, vacant lots, and a few commercial properties along Griscom Street. The intersection of Griscom and Foulkrod is served by SEPTA bus routes and is within the catchment area of John Marshall Elementary School, Warren G. Harding Middle School, and Frankford High School.</w:t>
      </w:r>
    </w:p>
    <w:p/>
    <w:p>
      <w:r>
        <w:t>GEENA LLC owns seven properties in zip code 19124, all classified as vacant land, with a combined assessed value of $313,100. The concentration of vacant lots under single ownership in a residential neighborhood contributes to visual blight, attracts illegal dumping, and creates safety concerns for residents — issues reflected in the 64 violation investigations at this address alone.</w:t>
      </w:r>
    </w:p>
    <w:p/>
    <w:p>
      <w:pPr>
        <w:pStyle w:val="Heading2"/>
      </w:pPr>
      <w:r>
        <w:t>6. Current Status</w:t>
      </w:r>
    </w:p>
    <w:p/>
    <w:p>
      <w:r>
        <w:t>As of January 2026, the property remains a vacant lot owned by GEENA LLC. No building permits, development applications, or license applications have been filed for this parcel since GEENA LLC acquired it in December 2019. The most recent violation case (CF-2024-065589) was resolved in July 2024 when the lot passed inspection after a failed initial investigation in June 2024. Based on the established pattern, a new violation cycle is expected within the next two to four months.</w:t>
      </w:r>
    </w:p>
    <w:p/>
    <w:p>
      <w:r>
        <w:t>The property has no active licenses, no pending appeals, and no scheduled hearings.</w:t>
      </w:r>
    </w:p>
    <w:p/>
    <w:p>
      <w:pPr>
        <w:jc w:val="center"/>
      </w:pPr>
      <w:r>
        <w:t>__________________________________________________</w:t>
      </w:r>
    </w:p>
    <w:p/>
    <w:p>
      <w:r/>
      <w:r>
        <w:rPr>
          <w:i/>
        </w:rPr>
        <w:t>This file is compiled from L&amp;I enforcement records, OPA assessment data, and demolition permits. All dates and case numbers reference official city records.</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