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Transfer Chain Analysis: 4763 Griscom Street</w:t>
      </w:r>
    </w:p>
    <w:p/>
    <w:p>
      <w:r/>
      <w:r>
        <w:rPr>
          <w:b/>
        </w:rPr>
        <w:t>Prepared by:</w:t>
      </w:r>
      <w:r>
        <w:t xml:space="preserve"> Office of Property &amp; Code Enforcement Analytics</w:t>
      </w:r>
    </w:p>
    <w:p>
      <w:r/>
      <w:r>
        <w:rPr>
          <w:b/>
        </w:rPr>
        <w:t>Parcel Number:</w:t>
      </w:r>
      <w:r>
        <w:t xml:space="preserve"> 232452100</w:t>
      </w:r>
    </w:p>
    <w:p>
      <w:r/>
      <w:r>
        <w:rPr>
          <w:b/>
        </w:rPr>
        <w:t>Report Date:</w:t>
      </w:r>
      <w:r>
        <w:t xml:space="preserve"> February 15, 2026</w:t>
      </w:r>
    </w:p>
    <w:p>
      <w:r/>
      <w:r>
        <w:rPr>
          <w:b/>
        </w:rPr>
        <w:t>File Reference:</w:t>
      </w:r>
      <w:r>
        <w:t xml:space="preserve"> PIU-2026-00347-A (Supplement)</w:t>
      </w:r>
    </w:p>
    <w:p/>
    <w:p>
      <w:pPr>
        <w:jc w:val="center"/>
      </w:pPr>
      <w:r>
        <w:t>__________________________________________________</w:t>
      </w:r>
    </w:p>
    <w:p/>
    <w:p>
      <w:pPr>
        <w:pStyle w:val="Heading2"/>
      </w:pPr>
      <w:r>
        <w:t>1. Summary</w:t>
      </w:r>
    </w:p>
    <w:p/>
    <w:p>
      <w:r>
        <w:t>This analysis traces the complete chain of ownership for the property at 4763 Griscom Street, Philadelphia PA 19124, from its earliest recorded transfer in 1999 through the current owner, GEENA LLC. The property has changed hands six times over 25 years, passing through two sheriff sales, a period of rapid flipping, and a city-ordered demolition. The assessed value has collapsed from a peak of $146,000 (the 2004 purchase price) to a current assessed value of $24,800 — an 83% decline.</w:t>
      </w:r>
    </w:p>
    <w:p/>
    <w:p>
      <w:pPr>
        <w:pStyle w:val="Heading2"/>
      </w:pPr>
      <w:r>
        <w:t>2. Complete Ownership Chain</w:t>
      </w:r>
    </w:p>
    <w:p/>
    <w:p>
      <w:pPr>
        <w:pStyle w:val="Heading3"/>
      </w:pPr>
      <w:r>
        <w:t>Transfer 1: Initial Sale (November 10, 1999)</w:t>
      </w:r>
    </w:p>
    <w:p/>
    <w:p>
      <w:pPr>
        <w:ind w:left="360"/>
      </w:pPr>
      <w:r>
        <w:rPr>
          <w:rFonts w:ascii="Consolas" w:hAnsi="Consolas"/>
          <w:sz w:val="18"/>
        </w:rPr>
        <w:t>Field  |  Value</w:t>
      </w:r>
    </w:p>
    <w:p>
      <w:pPr>
        <w:ind w:left="360"/>
      </w:pPr>
      <w:r>
        <w:rPr>
          <w:rFonts w:ascii="Consolas" w:hAnsi="Consolas"/>
          <w:sz w:val="18"/>
        </w:rPr>
        <w:t>Document Type  |  DEED</w:t>
      </w:r>
    </w:p>
    <w:p>
      <w:pPr>
        <w:ind w:left="360"/>
      </w:pPr>
      <w:r>
        <w:rPr>
          <w:rFonts w:ascii="Consolas" w:hAnsi="Consolas"/>
          <w:sz w:val="18"/>
        </w:rPr>
        <w:t>Document ID  |  50050243</w:t>
      </w:r>
    </w:p>
    <w:p>
      <w:pPr>
        <w:ind w:left="360"/>
      </w:pPr>
      <w:r>
        <w:rPr>
          <w:rFonts w:ascii="Consolas" w:hAnsi="Consolas"/>
          <w:sz w:val="18"/>
        </w:rPr>
        <w:t>Grantor(s)  |  George Ofides, Vasiliky Ofides, Russell Shehinsky</w:t>
      </w:r>
    </w:p>
    <w:p>
      <w:pPr>
        <w:ind w:left="360"/>
      </w:pPr>
      <w:r>
        <w:rPr>
          <w:rFonts w:ascii="Consolas" w:hAnsi="Consolas"/>
          <w:sz w:val="18"/>
        </w:rPr>
        <w:t>Grantee  |  Michael L. Bryan</w:t>
      </w:r>
    </w:p>
    <w:p>
      <w:pPr>
        <w:ind w:left="360"/>
      </w:pPr>
      <w:r>
        <w:rPr>
          <w:rFonts w:ascii="Consolas" w:hAnsi="Consolas"/>
          <w:sz w:val="18"/>
        </w:rPr>
        <w:t>Sale Date  |  November 10, 1999</w:t>
      </w:r>
    </w:p>
    <w:p>
      <w:pPr>
        <w:ind w:left="360"/>
      </w:pPr>
      <w:r>
        <w:rPr>
          <w:rFonts w:ascii="Consolas" w:hAnsi="Consolas"/>
          <w:sz w:val="18"/>
        </w:rPr>
        <w:t>Recording Date  |  March 15, 2000</w:t>
      </w:r>
    </w:p>
    <w:p>
      <w:pPr>
        <w:ind w:left="360"/>
      </w:pPr>
      <w:r>
        <w:rPr>
          <w:rFonts w:ascii="Consolas" w:hAnsi="Consolas"/>
          <w:sz w:val="18"/>
        </w:rPr>
        <w:t>Total Consideration  |  $10,650</w:t>
      </w:r>
    </w:p>
    <w:p>
      <w:pPr>
        <w:ind w:left="360"/>
      </w:pPr>
      <w:r>
        <w:rPr>
          <w:rFonts w:ascii="Consolas" w:hAnsi="Consolas"/>
          <w:sz w:val="18"/>
        </w:rPr>
        <w:t>Cash Consideration  |  $5,000</w:t>
      </w:r>
    </w:p>
    <w:p>
      <w:pPr>
        <w:ind w:left="360"/>
      </w:pPr>
      <w:r>
        <w:rPr>
          <w:rFonts w:ascii="Consolas" w:hAnsi="Consolas"/>
          <w:sz w:val="18"/>
        </w:rPr>
        <w:t>Other Consideration  |  $5,650</w:t>
      </w:r>
    </w:p>
    <w:p/>
    <w:p>
      <w:r>
        <w:t>The property was sold by three joint owners — George Ofides, Vasiliky Ofides, and Russell Shehinsky — to Michael L. Bryan for $10,650, of which only $5,000 was cash. The $5,650 in "other consideration" may represent assumption of existing liens, back taxes, or other non-cash obligations. The fair market value recorded at the time of transfer was $0, suggesting the property may not have been formally appraised.</w:t>
      </w:r>
    </w:p>
    <w:p/>
    <w:p>
      <w:pPr>
        <w:pStyle w:val="Heading3"/>
      </w:pPr>
      <w:r>
        <w:t>Mortgage Activity (2002-2004) — Bryan Ownership</w:t>
      </w:r>
    </w:p>
    <w:p/>
    <w:p>
      <w:r>
        <w:t>During his ownership, Michael L. Bryan took out a mortgage with CIT Group/Consumer Finance Inc. on January 10, 2002 (Document ID 50387128). This mortgage was subsequently assigned from CIT Group to Altegra Credit Company on August 28, 2002 (Document ID 50518147), and then from Altegra to Alaska Seaboard Partners Limited Partnership and Mortgage Electronic Registration Systems (MERS) on August 11, 2003 (Document ID 50732045). The rapid assignment of this single mortgage through three financial entities is a pattern commonly associated with subprime lending during the pre-2008 housing bubble.</w:t>
      </w:r>
    </w:p>
    <w:p/>
    <w:p>
      <w:pPr>
        <w:pStyle w:val="Heading3"/>
      </w:pPr>
      <w:r>
        <w:t>Transfer 2: Sale to Habeeb (March 23, 2004)</w:t>
      </w:r>
    </w:p>
    <w:p/>
    <w:p>
      <w:pPr>
        <w:ind w:left="360"/>
      </w:pPr>
      <w:r>
        <w:rPr>
          <w:rFonts w:ascii="Consolas" w:hAnsi="Consolas"/>
          <w:sz w:val="18"/>
        </w:rPr>
        <w:t>Field  |  Value</w:t>
      </w:r>
    </w:p>
    <w:p>
      <w:pPr>
        <w:ind w:left="360"/>
      </w:pPr>
      <w:r>
        <w:rPr>
          <w:rFonts w:ascii="Consolas" w:hAnsi="Consolas"/>
          <w:sz w:val="18"/>
        </w:rPr>
        <w:t>Document Type  |  DEED</w:t>
      </w:r>
    </w:p>
    <w:p>
      <w:pPr>
        <w:ind w:left="360"/>
      </w:pPr>
      <w:r>
        <w:rPr>
          <w:rFonts w:ascii="Consolas" w:hAnsi="Consolas"/>
          <w:sz w:val="18"/>
        </w:rPr>
        <w:t>Document ID  |  50892767</w:t>
      </w:r>
    </w:p>
    <w:p>
      <w:pPr>
        <w:ind w:left="360"/>
      </w:pPr>
      <w:r>
        <w:rPr>
          <w:rFonts w:ascii="Consolas" w:hAnsi="Consolas"/>
          <w:sz w:val="18"/>
        </w:rPr>
        <w:t>Grantor  |  Michael L. Bryan</w:t>
      </w:r>
    </w:p>
    <w:p>
      <w:pPr>
        <w:ind w:left="360"/>
      </w:pPr>
      <w:r>
        <w:rPr>
          <w:rFonts w:ascii="Consolas" w:hAnsi="Consolas"/>
          <w:sz w:val="18"/>
        </w:rPr>
        <w:t>Grantee  |  Hillard J. Habeeb</w:t>
      </w:r>
    </w:p>
    <w:p>
      <w:pPr>
        <w:ind w:left="360"/>
      </w:pPr>
      <w:r>
        <w:rPr>
          <w:rFonts w:ascii="Consolas" w:hAnsi="Consolas"/>
          <w:sz w:val="18"/>
        </w:rPr>
        <w:t>Sale Date  |  March 23, 2004</w:t>
      </w:r>
    </w:p>
    <w:p>
      <w:pPr>
        <w:ind w:left="360"/>
      </w:pPr>
      <w:r>
        <w:rPr>
          <w:rFonts w:ascii="Consolas" w:hAnsi="Consolas"/>
          <w:sz w:val="18"/>
        </w:rPr>
        <w:t>Recording Date  |  March 25, 2004</w:t>
      </w:r>
    </w:p>
    <w:p>
      <w:pPr>
        <w:ind w:left="360"/>
      </w:pPr>
      <w:r>
        <w:rPr>
          <w:rFonts w:ascii="Consolas" w:hAnsi="Consolas"/>
          <w:sz w:val="18"/>
        </w:rPr>
        <w:t>Total Consideration  |  $146,000</w:t>
      </w:r>
    </w:p>
    <w:p>
      <w:pPr>
        <w:ind w:left="360"/>
      </w:pPr>
      <w:r>
        <w:rPr>
          <w:rFonts w:ascii="Consolas" w:hAnsi="Consolas"/>
          <w:sz w:val="18"/>
        </w:rPr>
        <w:t>Cash Consideration  |  $146,000</w:t>
      </w:r>
    </w:p>
    <w:p>
      <w:pPr>
        <w:ind w:left="360"/>
      </w:pPr>
      <w:r>
        <w:rPr>
          <w:rFonts w:ascii="Consolas" w:hAnsi="Consolas"/>
          <w:sz w:val="18"/>
        </w:rPr>
        <w:t>Fair Market Value (recorded)  |  $53,155</w:t>
      </w:r>
    </w:p>
    <w:p/>
    <w:p>
      <w:r>
        <w:t xml:space="preserve">Bryan sold the property to Hillard J. Habeeb for </w:t>
      </w:r>
      <w:r>
        <w:rPr>
          <w:b/>
        </w:rPr>
        <w:t>$146,000</w:t>
      </w:r>
      <w:r>
        <w:t xml:space="preserve"> — nearly 14 times what Bryan had paid for it five years earlier. Critically, the fair market value recorded on the transfer was only $53,155, meaning the purchase price exceeded the property's appraised value by $92,845 (275% of FMV). This extreme price-to-value ratio is a hallmark of predatory or inflated transactions during the mid-2000s housing bubble.</w:t>
      </w:r>
    </w:p>
    <w:p/>
    <w:p>
      <w:r>
        <w:t>Habeeb immediately took out two mortgages on the same day with Fidelity &amp; Trust Mortgage Inc. (Document IDs 50892768 and 50892769, both recorded March 25, 2004). One mortgage included MERS as a co-grantee. These simultaneous purchase-and-mortgage transactions suggest an acquisition financed entirely through debt, potentially at terms favorable to the seller or broker rather than the buyer.</w:t>
      </w:r>
    </w:p>
    <w:p/>
    <w:p>
      <w:pPr>
        <w:pStyle w:val="Heading3"/>
      </w:pPr>
      <w:r>
        <w:t>Transfer 3: First Sheriff Sale (January 8, 2013)</w:t>
      </w:r>
    </w:p>
    <w:p/>
    <w:p>
      <w:pPr>
        <w:ind w:left="360"/>
      </w:pPr>
      <w:r>
        <w:rPr>
          <w:rFonts w:ascii="Consolas" w:hAnsi="Consolas"/>
          <w:sz w:val="18"/>
        </w:rPr>
        <w:t>Field  |  Value</w:t>
      </w:r>
    </w:p>
    <w:p>
      <w:pPr>
        <w:ind w:left="360"/>
      </w:pPr>
      <w:r>
        <w:rPr>
          <w:rFonts w:ascii="Consolas" w:hAnsi="Consolas"/>
          <w:sz w:val="18"/>
        </w:rPr>
        <w:t>Document Type  |  DEED SHERIFF</w:t>
      </w:r>
    </w:p>
    <w:p>
      <w:pPr>
        <w:ind w:left="360"/>
      </w:pPr>
      <w:r>
        <w:rPr>
          <w:rFonts w:ascii="Consolas" w:hAnsi="Consolas"/>
          <w:sz w:val="18"/>
        </w:rPr>
        <w:t>Document ID  |  52597145</w:t>
      </w:r>
    </w:p>
    <w:p>
      <w:pPr>
        <w:ind w:left="360"/>
      </w:pPr>
      <w:r>
        <w:rPr>
          <w:rFonts w:ascii="Consolas" w:hAnsi="Consolas"/>
          <w:sz w:val="18"/>
        </w:rPr>
        <w:t>Grantor  |  Hillard J. Habeeb</w:t>
      </w:r>
    </w:p>
    <w:p>
      <w:pPr>
        <w:ind w:left="360"/>
      </w:pPr>
      <w:r>
        <w:rPr>
          <w:rFonts w:ascii="Consolas" w:hAnsi="Consolas"/>
          <w:sz w:val="18"/>
        </w:rPr>
        <w:t>Grantee  |  Henry M. DeJesus</w:t>
      </w:r>
    </w:p>
    <w:p>
      <w:pPr>
        <w:ind w:left="360"/>
      </w:pPr>
      <w:r>
        <w:rPr>
          <w:rFonts w:ascii="Consolas" w:hAnsi="Consolas"/>
          <w:sz w:val="18"/>
        </w:rPr>
        <w:t>Sale Date  |  January 8, 2013</w:t>
      </w:r>
    </w:p>
    <w:p>
      <w:pPr>
        <w:ind w:left="360"/>
      </w:pPr>
      <w:r>
        <w:rPr>
          <w:rFonts w:ascii="Consolas" w:hAnsi="Consolas"/>
          <w:sz w:val="18"/>
        </w:rPr>
        <w:t>Recording Date  |  February 11, 2013</w:t>
      </w:r>
    </w:p>
    <w:p>
      <w:pPr>
        <w:ind w:left="360"/>
      </w:pPr>
      <w:r>
        <w:rPr>
          <w:rFonts w:ascii="Consolas" w:hAnsi="Consolas"/>
          <w:sz w:val="18"/>
        </w:rPr>
        <w:t>Total Consideration  |  $13,200</w:t>
      </w:r>
    </w:p>
    <w:p>
      <w:pPr>
        <w:ind w:left="360"/>
      </w:pPr>
      <w:r>
        <w:rPr>
          <w:rFonts w:ascii="Consolas" w:hAnsi="Consolas"/>
          <w:sz w:val="18"/>
        </w:rPr>
        <w:t>Assessed Value  |  $15,680</w:t>
      </w:r>
    </w:p>
    <w:p>
      <w:pPr>
        <w:ind w:left="360"/>
      </w:pPr>
      <w:r>
        <w:rPr>
          <w:rFonts w:ascii="Consolas" w:hAnsi="Consolas"/>
          <w:sz w:val="18"/>
        </w:rPr>
        <w:t>Fair Market Value (recorded)  |  $62,250</w:t>
      </w:r>
    </w:p>
    <w:p/>
    <w:p>
      <w:r>
        <w:t>After approximately nine years of ownership, Habeeb lost the property at a sheriff sale — a court-ordered foreclosure auction. Henry M. DeJesus purchased the property for $13,200, a 91% discount from the $146,000 that Habeeb had paid. The assessed value at the time had fallen to $15,680, and the recorded fair market value was $62,250. The property had been in decline for years and was likely in serious disrepair by this point.</w:t>
      </w:r>
    </w:p>
    <w:p/>
    <w:p>
      <w:pPr>
        <w:pStyle w:val="Heading3"/>
      </w:pPr>
      <w:r>
        <w:t>Transfer 4: Quick Flip to Luong (July 10, 2014)</w:t>
      </w:r>
    </w:p>
    <w:p/>
    <w:p>
      <w:pPr>
        <w:ind w:left="360"/>
      </w:pPr>
      <w:r>
        <w:rPr>
          <w:rFonts w:ascii="Consolas" w:hAnsi="Consolas"/>
          <w:sz w:val="18"/>
        </w:rPr>
        <w:t>Field  |  Value</w:t>
      </w:r>
    </w:p>
    <w:p>
      <w:pPr>
        <w:ind w:left="360"/>
      </w:pPr>
      <w:r>
        <w:rPr>
          <w:rFonts w:ascii="Consolas" w:hAnsi="Consolas"/>
          <w:sz w:val="18"/>
        </w:rPr>
        <w:t>Document Type  |  DEED</w:t>
      </w:r>
    </w:p>
    <w:p>
      <w:pPr>
        <w:ind w:left="360"/>
      </w:pPr>
      <w:r>
        <w:rPr>
          <w:rFonts w:ascii="Consolas" w:hAnsi="Consolas"/>
          <w:sz w:val="18"/>
        </w:rPr>
        <w:t>Document ID  |  52804201</w:t>
      </w:r>
    </w:p>
    <w:p>
      <w:pPr>
        <w:ind w:left="360"/>
      </w:pPr>
      <w:r>
        <w:rPr>
          <w:rFonts w:ascii="Consolas" w:hAnsi="Consolas"/>
          <w:sz w:val="18"/>
        </w:rPr>
        <w:t>Grantor  |  Henry M. DeJesus</w:t>
      </w:r>
    </w:p>
    <w:p>
      <w:pPr>
        <w:ind w:left="360"/>
      </w:pPr>
      <w:r>
        <w:rPr>
          <w:rFonts w:ascii="Consolas" w:hAnsi="Consolas"/>
          <w:sz w:val="18"/>
        </w:rPr>
        <w:t>Grantee  |  Hao Kim Luong</w:t>
      </w:r>
    </w:p>
    <w:p>
      <w:pPr>
        <w:ind w:left="360"/>
      </w:pPr>
      <w:r>
        <w:rPr>
          <w:rFonts w:ascii="Consolas" w:hAnsi="Consolas"/>
          <w:sz w:val="18"/>
        </w:rPr>
        <w:t>Sale Date  |  July 10, 2014</w:t>
      </w:r>
    </w:p>
    <w:p>
      <w:pPr>
        <w:ind w:left="360"/>
      </w:pPr>
      <w:r>
        <w:rPr>
          <w:rFonts w:ascii="Consolas" w:hAnsi="Consolas"/>
          <w:sz w:val="18"/>
        </w:rPr>
        <w:t>Recording Date  |  July 15, 2014</w:t>
      </w:r>
    </w:p>
    <w:p>
      <w:pPr>
        <w:ind w:left="360"/>
      </w:pPr>
      <w:r>
        <w:rPr>
          <w:rFonts w:ascii="Consolas" w:hAnsi="Consolas"/>
          <w:sz w:val="18"/>
        </w:rPr>
        <w:t>Total Consideration  |  $20,000</w:t>
      </w:r>
    </w:p>
    <w:p>
      <w:pPr>
        <w:ind w:left="360"/>
      </w:pPr>
      <w:r>
        <w:rPr>
          <w:rFonts w:ascii="Consolas" w:hAnsi="Consolas"/>
          <w:sz w:val="18"/>
        </w:rPr>
        <w:t>Assessed Value  |  $15,680</w:t>
      </w:r>
    </w:p>
    <w:p>
      <w:pPr>
        <w:ind w:left="360"/>
      </w:pPr>
      <w:r>
        <w:rPr>
          <w:rFonts w:ascii="Consolas" w:hAnsi="Consolas"/>
          <w:sz w:val="18"/>
        </w:rPr>
        <w:t>Fair Market Value (recorded)  |  $15,680</w:t>
      </w:r>
    </w:p>
    <w:p/>
    <w:p>
      <w:r>
        <w:t>DeJesus sold the property to Hao Kim Luong for $20,000 — an 18-month hold with a $6,800 profit (51.5% return). The assessed value remained at $15,680.</w:t>
      </w:r>
    </w:p>
    <w:p/>
    <w:p>
      <w:pPr>
        <w:pStyle w:val="Heading3"/>
      </w:pPr>
      <w:r>
        <w:t>Transfer 5: Second Quick Flip to Martinez (August 5, 2014)</w:t>
      </w:r>
    </w:p>
    <w:p/>
    <w:p>
      <w:pPr>
        <w:ind w:left="360"/>
      </w:pPr>
      <w:r>
        <w:rPr>
          <w:rFonts w:ascii="Consolas" w:hAnsi="Consolas"/>
          <w:sz w:val="18"/>
        </w:rPr>
        <w:t>Field  |  Value</w:t>
      </w:r>
    </w:p>
    <w:p>
      <w:pPr>
        <w:ind w:left="360"/>
      </w:pPr>
      <w:r>
        <w:rPr>
          <w:rFonts w:ascii="Consolas" w:hAnsi="Consolas"/>
          <w:sz w:val="18"/>
        </w:rPr>
        <w:t>Document Type  |  DEED</w:t>
      </w:r>
    </w:p>
    <w:p>
      <w:pPr>
        <w:ind w:left="360"/>
      </w:pPr>
      <w:r>
        <w:rPr>
          <w:rFonts w:ascii="Consolas" w:hAnsi="Consolas"/>
          <w:sz w:val="18"/>
        </w:rPr>
        <w:t>Document ID  |  52814208</w:t>
      </w:r>
    </w:p>
    <w:p>
      <w:pPr>
        <w:ind w:left="360"/>
      </w:pPr>
      <w:r>
        <w:rPr>
          <w:rFonts w:ascii="Consolas" w:hAnsi="Consolas"/>
          <w:sz w:val="18"/>
        </w:rPr>
        <w:t>Grantor  |  Hao Kim Luong</w:t>
      </w:r>
    </w:p>
    <w:p>
      <w:pPr>
        <w:ind w:left="360"/>
      </w:pPr>
      <w:r>
        <w:rPr>
          <w:rFonts w:ascii="Consolas" w:hAnsi="Consolas"/>
          <w:sz w:val="18"/>
        </w:rPr>
        <w:t>Grantee  |  Ricky H. Martinez</w:t>
      </w:r>
    </w:p>
    <w:p>
      <w:pPr>
        <w:ind w:left="360"/>
      </w:pPr>
      <w:r>
        <w:rPr>
          <w:rFonts w:ascii="Consolas" w:hAnsi="Consolas"/>
          <w:sz w:val="18"/>
        </w:rPr>
        <w:t>Sale Date  |  August 5, 2014</w:t>
      </w:r>
    </w:p>
    <w:p>
      <w:pPr>
        <w:ind w:left="360"/>
      </w:pPr>
      <w:r>
        <w:rPr>
          <w:rFonts w:ascii="Consolas" w:hAnsi="Consolas"/>
          <w:sz w:val="18"/>
        </w:rPr>
        <w:t>Recording Date  |  August 7, 2014</w:t>
      </w:r>
    </w:p>
    <w:p>
      <w:pPr>
        <w:ind w:left="360"/>
      </w:pPr>
      <w:r>
        <w:rPr>
          <w:rFonts w:ascii="Consolas" w:hAnsi="Consolas"/>
          <w:sz w:val="18"/>
        </w:rPr>
        <w:t>Total Consideration  |  $21,500</w:t>
      </w:r>
    </w:p>
    <w:p>
      <w:pPr>
        <w:ind w:left="360"/>
      </w:pPr>
      <w:r>
        <w:rPr>
          <w:rFonts w:ascii="Consolas" w:hAnsi="Consolas"/>
          <w:sz w:val="18"/>
        </w:rPr>
        <w:t>Assessed Value  |  $56,900</w:t>
      </w:r>
    </w:p>
    <w:p>
      <w:pPr>
        <w:ind w:left="360"/>
      </w:pPr>
      <w:r>
        <w:rPr>
          <w:rFonts w:ascii="Consolas" w:hAnsi="Consolas"/>
          <w:sz w:val="18"/>
        </w:rPr>
        <w:t>Fair Market Value (recorded)  |  $56,900</w:t>
      </w:r>
    </w:p>
    <w:p/>
    <w:p>
      <w:r>
        <w:t xml:space="preserve">Just </w:t>
      </w:r>
      <w:r>
        <w:rPr>
          <w:b/>
        </w:rPr>
        <w:t>26 days</w:t>
      </w:r>
      <w:r>
        <w:t xml:space="preserve"> after purchasing the property, Luong sold it to Ricky H. Martinez for $21,500 — a $1,500 profit in under a month. This rapid flip pattern, with minimal hold time and marginal price increases, is consistent with speculative or coordinated property trading. The assessed value jumped to $56,900 on this transfer, significantly above the actual sale price, suggesting the prior assessments had been stale.</w:t>
      </w:r>
    </w:p>
    <w:p/>
    <w:p>
      <w:pPr>
        <w:pStyle w:val="Heading3"/>
      </w:pPr>
      <w:r>
        <w:t>City Demolition (April - June 2019)</w:t>
      </w:r>
    </w:p>
    <w:p/>
    <w:p>
      <w:r>
        <w:t>Under Martinez's ownership, the property continued to deteriorate. By early 2019, the structure was classified as hazardous by the Department of Licenses and Inspections. The city ordered demolition under case number 571777. Pedro Palmer Construction Inc. demolished the building between April 9 and June 7, 2019. This was a city-initiated demolition (CITY_DEMO) performed at taxpayer expense.</w:t>
      </w:r>
    </w:p>
    <w:p/>
    <w:p>
      <w:pPr>
        <w:pStyle w:val="Heading3"/>
      </w:pPr>
      <w:r>
        <w:t>Transfer 6: Second Sheriff Sale to GEENA LLC (December 24, 2019)</w:t>
      </w:r>
    </w:p>
    <w:p/>
    <w:p>
      <w:pPr>
        <w:ind w:left="360"/>
      </w:pPr>
      <w:r>
        <w:rPr>
          <w:rFonts w:ascii="Consolas" w:hAnsi="Consolas"/>
          <w:sz w:val="18"/>
        </w:rPr>
        <w:t>Field  |  Value</w:t>
      </w:r>
    </w:p>
    <w:p>
      <w:pPr>
        <w:ind w:left="360"/>
      </w:pPr>
      <w:r>
        <w:rPr>
          <w:rFonts w:ascii="Consolas" w:hAnsi="Consolas"/>
          <w:sz w:val="18"/>
        </w:rPr>
        <w:t>Document Type  |  SHERIFF'S DEED</w:t>
      </w:r>
    </w:p>
    <w:p>
      <w:pPr>
        <w:ind w:left="360"/>
      </w:pPr>
      <w:r>
        <w:rPr>
          <w:rFonts w:ascii="Consolas" w:hAnsi="Consolas"/>
          <w:sz w:val="18"/>
        </w:rPr>
        <w:t>Document ID  |  53620000</w:t>
      </w:r>
    </w:p>
    <w:p>
      <w:pPr>
        <w:ind w:left="360"/>
      </w:pPr>
      <w:r>
        <w:rPr>
          <w:rFonts w:ascii="Consolas" w:hAnsi="Consolas"/>
          <w:sz w:val="18"/>
        </w:rPr>
        <w:t>Grantor  |  Ricky H. Martinez</w:t>
      </w:r>
    </w:p>
    <w:p>
      <w:pPr>
        <w:ind w:left="360"/>
      </w:pPr>
      <w:r>
        <w:rPr>
          <w:rFonts w:ascii="Consolas" w:hAnsi="Consolas"/>
          <w:sz w:val="18"/>
        </w:rPr>
        <w:t>Grantee  |  GEENA LLC</w:t>
      </w:r>
    </w:p>
    <w:p>
      <w:pPr>
        <w:ind w:left="360"/>
      </w:pPr>
      <w:r>
        <w:rPr>
          <w:rFonts w:ascii="Consolas" w:hAnsi="Consolas"/>
          <w:sz w:val="18"/>
        </w:rPr>
        <w:t>Sale Date  |  December 24, 2019</w:t>
      </w:r>
    </w:p>
    <w:p>
      <w:pPr>
        <w:ind w:left="360"/>
      </w:pPr>
      <w:r>
        <w:rPr>
          <w:rFonts w:ascii="Consolas" w:hAnsi="Consolas"/>
          <w:sz w:val="18"/>
        </w:rPr>
        <w:t>Recording Date  |  January 16, 2020</w:t>
      </w:r>
    </w:p>
    <w:p>
      <w:pPr>
        <w:ind w:left="360"/>
      </w:pPr>
      <w:r>
        <w:rPr>
          <w:rFonts w:ascii="Consolas" w:hAnsi="Consolas"/>
          <w:sz w:val="18"/>
        </w:rPr>
        <w:t>Total Consideration  |  $6,500</w:t>
      </w:r>
    </w:p>
    <w:p>
      <w:pPr>
        <w:ind w:left="360"/>
      </w:pPr>
      <w:r>
        <w:rPr>
          <w:rFonts w:ascii="Consolas" w:hAnsi="Consolas"/>
          <w:sz w:val="18"/>
        </w:rPr>
        <w:t>Assessed Value  |  $37,200</w:t>
      </w:r>
    </w:p>
    <w:p>
      <w:pPr>
        <w:ind w:left="360"/>
      </w:pPr>
      <w:r>
        <w:rPr>
          <w:rFonts w:ascii="Consolas" w:hAnsi="Consolas"/>
          <w:sz w:val="18"/>
        </w:rPr>
        <w:t>Fair Market Value (recorded)  |  $37,572</w:t>
      </w:r>
    </w:p>
    <w:p/>
    <w:p>
      <w:r>
        <w:t>Martinez lost the property at a second sheriff sale. GEENA LLC purchased the vacant lot — the building having been demolished six months earlier — for $6,500. The assessed value was $37,200, making the purchase price 17.5% of the assessed value. This represents the second time this property was sold through foreclosure and the lowest price in the property's recorded history.</w:t>
      </w:r>
    </w:p>
    <w:p/>
    <w:p>
      <w:pPr>
        <w:pStyle w:val="Heading2"/>
      </w:pPr>
      <w:r>
        <w:t>3. Price History Visualization</w:t>
      </w:r>
    </w:p>
    <w:p/>
    <w:p>
      <w:r>
        <w:t>```</w:t>
      </w:r>
    </w:p>
    <w:p>
      <w:r>
        <w:t>$146,000 |  *  (Habeeb purchase, 2004 — inflated)</w:t>
      </w:r>
    </w:p>
    <w:p>
      <w:pPr>
        <w:ind w:left="360"/>
      </w:pPr>
      <w:r>
        <w:rPr>
          <w:rFonts w:ascii="Consolas" w:hAnsi="Consolas"/>
          <w:sz w:val="18"/>
        </w:rPr>
      </w:r>
    </w:p>
    <w:p>
      <w:pPr>
        <w:ind w:left="360"/>
      </w:pPr>
      <w:r>
        <w:rPr>
          <w:rFonts w:ascii="Consolas" w:hAnsi="Consolas"/>
          <w:sz w:val="18"/>
        </w:rPr>
      </w:r>
    </w:p>
    <w:p>
      <w:pPr>
        <w:ind w:left="360"/>
      </w:pPr>
      <w:r>
        <w:rPr>
          <w:rFonts w:ascii="Consolas" w:hAnsi="Consolas"/>
          <w:sz w:val="18"/>
        </w:rPr>
      </w:r>
    </w:p>
    <w:p>
      <w:r>
        <w:t>$56,900 |  --------------------------------  (Assessed value 2015-2018)</w:t>
      </w:r>
    </w:p>
    <w:p>
      <w:pPr>
        <w:ind w:left="360"/>
      </w:pPr>
      <w:r>
        <w:rPr>
          <w:rFonts w:ascii="Consolas" w:hAnsi="Consolas"/>
          <w:sz w:val="18"/>
        </w:rPr>
      </w:r>
    </w:p>
    <w:p>
      <w:r>
        <w:t>$37,200 |        *  (Assessed value at GEENA purchase, 2019)</w:t>
      </w:r>
    </w:p>
    <w:p>
      <w:pPr>
        <w:ind w:left="360"/>
      </w:pPr>
      <w:r>
        <w:rPr>
          <w:rFonts w:ascii="Consolas" w:hAnsi="Consolas"/>
          <w:sz w:val="18"/>
        </w:rPr>
      </w:r>
    </w:p>
    <w:p>
      <w:r>
        <w:t>$24,800 |           *  (Current assessed value, 2025)</w:t>
      </w:r>
    </w:p>
    <w:p>
      <w:r>
        <w:t>$21,500 |     *  (Martinez purchase, 2014)</w:t>
      </w:r>
    </w:p>
    <w:p>
      <w:r>
        <w:t>$20,000 |    *  (Luong purchase, 2014)</w:t>
      </w:r>
    </w:p>
    <w:p>
      <w:r>
        <w:t>$13,200 |   *  (DeJesus sheriff sale, 2013)</w:t>
      </w:r>
    </w:p>
    <w:p>
      <w:r>
        <w:t>$10,650 | *  (Bryan purchase, 1999)</w:t>
      </w:r>
    </w:p>
    <w:p>
      <w:r>
        <w:t>$6,500 |          *  (GEENA LLC sheriff sale, 2019)</w:t>
      </w:r>
    </w:p>
    <w:p>
      <w:pPr>
        <w:ind w:left="360"/>
      </w:pPr>
      <w:r>
        <w:rPr>
          <w:rFonts w:ascii="Consolas" w:hAnsi="Consolas"/>
          <w:sz w:val="18"/>
        </w:rPr>
      </w:r>
    </w:p>
    <w:p>
      <w:r>
        <w:t>1999  2004  2013 2014  2019  2025</w:t>
      </w:r>
    </w:p>
    <w:p>
      <w:r>
        <w:t>```</w:t>
      </w:r>
    </w:p>
    <w:p/>
    <w:p>
      <w:pPr>
        <w:pStyle w:val="Heading2"/>
      </w:pPr>
      <w:r>
        <w:t>4. Key Findings</w:t>
      </w:r>
    </w:p>
    <w:p/>
    <w:p>
      <w:r>
        <w:t xml:space="preserve">1. </w:t>
      </w:r>
      <w:r>
        <w:rPr>
          <w:b/>
        </w:rPr>
        <w:t>Two foreclosures in six years.</w:t>
      </w:r>
      <w:r>
        <w:t xml:space="preserve"> The property was sold at sheriff sale in 2013 (Habeeb to DeJesus) and again in 2019 (Martinez to GEENA LLC). Each foreclosure resulted in a catastrophic price decline.</w:t>
      </w:r>
    </w:p>
    <w:p/>
    <w:p>
      <w:r>
        <w:t xml:space="preserve">2. </w:t>
      </w:r>
      <w:r>
        <w:rPr>
          <w:b/>
        </w:rPr>
        <w:t>Predatory pricing in 2004.</w:t>
      </w:r>
      <w:r>
        <w:t xml:space="preserve"> Bryan sold the property to Habeeb for $146,000 when the fair market value was approximately $53,155. Habeeb immediately took out two mortgages, suggesting the purchase was debt-financed at an inflated price. This is consistent with predatory lending patterns common in the mid-2000s.</w:t>
      </w:r>
    </w:p>
    <w:p/>
    <w:p>
      <w:r>
        <w:t xml:space="preserve">3. </w:t>
      </w:r>
      <w:r>
        <w:rPr>
          <w:b/>
        </w:rPr>
        <w:t>Rapid flipping in 2014.</w:t>
      </w:r>
      <w:r>
        <w:t xml:space="preserve"> DeJesus → Luong → Martinez within 26 days, with minimal price increases ($20K → $21.5K). This pattern suggests coordinated or speculative trading rather than genuine investment.</w:t>
      </w:r>
    </w:p>
    <w:p/>
    <w:p>
      <w:r>
        <w:t xml:space="preserve">4. </w:t>
      </w:r>
      <w:r>
        <w:rPr>
          <w:b/>
        </w:rPr>
        <w:t>City bore the demolition cost.</w:t>
      </w:r>
      <w:r>
        <w:t xml:space="preserve"> The building was demolished at city expense under the L&amp;I Contractual Services program. Neither the owner at the time (Martinez) nor the subsequent purchaser (GEENA LLC) bore any of the demolition costs.</w:t>
      </w:r>
    </w:p>
    <w:p/>
    <w:p>
      <w:r>
        <w:t xml:space="preserve">5. </w:t>
      </w:r>
      <w:r>
        <w:rPr>
          <w:b/>
        </w:rPr>
        <w:t>Post-acquisition neglect.</w:t>
      </w:r>
      <w:r>
        <w:t xml:space="preserve"> Since GEENA LLC acquired the property in December 2019, it has accumulated 43 additional violation investigations with no development activity, no license applications, and no permits filed. The lot has been held as bare land for over six years.</w:t>
      </w:r>
    </w:p>
    <w:p/>
    <w:p>
      <w:r>
        <w:t xml:space="preserve">6. </w:t>
      </w:r>
      <w:r>
        <w:rPr>
          <w:b/>
        </w:rPr>
        <w:t>Net value destruction.</w:t>
      </w:r>
      <w:r>
        <w:t xml:space="preserve"> Over 25 years, the property's value trajectory tells the story of a neighborhood asset — a single-family home — that was inflated, foreclosed, flipped, demolished, and abandoned. The current assessed value of $24,800 is less than the original 1999 purchase price of $10,650 in inflation-adjusted terms.</w:t>
      </w:r>
    </w:p>
    <w:p/>
    <w:p>
      <w:pPr>
        <w:jc w:val="center"/>
      </w:pPr>
      <w:r>
        <w:t>__________________________________________________</w:t>
      </w:r>
    </w:p>
    <w:p/>
    <w:p>
      <w:r/>
      <w:r>
        <w:rPr>
          <w:i/>
        </w:rPr>
        <w:t>This analysis is based on real estate transfer tax records from the City of Philadelphia Department of Records, OPA assessment data, and L&amp;I demolition permits. Document IDs reference the official recording system.</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