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88472e1bca9630c06388657d223d83084d74ae8.png"/>
            <a:graphic>
              <a:graphicData uri="http://schemas.openxmlformats.org/drawingml/2006/picture">
                <pic:pic>
                  <pic:nvPicPr>
                    <pic:cNvPr id="1" name="image-588472e1bca9630c06388657d223d83084d74ae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master_projektleírás_pályázatokhoz_vagy"/>
      <w:r>
        <w:rPr>
          <w:rFonts w:eastAsia="inter" w:cs="inter" w:ascii="inter" w:hAnsi="inter"/>
          <w:b/>
          <w:color w:val="000000"/>
          <w:sz w:val="39"/>
        </w:rPr>
        <w:t xml:space="preserve">master projektleírás pályázatokhoz”, vagy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„konkrét kitöltött pályázati adatlap (DIMOP/GIVOP) sablon alapján”. (: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Mindkettőt meg tudjuk csinálni, de sorrendben érdemes haladni.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Most készítsünk egy rövid, univerzális </w:t>
      </w:r>
      <w:r>
        <w:rPr>
          <w:rFonts w:eastAsia="inter" w:cs="inter" w:ascii="inter" w:hAnsi="inter"/>
          <w:b/>
          <w:color w:val="000000"/>
          <w:sz w:val="21"/>
        </w:rPr>
        <w:t xml:space="preserve">master projektleírást</w:t>
      </w:r>
      <w:r>
        <w:rPr>
          <w:rFonts w:eastAsia="inter" w:cs="inter" w:ascii="inter" w:hAnsi="inter"/>
          <w:color w:val="000000"/>
          <w:sz w:val="21"/>
        </w:rPr>
        <w:t xml:space="preserve">, amit bármely DIMOP / GINOP / NKFIH / EU pályázatnál be tudsz tenni „Projekt ismertetés” blokkba.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Következő körben erre építve kitöltök egy konkrét </w:t>
      </w:r>
      <w:r>
        <w:rPr>
          <w:rFonts w:eastAsia="inter" w:cs="inter" w:ascii="inter" w:hAnsi="inter"/>
          <w:b/>
          <w:color w:val="000000"/>
          <w:sz w:val="21"/>
        </w:rPr>
        <w:t xml:space="preserve">„Innovációs Pályázati Adatlapot”</w:t>
      </w:r>
      <w:r>
        <w:rPr>
          <w:rFonts w:eastAsia="inter" w:cs="inter" w:ascii="inter" w:hAnsi="inter"/>
          <w:color w:val="000000"/>
          <w:sz w:val="21"/>
        </w:rPr>
        <w:t xml:space="preserve"> a sablonod szerinti struktúrában (DIMOP/GINOP-hoz igazítható mezőkkel).</w:t>
      </w:r>
      <w:bookmarkStart w:id="5" w:name="fnref2_1"/>
      <w:bookmarkEnd w:id="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" w:name="fnref1_1"/>
      <w:bookmarkEnd w:id="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master_projektleírás_rövid_pályáz_c34d42"/>
      <w:r>
        <w:rPr>
          <w:rFonts w:eastAsia="inter" w:cs="inter" w:ascii="inter" w:hAnsi="inter"/>
          <w:b/>
          <w:color w:val="000000"/>
          <w:sz w:val="24"/>
        </w:rPr>
        <w:t xml:space="preserve">Master projektleírás – rövid, pályázat-kompatibilis verzió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Projektcím (munka):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Brunella Agent System (BAS) &amp; Pohi AI Pro – MI ügynök operációs rendszer KKV-k digitális automatizálásához.</w:t>
      </w:r>
      <w:bookmarkStart w:id="8" w:name="fnref1_2"/>
      <w:bookmarkEnd w:id="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9" w:name="fnref2_2"/>
      <w:bookmarkEnd w:id="9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Projekt rövid összefoglaló (5–7 mondat):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 projekt célja egy MI ügynök operációs rendszer (Brunella Agent System, BAS) és a hozzá kapcsolódó Pohi AI Pro SaaS platform továbbfejlesztése a TRL 9 szintig, amely KKV-k számára teszi elérhetővé a komplex üzleti folyamatok teljesen automatizált, ügynök-alapú vezérlését. A rendszer többügynökös, MCP (Model Context Protocol) alapú architektúrát alkalmaz: specializált AI ügynökök (Developer, Evaluator, Orchestrator, DataScientist stb.) koordináltan végzik a feladatok elemzését, tervezését és végrehajtását, miközben öngyógyító Phoenix Protocol gondoskodik a hibák automatikus detektálásáról és javításáról. A platform hibrid (felhő–lokális) környezetben működik, Node.js/TypeScript és Python alapú mikroszolgáltatás-architektúrával, Dockeres konténerizációval, React-alapú Mission Control Dashboard UI felülettel és LanceDB-alapú RAG tudásbázissal. Tipikus felhasználás KKV-k logisztikai, adminisztratív és back-office folyamatai: a Pohi AI Pro modul bizonyítottan képes fuvarozási üresjáratok és adminisztrációs terhek csökkentésére, amelyet már egy „Iszapfaló” living-lab pilot is igazolt. Gazdasági hatásként a projekt 24 hónapon belül piacra vihető, exportképes terméket céloz 50+ ügyféllel és 50–100 millió Ft éves árbevétellel, miközben csökkenti a külföldi technológiai függőséget a nyílt forrású LLM-ek és saját MCP mag használatával.</w:t>
      </w:r>
      <w:bookmarkStart w:id="10" w:name="fnref5"/>
      <w:bookmarkEnd w:id="1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1" w:name="fnref3_1"/>
      <w:bookmarkEnd w:id="1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2" w:name="fnref4_1"/>
      <w:bookmarkEnd w:id="12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3" w:name="fnref2_3"/>
      <w:bookmarkEnd w:id="1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14" w:name="fnref1_3"/>
      <w:bookmarkEnd w:id="1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Kiinduló helyzet és szükséglet: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 jelenlegi MI rendszerek jellemzően monolitikus, „black box” jellegű megoldások, amelyek érzékenyek az adatzajra és egyetlen hiba az egész folyamat leállását okozhatja. A KKV-knek nincs erőforrásuk saját data science csapatra, miközben a manuális, ismétlődő feladatok (számlázás, logisztika, adatrögzítés, riporting) aránytalanul sok időt és költséget emésztenek fel. Erre válaszként a Brunella Agent System „digitális idegrendszerként” működik: ügynök-raj gyűjti, tisztítja és strukturálja az adatokat, majd autonóm ügynökök végzik el az üzleti döntési és végrehajtási lépéseket a felhasználó által meghatározott keretek között.</w:t>
      </w:r>
      <w:bookmarkStart w:id="15" w:name="fnref3_2"/>
      <w:bookmarkEnd w:id="1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6" w:name="fnref4_2"/>
      <w:bookmarkEnd w:id="1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7" w:name="fnref2_4"/>
      <w:bookmarkEnd w:id="17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18" w:name="fnref5_1"/>
      <w:bookmarkEnd w:id="18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9" w:name="fnref1_4"/>
      <w:bookmarkEnd w:id="1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Technológiai újdonság (rövid):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 projekt újdonsága a Model Context Protocolra épülő, moduláris, többügynökös architektúra, amely szabványosítja az AI modellek, a fájlrendszer, adatbázisok és külső API-k közötti kommunikációt, és lehetővé teszi új ügynökök, eszközök gyors integrációját. A Persistent Python Shell, a Refiner Factory és a LanceDB-alapú RAG együtt olyan „vegytiszta” tudásbázist hoz létre, amelyre megbízható, magyarázható MI döntések építhetők. A Phoenix Protocol és a Jules QA Extension révén a rendszer képes önellenőrzésre, önjavításra és a CI/CD pipeline automatizálására, ami ritka komplexitású önjavító mechanizmust jelent KKV-k számára is elérhető formában.</w:t>
      </w:r>
      <w:bookmarkStart w:id="20" w:name="fnref4_3"/>
      <w:bookmarkEnd w:id="2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21" w:name="fnref2_5"/>
      <w:bookmarkEnd w:id="2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2" w:name="fnref3_3"/>
      <w:bookmarkEnd w:id="2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Főbb fejlesztési célok (3–5 pont):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MCP-alapú mcp-brunella-core mag stabilizálása és skálázása (TRL 6→9).</w:t>
      </w:r>
      <w:bookmarkStart w:id="23" w:name="fnref3_4"/>
      <w:bookmarkEnd w:id="2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4" w:name="fnref4_4"/>
      <w:bookmarkEnd w:id="2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Brunella Orchestrator és ügynök-raj képességek bővítése KKV-folyamatokra optimalizált domain-ügynökökkel (logisztika, admin, pénzügy, CRM).</w:t>
      </w:r>
      <w:bookmarkStart w:id="25" w:name="fnref4_5"/>
      <w:bookmarkEnd w:id="2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6" w:name="fnref1_5"/>
      <w:bookmarkEnd w:id="2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Pohi AI Pro SaaS platform multi-tenant üzembe helyezése (Next.js/React UI, API marketplace, audit log, SSO, billing).</w:t>
      </w:r>
      <w:bookmarkStart w:id="27" w:name="fnref5_2"/>
      <w:bookmarkEnd w:id="2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8" w:name="fnref1_6"/>
      <w:bookmarkEnd w:id="2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9" w:name="fnref3_5"/>
      <w:bookmarkEnd w:id="2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3–5 pilot ügyfél bevonása (pl. Iszapfalóhoz hasonló KKV-k), validált költségmegtakarítási mutatók publikálása.</w:t>
      </w:r>
      <w:bookmarkStart w:id="30" w:name="fnref1_7"/>
      <w:bookmarkEnd w:id="3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1" w:name="fnref5_3"/>
      <w:bookmarkEnd w:id="3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Teljes dokumentáció, biztonsági és IP-stratégia (EUIPO védjegy, nyílt forrású komponensek licencei) kidolgozása.</w:t>
      </w:r>
      <w:bookmarkStart w:id="32" w:name="fnref5_4"/>
      <w:bookmarkEnd w:id="3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33" w:name="fnref1_8"/>
      <w:bookmarkEnd w:id="3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24 hónapos keret-finanszírozás röviden: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 master terv szerint egy 87 millió Ft összköltségű, 24 hónapos fejlesztési ciklus valósítja meg a fenti célokat, amely szoftverfejlesztésre, felhőinfrastruktúrára, szakértői tanácsadásra, projektmenedzsmentre és rezsire bontott költségvetéssel rendelkezik. Ennek finanszírozása optimálisan DIMOP Plusz-1.1.2A típusú vissza nem térítendő támogatás (kb. 30M Ft) és GINOP Plusz-1.4.3-24 kamatmentes technológiai hitel (kb. 40M Ft) kombinációjával, valamint 17M Ft önerővel történik.</w:t>
      </w:r>
      <w:bookmarkStart w:id="34" w:name="fnref1_9"/>
      <w:bookmarkEnd w:id="3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5" w:name="fnref5_5"/>
      <w:bookmarkEnd w:id="3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Ha ez a master leírás így megfelel (max. 1–2 mondatot még finomíthatunk), a következő üzenetben megcsinálom a </w:t>
      </w:r>
      <w:r>
        <w:rPr>
          <w:rFonts w:eastAsia="inter" w:cs="inter" w:ascii="inter" w:hAnsi="inter"/>
          <w:b/>
          <w:color w:val="000000"/>
        </w:rPr>
        <w:t xml:space="preserve">konkrétan kitöltött „Innovációs Pályázati Adatlapot”</w:t>
      </w:r>
      <w:r>
        <w:rPr>
          <w:rFonts w:eastAsia="inter" w:cs="inter" w:ascii="inter" w:hAnsi="inter"/>
          <w:color w:val="000000"/>
        </w:rPr>
        <w:t xml:space="preserve"> a sablonod 1–6. pontja szerint, mintha egy DIMOP / GINOP innovációs kiírásba másolnád be.</w:t>
      </w:r>
      <w:bookmarkStart w:id="36" w:name="fnref2_6"/>
      <w:bookmarkEnd w:id="3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7" w:name="fnref1_10"/>
      <w:bookmarkEnd w:id="3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8" w:name="fn1"/>
    <w:bookmarkEnd w:id="38"/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Palyazati-Strategia-es-Cselekvesi-Terv-2025-2027_-Pohanka-es-Tarsa-Kft.docx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2"/>
    <w:bookmarkEnd w:id="39"/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Innovacios-Palyazati-Adatlap-Sablon.docx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3"/>
    <w:bookmarkEnd w:id="40"/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BAS-2026.01.31.-fejlesztesi-allapot-es-beszamolo.md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4"/>
    <w:bookmarkEnd w:id="41"/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A-Brunella-Agent-System-BAS-Projekt-Adattablaja.xlsx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5"/>
    <w:bookmarkEnd w:id="42"/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Teendo-lista.pdf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u-H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88472e1bca9630c06388657d223d83084d74ae8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2026-02-12T04:04:58.713Z</dcterms:created>
  <dcterms:modified xsi:type="dcterms:W3CDTF">2026-02-12T04:04:58.713Z</dcterms:modified>
</cp:coreProperties>
</file>