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Új Tudásbázis-elemek az Üzleti Tanácsadó Projekthez</w:t>
      </w:r>
    </w:p>
    <w:p>
      <w:pPr>
        <w:pStyle w:val="MdParagraph"/>
      </w:pPr>
      <w:r>
        <w:rPr>
          <w:rStyle w:val="MdStrong"/>
          <w:b/>
          <w:bCs/>
        </w:rPr>
        <w:t xml:space="preserve">Készítette: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Dátum:</w:t>
      </w:r>
      <w:r>
        <w:t xml:space="preserve"> 2026. február 11.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Bevezetés</w:t>
      </w:r>
    </w:p>
    <w:p>
      <w:pPr>
        <w:pStyle w:val="MdParagraph"/>
      </w:pPr>
      <w:r>
        <w:t xml:space="preserve">A mellékelt dokumentumok (CrefoPort pénzügyi riport és Iszapfaló prospektus 2026) alapján négy új tudásbázis-elemet hoztam létre az Üzleti Tanácsadó Projekt számára. Ezek az elemek kiegészítik a meglévő tudásbázist friss pénzügyi adatokkal, részletes szolgáltatási leírásokkal és referenciákkal.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Pénzügyi Helyzet (2024-2025)</w:t>
      </w:r>
    </w:p>
    <w:p>
      <w:pPr>
        <w:pStyle w:val="MdParagraph"/>
      </w:pPr>
      <w:r>
        <w:rPr>
          <w:rStyle w:val="MdStrong"/>
          <w:b/>
          <w:bCs/>
        </w:rPr>
        <w:t xml:space="preserve">Használati útmutató:</w:t>
      </w:r>
      <w:r>
        <w:t xml:space="preserve"> Akkor használd, amikor a cég pénzügyi stabilitásáról, a bevételcsökkenés okairól, vagy a likviditási helyzetről kell elemzést készíteni. Stratégiai tervezés, kockázatértékelés és pénzügyi riportok készítése során alapvető fontosságú.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Tartalom: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CrefoPort 2025. szeptemberi riportja alapján az Iszapfaló Kft. pénzügyi helyzete kettős képet mutat. A cég alapvetően stabil, amit a 216-os, "jó bonitás" minősítés, a rendkívül magas, 91,53%-os saját tőke arány és az alacsony, 0,08-as eladósodottsági ráta is alátámaszt. A likviditási ráta (7,83) kiváló. Ugyanakkor 2024-ben drasztikus, 38,91%-os árbevétel-visszaesést szenvedett el az előző évhez képest (271,4 M HUF-ról 165,8 M HUF-ra), ami az adózott eredményt is 60,9%-kal csökkentette (26,6 M HUF-ról 10,4 M HUF-ra). A pénzeszközállomány 21 M HUF-ról 6,5 M HUF-ra zuhant, miközben a vevőkövetelések behajtási ideje 43 napról 74 napra nőtt, ami a cash-flow-ra nehezedő nyomást jelzi.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Kulcsfontosságú mutatók:</w:t>
      </w:r>
    </w:p>
    <w:p>
      <w:pPr>
        <w:pStyle w:val="MdListItem"/>
        <w:numPr>
          <w:ilvl w:val="0"/>
          <w:numId w:val="2"/>
        </w:numPr>
      </w:pPr>
      <w:r>
        <w:t xml:space="preserve">Bonitási index: 216 (jó bonitás)</w:t>
      </w:r>
    </w:p>
    <w:p>
      <w:pPr>
        <w:pStyle w:val="MdListItem"/>
        <w:numPr>
          <w:ilvl w:val="0"/>
          <w:numId w:val="2"/>
        </w:numPr>
      </w:pPr>
      <w:r>
        <w:t xml:space="preserve">Csődvalószínűség 1 éven belül: 0,13%</w:t>
      </w:r>
    </w:p>
    <w:p>
      <w:pPr>
        <w:pStyle w:val="MdListItem"/>
        <w:numPr>
          <w:ilvl w:val="0"/>
          <w:numId w:val="2"/>
        </w:numPr>
      </w:pPr>
      <w:r>
        <w:t xml:space="preserve">Saját tőke aránya: 91,53%</w:t>
      </w:r>
    </w:p>
    <w:p>
      <w:pPr>
        <w:pStyle w:val="MdListItem"/>
        <w:numPr>
          <w:ilvl w:val="0"/>
          <w:numId w:val="2"/>
        </w:numPr>
      </w:pPr>
      <w:r>
        <w:t xml:space="preserve">Likviditási ráta: 7,83</w:t>
      </w:r>
    </w:p>
    <w:p>
      <w:pPr>
        <w:pStyle w:val="MdListItem"/>
        <w:numPr>
          <w:ilvl w:val="0"/>
          <w:numId w:val="2"/>
        </w:numPr>
      </w:pPr>
      <w:r>
        <w:t xml:space="preserve">Eladósodottsági ráta: 0,08</w:t>
      </w:r>
    </w:p>
    <w:p>
      <w:pPr>
        <w:pStyle w:val="MdListItem"/>
        <w:numPr>
          <w:ilvl w:val="0"/>
          <w:numId w:val="2"/>
        </w:numPr>
      </w:pPr>
      <w:r>
        <w:t xml:space="preserve">ROE (tőkearányos eredmény): 17,50%</w:t>
      </w:r>
    </w:p>
    <w:p>
      <w:pPr>
        <w:pStyle w:val="MdListItem"/>
        <w:numPr>
          <w:ilvl w:val="0"/>
          <w:numId w:val="2"/>
        </w:numPr>
      </w:pPr>
      <w:r>
        <w:t xml:space="preserve">ROA (eszközarányos eredmény): 16,02%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Céginformáció és Elérhetőségek</w:t>
      </w:r>
    </w:p>
    <w:p>
      <w:pPr>
        <w:pStyle w:val="MdParagraph"/>
      </w:pPr>
      <w:r>
        <w:rPr>
          <w:rStyle w:val="MdStrong"/>
          <w:b/>
          <w:bCs/>
        </w:rPr>
        <w:t xml:space="preserve">Használati útmutató:</w:t>
      </w:r>
      <w:r>
        <w:t xml:space="preserve"> Akkor használd, amikor hivatalos dokumentumokban, szerződésekben, vagy a céggel való kapcsolatfelvétel során pontos cégadatokra van szükség. Alapvető információ a kapcsolattartáshoz és az adminisztratív folyamatokhoz.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Tartalom: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Teljes Név:</w:t>
      </w:r>
      <w:r>
        <w:t xml:space="preserve"> ISZAPFALÓ Szolgáltató, Kereskedelmi és Fejlesztési Korlátolt Felelősségű Társaság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Rövidített Név:</w:t>
      </w:r>
      <w:r>
        <w:t xml:space="preserve"> Iszapfaló Kft.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Székhely:</w:t>
      </w:r>
      <w:r>
        <w:t xml:space="preserve"> 2100 Gödöllő, Ősz utca 20.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Telephely:</w:t>
      </w:r>
      <w:r>
        <w:t xml:space="preserve"> 2100 Gödöllő, Isaszegi út 164. (Gödöllői Erdészeti Arborétum)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Cégjegyzékszám:</w:t>
      </w:r>
      <w:r>
        <w:t xml:space="preserve"> 13 09 110539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Adószám:</w:t>
      </w:r>
      <w:r>
        <w:t xml:space="preserve"> 13844549-2-13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Központi e-mail:</w:t>
      </w:r>
      <w:r>
        <w:t xml:space="preserve"> </w:t>
      </w:r>
      <w:hyperlink w:history="1" r:id="rIdj6q88sqsz1a2gip016pqf">
        <w:r>
          <w:rPr>
            <w:rStyle w:val="MdLink"/>
          </w:rPr>
          <w:t xml:space="preserve">info@iszapfalo.hu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Központi telefon:</w:t>
      </w:r>
      <w:r>
        <w:t xml:space="preserve"> +36-28-421-722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Műszaki vezető és kapcsolattartó:</w:t>
      </w:r>
      <w:r>
        <w:rPr>
          <w:rStyle w:val="MdBr"/>
        </w:rPr>
        <w:br/>
        <w:t xml:space="preserve"/>
      </w:r>
      <w:r>
        <w:t xml:space="preserve">Kovásznai-Szász Gergely</w:t>
      </w:r>
      <w:r>
        <w:rPr>
          <w:rStyle w:val="MdBr"/>
        </w:rPr>
        <w:br/>
        <w:t xml:space="preserve"/>
      </w:r>
      <w:r>
        <w:t xml:space="preserve">E-mail: </w:t>
      </w:r>
      <w:hyperlink w:history="1" r:id="rId9fafiagubrjjastkx0jje">
        <w:r>
          <w:rPr>
            <w:rStyle w:val="MdLink"/>
          </w:rPr>
          <w:t xml:space="preserve">kovasznai.gergely@iszapfalo.hu</w:t>
        </w:r>
      </w:hyperlink>
      <w:r>
        <w:rPr>
          <w:rStyle w:val="MdBr"/>
        </w:rPr>
        <w:br/>
        <w:t xml:space="preserve"/>
      </w:r>
      <w:r>
        <w:t xml:space="preserve">Telefon: +36-20-228-7484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Szolgáltatási Portfólió</w:t>
      </w:r>
    </w:p>
    <w:p>
      <w:pPr>
        <w:pStyle w:val="MdParagraph"/>
      </w:pPr>
      <w:r>
        <w:rPr>
          <w:rStyle w:val="MdStrong"/>
          <w:b/>
          <w:bCs/>
        </w:rPr>
        <w:t xml:space="preserve">Használati útmutató:</w:t>
      </w:r>
      <w:r>
        <w:t xml:space="preserve"> Akkor használd, amikor a cég tevékenységeit, kompetenciáit és szolgáltatásait kell bemutatni. Ajánlatok készítésekor, marketinganyagok szövegezésekor, vagy amikor egy adott problémára keresel megoldást a cég portfóliójából.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Tartalom: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Az Iszapfaló Kft. komplex tó-rehabilitációs szolgáltatásokat nyújt. Fő tevékenységi körei: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Teljes körű állapotfelmérés</w:t>
      </w:r>
      <w:r>
        <w:rPr>
          <w:rStyle w:val="MdBr"/>
        </w:rPr>
        <w:br/>
        <w:t xml:space="preserve"/>
      </w:r>
      <w:r>
        <w:t xml:space="preserve">3D medertérképezés, ultrahangos vizsgálat, GPS-Sonar technológia, víz- és iszapminőség-vizsgálat, geodéziai mérések, mintagyűjtés, növényzet meghatározás, depóterületek vizsgálata.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Biológiai iszap- és vízkezelés</w:t>
      </w:r>
      <w:r>
        <w:rPr>
          <w:rStyle w:val="MdBr"/>
        </w:rPr>
        <w:br/>
        <w:t xml:space="preserve"/>
      </w:r>
      <w:r>
        <w:t xml:space="preserve">Saját fejlesztésű, engedélyezett bioaktív hatóanyagokkal (4 különböző típus) a szerves iszap csökkentésére és a vízminőség javítására. Várható eredményesség vizsgálata, nagy teljesítményű kezelések kivitelezése, kezelőeszközök fejlesztése, kezelőanyagok forgalmazása.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Hidromechanizációs kotrás</w:t>
      </w:r>
      <w:r>
        <w:rPr>
          <w:rStyle w:val="MdBr"/>
        </w:rPr>
        <w:br/>
        <w:t xml:space="preserve"/>
      </w:r>
      <w:r>
        <w:t xml:space="preserve">Kis- és középteljesítményű, saját fejlesztésű gépekkel, akár üzem közben is. Speciális kotrási eljárások, gyorsülepítéses zagykezeltetők kialakítása, fóliázott/mesterséges medencék kotrása.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Víztelenítés és iszapkezelés</w:t>
      </w:r>
      <w:r>
        <w:rPr>
          <w:rStyle w:val="MdBr"/>
        </w:rPr>
        <w:br/>
        <w:t xml:space="preserve"/>
      </w:r>
      <w:r>
        <w:t xml:space="preserve">Geotextil víztelenítő párnák (Mudbirds varroda) és gyorsülepítő rendszerek (Olsa széria) alkalmazása. Különböző teljesítményű víztelenítő berendezések üzemeltetése/fejlesztése.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Partvédelmi és vízi létesítmények</w:t>
      </w:r>
      <w:r>
        <w:rPr>
          <w:rStyle w:val="MdBr"/>
        </w:rPr>
        <w:br/>
        <w:t xml:space="preserve"/>
      </w:r>
      <w:r>
        <w:t xml:space="preserve">Természetes és épített partvédelmi megoldások (geotextil, akác, vörösfenyő, beton, "élő" partvédelem), stégek építése, gépi földmunka.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6. Állapotfelmérés, kezelési és eljárási tervkészítés</w:t>
      </w:r>
      <w:r>
        <w:rPr>
          <w:rStyle w:val="MdBr"/>
        </w:rPr>
        <w:br/>
        <w:t xml:space="preserve"/>
      </w:r>
      <w:r>
        <w:t xml:space="preserve">Komplex tanácsadás, jegyzőkönyves dokumentáció, költség-haszon elemzések.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cég a komplex, egyedi problémákra specializálódott, és a teljes folyamatot (felmérés, tervezés, kivitelezés, utókövetés) képes menedzselni.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Kiemelt Referenciák</w:t>
      </w:r>
    </w:p>
    <w:p>
      <w:pPr>
        <w:pStyle w:val="MdParagraph"/>
      </w:pPr>
      <w:r>
        <w:rPr>
          <w:rStyle w:val="MdStrong"/>
          <w:b/>
          <w:bCs/>
        </w:rPr>
        <w:t xml:space="preserve">Használati útmutató:</w:t>
      </w:r>
      <w:r>
        <w:t xml:space="preserve"> Akkor használd, amikor a cég tapasztalatát és megbízhatóságát kell igazolni. Ajánlatokban, bemutatkozó anyagokban és a weboldalon a hitelesség növelésére szolgál.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Tartalom: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Az Iszapfaló Kft. több száz sikeres projektet valósított meg. Kiemelt referenciái a következők: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Hidromechanizációs kotrás / Fázisleválasztás:</w:t>
      </w:r>
    </w:p>
    <w:p>
      <w:pPr>
        <w:pStyle w:val="MdListItem"/>
        <w:numPr>
          <w:ilvl w:val="0"/>
          <w:numId w:val="2"/>
        </w:numPr>
      </w:pPr>
      <w:r>
        <w:t xml:space="preserve">Bátor Tábor Alapítvány (Hatvan)</w:t>
      </w:r>
    </w:p>
    <w:p>
      <w:pPr>
        <w:pStyle w:val="MdListItem"/>
        <w:numPr>
          <w:ilvl w:val="0"/>
          <w:numId w:val="2"/>
        </w:numPr>
      </w:pPr>
      <w:r>
        <w:t xml:space="preserve">Colas Magyarország Zrt. (Keszthelyi szennyvíztisztító telep)</w:t>
      </w:r>
    </w:p>
    <w:p>
      <w:pPr>
        <w:pStyle w:val="MdListItem"/>
        <w:numPr>
          <w:ilvl w:val="0"/>
          <w:numId w:val="2"/>
        </w:numPr>
      </w:pPr>
      <w:r>
        <w:t xml:space="preserve">Vácrátóti Botanikus Kert (részleges hidromechanizációs kotrás)</w:t>
      </w:r>
    </w:p>
    <w:p>
      <w:pPr>
        <w:pStyle w:val="MdListItem"/>
        <w:numPr>
          <w:ilvl w:val="0"/>
          <w:numId w:val="2"/>
        </w:numPr>
      </w:pPr>
      <w:r>
        <w:t xml:space="preserve">Magyar Telekom Nyrt. (Balatonkenesei kikötő kotrása)</w:t>
      </w:r>
    </w:p>
    <w:p>
      <w:pPr>
        <w:pStyle w:val="MdListItem"/>
        <w:numPr>
          <w:ilvl w:val="0"/>
          <w:numId w:val="2"/>
        </w:numPr>
      </w:pPr>
      <w:r>
        <w:t xml:space="preserve">Pilisi Parkerdő Zrt. Gyarmatpuszta (4 ha kotrása/EM kezelése)</w:t>
      </w:r>
    </w:p>
    <w:p>
      <w:pPr>
        <w:pStyle w:val="MdListItem"/>
        <w:numPr>
          <w:ilvl w:val="0"/>
          <w:numId w:val="2"/>
        </w:numPr>
      </w:pPr>
      <w:r>
        <w:t xml:space="preserve">Vértesi Erdő Zrt. (Csákvári erdészet Békés - Körös kikötő kotrás)</w:t>
      </w:r>
    </w:p>
    <w:p>
      <w:pPr>
        <w:pStyle w:val="MdListItem"/>
        <w:numPr>
          <w:ilvl w:val="0"/>
          <w:numId w:val="2"/>
        </w:numPr>
      </w:pPr>
      <w:r>
        <w:t xml:space="preserve">Pócsmegyer (Klímapark tavának kotrása)</w:t>
      </w:r>
    </w:p>
    <w:p>
      <w:pPr>
        <w:pStyle w:val="MdListItem"/>
        <w:numPr>
          <w:ilvl w:val="0"/>
          <w:numId w:val="2"/>
        </w:numPr>
      </w:pPr>
      <w:r>
        <w:t xml:space="preserve">Budapest Városligeti medencék iszapmentesítése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Biológiai kezelések:</w:t>
      </w:r>
    </w:p>
    <w:p>
      <w:pPr>
        <w:pStyle w:val="MdListItem"/>
        <w:numPr>
          <w:ilvl w:val="0"/>
          <w:numId w:val="2"/>
        </w:numPr>
      </w:pPr>
      <w:r>
        <w:t xml:space="preserve">Pölöskei-tó (164 ha) - legnagyobb projekt</w:t>
      </w:r>
    </w:p>
    <w:p>
      <w:pPr>
        <w:pStyle w:val="MdListItem"/>
        <w:numPr>
          <w:ilvl w:val="0"/>
          <w:numId w:val="2"/>
        </w:numPr>
      </w:pPr>
      <w:r>
        <w:t xml:space="preserve">Fővárosi Állat és Növénykert (Nagy-tó karbantartása)</w:t>
      </w:r>
    </w:p>
    <w:p>
      <w:pPr>
        <w:pStyle w:val="MdListItem"/>
        <w:numPr>
          <w:ilvl w:val="0"/>
          <w:numId w:val="2"/>
        </w:numPr>
      </w:pPr>
      <w:r>
        <w:t xml:space="preserve">Vácrátóti Botanikus Kert</w:t>
      </w:r>
    </w:p>
    <w:p>
      <w:pPr>
        <w:pStyle w:val="MdListItem"/>
        <w:numPr>
          <w:ilvl w:val="0"/>
          <w:numId w:val="2"/>
        </w:numPr>
      </w:pPr>
      <w:r>
        <w:t xml:space="preserve">Etyek - Horgásztó (21 ha)</w:t>
      </w:r>
    </w:p>
    <w:p>
      <w:pPr>
        <w:pStyle w:val="MdListItem"/>
        <w:numPr>
          <w:ilvl w:val="0"/>
          <w:numId w:val="2"/>
        </w:numPr>
      </w:pPr>
      <w:r>
        <w:t xml:space="preserve">Tiszalúci holtág (5 ha)</w:t>
      </w:r>
    </w:p>
    <w:p>
      <w:pPr>
        <w:pStyle w:val="MdListItem"/>
        <w:numPr>
          <w:ilvl w:val="0"/>
          <w:numId w:val="2"/>
        </w:numPr>
      </w:pPr>
      <w:r>
        <w:t xml:space="preserve">Martonvásár - Brunszvik-kastély parktó (4,5 ha)</w:t>
      </w:r>
    </w:p>
    <w:p>
      <w:pPr>
        <w:pStyle w:val="MdListItem"/>
        <w:numPr>
          <w:ilvl w:val="0"/>
          <w:numId w:val="2"/>
        </w:numPr>
      </w:pPr>
      <w:r>
        <w:t xml:space="preserve">Több tucat kisebb horgásztó (Monor, Gödöllő, Isaszeg, Pécel, stb.)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Nemzetközi tapasztalat:</w:t>
      </w:r>
    </w:p>
    <w:p>
      <w:pPr>
        <w:pStyle w:val="MdListItem"/>
        <w:numPr>
          <w:ilvl w:val="0"/>
          <w:numId w:val="2"/>
        </w:numPr>
      </w:pPr>
      <w:r>
        <w:t xml:space="preserve">Szlovákia - Rúban víztározó biológiai kezelése</w:t>
      </w:r>
    </w:p>
    <w:p>
      <w:pPr>
        <w:pStyle w:val="MdListItem"/>
        <w:numPr>
          <w:ilvl w:val="0"/>
          <w:numId w:val="2"/>
        </w:numPr>
      </w:pPr>
      <w:r>
        <w:t xml:space="preserve">Szlovákia - Berek III.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Felmérés/Tanulmánykészítés:</w:t>
      </w:r>
    </w:p>
    <w:p>
      <w:pPr>
        <w:pStyle w:val="MdListItem"/>
        <w:numPr>
          <w:ilvl w:val="0"/>
          <w:numId w:val="2"/>
        </w:numPr>
      </w:pPr>
      <w:r>
        <w:t xml:space="preserve">BGT Hungária Kft. (Medervizsgálatok, mintagyűjtések)</w:t>
      </w:r>
    </w:p>
    <w:p>
      <w:pPr>
        <w:pStyle w:val="MdListItem"/>
        <w:numPr>
          <w:ilvl w:val="0"/>
          <w:numId w:val="2"/>
        </w:numPr>
      </w:pPr>
      <w:r>
        <w:t xml:space="preserve">Propontis Kft. (Hidak mederkörnyezet vizsgálata)</w:t>
      </w:r>
    </w:p>
    <w:p>
      <w:pPr>
        <w:pStyle w:val="MdListItem"/>
        <w:numPr>
          <w:ilvl w:val="0"/>
          <w:numId w:val="2"/>
        </w:numPr>
      </w:pPr>
      <w:r>
        <w:t xml:space="preserve">Tanyató Program Kézikönyve (átfogó tananyag)</w:t>
      </w:r>
    </w:p>
    <w:p>
      <w:pPr>
        <w:pStyle w:val="MdListItem"/>
        <w:numPr>
          <w:ilvl w:val="0"/>
          <w:numId w:val="2"/>
        </w:numPr>
      </w:pPr>
      <w:r>
        <w:t xml:space="preserve">Tonna Bt. (Isaszegi törendszer medervizsgálata)</w:t>
      </w:r>
    </w:p>
    <w:p>
      <w:pPr>
        <w:pStyle w:val="MdListItem"/>
        <w:numPr>
          <w:ilvl w:val="0"/>
          <w:numId w:val="2"/>
        </w:numPr>
      </w:pPr>
      <w:r>
        <w:t xml:space="preserve">Budapest Liszt Ferenc nemzetközi repülőtér (víztározó medervizsgálata és kotrási terve)</w:t>
      </w:r>
    </w:p>
    <w:p>
      <w:pPr>
        <w:pStyle w:val="MdListItem"/>
        <w:numPr>
          <w:ilvl w:val="0"/>
          <w:numId w:val="2"/>
        </w:numPr>
      </w:pPr>
      <w:r>
        <w:t xml:space="preserve">Rozsályi bányató medervizsgálata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Ezek a referenciák a cég széleskörű tapasztalatát mutatják a különböző ügyfélszegmensekben, a természetvédelmi területektől az ipari létesítményekig.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Implementációs Útmutató</w:t>
      </w:r>
    </w:p>
    <w:p>
      <w:pPr>
        <w:pStyle w:val="MdParagraph"/>
      </w:pPr>
      <w:r>
        <w:t xml:space="preserve">A fenti tudásbázis-elemeket JSON formátumban is elkészítettem (lásd a mellékelt fájlokat). Ezeket a következőképpen tudod beépíteni a projekt tudásbázisába: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Nyisd meg a projekt beállításait a Manus felületén</w:t>
      </w:r>
    </w:p>
    <w:p>
      <w:pPr>
        <w:pStyle w:val="MdListItem"/>
        <w:numPr>
          <w:ilvl w:val="0"/>
          <w:numId w:val="3"/>
        </w:numPr>
      </w:pPr>
      <w:r>
        <w:t xml:space="preserve">Navigálj a "Knowledge" vagy "Tudásbázis" szekcióhoz</w:t>
      </w:r>
    </w:p>
    <w:p>
      <w:pPr>
        <w:pStyle w:val="MdListItem"/>
        <w:numPr>
          <w:ilvl w:val="0"/>
          <w:numId w:val="3"/>
        </w:numPr>
      </w:pPr>
      <w:r>
        <w:t xml:space="preserve">Adj hozzá új elemeket a megfelelő JSON struktúrával</w:t>
      </w:r>
    </w:p>
    <w:p>
      <w:pPr>
        <w:pStyle w:val="MdListItem"/>
        <w:numPr>
          <w:ilvl w:val="0"/>
          <w:numId w:val="3"/>
        </w:numPr>
      </w:pPr>
      <w:r>
        <w:t xml:space="preserve">Mentsd el a változtatásokat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Ezzel a négy új elemmel a tudásbázis jelentősen bővül, és a jövőbeli munkamenetekben pontosabb és részletesebb tanácsadást tudsz nyújtani az Iszapfaló Kft. számára.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6q88sqsz1a2gip016pqf" Type="http://schemas.openxmlformats.org/officeDocument/2006/relationships/hyperlink" Target="mailto:info@iszapfalo.hu" TargetMode="External"/><Relationship Id="rId9fafiagubrjjastkx0jje" Type="http://schemas.openxmlformats.org/officeDocument/2006/relationships/hyperlink" Target="mailto:kovasznai.gergely@iszapfalo.hu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2026-02-11T09:02:22.653Z</dcterms:created>
  <dcterms:modified xsi:type="dcterms:W3CDTF">2026-02-11T09:02:22.653Z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