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EB834" w14:textId="39EB81BD" w:rsidR="00EF7257" w:rsidRPr="00EF7257" w:rsidRDefault="00EF7257" w:rsidP="0016496E">
      <w:pPr>
        <w:spacing w:line="276" w:lineRule="auto"/>
        <w:ind w:left="360" w:hanging="360"/>
        <w:rPr>
          <w:lang w:val="en-US"/>
        </w:rPr>
      </w:pPr>
      <w:r w:rsidRPr="00EF7257">
        <w:t>Версия от 01.04.2026, 11:06, Эрик Поль</w:t>
      </w:r>
    </w:p>
    <w:p w14:paraId="08C55961" w14:textId="0A210D93" w:rsidR="00F560D0" w:rsidRPr="00F560D0" w:rsidRDefault="00F560D0" w:rsidP="00F560D0">
      <w:pPr>
        <w:pStyle w:val="a7"/>
        <w:numPr>
          <w:ilvl w:val="0"/>
          <w:numId w:val="2"/>
        </w:numPr>
        <w:rPr>
          <w:rFonts w:asciiTheme="majorHAnsi" w:eastAsiaTheme="majorEastAsia" w:hAnsiTheme="majorHAnsi" w:cstheme="majorBidi"/>
          <w:color w:val="0F4761" w:themeColor="accent1" w:themeShade="BF"/>
          <w:sz w:val="32"/>
          <w:szCs w:val="32"/>
          <w:lang w:val="en-US"/>
        </w:rPr>
      </w:pPr>
      <w:r w:rsidRPr="00F560D0">
        <w:rPr>
          <w:rFonts w:asciiTheme="majorHAnsi" w:eastAsiaTheme="majorEastAsia" w:hAnsiTheme="majorHAnsi" w:cstheme="majorBidi"/>
          <w:color w:val="0F4761" w:themeColor="accent1" w:themeShade="BF"/>
          <w:sz w:val="32"/>
          <w:szCs w:val="32"/>
          <w:lang w:val="en-US"/>
        </w:rPr>
        <w:t>Theoretical basis</w:t>
      </w:r>
      <w:r w:rsidRPr="00F560D0">
        <w:rPr>
          <w:lang w:val="ru-RU"/>
        </w:rPr>
        <w:t xml:space="preserve"> </w:t>
      </w:r>
      <w:r w:rsidR="00EF7257" w:rsidRPr="00F560D0">
        <w:rPr>
          <w:lang w:val="ru-RU"/>
        </w:rPr>
        <w:t>Теор</w:t>
      </w:r>
      <w:r w:rsidR="006962EF" w:rsidRPr="00F560D0">
        <w:rPr>
          <w:lang w:val="ru-RU"/>
        </w:rPr>
        <w:t>е</w:t>
      </w:r>
      <w:r w:rsidR="00EF7257" w:rsidRPr="00F560D0">
        <w:rPr>
          <w:lang w:val="ru-RU"/>
        </w:rPr>
        <w:t xml:space="preserve">тические </w:t>
      </w:r>
      <w:r w:rsidR="006962EF" w:rsidRPr="00F560D0">
        <w:rPr>
          <w:lang w:val="ru-RU"/>
        </w:rPr>
        <w:t>основы</w:t>
      </w:r>
      <w:r w:rsidRPr="00F560D0">
        <w:rPr>
          <w:lang w:val="en-US"/>
        </w:rPr>
        <w:t xml:space="preserve"> </w:t>
      </w:r>
    </w:p>
    <w:p w14:paraId="1D1656A9" w14:textId="77777777" w:rsidR="005D5C53" w:rsidRPr="005D5C53" w:rsidRDefault="005D5C53" w:rsidP="005D5C53">
      <w:pPr>
        <w:pStyle w:val="a7"/>
        <w:spacing w:line="276" w:lineRule="auto"/>
        <w:ind w:left="360"/>
        <w:jc w:val="both"/>
        <w:rPr>
          <w:rFonts w:eastAsia="SimSun"/>
          <w:lang w:eastAsia="zh-CN"/>
        </w:rPr>
      </w:pPr>
      <w:r w:rsidRPr="005D5C53">
        <w:rPr>
          <w:rFonts w:eastAsia="SimSun"/>
          <w:lang w:eastAsia="zh-CN"/>
        </w:rPr>
        <w:t xml:space="preserve">Obtaining hydrological measurements of stream </w:t>
      </w:r>
      <w:r w:rsidRPr="005D5C53">
        <w:rPr>
          <w:rFonts w:eastAsia="SimSun"/>
          <w:b/>
          <w:bCs/>
          <w:lang w:eastAsia="zh-CN"/>
        </w:rPr>
        <w:t>discharge</w:t>
      </w:r>
      <w:r w:rsidRPr="005D5C53">
        <w:rPr>
          <w:rFonts w:eastAsia="SimSun"/>
          <w:lang w:eastAsia="zh-CN"/>
        </w:rPr>
        <w:t xml:space="preserve"> [Volume/Time] to calibrate and validate numerical models and to analyze the physical process in the cryosphere are of fundamental importance. Obtaining these values is, however, difficult as measurements in pro-glacial streams are difficult to conduct and prone to various error sources. One way to derive continuous discharge values is based on continuous measurement time-series of </w:t>
      </w:r>
      <w:r w:rsidRPr="005D5C53">
        <w:rPr>
          <w:rFonts w:eastAsia="SimSun"/>
          <w:b/>
          <w:bCs/>
          <w:lang w:eastAsia="zh-CN"/>
        </w:rPr>
        <w:t>water levels</w:t>
      </w:r>
      <w:r w:rsidRPr="005D5C53">
        <w:rPr>
          <w:rFonts w:eastAsia="SimSun"/>
          <w:lang w:eastAsia="zh-CN"/>
        </w:rPr>
        <w:t xml:space="preserve">. By measuring discharge for different water levels, by means of fluorescent dye tracer experiments or using ADCP (Accoustic Doppler Current Profiler), it is possible to derive a water level-discharge relationship (rating curve). This rating curve can be used to transform all other water level values (without complementary discharge measurements) into a continuous discharge time series. </w:t>
      </w:r>
    </w:p>
    <w:p w14:paraId="1C3B7D93" w14:textId="16029AC9" w:rsidR="00580F61" w:rsidRDefault="00580F61" w:rsidP="00F560D0">
      <w:pPr>
        <w:pStyle w:val="2"/>
        <w:spacing w:line="276" w:lineRule="auto"/>
        <w:ind w:left="360"/>
      </w:pPr>
    </w:p>
    <w:p w14:paraId="53DF6694" w14:textId="4BAAD86C" w:rsidR="000018FB" w:rsidRPr="006962EF" w:rsidRDefault="006962EF" w:rsidP="0016496E">
      <w:pPr>
        <w:spacing w:line="276" w:lineRule="auto"/>
        <w:jc w:val="both"/>
        <w:rPr>
          <w:rFonts w:eastAsia="SimSun"/>
          <w:lang w:val="ru-RU" w:eastAsia="zh-CN"/>
        </w:rPr>
      </w:pPr>
      <w:r w:rsidRPr="006962EF">
        <w:rPr>
          <w:rFonts w:eastAsia="SimSun"/>
          <w:lang w:val="ru-RU" w:eastAsia="zh-CN"/>
        </w:rPr>
        <w:t xml:space="preserve">Получение гидрологических данных о </w:t>
      </w:r>
      <w:r w:rsidRPr="006962EF">
        <w:rPr>
          <w:rFonts w:eastAsia="SimSun"/>
          <w:b/>
          <w:bCs/>
          <w:lang w:val="ru-RU" w:eastAsia="zh-CN"/>
        </w:rPr>
        <w:t>расходе реки</w:t>
      </w:r>
      <w:r w:rsidRPr="006962EF">
        <w:rPr>
          <w:rFonts w:eastAsia="SimSun"/>
          <w:lang w:val="ru-RU" w:eastAsia="zh-CN"/>
        </w:rPr>
        <w:t xml:space="preserve"> [объём/время] для калибровки и верификации численных моделей, а также для анализа физических процессов в криосфере имеет основополагающее значение. Однако получение этих значений сопряжено со сложностями, поскольку измерения в приледниковых реках затруднительны и подвержены различным источникам погрешностей. Один из способов определения непрерывных значений расхода основан на использовании временных рядов данных непрерывных измерений </w:t>
      </w:r>
      <w:r w:rsidRPr="006962EF">
        <w:rPr>
          <w:rFonts w:eastAsia="SimSun"/>
          <w:b/>
          <w:bCs/>
          <w:lang w:val="ru-RU" w:eastAsia="zh-CN"/>
        </w:rPr>
        <w:t>уровня воды</w:t>
      </w:r>
      <w:r w:rsidRPr="006962EF">
        <w:rPr>
          <w:rFonts w:eastAsia="SimSun"/>
          <w:lang w:val="ru-RU" w:eastAsia="zh-CN"/>
        </w:rPr>
        <w:t xml:space="preserve">. Измерив расход при различных уровнях воды с помощью экспериментов с флуоресцентными красителями-трассерами или с использованием </w:t>
      </w:r>
      <w:r w:rsidRPr="006962EF">
        <w:rPr>
          <w:rFonts w:eastAsia="SimSun"/>
          <w:lang w:val="en-US" w:eastAsia="zh-CN"/>
        </w:rPr>
        <w:t>ADCP</w:t>
      </w:r>
      <w:r w:rsidRPr="006962EF">
        <w:rPr>
          <w:rFonts w:eastAsia="SimSun"/>
          <w:lang w:val="ru-RU" w:eastAsia="zh-CN"/>
        </w:rPr>
        <w:t xml:space="preserve"> (акустического доплеровского </w:t>
      </w:r>
      <w:proofErr w:type="spellStart"/>
      <w:r w:rsidRPr="006962EF">
        <w:rPr>
          <w:rFonts w:eastAsia="SimSun"/>
          <w:lang w:val="ru-RU" w:eastAsia="zh-CN"/>
        </w:rPr>
        <w:t>профилографа</w:t>
      </w:r>
      <w:proofErr w:type="spellEnd"/>
      <w:r w:rsidRPr="006962EF">
        <w:rPr>
          <w:rFonts w:eastAsia="SimSun"/>
          <w:lang w:val="ru-RU" w:eastAsia="zh-CN"/>
        </w:rPr>
        <w:t xml:space="preserve"> течения), можно вывести зависимость между уровнем воды и расходом (калибровочную кривую). Эта калибровочная кривая может быть использована для преобразования всех остальных значений уровня воды (без дополнительных измерений расхода) в непрерывный временной ряд данных о расходе.</w:t>
      </w:r>
    </w:p>
    <w:p w14:paraId="3C6F2497" w14:textId="77777777" w:rsidR="000018FB" w:rsidRPr="007D28EA" w:rsidRDefault="000018FB" w:rsidP="0016496E">
      <w:pPr>
        <w:spacing w:line="276" w:lineRule="auto"/>
        <w:jc w:val="both"/>
        <w:rPr>
          <w:rFonts w:eastAsia="SimSun"/>
          <w:lang w:eastAsia="zh-CN"/>
        </w:rPr>
      </w:pPr>
    </w:p>
    <w:p w14:paraId="0EDB931E" w14:textId="6E592F19" w:rsidR="000018FB" w:rsidRDefault="00410A9D" w:rsidP="0016496E">
      <w:pPr>
        <w:pStyle w:val="3"/>
        <w:numPr>
          <w:ilvl w:val="1"/>
          <w:numId w:val="2"/>
        </w:numPr>
        <w:spacing w:line="276" w:lineRule="auto"/>
        <w:rPr>
          <w:lang w:val="en-US" w:eastAsia="zh-CN"/>
        </w:rPr>
      </w:pPr>
      <w:r w:rsidRPr="00410A9D">
        <w:rPr>
          <w:lang w:val="en-US" w:eastAsia="zh-CN"/>
        </w:rPr>
        <w:t>Water Level</w:t>
      </w:r>
      <w:r w:rsidRPr="002D469F">
        <w:rPr>
          <w:lang w:val="ru-RU" w:eastAsia="zh-CN"/>
        </w:rPr>
        <w:t xml:space="preserve"> </w:t>
      </w:r>
      <w:r w:rsidRPr="00410A9D">
        <w:rPr>
          <w:lang w:val="en-US" w:eastAsia="zh-CN"/>
        </w:rPr>
        <w:t>1.1.</w:t>
      </w:r>
      <w:r>
        <w:rPr>
          <w:lang w:val="en-US" w:eastAsia="zh-CN"/>
        </w:rPr>
        <w:t xml:space="preserve"> </w:t>
      </w:r>
      <w:r w:rsidR="002D469F" w:rsidRPr="002D469F">
        <w:rPr>
          <w:lang w:val="ru-RU" w:eastAsia="zh-CN"/>
        </w:rPr>
        <w:t>Уровень воды</w:t>
      </w:r>
    </w:p>
    <w:p w14:paraId="693B6C9D" w14:textId="77777777" w:rsidR="00730B7F" w:rsidRPr="00730B7F" w:rsidRDefault="00730B7F" w:rsidP="00730B7F">
      <w:pPr>
        <w:pStyle w:val="a7"/>
        <w:spacing w:line="276" w:lineRule="auto"/>
        <w:ind w:left="360"/>
        <w:jc w:val="both"/>
        <w:rPr>
          <w:rFonts w:eastAsia="SimSun"/>
          <w:lang w:eastAsia="zh-CN"/>
        </w:rPr>
      </w:pPr>
      <w:r w:rsidRPr="00730B7F">
        <w:rPr>
          <w:rFonts w:eastAsia="SimSun"/>
          <w:lang w:eastAsia="zh-CN"/>
        </w:rPr>
        <w:t xml:space="preserve">Water level is commonly measured through </w:t>
      </w:r>
      <w:r w:rsidRPr="00730B7F">
        <w:rPr>
          <w:rFonts w:eastAsia="SimSun"/>
          <w:b/>
          <w:bCs/>
          <w:lang w:eastAsia="zh-CN"/>
        </w:rPr>
        <w:t>pressure</w:t>
      </w:r>
      <w:r w:rsidRPr="00730B7F">
        <w:rPr>
          <w:rFonts w:eastAsia="SimSun"/>
          <w:lang w:eastAsia="zh-CN"/>
        </w:rPr>
        <w:t xml:space="preserve"> transducers installed at fixed depth (e.g. in a metal housing attached to bedrock or large and stable boulders) within the water column of a river. The measured pressure is the </w:t>
      </w:r>
      <w:r w:rsidRPr="00730B7F">
        <w:rPr>
          <w:rFonts w:eastAsia="SimSun"/>
          <w:b/>
          <w:bCs/>
          <w:lang w:eastAsia="zh-CN"/>
        </w:rPr>
        <w:t>combined pressure of the overlying water column and the atmosphere</w:t>
      </w:r>
      <w:r w:rsidRPr="00730B7F">
        <w:rPr>
          <w:rFonts w:eastAsia="SimSun"/>
          <w:lang w:eastAsia="zh-CN"/>
        </w:rPr>
        <w:t>. Therefore, two instruments are installed at a measurement site; one for the combined pressure, and one for the atmospheric pressure only. The atmospheric pressure (</w:t>
      </w:r>
      <w:r w:rsidRPr="00730B7F">
        <w:rPr>
          <w:rFonts w:eastAsia="SimSun"/>
          <w:i/>
          <w:iCs/>
          <w:lang w:eastAsia="zh-CN"/>
        </w:rPr>
        <w:t>Pa</w:t>
      </w:r>
      <w:r w:rsidRPr="00730B7F">
        <w:rPr>
          <w:rFonts w:eastAsia="SimSun"/>
          <w:lang w:eastAsia="zh-CN"/>
        </w:rPr>
        <w:t>) is subtracted from the combined pressure (</w:t>
      </w:r>
      <w:r w:rsidRPr="00730B7F">
        <w:rPr>
          <w:rFonts w:eastAsia="SimSun"/>
          <w:i/>
          <w:iCs/>
          <w:lang w:eastAsia="zh-CN"/>
        </w:rPr>
        <w:t>Pw,a</w:t>
      </w:r>
      <w:r w:rsidRPr="00730B7F">
        <w:rPr>
          <w:rFonts w:eastAsia="SimSun"/>
          <w:lang w:eastAsia="zh-CN"/>
        </w:rPr>
        <w:t>) to obtain the water column pressure (</w:t>
      </w:r>
      <w:r w:rsidRPr="00730B7F">
        <w:rPr>
          <w:rFonts w:eastAsia="SimSun"/>
          <w:i/>
          <w:iCs/>
          <w:lang w:eastAsia="zh-CN"/>
        </w:rPr>
        <w:t>Pw</w:t>
      </w:r>
      <w:r w:rsidRPr="00730B7F">
        <w:rPr>
          <w:rFonts w:eastAsia="SimSun"/>
          <w:lang w:eastAsia="zh-CN"/>
        </w:rPr>
        <w:t>) only:</w:t>
      </w:r>
    </w:p>
    <w:p w14:paraId="754959FE" w14:textId="77777777" w:rsidR="00410A9D" w:rsidRPr="00730B7F" w:rsidRDefault="00410A9D" w:rsidP="00410A9D">
      <w:pPr>
        <w:rPr>
          <w:lang w:eastAsia="zh-CN"/>
        </w:rPr>
      </w:pPr>
    </w:p>
    <w:p w14:paraId="15F4BE76" w14:textId="77777777" w:rsidR="00730B7F" w:rsidRPr="00410A9D" w:rsidRDefault="00730B7F" w:rsidP="00410A9D">
      <w:pPr>
        <w:rPr>
          <w:lang w:val="en-US" w:eastAsia="zh-CN"/>
        </w:rPr>
      </w:pPr>
    </w:p>
    <w:p w14:paraId="250BD2C6" w14:textId="7CF3CA09" w:rsidR="002D469F" w:rsidRDefault="002D469F" w:rsidP="0016496E">
      <w:pPr>
        <w:spacing w:line="276" w:lineRule="auto"/>
        <w:jc w:val="both"/>
        <w:rPr>
          <w:rFonts w:eastAsia="SimSun"/>
          <w:lang w:val="ru-RU" w:eastAsia="zh-CN"/>
        </w:rPr>
      </w:pPr>
      <w:r w:rsidRPr="002D469F">
        <w:rPr>
          <w:rFonts w:eastAsia="SimSun"/>
          <w:lang w:val="ru-RU" w:eastAsia="zh-CN"/>
        </w:rPr>
        <w:lastRenderedPageBreak/>
        <w:t xml:space="preserve">Уровень воды обычно измеряется с помощью датчиков </w:t>
      </w:r>
      <w:r w:rsidRPr="002D469F">
        <w:rPr>
          <w:rFonts w:eastAsia="SimSun"/>
          <w:b/>
          <w:bCs/>
          <w:lang w:val="ru-RU" w:eastAsia="zh-CN"/>
        </w:rPr>
        <w:t>давления</w:t>
      </w:r>
      <w:r w:rsidRPr="002D469F">
        <w:rPr>
          <w:rFonts w:eastAsia="SimSun"/>
          <w:lang w:val="ru-RU" w:eastAsia="zh-CN"/>
        </w:rPr>
        <w:t xml:space="preserve">, установленных на фиксированной глубине (например, в металлическом корпусе, закрепленном на коренной породе или крупных устойчивых валунах) в водной толще реки. Измеряемое давление представляет собой </w:t>
      </w:r>
      <w:r w:rsidRPr="00E65AA2">
        <w:rPr>
          <w:rFonts w:eastAsia="SimSun"/>
          <w:b/>
          <w:bCs/>
          <w:lang w:val="ru-RU" w:eastAsia="zh-CN"/>
        </w:rPr>
        <w:t>суммарное давление вышележащего слоя воды и атмосферы</w:t>
      </w:r>
      <w:r w:rsidRPr="002D469F">
        <w:rPr>
          <w:rFonts w:eastAsia="SimSun"/>
          <w:lang w:val="ru-RU" w:eastAsia="zh-CN"/>
        </w:rPr>
        <w:t>. Поэтому на месте измерения устанавливаются два прибора: один для измерения суммарного давления, а другой — только для измерения атмосферного давления. Атмосферное давление (</w:t>
      </w:r>
      <w:proofErr w:type="spellStart"/>
      <w:r w:rsidRPr="002D469F">
        <w:rPr>
          <w:rFonts w:eastAsia="SimSun"/>
          <w:lang w:val="ru-RU" w:eastAsia="zh-CN"/>
        </w:rPr>
        <w:t>Pa</w:t>
      </w:r>
      <w:proofErr w:type="spellEnd"/>
      <w:r w:rsidRPr="002D469F">
        <w:rPr>
          <w:rFonts w:eastAsia="SimSun"/>
          <w:lang w:val="ru-RU" w:eastAsia="zh-CN"/>
        </w:rPr>
        <w:t>) вычитается из суммарного давления (</w:t>
      </w:r>
      <w:proofErr w:type="spellStart"/>
      <w:r w:rsidRPr="002D469F">
        <w:rPr>
          <w:rFonts w:eastAsia="SimSun"/>
          <w:lang w:val="ru-RU" w:eastAsia="zh-CN"/>
        </w:rPr>
        <w:t>Pw,a</w:t>
      </w:r>
      <w:proofErr w:type="spellEnd"/>
      <w:r w:rsidRPr="002D469F">
        <w:rPr>
          <w:rFonts w:eastAsia="SimSun"/>
          <w:lang w:val="ru-RU" w:eastAsia="zh-CN"/>
        </w:rPr>
        <w:t>) для получения давления водной толщи (</w:t>
      </w:r>
      <w:proofErr w:type="spellStart"/>
      <w:r w:rsidRPr="002D469F">
        <w:rPr>
          <w:rFonts w:eastAsia="SimSun"/>
          <w:lang w:val="ru-RU" w:eastAsia="zh-CN"/>
        </w:rPr>
        <w:t>Pw</w:t>
      </w:r>
      <w:proofErr w:type="spellEnd"/>
      <w:r w:rsidRPr="002D469F">
        <w:rPr>
          <w:rFonts w:eastAsia="SimSun"/>
          <w:lang w:val="ru-RU" w:eastAsia="zh-CN"/>
        </w:rPr>
        <w:t>)</w:t>
      </w:r>
      <w:r w:rsidR="00EA517D">
        <w:rPr>
          <w:rFonts w:eastAsia="SimSun"/>
          <w:lang w:val="ru-RU" w:eastAsia="zh-CN"/>
        </w:rPr>
        <w:t>:</w:t>
      </w:r>
    </w:p>
    <w:p w14:paraId="43375D95" w14:textId="77777777" w:rsidR="002D469F" w:rsidRPr="002D469F" w:rsidRDefault="002D469F" w:rsidP="0016496E">
      <w:pPr>
        <w:spacing w:line="276" w:lineRule="auto"/>
        <w:jc w:val="both"/>
        <w:rPr>
          <w:rFonts w:eastAsia="SimSun"/>
          <w:lang w:val="ru-RU" w:eastAsia="zh-CN"/>
        </w:rPr>
      </w:pPr>
    </w:p>
    <w:p w14:paraId="7399682E" w14:textId="77777777" w:rsidR="000018FB" w:rsidRPr="007D28EA" w:rsidRDefault="000018FB" w:rsidP="0016496E">
      <w:pPr>
        <w:spacing w:line="276" w:lineRule="auto"/>
        <w:jc w:val="both"/>
        <w:rPr>
          <w:rFonts w:eastAsia="SimSun"/>
          <w:lang w:eastAsia="zh-CN"/>
        </w:rPr>
      </w:pPr>
      <m:oMathPara>
        <m:oMath>
          <m:r>
            <w:rPr>
              <w:rFonts w:ascii="Cambria Math" w:eastAsia="SimSun" w:hAnsi="Cambria Math"/>
              <w:lang w:eastAsia="zh-CN"/>
            </w:rPr>
            <m:t>Pw = Pw,a - Pa</m:t>
          </m:r>
        </m:oMath>
      </m:oMathPara>
    </w:p>
    <w:p w14:paraId="5F3E910A" w14:textId="77777777" w:rsidR="000018FB" w:rsidRPr="007D28EA" w:rsidRDefault="000018FB" w:rsidP="0016496E">
      <w:pPr>
        <w:spacing w:line="276" w:lineRule="auto"/>
        <w:jc w:val="both"/>
        <w:rPr>
          <w:rFonts w:eastAsia="SimSun"/>
          <w:lang w:eastAsia="zh-CN"/>
        </w:rPr>
      </w:pPr>
    </w:p>
    <w:p w14:paraId="7E4F0EDC" w14:textId="50EBFCE6" w:rsidR="000018FB" w:rsidRPr="007D28EA" w:rsidRDefault="000018FB" w:rsidP="0016496E">
      <w:pPr>
        <w:spacing w:line="276" w:lineRule="auto"/>
        <w:jc w:val="both"/>
        <w:rPr>
          <w:rFonts w:eastAsia="SimSun"/>
          <w:lang w:eastAsia="zh-CN"/>
        </w:rPr>
      </w:pPr>
      <w:r w:rsidRPr="007D28EA">
        <w:rPr>
          <w:rFonts w:eastAsia="SimSun"/>
          <w:lang w:eastAsia="zh-CN"/>
        </w:rPr>
        <w:t xml:space="preserve">The resulting pressure can be expressed in </w:t>
      </w:r>
      <w:r>
        <w:rPr>
          <w:rFonts w:eastAsia="SimSun"/>
          <w:lang w:eastAsia="zh-CN"/>
        </w:rPr>
        <w:t xml:space="preserve">units of </w:t>
      </w:r>
      <w:r w:rsidRPr="007D28EA">
        <w:rPr>
          <w:rFonts w:eastAsia="SimSun"/>
          <w:lang w:eastAsia="zh-CN"/>
        </w:rPr>
        <w:t xml:space="preserve">cmH2O. </w:t>
      </w:r>
      <w:r w:rsidRPr="007D28EA">
        <w:rPr>
          <w:rFonts w:eastAsia="SimSun"/>
          <w:i/>
          <w:iCs/>
          <w:lang w:eastAsia="zh-CN"/>
        </w:rPr>
        <w:t xml:space="preserve">Pw </w:t>
      </w:r>
      <w:r w:rsidRPr="007D28EA">
        <w:rPr>
          <w:rFonts w:eastAsia="SimSun"/>
          <w:lang w:eastAsia="zh-CN"/>
        </w:rPr>
        <w:t>might deviate from the real water depth the logger was installed at. This difference is determined through a water level reading (in the following referred to as “base level”) at a time where the logger is recording a measurement. This helps also to identify possible sensor drifts, or, in later analyses, potential stream channel adjustments.</w:t>
      </w:r>
    </w:p>
    <w:p w14:paraId="39FA1325" w14:textId="6B1D02EF" w:rsidR="000018FB" w:rsidRDefault="00292533" w:rsidP="0016496E">
      <w:pPr>
        <w:spacing w:line="276" w:lineRule="auto"/>
        <w:jc w:val="both"/>
        <w:rPr>
          <w:rFonts w:eastAsia="SimSun"/>
          <w:lang w:val="ru-RU" w:eastAsia="zh-CN"/>
        </w:rPr>
      </w:pPr>
      <w:r w:rsidRPr="00292533">
        <w:rPr>
          <w:rFonts w:eastAsia="SimSun"/>
          <w:lang w:eastAsia="zh-CN"/>
        </w:rPr>
        <w:t xml:space="preserve">Полученное давление может быть выражено в единицах см вод. ст. Значение </w:t>
      </w:r>
      <w:r w:rsidRPr="00D82836">
        <w:rPr>
          <w:rFonts w:eastAsia="SimSun"/>
          <w:i/>
          <w:iCs/>
          <w:lang w:eastAsia="zh-CN"/>
        </w:rPr>
        <w:t>Pw</w:t>
      </w:r>
      <w:r w:rsidRPr="00292533">
        <w:rPr>
          <w:rFonts w:eastAsia="SimSun"/>
          <w:lang w:eastAsia="zh-CN"/>
        </w:rPr>
        <w:t xml:space="preserve"> может отличаться от фактической глубины воды в месте установки регистратора. Эта разница определяется на основе показания уровня воды (далее именуемого «базовым уровнем») на момент, когда регистратор фиксирует измерение. Это также помогает выявить возможные дрейфы датчика или, при последующем анализе, потенциальные изменения русла реки.</w:t>
      </w:r>
    </w:p>
    <w:p w14:paraId="49BD4AA2" w14:textId="4B8A3322" w:rsidR="000018FB" w:rsidRPr="007D28EA" w:rsidRDefault="000018FB" w:rsidP="0016496E">
      <w:pPr>
        <w:pStyle w:val="3"/>
        <w:numPr>
          <w:ilvl w:val="1"/>
          <w:numId w:val="2"/>
        </w:numPr>
        <w:spacing w:line="276" w:lineRule="auto"/>
        <w:rPr>
          <w:lang w:eastAsia="zh-CN"/>
        </w:rPr>
      </w:pPr>
      <w:bookmarkStart w:id="0" w:name="_Ref215597062"/>
      <w:r w:rsidRPr="007D28EA">
        <w:rPr>
          <w:lang w:eastAsia="zh-CN"/>
        </w:rPr>
        <w:t xml:space="preserve">Dilution </w:t>
      </w:r>
      <w:r w:rsidRPr="000018FB">
        <w:t>Gauging</w:t>
      </w:r>
      <w:bookmarkEnd w:id="0"/>
      <w:r w:rsidR="00B160F6">
        <w:rPr>
          <w:lang w:val="ru-RU"/>
        </w:rPr>
        <w:t xml:space="preserve"> </w:t>
      </w:r>
      <w:r w:rsidR="00F45E3E" w:rsidRPr="00F45E3E">
        <w:rPr>
          <w:rFonts w:eastAsia="SimSun"/>
          <w:lang w:val="ru-RU" w:eastAsia="zh-CN"/>
        </w:rPr>
        <w:t>1.2.    Измерение степени разбавления</w:t>
      </w:r>
    </w:p>
    <w:p w14:paraId="7DE4FAAB" w14:textId="77777777" w:rsidR="000018FB" w:rsidRDefault="000018FB" w:rsidP="0016496E">
      <w:pPr>
        <w:spacing w:line="276" w:lineRule="auto"/>
        <w:jc w:val="both"/>
        <w:rPr>
          <w:lang w:val="ru-RU" w:eastAsia="zh-CN"/>
        </w:rPr>
      </w:pPr>
      <w:r w:rsidRPr="007D28EA">
        <w:rPr>
          <w:lang w:eastAsia="zh-CN"/>
        </w:rPr>
        <w:t>Measuring discharge in the pro-glacial streams is complicated due to unsteable terrain and varying stream channel geometries that prevent using the ADCP method (see next section). The determination of discharge is here based on the dilution gauging method (e.g. Tazioli, 2011) where the discharge (Q [m</w:t>
      </w:r>
      <w:r w:rsidRPr="007D28EA">
        <w:rPr>
          <w:vertAlign w:val="superscript"/>
          <w:lang w:eastAsia="zh-CN"/>
        </w:rPr>
        <w:t>3</w:t>
      </w:r>
      <w:r w:rsidRPr="007D28EA">
        <w:rPr>
          <w:lang w:eastAsia="zh-CN"/>
        </w:rPr>
        <w:t xml:space="preserve"> s</w:t>
      </w:r>
      <w:r w:rsidRPr="007D28EA">
        <w:rPr>
          <w:vertAlign w:val="superscript"/>
          <w:lang w:eastAsia="zh-CN"/>
        </w:rPr>
        <w:t>-1</w:t>
      </w:r>
      <w:r w:rsidRPr="007D28EA">
        <w:rPr>
          <w:lang w:eastAsia="zh-CN"/>
        </w:rPr>
        <w:t xml:space="preserve">]) is calculated as the ratio of injected tracer mass (M [mg]) over the </w:t>
      </w:r>
      <w:r w:rsidRPr="000018FB">
        <w:rPr>
          <w:i/>
          <w:iCs/>
          <w:lang w:eastAsia="zh-CN"/>
        </w:rPr>
        <w:t>area under the curve</w:t>
      </w:r>
      <w:r w:rsidRPr="007D28EA">
        <w:rPr>
          <w:lang w:eastAsia="zh-CN"/>
        </w:rPr>
        <w:t xml:space="preserve"> of a measured concentration curve (A [µg s l</w:t>
      </w:r>
      <w:r w:rsidRPr="007D28EA">
        <w:rPr>
          <w:vertAlign w:val="superscript"/>
          <w:lang w:eastAsia="zh-CN"/>
        </w:rPr>
        <w:t>-1</w:t>
      </w:r>
      <w:r w:rsidRPr="007D28EA">
        <w:rPr>
          <w:lang w:eastAsia="zh-CN"/>
        </w:rPr>
        <w:t>]):</w:t>
      </w:r>
    </w:p>
    <w:p w14:paraId="1E54C170" w14:textId="77777777" w:rsidR="00AA1C3B" w:rsidRDefault="00AA1C3B" w:rsidP="0016496E">
      <w:pPr>
        <w:spacing w:line="276" w:lineRule="auto"/>
        <w:jc w:val="both"/>
        <w:rPr>
          <w:lang w:val="ru-RU" w:eastAsia="zh-CN"/>
        </w:rPr>
      </w:pPr>
    </w:p>
    <w:p w14:paraId="1581C0FC" w14:textId="29C5D6FD" w:rsidR="00AA1C3B" w:rsidRDefault="006F371F" w:rsidP="0016496E">
      <w:pPr>
        <w:spacing w:line="276" w:lineRule="auto"/>
        <w:jc w:val="both"/>
        <w:rPr>
          <w:lang w:val="ru-RU" w:eastAsia="zh-CN"/>
        </w:rPr>
      </w:pPr>
      <w:r w:rsidRPr="006F371F">
        <w:rPr>
          <w:lang w:val="ru-RU" w:eastAsia="zh-CN"/>
        </w:rPr>
        <w:t>Измерение расхода в приледников</w:t>
      </w:r>
      <w:r w:rsidR="00A34E06">
        <w:rPr>
          <w:lang w:val="ru-RU" w:eastAsia="zh-CN"/>
        </w:rPr>
        <w:t>ы</w:t>
      </w:r>
      <w:r w:rsidRPr="006F371F">
        <w:rPr>
          <w:lang w:val="ru-RU" w:eastAsia="zh-CN"/>
        </w:rPr>
        <w:t xml:space="preserve">х ручьях затрудняется из-за пересеченного рельефа и изменчивой геометрии русла, что не позволяет использовать метод ADCP (см. следующий раздел). Определение расхода в данном случае основано на методе разбавления (например, </w:t>
      </w:r>
      <w:proofErr w:type="spellStart"/>
      <w:r w:rsidRPr="006F371F">
        <w:rPr>
          <w:lang w:val="ru-RU" w:eastAsia="zh-CN"/>
        </w:rPr>
        <w:t>Tazioli</w:t>
      </w:r>
      <w:proofErr w:type="spellEnd"/>
      <w:r w:rsidRPr="006F371F">
        <w:rPr>
          <w:lang w:val="ru-RU" w:eastAsia="zh-CN"/>
        </w:rPr>
        <w:t xml:space="preserve">, 2011), при котором расход (Q [м3 с-1]) рассчитывается как отношение массы введенного трассера (M [мг]) к </w:t>
      </w:r>
      <w:r w:rsidRPr="006F371F">
        <w:rPr>
          <w:i/>
          <w:iCs/>
          <w:lang w:val="ru-RU" w:eastAsia="zh-CN"/>
        </w:rPr>
        <w:t>площади под кривой</w:t>
      </w:r>
      <w:r w:rsidRPr="006F371F">
        <w:rPr>
          <w:lang w:val="ru-RU" w:eastAsia="zh-CN"/>
        </w:rPr>
        <w:t xml:space="preserve"> измеренной концентрации (A [мкг/л]):</w:t>
      </w:r>
    </w:p>
    <w:p w14:paraId="15C45C6C" w14:textId="77777777" w:rsidR="006F371F" w:rsidRPr="00AA1C3B" w:rsidRDefault="006F371F" w:rsidP="0016496E">
      <w:pPr>
        <w:spacing w:line="276" w:lineRule="auto"/>
        <w:jc w:val="both"/>
        <w:rPr>
          <w:lang w:val="ru-RU" w:eastAsia="zh-CN"/>
        </w:rPr>
      </w:pPr>
    </w:p>
    <w:p w14:paraId="54717FCF" w14:textId="77777777" w:rsidR="000018FB" w:rsidRPr="007D28EA" w:rsidRDefault="000018FB" w:rsidP="0016496E">
      <w:pPr>
        <w:spacing w:line="276" w:lineRule="auto"/>
        <w:jc w:val="both"/>
        <w:rPr>
          <w:rFonts w:eastAsia="SimSun"/>
          <w:lang w:eastAsia="zh-CN"/>
        </w:rPr>
      </w:pPr>
      <m:oMathPara>
        <m:oMath>
          <m:r>
            <w:rPr>
              <w:rFonts w:ascii="Cambria Math" w:eastAsia="SimSun" w:hAnsi="Cambria Math"/>
              <w:lang w:eastAsia="zh-CN"/>
            </w:rPr>
            <m:t>Q = M/A</m:t>
          </m:r>
        </m:oMath>
      </m:oMathPara>
    </w:p>
    <w:p w14:paraId="49FB5099" w14:textId="77777777" w:rsidR="00EF7426" w:rsidRDefault="00EF7426" w:rsidP="0016496E">
      <w:pPr>
        <w:spacing w:line="276" w:lineRule="auto"/>
        <w:jc w:val="both"/>
        <w:rPr>
          <w:lang w:val="ru-RU" w:eastAsia="zh-CN"/>
        </w:rPr>
      </w:pPr>
    </w:p>
    <w:p w14:paraId="2141149F" w14:textId="2D6D023B" w:rsidR="000018FB" w:rsidRDefault="000018FB" w:rsidP="0016496E">
      <w:pPr>
        <w:spacing w:line="276" w:lineRule="auto"/>
        <w:jc w:val="both"/>
        <w:rPr>
          <w:lang w:val="ru-RU" w:eastAsia="zh-CN"/>
        </w:rPr>
      </w:pPr>
      <w:r w:rsidRPr="007D28EA">
        <w:rPr>
          <w:lang w:eastAsia="zh-CN"/>
        </w:rPr>
        <w:t xml:space="preserve">The concentration curve (“breakthrough curve”) is measured at a location far enough downstream of the tracer injection location that ensures perfect mixing of the dye so that the concentration of dye in the water is homogenous over a river cross section where the tracer is measured. </w:t>
      </w:r>
      <w:r>
        <w:rPr>
          <w:lang w:eastAsia="zh-CN"/>
        </w:rPr>
        <w:t>Uni Fribourg uses</w:t>
      </w:r>
      <w:r w:rsidRPr="007D28EA">
        <w:rPr>
          <w:lang w:eastAsia="zh-CN"/>
        </w:rPr>
        <w:t xml:space="preserve"> Sodium-Fluorescein </w:t>
      </w:r>
      <w:r>
        <w:rPr>
          <w:lang w:eastAsia="zh-CN"/>
        </w:rPr>
        <w:t>in Central Asie</w:t>
      </w:r>
      <w:r w:rsidR="00D3015C">
        <w:rPr>
          <w:lang w:eastAsia="zh-CN"/>
        </w:rPr>
        <w:t xml:space="preserve"> </w:t>
      </w:r>
      <w:r w:rsidRPr="007D28EA">
        <w:rPr>
          <w:lang w:eastAsia="zh-CN"/>
        </w:rPr>
        <w:t>as tracer dye due to being harmless to the environment. The fluorometer instrument measuring the concentration needs calibration to transform the measured signal of a photo diode</w:t>
      </w:r>
      <w:r w:rsidR="00D3015C">
        <w:rPr>
          <w:lang w:eastAsia="zh-CN"/>
        </w:rPr>
        <w:t xml:space="preserve"> (measured in mV)</w:t>
      </w:r>
      <w:r w:rsidRPr="007D28EA">
        <w:rPr>
          <w:lang w:eastAsia="zh-CN"/>
        </w:rPr>
        <w:t xml:space="preserve"> into dye concentration. This calibration is performed with known amounts of tracer in a bucket of known volume to derive the linear mV-dye concentration relationship. The calibration needs to be repeated for changing water quality conditions that can strongly affect this relationship, optimally for each measurement.</w:t>
      </w:r>
    </w:p>
    <w:p w14:paraId="12D48D7D" w14:textId="77777777" w:rsidR="00EF7426" w:rsidRDefault="00EF7426" w:rsidP="0016496E">
      <w:pPr>
        <w:spacing w:line="276" w:lineRule="auto"/>
        <w:jc w:val="both"/>
        <w:rPr>
          <w:lang w:val="ru-RU" w:eastAsia="zh-CN"/>
        </w:rPr>
      </w:pPr>
    </w:p>
    <w:p w14:paraId="070C2B19" w14:textId="019D007C" w:rsidR="00EF7426" w:rsidRPr="00EF7426" w:rsidRDefault="00E74033" w:rsidP="0016496E">
      <w:pPr>
        <w:spacing w:line="276" w:lineRule="auto"/>
        <w:jc w:val="both"/>
        <w:rPr>
          <w:lang w:val="ru-RU" w:eastAsia="zh-CN"/>
        </w:rPr>
      </w:pPr>
      <w:r w:rsidRPr="00E74033">
        <w:rPr>
          <w:lang w:val="ru-RU" w:eastAsia="zh-CN"/>
        </w:rPr>
        <w:t>Кривая концентрации («кривая прорыва») измеряется в точке, расположенной достаточно далеко ниже места введения трассера, чтобы обеспечить полное перемешивание красителя, благодаря чему концентрация красителя в воде будет однородной по всему поперечному сечению реки, где производится измерение трассера. Университет Фрибурга использует в Центральной Азии в качестве трассирующего красителя натрий-</w:t>
      </w:r>
      <w:proofErr w:type="spellStart"/>
      <w:r w:rsidRPr="00E74033">
        <w:rPr>
          <w:lang w:val="ru-RU" w:eastAsia="zh-CN"/>
        </w:rPr>
        <w:t>флуоресцеин</w:t>
      </w:r>
      <w:proofErr w:type="spellEnd"/>
      <w:r w:rsidRPr="00E74033">
        <w:rPr>
          <w:lang w:val="ru-RU" w:eastAsia="zh-CN"/>
        </w:rPr>
        <w:t xml:space="preserve">, поскольку он безвреден для окружающей среды. </w:t>
      </w:r>
      <w:proofErr w:type="spellStart"/>
      <w:r w:rsidRPr="00E74033">
        <w:rPr>
          <w:lang w:val="ru-RU" w:eastAsia="zh-CN"/>
        </w:rPr>
        <w:t>Флуорометр</w:t>
      </w:r>
      <w:proofErr w:type="spellEnd"/>
      <w:r w:rsidRPr="00E74033">
        <w:rPr>
          <w:lang w:val="ru-RU" w:eastAsia="zh-CN"/>
        </w:rPr>
        <w:t>, измеряющий концентрацию, требует калибровки для преобразования измеренного сигнала фотодиода (измеряемого в мВ) в концентрацию красителя. Эта калибровка выполняется с использованием известных количеств трассера в ведре известного объема для выведения линейной зависимости между мВ и концентрацией красителя. Калибровку необходимо повторять при изменении условий качества воды, которые могут сильно повлиять на эту зависимость, в идеале — перед каждым измерением.</w:t>
      </w:r>
    </w:p>
    <w:p w14:paraId="58C0EB3B" w14:textId="77777777" w:rsidR="000018FB" w:rsidRPr="007D28EA" w:rsidRDefault="000018FB" w:rsidP="0016496E">
      <w:pPr>
        <w:spacing w:line="276" w:lineRule="auto"/>
        <w:jc w:val="both"/>
        <w:rPr>
          <w:lang w:eastAsia="zh-CN"/>
        </w:rPr>
      </w:pPr>
    </w:p>
    <w:p w14:paraId="7C0D1D9B" w14:textId="77777777" w:rsidR="000018FB" w:rsidRPr="000018FB" w:rsidRDefault="000018FB" w:rsidP="0016496E">
      <w:pPr>
        <w:pStyle w:val="3"/>
        <w:numPr>
          <w:ilvl w:val="1"/>
          <w:numId w:val="2"/>
        </w:numPr>
        <w:spacing w:line="276" w:lineRule="auto"/>
      </w:pPr>
      <w:r w:rsidRPr="007D28EA">
        <w:rPr>
          <w:lang w:eastAsia="zh-CN"/>
        </w:rPr>
        <w:t>ADCP</w:t>
      </w:r>
    </w:p>
    <w:p w14:paraId="1E35C815" w14:textId="77777777" w:rsidR="000018FB" w:rsidRPr="007D28EA" w:rsidRDefault="000018FB" w:rsidP="0016496E">
      <w:pPr>
        <w:spacing w:line="276" w:lineRule="auto"/>
        <w:jc w:val="both"/>
        <w:rPr>
          <w:lang w:eastAsia="zh-CN"/>
        </w:rPr>
      </w:pPr>
      <w:r w:rsidRPr="007D28EA">
        <w:rPr>
          <w:lang w:eastAsia="zh-CN"/>
        </w:rPr>
        <w:t>ADCP utilizes phase shifts in and run times of an acoustic signal transmitted and received by the instrument (Muste et al., 2004). Through multiple beam patterns in different directions, modern ADCPs allow determination of water velocities across the vertical water column. By moving an ADCP on a float over a stream cross section one can determine a spatially distributed map of flow velocities. The spatial integration of this map with a cross-section area [m</w:t>
      </w:r>
      <w:r w:rsidRPr="007D28EA">
        <w:rPr>
          <w:vertAlign w:val="superscript"/>
          <w:lang w:eastAsia="zh-CN"/>
        </w:rPr>
        <w:t>2</w:t>
      </w:r>
      <w:r w:rsidRPr="007D28EA">
        <w:rPr>
          <w:lang w:eastAsia="zh-CN"/>
        </w:rPr>
        <w:t>] and average water velocity [m s</w:t>
      </w:r>
      <w:r w:rsidRPr="007D28EA">
        <w:rPr>
          <w:vertAlign w:val="superscript"/>
          <w:lang w:eastAsia="zh-CN"/>
        </w:rPr>
        <w:t>-1</w:t>
      </w:r>
      <w:r w:rsidRPr="007D28EA">
        <w:rPr>
          <w:lang w:eastAsia="zh-CN"/>
        </w:rPr>
        <w:t>] allows to derive the discharge [m</w:t>
      </w:r>
      <w:r w:rsidRPr="007D28EA">
        <w:rPr>
          <w:vertAlign w:val="superscript"/>
          <w:lang w:eastAsia="zh-CN"/>
        </w:rPr>
        <w:t>3</w:t>
      </w:r>
      <w:r w:rsidRPr="007D28EA">
        <w:rPr>
          <w:lang w:eastAsia="zh-CN"/>
        </w:rPr>
        <w:t xml:space="preserve"> s</w:t>
      </w:r>
      <w:r w:rsidRPr="007D28EA">
        <w:rPr>
          <w:vertAlign w:val="superscript"/>
          <w:lang w:eastAsia="zh-CN"/>
        </w:rPr>
        <w:t>-1</w:t>
      </w:r>
      <w:r w:rsidRPr="007D28EA">
        <w:rPr>
          <w:lang w:eastAsia="zh-CN"/>
        </w:rPr>
        <w:t>]. Precise localization of the ADCP instrument mounted on a float is achieved via a precise compass.</w:t>
      </w:r>
    </w:p>
    <w:p w14:paraId="1049A260" w14:textId="77777777" w:rsidR="000018FB" w:rsidRDefault="000018FB" w:rsidP="0016496E">
      <w:pPr>
        <w:spacing w:line="276" w:lineRule="auto"/>
        <w:jc w:val="both"/>
        <w:rPr>
          <w:lang w:val="ru-RU" w:eastAsia="zh-CN"/>
        </w:rPr>
      </w:pPr>
    </w:p>
    <w:p w14:paraId="18D2AB0F" w14:textId="5E8B4A37" w:rsidR="00C6180D" w:rsidRDefault="00C6180D" w:rsidP="0016496E">
      <w:pPr>
        <w:spacing w:line="276" w:lineRule="auto"/>
        <w:jc w:val="both"/>
        <w:rPr>
          <w:lang w:val="ru-RU" w:eastAsia="zh-CN"/>
        </w:rPr>
      </w:pPr>
      <w:r w:rsidRPr="00C6180D">
        <w:rPr>
          <w:lang w:val="ru-RU" w:eastAsia="zh-CN"/>
        </w:rPr>
        <w:t>Прибор ADCP использует фазовые сдвиги и время прохождения акустического сигнала, излучаемого и принимаемого прибором (</w:t>
      </w:r>
      <w:proofErr w:type="spellStart"/>
      <w:r w:rsidRPr="00C6180D">
        <w:rPr>
          <w:lang w:val="ru-RU" w:eastAsia="zh-CN"/>
        </w:rPr>
        <w:t>Muste</w:t>
      </w:r>
      <w:proofErr w:type="spellEnd"/>
      <w:r w:rsidRPr="00C6180D">
        <w:rPr>
          <w:lang w:val="ru-RU" w:eastAsia="zh-CN"/>
        </w:rPr>
        <w:t xml:space="preserve"> </w:t>
      </w:r>
      <w:proofErr w:type="spellStart"/>
      <w:r w:rsidRPr="00C6180D">
        <w:rPr>
          <w:lang w:val="ru-RU" w:eastAsia="zh-CN"/>
        </w:rPr>
        <w:t>et</w:t>
      </w:r>
      <w:proofErr w:type="spellEnd"/>
      <w:r w:rsidRPr="00C6180D">
        <w:rPr>
          <w:lang w:val="ru-RU" w:eastAsia="zh-CN"/>
        </w:rPr>
        <w:t xml:space="preserve"> </w:t>
      </w:r>
      <w:proofErr w:type="spellStart"/>
      <w:r w:rsidRPr="00C6180D">
        <w:rPr>
          <w:lang w:val="ru-RU" w:eastAsia="zh-CN"/>
        </w:rPr>
        <w:t>al</w:t>
      </w:r>
      <w:proofErr w:type="spellEnd"/>
      <w:r w:rsidRPr="00C6180D">
        <w:rPr>
          <w:lang w:val="ru-RU" w:eastAsia="zh-CN"/>
        </w:rPr>
        <w:t xml:space="preserve">., 2004). Благодаря использованию нескольких пучков в разных направлениях современные приборы ADCP позволяют </w:t>
      </w:r>
      <w:r w:rsidRPr="00C6180D">
        <w:rPr>
          <w:lang w:val="ru-RU" w:eastAsia="zh-CN"/>
        </w:rPr>
        <w:lastRenderedPageBreak/>
        <w:t>определять скорости течения по всей вертикальной толще воды. Перемещая прибор ADCP на поплавке по поперечному сечению водотока, можно составить карту пространственного распределения скоростей течения. Пространственная интеграция этой карты с площадью поперечного сечения [м2] и средней скоростью воды [м/с] позволяет вычислить расход [м3/с]. Точная локализация прибора ADCP, установленного на поплавке, достигается с помощью точного компаса.</w:t>
      </w:r>
    </w:p>
    <w:p w14:paraId="4145CD60" w14:textId="77777777" w:rsidR="00C6180D" w:rsidRPr="00C6180D" w:rsidRDefault="00C6180D" w:rsidP="0016496E">
      <w:pPr>
        <w:spacing w:line="276" w:lineRule="auto"/>
        <w:jc w:val="both"/>
        <w:rPr>
          <w:lang w:val="ru-RU" w:eastAsia="zh-CN"/>
        </w:rPr>
      </w:pPr>
    </w:p>
    <w:p w14:paraId="73E7010F" w14:textId="71C00331" w:rsidR="000018FB" w:rsidRPr="000018FB" w:rsidRDefault="000018FB" w:rsidP="0016496E">
      <w:pPr>
        <w:pStyle w:val="3"/>
        <w:numPr>
          <w:ilvl w:val="1"/>
          <w:numId w:val="2"/>
        </w:numPr>
        <w:spacing w:line="276" w:lineRule="auto"/>
      </w:pPr>
      <w:bookmarkStart w:id="1" w:name="_Ref215597292"/>
      <w:r w:rsidRPr="007D28EA">
        <w:rPr>
          <w:lang w:eastAsia="zh-CN"/>
        </w:rPr>
        <w:t>Rating Curve</w:t>
      </w:r>
      <w:bookmarkEnd w:id="1"/>
      <w:r w:rsidR="004D0844">
        <w:rPr>
          <w:lang w:val="ru-RU" w:eastAsia="zh-CN"/>
        </w:rPr>
        <w:t xml:space="preserve"> </w:t>
      </w:r>
      <w:r w:rsidR="004D0844" w:rsidRPr="004D0844">
        <w:rPr>
          <w:lang w:val="ru-RU" w:eastAsia="zh-CN"/>
        </w:rPr>
        <w:t>1.4.    Кривая рейтинга</w:t>
      </w:r>
    </w:p>
    <w:p w14:paraId="00208188" w14:textId="77777777" w:rsidR="000018FB" w:rsidRDefault="000018FB" w:rsidP="0016496E">
      <w:pPr>
        <w:spacing w:line="276" w:lineRule="auto"/>
        <w:jc w:val="both"/>
        <w:rPr>
          <w:lang w:val="ru-RU" w:eastAsia="zh-CN"/>
        </w:rPr>
      </w:pPr>
      <w:r w:rsidRPr="007D28EA">
        <w:rPr>
          <w:lang w:eastAsia="zh-CN"/>
        </w:rPr>
        <w:t xml:space="preserve">The relationship between combined water level and discharge measurements is often based on a power-law relationship </w:t>
      </w:r>
      <w:r>
        <w:rPr>
          <w:lang w:eastAsia="zh-CN"/>
        </w:rPr>
        <w:t xml:space="preserve">(e.g. Mailhot et al., 2025) </w:t>
      </w:r>
      <w:r w:rsidRPr="007D28EA">
        <w:rPr>
          <w:lang w:eastAsia="zh-CN"/>
        </w:rPr>
        <w:t>in the form:</w:t>
      </w:r>
    </w:p>
    <w:p w14:paraId="3CDA7AA2" w14:textId="77777777" w:rsidR="008E7677" w:rsidRDefault="008E7677" w:rsidP="0016496E">
      <w:pPr>
        <w:spacing w:line="276" w:lineRule="auto"/>
        <w:jc w:val="both"/>
        <w:rPr>
          <w:lang w:val="ru-RU" w:eastAsia="zh-CN"/>
        </w:rPr>
      </w:pPr>
    </w:p>
    <w:p w14:paraId="00185502" w14:textId="6BCF6C11" w:rsidR="008E7677" w:rsidRDefault="008E7677" w:rsidP="0016496E">
      <w:pPr>
        <w:spacing w:line="276" w:lineRule="auto"/>
        <w:jc w:val="both"/>
        <w:rPr>
          <w:lang w:val="ru-RU" w:eastAsia="zh-CN"/>
        </w:rPr>
      </w:pPr>
      <w:r w:rsidRPr="008E7677">
        <w:rPr>
          <w:lang w:val="ru-RU" w:eastAsia="zh-CN"/>
        </w:rPr>
        <w:t xml:space="preserve">Взаимосвязь между комбинированными измерениями уровня воды и расхода часто опирается на степенную зависимость (например, </w:t>
      </w:r>
      <w:proofErr w:type="spellStart"/>
      <w:r w:rsidRPr="008E7677">
        <w:rPr>
          <w:lang w:val="ru-RU" w:eastAsia="zh-CN"/>
        </w:rPr>
        <w:t>Mailhot</w:t>
      </w:r>
      <w:proofErr w:type="spellEnd"/>
      <w:r w:rsidRPr="008E7677">
        <w:rPr>
          <w:lang w:val="ru-RU" w:eastAsia="zh-CN"/>
        </w:rPr>
        <w:t xml:space="preserve"> </w:t>
      </w:r>
      <w:proofErr w:type="spellStart"/>
      <w:r w:rsidRPr="008E7677">
        <w:rPr>
          <w:lang w:val="ru-RU" w:eastAsia="zh-CN"/>
        </w:rPr>
        <w:t>et</w:t>
      </w:r>
      <w:proofErr w:type="spellEnd"/>
      <w:r w:rsidRPr="008E7677">
        <w:rPr>
          <w:lang w:val="ru-RU" w:eastAsia="zh-CN"/>
        </w:rPr>
        <w:t xml:space="preserve"> </w:t>
      </w:r>
      <w:proofErr w:type="spellStart"/>
      <w:r w:rsidRPr="008E7677">
        <w:rPr>
          <w:lang w:val="ru-RU" w:eastAsia="zh-CN"/>
        </w:rPr>
        <w:t>al</w:t>
      </w:r>
      <w:proofErr w:type="spellEnd"/>
      <w:r w:rsidRPr="008E7677">
        <w:rPr>
          <w:lang w:val="ru-RU" w:eastAsia="zh-CN"/>
        </w:rPr>
        <w:t>., 2025) в виде</w:t>
      </w:r>
    </w:p>
    <w:p w14:paraId="4E5C3F96" w14:textId="77777777" w:rsidR="008E7677" w:rsidRPr="008E7677" w:rsidRDefault="008E7677" w:rsidP="0016496E">
      <w:pPr>
        <w:spacing w:line="276" w:lineRule="auto"/>
        <w:jc w:val="both"/>
        <w:rPr>
          <w:lang w:val="ru-RU" w:eastAsia="zh-CN"/>
        </w:rPr>
      </w:pPr>
    </w:p>
    <w:p w14:paraId="7A15F33A" w14:textId="77777777" w:rsidR="000018FB" w:rsidRPr="007D28EA" w:rsidRDefault="000018FB" w:rsidP="0016496E">
      <w:pPr>
        <w:spacing w:line="276" w:lineRule="auto"/>
        <w:jc w:val="both"/>
        <w:rPr>
          <w:rFonts w:eastAsia="SimSun"/>
          <w:lang w:eastAsia="zh-CN"/>
        </w:rPr>
      </w:pPr>
      <m:oMath>
        <m:r>
          <w:rPr>
            <w:rFonts w:ascii="Cambria Math" w:eastAsia="SimSun" w:hAnsi="Cambria Math"/>
            <w:lang w:eastAsia="zh-CN"/>
          </w:rPr>
          <m:t>Q= a(</m:t>
        </m:r>
        <m:sSup>
          <m:sSupPr>
            <m:ctrlPr>
              <w:rPr>
                <w:rFonts w:ascii="Cambria Math" w:eastAsia="SimSun" w:hAnsi="Cambria Math"/>
                <w:i/>
                <w:lang w:eastAsia="zh-CN"/>
              </w:rPr>
            </m:ctrlPr>
          </m:sSupPr>
          <m:e>
            <m:r>
              <w:rPr>
                <w:rFonts w:ascii="Cambria Math" w:eastAsia="SimSun" w:hAnsi="Cambria Math"/>
                <w:lang w:eastAsia="zh-CN"/>
              </w:rPr>
              <m:t>H-H0)</m:t>
            </m:r>
          </m:e>
          <m:sup>
            <m:r>
              <w:rPr>
                <w:rFonts w:ascii="Cambria Math" w:eastAsia="SimSun" w:hAnsi="Cambria Math"/>
                <w:lang w:eastAsia="zh-CN"/>
              </w:rPr>
              <m:t>b</m:t>
            </m:r>
          </m:sup>
        </m:sSup>
      </m:oMath>
      <w:r w:rsidRPr="007D28EA">
        <w:rPr>
          <w:rFonts w:eastAsia="SimSun"/>
          <w:lang w:eastAsia="zh-CN"/>
        </w:rPr>
        <w:t>,</w:t>
      </w:r>
    </w:p>
    <w:p w14:paraId="3720FA73" w14:textId="77777777" w:rsidR="000018FB" w:rsidRPr="007D28EA" w:rsidRDefault="000018FB" w:rsidP="0016496E">
      <w:pPr>
        <w:spacing w:line="276" w:lineRule="auto"/>
        <w:jc w:val="both"/>
        <w:rPr>
          <w:rFonts w:eastAsia="SimSun"/>
          <w:lang w:eastAsia="zh-CN"/>
        </w:rPr>
      </w:pPr>
      <w:r w:rsidRPr="007D28EA">
        <w:rPr>
          <w:rFonts w:eastAsia="SimSun"/>
          <w:lang w:eastAsia="zh-CN"/>
        </w:rPr>
        <w:t xml:space="preserve">with </w:t>
      </w:r>
      <w:r w:rsidRPr="007D28EA">
        <w:rPr>
          <w:rFonts w:eastAsia="SimSun"/>
          <w:i/>
          <w:iCs/>
          <w:lang w:eastAsia="zh-CN"/>
        </w:rPr>
        <w:t>H</w:t>
      </w:r>
      <w:r w:rsidRPr="007D28EA">
        <w:rPr>
          <w:rFonts w:eastAsia="SimSun"/>
          <w:lang w:eastAsia="zh-CN"/>
        </w:rPr>
        <w:t xml:space="preserve"> – the water level, </w:t>
      </w:r>
      <w:r w:rsidRPr="007D28EA">
        <w:rPr>
          <w:rFonts w:eastAsia="SimSun"/>
          <w:i/>
          <w:iCs/>
          <w:lang w:eastAsia="zh-CN"/>
        </w:rPr>
        <w:t>H0</w:t>
      </w:r>
      <w:r w:rsidRPr="007D28EA">
        <w:rPr>
          <w:rFonts w:eastAsia="SimSun"/>
          <w:lang w:eastAsia="zh-CN"/>
        </w:rPr>
        <w:t xml:space="preserve"> the water level at which no flow occurs, and </w:t>
      </w:r>
      <w:r w:rsidRPr="007D28EA">
        <w:rPr>
          <w:rFonts w:eastAsia="SimSun"/>
          <w:i/>
          <w:iCs/>
          <w:lang w:eastAsia="zh-CN"/>
        </w:rPr>
        <w:t>a</w:t>
      </w:r>
      <w:r w:rsidRPr="007D28EA">
        <w:rPr>
          <w:rFonts w:eastAsia="SimSun"/>
          <w:lang w:eastAsia="zh-CN"/>
        </w:rPr>
        <w:t xml:space="preserve"> and </w:t>
      </w:r>
      <w:r w:rsidRPr="007D28EA">
        <w:rPr>
          <w:rFonts w:eastAsia="SimSun"/>
          <w:i/>
          <w:iCs/>
          <w:lang w:eastAsia="zh-CN"/>
        </w:rPr>
        <w:t>b</w:t>
      </w:r>
      <w:r w:rsidRPr="007D28EA">
        <w:rPr>
          <w:rFonts w:eastAsia="SimSun"/>
          <w:lang w:eastAsia="zh-CN"/>
        </w:rPr>
        <w:t xml:space="preserve"> to be fitted parameters. The robustness and representativeness of this relationship depend on the quantity and quality of data points at different water levels. In the absence of discharge measurements at extreme low flow conditions (e.g. late autumn and winter), or missing extreme high flows (in summer), the range of data points is often limited, and one must extrapolate the relationship. By assuming that measurements of discharge (and water level) have some uncertainty, one can conduct different experiments to derive multiple relationship that define an envelope of probable relationships by providing the measurement points with. Consequently, one obtains a range of a likely minimum, maximum and medium relationship. </w:t>
      </w:r>
    </w:p>
    <w:p w14:paraId="0734D1BE" w14:textId="77777777" w:rsidR="000018FB" w:rsidRPr="007D28EA" w:rsidRDefault="000018FB" w:rsidP="0016496E">
      <w:pPr>
        <w:spacing w:line="276" w:lineRule="auto"/>
        <w:jc w:val="both"/>
        <w:rPr>
          <w:rFonts w:eastAsia="SimSun"/>
          <w:lang w:eastAsia="zh-CN"/>
        </w:rPr>
      </w:pPr>
      <w:r w:rsidRPr="007D28EA">
        <w:rPr>
          <w:rFonts w:eastAsia="SimSun"/>
          <w:lang w:eastAsia="zh-CN"/>
        </w:rPr>
        <w:t xml:space="preserve">The lack of low flow observations prevents a precise estimate of </w:t>
      </w:r>
      <w:r w:rsidRPr="007D28EA">
        <w:rPr>
          <w:rFonts w:eastAsia="SimSun"/>
          <w:i/>
          <w:iCs/>
          <w:lang w:eastAsia="zh-CN"/>
        </w:rPr>
        <w:t>H0</w:t>
      </w:r>
      <w:r w:rsidRPr="007D28EA">
        <w:rPr>
          <w:rFonts w:eastAsia="SimSun"/>
          <w:lang w:eastAsia="zh-CN"/>
        </w:rPr>
        <w:t xml:space="preserve">. One can construct experiments in which different values of </w:t>
      </w:r>
      <w:r w:rsidRPr="007D28EA">
        <w:rPr>
          <w:rFonts w:eastAsia="SimSun"/>
          <w:i/>
          <w:iCs/>
          <w:lang w:eastAsia="zh-CN"/>
        </w:rPr>
        <w:t>H0</w:t>
      </w:r>
      <w:r w:rsidRPr="007D28EA">
        <w:rPr>
          <w:rFonts w:eastAsia="SimSun"/>
          <w:lang w:eastAsia="zh-CN"/>
        </w:rPr>
        <w:t xml:space="preserve"> are tested and how this affects the overall goodness of fit of the power-law relationship with respect to an objective function like R</w:t>
      </w:r>
      <w:r w:rsidRPr="007D28EA">
        <w:rPr>
          <w:rFonts w:eastAsia="SimSun"/>
          <w:vertAlign w:val="superscript"/>
          <w:lang w:eastAsia="zh-CN"/>
        </w:rPr>
        <w:t>2</w:t>
      </w:r>
      <w:r w:rsidRPr="007D28EA">
        <w:rPr>
          <w:rFonts w:eastAsia="SimSun"/>
          <w:lang w:eastAsia="zh-CN"/>
        </w:rPr>
        <w:t>.</w:t>
      </w:r>
    </w:p>
    <w:p w14:paraId="105F0FD6" w14:textId="77777777" w:rsidR="000018FB" w:rsidRPr="007D28EA" w:rsidRDefault="000018FB" w:rsidP="0016496E">
      <w:pPr>
        <w:spacing w:line="276" w:lineRule="auto"/>
        <w:jc w:val="both"/>
        <w:rPr>
          <w:lang w:eastAsia="zh-CN"/>
        </w:rPr>
      </w:pPr>
      <w:r w:rsidRPr="007D28EA">
        <w:rPr>
          <w:rFonts w:eastAsia="SimSun"/>
          <w:lang w:eastAsia="zh-CN"/>
        </w:rPr>
        <w:t>In addition to that, if the river geometry is changing, e.g., by erosion of the stream bed or by deposition of material within it, newly derived observations pairs will deviate from previously obtained ones. In such a case, a new relationship needs to be derived; if this is not possible due to lack of enough observation pairs, one can try to infer an adjusted relationship by fitting a new observation pair into an existing rating curve, inferring a correction of the water level so it fits consistently into the previously obtained relationship.</w:t>
      </w:r>
    </w:p>
    <w:p w14:paraId="01CF9904" w14:textId="77777777" w:rsidR="000018FB" w:rsidRDefault="000018FB" w:rsidP="0016496E">
      <w:pPr>
        <w:spacing w:line="276" w:lineRule="auto"/>
        <w:rPr>
          <w:lang w:val="ru-RU"/>
        </w:rPr>
      </w:pPr>
    </w:p>
    <w:p w14:paraId="758A015B" w14:textId="77777777" w:rsidR="00A31112" w:rsidRDefault="00A31112" w:rsidP="0016496E">
      <w:pPr>
        <w:spacing w:line="276" w:lineRule="auto"/>
        <w:rPr>
          <w:lang w:val="ru-RU"/>
        </w:rPr>
      </w:pPr>
    </w:p>
    <w:p w14:paraId="3B3F2E5F" w14:textId="77777777" w:rsidR="00A31112" w:rsidRPr="00A31112" w:rsidRDefault="00A31112" w:rsidP="00A31112">
      <w:pPr>
        <w:spacing w:line="276" w:lineRule="auto"/>
        <w:rPr>
          <w:lang w:val="ru-RU"/>
        </w:rPr>
      </w:pPr>
      <w:r w:rsidRPr="00A31112">
        <w:rPr>
          <w:lang w:val="ru-RU"/>
        </w:rPr>
        <w:lastRenderedPageBreak/>
        <w:t xml:space="preserve">где H — уровень воды, H0 — уровень воды, при котором сток отсутствует, а a и b — подбираемые параметры. Надежность и репрезентативность этой зависимости зависят от количества и качества точек данных при различных уровнях воды. При отсутствии измерений расхода в условиях крайне низкого стока (например, поздней осенью и зимой) или при отсутствии данных о крайне высоких расходах (летом) диапазон точек данных часто ограничен, и необходимо экстраполировать зависимость. Предполагая, что измерения расхода (и уровня воды) имеют некоторую погрешность, можно провести различные эксперименты для вывода множества зависимостей, которые определяют оболочку вероятных зависимостей, заполняя точки измерений. В результате получается диапазон вероятных минимальных, максимальных и средних значений зависимости. </w:t>
      </w:r>
    </w:p>
    <w:p w14:paraId="01E2C9F5" w14:textId="77777777" w:rsidR="00A31112" w:rsidRPr="00A31112" w:rsidRDefault="00A31112" w:rsidP="00A31112">
      <w:pPr>
        <w:spacing w:line="276" w:lineRule="auto"/>
        <w:rPr>
          <w:lang w:val="ru-RU"/>
        </w:rPr>
      </w:pPr>
      <w:r w:rsidRPr="00A31112">
        <w:rPr>
          <w:lang w:val="ru-RU"/>
        </w:rPr>
        <w:t>Отсутствие наблюдений при низком расходе не позволяет точно оценить H0. Можно построить эксперименты, в которых проверяются различные значения H0 и то, как это влияет на общую адекватность степенной зависимости по отношению к объективной функции, такой как R2.</w:t>
      </w:r>
    </w:p>
    <w:p w14:paraId="5435EED7" w14:textId="746A6E81" w:rsidR="00A31112" w:rsidRPr="00A31112" w:rsidRDefault="00A31112" w:rsidP="00A31112">
      <w:pPr>
        <w:spacing w:line="276" w:lineRule="auto"/>
        <w:rPr>
          <w:lang w:val="ru-RU"/>
        </w:rPr>
      </w:pPr>
      <w:r w:rsidRPr="00A31112">
        <w:rPr>
          <w:lang w:val="ru-RU"/>
        </w:rPr>
        <w:t>Кроме того, если геометрия реки изменяется, например, в результате эрозии русла или отложения материала в нем, вновь полученные пары наблюдений будут отклоняться от ранее полученных. В таком случае необходимо вывести новую зависимость; если это невозможно из-за недостаточного количества пар наблюдений, можно попытаться вывести скорректированную зависимость путем вписывания новой пары наблюдений в существующую кривую расхода, вычисляя поправку на уровень воды, чтобы она согласованно вписывалась в ранее полученную зависимость.</w:t>
      </w:r>
    </w:p>
    <w:sectPr w:rsidR="00A31112" w:rsidRPr="00A31112" w:rsidSect="00580F61">
      <w:headerReference w:type="default" r:id="rId8"/>
      <w:pgSz w:w="11906" w:h="16838"/>
      <w:pgMar w:top="1440" w:right="685" w:bottom="1440" w:left="1440" w:header="1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F499B" w14:textId="77777777" w:rsidR="00B03354" w:rsidRDefault="00B03354" w:rsidP="00580F61">
      <w:pPr>
        <w:spacing w:after="0" w:line="240" w:lineRule="auto"/>
      </w:pPr>
      <w:r>
        <w:separator/>
      </w:r>
    </w:p>
  </w:endnote>
  <w:endnote w:type="continuationSeparator" w:id="0">
    <w:p w14:paraId="7C5D1464" w14:textId="77777777" w:rsidR="00B03354" w:rsidRDefault="00B03354" w:rsidP="0058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24F19" w14:textId="77777777" w:rsidR="00B03354" w:rsidRDefault="00B03354" w:rsidP="00580F61">
      <w:pPr>
        <w:spacing w:after="0" w:line="240" w:lineRule="auto"/>
      </w:pPr>
      <w:r>
        <w:separator/>
      </w:r>
    </w:p>
  </w:footnote>
  <w:footnote w:type="continuationSeparator" w:id="0">
    <w:p w14:paraId="7D8979E5" w14:textId="77777777" w:rsidR="00B03354" w:rsidRDefault="00B03354" w:rsidP="0058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B555" w14:textId="0BCD7389" w:rsidR="00580F61" w:rsidRDefault="00580F61" w:rsidP="00580F61">
    <w:pPr>
      <w:pStyle w:val="ac"/>
      <w:ind w:hanging="1276"/>
    </w:pPr>
    <w:r>
      <w:rPr>
        <w:noProof/>
      </w:rPr>
      <w:drawing>
        <wp:inline distT="0" distB="0" distL="0" distR="0" wp14:anchorId="07FE8AAB" wp14:editId="3774F16A">
          <wp:extent cx="1376126" cy="557890"/>
          <wp:effectExtent l="0" t="0" r="0" b="1270"/>
          <wp:docPr id="4055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8252" name="Picture 405568252"/>
                  <pic:cNvPicPr/>
                </pic:nvPicPr>
                <pic:blipFill>
                  <a:blip r:embed="rId1">
                    <a:extLst>
                      <a:ext uri="{28A0092B-C50C-407E-A947-70E740481C1C}">
                        <a14:useLocalDpi xmlns:a14="http://schemas.microsoft.com/office/drawing/2010/main" val="0"/>
                      </a:ext>
                    </a:extLst>
                  </a:blip>
                  <a:stretch>
                    <a:fillRect/>
                  </a:stretch>
                </pic:blipFill>
                <pic:spPr>
                  <a:xfrm>
                    <a:off x="0" y="0"/>
                    <a:ext cx="1670539" cy="677247"/>
                  </a:xfrm>
                  <a:prstGeom prst="rect">
                    <a:avLst/>
                  </a:prstGeom>
                </pic:spPr>
              </pic:pic>
            </a:graphicData>
          </a:graphic>
        </wp:inline>
      </w:drawing>
    </w:r>
    <w:r>
      <w:rPr>
        <w:noProof/>
      </w:rPr>
      <w:drawing>
        <wp:inline distT="0" distB="0" distL="0" distR="0" wp14:anchorId="124E6D8F" wp14:editId="49CF6CFE">
          <wp:extent cx="1481755" cy="489836"/>
          <wp:effectExtent l="0" t="0" r="4445" b="5715"/>
          <wp:docPr id="203180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8463" name="Picture 2031808463"/>
                  <pic:cNvPicPr/>
                </pic:nvPicPr>
                <pic:blipFill>
                  <a:blip r:embed="rId2">
                    <a:extLst>
                      <a:ext uri="{28A0092B-C50C-407E-A947-70E740481C1C}">
                        <a14:useLocalDpi xmlns:a14="http://schemas.microsoft.com/office/drawing/2010/main" val="0"/>
                      </a:ext>
                    </a:extLst>
                  </a:blip>
                  <a:stretch>
                    <a:fillRect/>
                  </a:stretch>
                </pic:blipFill>
                <pic:spPr>
                  <a:xfrm>
                    <a:off x="0" y="0"/>
                    <a:ext cx="1615653" cy="534100"/>
                  </a:xfrm>
                  <a:prstGeom prst="rect">
                    <a:avLst/>
                  </a:prstGeom>
                </pic:spPr>
              </pic:pic>
            </a:graphicData>
          </a:graphic>
        </wp:inline>
      </w:drawing>
    </w:r>
    <w:r w:rsidRPr="00580F61">
      <w:rPr>
        <w:noProof/>
      </w:rPr>
      <w:drawing>
        <wp:inline distT="0" distB="0" distL="0" distR="0" wp14:anchorId="5A00597A" wp14:editId="54CD2A6E">
          <wp:extent cx="824045" cy="494281"/>
          <wp:effectExtent l="0" t="0" r="0" b="0"/>
          <wp:docPr id="20562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433" name=""/>
                  <pic:cNvPicPr/>
                </pic:nvPicPr>
                <pic:blipFill>
                  <a:blip r:embed="rId3"/>
                  <a:stretch>
                    <a:fillRect/>
                  </a:stretch>
                </pic:blipFill>
                <pic:spPr>
                  <a:xfrm>
                    <a:off x="0" y="0"/>
                    <a:ext cx="920943" cy="552403"/>
                  </a:xfrm>
                  <a:prstGeom prst="rect">
                    <a:avLst/>
                  </a:prstGeom>
                </pic:spPr>
              </pic:pic>
            </a:graphicData>
          </a:graphic>
        </wp:inline>
      </w:drawing>
    </w:r>
    <w:r>
      <w:fldChar w:fldCharType="begin"/>
    </w:r>
    <w:r>
      <w:instrText xml:space="preserve"> INCLUDEPICTURE "https://external-content.duckduckgo.com/iu/?u=https%3A%2F%2Fcommission.europa.eu%2Fprofiles%2Fcontrib%2Fewcms%2Fmodules%2Fewcms_seo%2Fassets%2Fimages%2Fec-socialmedia-fallback.png&amp;f=1&amp;nofb=1&amp;ipt=0770e13d42c7efd3a002e87c4ca178365888a898e14198af0c4850f340f1e3c7" \* MERGEFORMATINET </w:instrText>
    </w:r>
    <w:r>
      <w:fldChar w:fldCharType="separate"/>
    </w:r>
    <w:r>
      <w:rPr>
        <w:noProof/>
      </w:rPr>
      <w:drawing>
        <wp:inline distT="0" distB="0" distL="0" distR="0" wp14:anchorId="1D2F06BA" wp14:editId="09B000E4">
          <wp:extent cx="939793" cy="493635"/>
          <wp:effectExtent l="0" t="0" r="635" b="1905"/>
          <wp:docPr id="939038688" name="Picture 3" descr="Horizon Europe -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izon Europe - European Commiss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6545" cy="528697"/>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"https://external-content.duckduckgo.com/iu/?u=https%3A%2F%2Feuroheartpath.eu%2Fwp-content%2Fthemes%2Fhello-elementor-child%2Fimages%2FSERI.jpg&amp;f=1&amp;nofb=1&amp;ipt=4d322b4f0e2ddf01321490966e6941c14c2c5425dcc2d4e6537561ef72829ed6" \* MERGEFORMATINET </w:instrText>
    </w:r>
    <w:r>
      <w:fldChar w:fldCharType="separate"/>
    </w:r>
    <w:r>
      <w:rPr>
        <w:noProof/>
      </w:rPr>
      <w:drawing>
        <wp:inline distT="0" distB="0" distL="0" distR="0" wp14:anchorId="182662DA" wp14:editId="42EDE5EB">
          <wp:extent cx="1684611" cy="427405"/>
          <wp:effectExtent l="0" t="0" r="5080" b="4445"/>
          <wp:docPr id="2073795995" name="Picture 4" descr="EuroHear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oHeartPa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5374" cy="452970"/>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"https://external-content.duckduckgo.com/iu/?u=https%3A%2F%2Ftse1.mm.bing.net%2Fth%2Fid%2FOIP.lzZL6d9bGS-2M7ec8VxeFQHaFj%3Fpid%3DApi&amp;f=1&amp;ipt=7badd9521b6fb8d63fba723cd6705e0534332dc42a359c8f4d925a0322d2b7af&amp;ipo=images" \* MERGEFORMATINET </w:instrText>
    </w:r>
    <w:r>
      <w:fldChar w:fldCharType="separate"/>
    </w:r>
    <w:r>
      <w:rPr>
        <w:noProof/>
      </w:rPr>
      <w:drawing>
        <wp:inline distT="0" distB="0" distL="0" distR="0" wp14:anchorId="2946A0DD" wp14:editId="5E74B0B8">
          <wp:extent cx="664473" cy="497582"/>
          <wp:effectExtent l="0" t="0" r="0" b="0"/>
          <wp:docPr id="2097246070" name="Picture 5" descr="Free GEF Global Environment Facility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GEF Global Environment Facility Logo Vector Download | Logow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2933" cy="533870"/>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8188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FD324C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0938943">
    <w:abstractNumId w:val="0"/>
  </w:num>
  <w:num w:numId="2" w16cid:durableId="663558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61"/>
    <w:rsid w:val="000018FB"/>
    <w:rsid w:val="000B7BEC"/>
    <w:rsid w:val="000D6B27"/>
    <w:rsid w:val="00146D0D"/>
    <w:rsid w:val="0016496E"/>
    <w:rsid w:val="001D4C69"/>
    <w:rsid w:val="00253B79"/>
    <w:rsid w:val="00256460"/>
    <w:rsid w:val="00292533"/>
    <w:rsid w:val="002D469F"/>
    <w:rsid w:val="003602EE"/>
    <w:rsid w:val="003C772D"/>
    <w:rsid w:val="003E589B"/>
    <w:rsid w:val="00410A9D"/>
    <w:rsid w:val="004D0844"/>
    <w:rsid w:val="00580F61"/>
    <w:rsid w:val="005D5C53"/>
    <w:rsid w:val="006962EF"/>
    <w:rsid w:val="006F371F"/>
    <w:rsid w:val="00730B7F"/>
    <w:rsid w:val="008E7677"/>
    <w:rsid w:val="009A2ECF"/>
    <w:rsid w:val="00A31112"/>
    <w:rsid w:val="00A34E06"/>
    <w:rsid w:val="00AA1C3B"/>
    <w:rsid w:val="00B03354"/>
    <w:rsid w:val="00B160F6"/>
    <w:rsid w:val="00BB0B04"/>
    <w:rsid w:val="00C6180D"/>
    <w:rsid w:val="00D04EA9"/>
    <w:rsid w:val="00D3015C"/>
    <w:rsid w:val="00D82836"/>
    <w:rsid w:val="00E12350"/>
    <w:rsid w:val="00E65AA2"/>
    <w:rsid w:val="00E74033"/>
    <w:rsid w:val="00EA517D"/>
    <w:rsid w:val="00EF7257"/>
    <w:rsid w:val="00EF7426"/>
    <w:rsid w:val="00F1323C"/>
    <w:rsid w:val="00F45E3E"/>
    <w:rsid w:val="00F560D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63B1A"/>
  <w15:chartTrackingRefBased/>
  <w15:docId w15:val="{32F7004A-59D4-BA4E-9D40-287DDE5D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0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80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80F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80F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0F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0F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0F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0F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0F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0F6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80F6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80F6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80F6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80F6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80F6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0F61"/>
    <w:rPr>
      <w:rFonts w:eastAsiaTheme="majorEastAsia" w:cstheme="majorBidi"/>
      <w:color w:val="595959" w:themeColor="text1" w:themeTint="A6"/>
    </w:rPr>
  </w:style>
  <w:style w:type="character" w:customStyle="1" w:styleId="80">
    <w:name w:val="Заголовок 8 Знак"/>
    <w:basedOn w:val="a0"/>
    <w:link w:val="8"/>
    <w:uiPriority w:val="9"/>
    <w:semiHidden/>
    <w:rsid w:val="00580F6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0F61"/>
    <w:rPr>
      <w:rFonts w:eastAsiaTheme="majorEastAsia" w:cstheme="majorBidi"/>
      <w:color w:val="272727" w:themeColor="text1" w:themeTint="D8"/>
    </w:rPr>
  </w:style>
  <w:style w:type="paragraph" w:styleId="a3">
    <w:name w:val="Title"/>
    <w:basedOn w:val="a"/>
    <w:next w:val="a"/>
    <w:link w:val="a4"/>
    <w:uiPriority w:val="10"/>
    <w:qFormat/>
    <w:rsid w:val="0058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80F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F6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80F6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80F61"/>
    <w:pPr>
      <w:spacing w:before="160"/>
      <w:jc w:val="center"/>
    </w:pPr>
    <w:rPr>
      <w:i/>
      <w:iCs/>
      <w:color w:val="404040" w:themeColor="text1" w:themeTint="BF"/>
    </w:rPr>
  </w:style>
  <w:style w:type="character" w:customStyle="1" w:styleId="22">
    <w:name w:val="Цитата 2 Знак"/>
    <w:basedOn w:val="a0"/>
    <w:link w:val="21"/>
    <w:uiPriority w:val="29"/>
    <w:rsid w:val="00580F61"/>
    <w:rPr>
      <w:i/>
      <w:iCs/>
      <w:color w:val="404040" w:themeColor="text1" w:themeTint="BF"/>
    </w:rPr>
  </w:style>
  <w:style w:type="paragraph" w:styleId="a7">
    <w:name w:val="List Paragraph"/>
    <w:basedOn w:val="a"/>
    <w:uiPriority w:val="34"/>
    <w:qFormat/>
    <w:rsid w:val="00580F61"/>
    <w:pPr>
      <w:ind w:left="720"/>
      <w:contextualSpacing/>
    </w:pPr>
  </w:style>
  <w:style w:type="character" w:styleId="a8">
    <w:name w:val="Intense Emphasis"/>
    <w:basedOn w:val="a0"/>
    <w:uiPriority w:val="21"/>
    <w:qFormat/>
    <w:rsid w:val="00580F61"/>
    <w:rPr>
      <w:i/>
      <w:iCs/>
      <w:color w:val="0F4761" w:themeColor="accent1" w:themeShade="BF"/>
    </w:rPr>
  </w:style>
  <w:style w:type="paragraph" w:styleId="a9">
    <w:name w:val="Intense Quote"/>
    <w:basedOn w:val="a"/>
    <w:next w:val="a"/>
    <w:link w:val="aa"/>
    <w:uiPriority w:val="30"/>
    <w:qFormat/>
    <w:rsid w:val="00580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80F61"/>
    <w:rPr>
      <w:i/>
      <w:iCs/>
      <w:color w:val="0F4761" w:themeColor="accent1" w:themeShade="BF"/>
    </w:rPr>
  </w:style>
  <w:style w:type="character" w:styleId="ab">
    <w:name w:val="Intense Reference"/>
    <w:basedOn w:val="a0"/>
    <w:uiPriority w:val="32"/>
    <w:qFormat/>
    <w:rsid w:val="00580F61"/>
    <w:rPr>
      <w:b/>
      <w:bCs/>
      <w:smallCaps/>
      <w:color w:val="0F4761" w:themeColor="accent1" w:themeShade="BF"/>
      <w:spacing w:val="5"/>
    </w:rPr>
  </w:style>
  <w:style w:type="paragraph" w:styleId="ac">
    <w:name w:val="header"/>
    <w:basedOn w:val="a"/>
    <w:link w:val="ad"/>
    <w:uiPriority w:val="99"/>
    <w:unhideWhenUsed/>
    <w:rsid w:val="00580F61"/>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580F61"/>
  </w:style>
  <w:style w:type="paragraph" w:styleId="ae">
    <w:name w:val="footer"/>
    <w:basedOn w:val="a"/>
    <w:link w:val="af"/>
    <w:uiPriority w:val="99"/>
    <w:unhideWhenUsed/>
    <w:rsid w:val="00580F61"/>
    <w:pPr>
      <w:tabs>
        <w:tab w:val="center" w:pos="4513"/>
        <w:tab w:val="right" w:pos="9026"/>
      </w:tabs>
      <w:spacing w:after="0" w:line="240" w:lineRule="auto"/>
    </w:pPr>
  </w:style>
  <w:style w:type="character" w:customStyle="1" w:styleId="af">
    <w:name w:val="Нижний колонтитул Знак"/>
    <w:basedOn w:val="a0"/>
    <w:link w:val="ae"/>
    <w:uiPriority w:val="99"/>
    <w:rsid w:val="00580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059F6-54AF-FC4A-AB82-5D62A96CB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1720</Words>
  <Characters>9807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 Eric</dc:creator>
  <cp:keywords/>
  <dc:description/>
  <cp:lastModifiedBy>Hofiz Navruzshoev</cp:lastModifiedBy>
  <cp:revision>30</cp:revision>
  <dcterms:created xsi:type="dcterms:W3CDTF">2026-04-01T09:06:00Z</dcterms:created>
  <dcterms:modified xsi:type="dcterms:W3CDTF">2026-04-06T17:17:00Z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6b0bcc9f-a6db-43e2-98b2-ef268ab3fb32</vt:lpwstr>
  </property>
</Properties>
</file>