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DDE02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Schedule of Rates</w:t>
      </w:r>
    </w:p>
    <w:p w14:paraId="23DADA81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D504C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Clause 1.1</w:t>
      </w:r>
    </w:p>
    <w:p w14:paraId="19FE2763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Pump servicing shall be included under preventive maintenance works.</w:t>
      </w:r>
    </w:p>
    <w:p w14:paraId="4639C826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022B6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Clause 2.3</w:t>
      </w:r>
    </w:p>
    <w:p w14:paraId="33006FD8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Lighting replacement is covered at a rate of SGD 25 per fitting.</w:t>
      </w:r>
    </w:p>
    <w:p w14:paraId="32CF6F23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757FF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Clause 3.1</w:t>
      </w:r>
    </w:p>
    <w:p w14:paraId="7827BA02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Ceiling tile replacement is covered under minor repair works.</w:t>
      </w:r>
    </w:p>
    <w:p w14:paraId="2717DFE8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58073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Clause 4.5</w:t>
      </w:r>
    </w:p>
    <w:p w14:paraId="3A4DAC52" w14:textId="77777777" w:rsidR="00401701" w:rsidRPr="00401701" w:rsidRDefault="00401701" w:rsidP="0040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701">
        <w:rPr>
          <w:rFonts w:ascii="Times New Roman" w:eastAsia="Times New Roman" w:hAnsi="Times New Roman" w:cs="Times New Roman"/>
          <w:kern w:val="0"/>
          <w14:ligatures w14:val="none"/>
        </w:rPr>
        <w:t>Structural modifications are excluded from the contract.</w:t>
      </w:r>
    </w:p>
    <w:p w14:paraId="34E05EAC" w14:textId="77777777" w:rsidR="00882454" w:rsidRDefault="00882454"/>
    <w:sectPr w:rsidR="0088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01"/>
    <w:rsid w:val="00123664"/>
    <w:rsid w:val="001D5DBD"/>
    <w:rsid w:val="002048C2"/>
    <w:rsid w:val="00401701"/>
    <w:rsid w:val="0088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6A8C1"/>
  <w15:chartTrackingRefBased/>
  <w15:docId w15:val="{522D91C0-7F6F-0649-93AF-E73C8A81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POH LING</dc:creator>
  <cp:keywords/>
  <dc:description/>
  <cp:lastModifiedBy>LOH POH LING</cp:lastModifiedBy>
  <cp:revision>1</cp:revision>
  <dcterms:created xsi:type="dcterms:W3CDTF">2026-07-12T06:56:00Z</dcterms:created>
  <dcterms:modified xsi:type="dcterms:W3CDTF">2026-07-12T06:57:00Z</dcterms:modified>
</cp:coreProperties>
</file>