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2016-17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Unincentivized habitat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Wetlands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1.732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9.699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10.709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4.489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12.013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4.176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1.936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2.417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Other crops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Unincentivized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 unincentivized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9.915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6.356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13.980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6.351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14.934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16.772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7.933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17.856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Incentivized habitat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BirdReturns 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BirdReturns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WHEP fall flooding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WHEP variable drawdown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0.491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0.489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1.708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Incentivized habitat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 incentivized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0.715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2.134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0.616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1.837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0.515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1.431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0.270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0.754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Grand Total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11.303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16.047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11.338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7.027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16.687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12.916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8.773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18.046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12.849</w:t>
            </w:r>
          </w:p>
        </w:tc>
        <w:tc>
          <w:tcPr>
            <w:tcBorders>
              <w:bottom w:val="single" w:sz="8" w:space="0" w:color="333333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8.214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18.597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2020-07-25T00:02:08Z</dcterms:modified>
  <cp:category/>
</cp:coreProperties>
</file>