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F6A4C">
      <w:pPr>
        <w:rPr>
          <w:rFonts w:ascii="Times New Roman" w:hAnsi="Times New Roman" w:cs="Times New Roman"/>
        </w:rPr>
      </w:pPr>
      <w:r>
        <w:rPr>
          <w:rFonts w:ascii="Times New Roman" w:hAnsi="Times New Roman" w:cs="Times New Roman"/>
        </w:rPr>
        <w:t xml:space="preserve">Dear Editor: </w:t>
      </w:r>
    </w:p>
    <w:p w14:paraId="76ECE53C"/>
    <w:p w14:paraId="05E98264">
      <w:pPr>
        <w:rPr>
          <w:rFonts w:ascii="Times New Roman" w:hAnsi="Times New Roman" w:cs="Times New Roman"/>
        </w:rPr>
      </w:pPr>
      <w:r>
        <w:rPr>
          <w:rFonts w:hint="eastAsia" w:ascii="Times New Roman" w:hAnsi="Times New Roman" w:cs="Times New Roman"/>
        </w:rPr>
        <w:t xml:space="preserve">We would like to submit the enclosed manuscript entitled </w:t>
      </w:r>
      <w:r>
        <w:rPr>
          <w:rFonts w:hint="default" w:ascii="Times New Roman" w:hAnsi="Times New Roman" w:cs="Times New Roman"/>
          <w:lang w:val="en-US" w:eastAsia="zh-CN"/>
        </w:rPr>
        <w:t>“</w:t>
      </w:r>
      <w:r>
        <w:rPr>
          <w:rFonts w:hint="eastAsia" w:ascii="Times New Roman" w:hAnsi="Times New Roman" w:cs="Times New Roman"/>
        </w:rPr>
        <w:t>KA-GZSL: Knowledge-Guided Audio–Visual Generalized Zero-Shot Learning</w:t>
      </w:r>
      <w:r>
        <w:rPr>
          <w:rFonts w:hint="default" w:ascii="Times New Roman" w:hAnsi="Times New Roman" w:cs="Times New Roman"/>
          <w:lang w:val="en-US" w:eastAsia="zh-CN"/>
        </w:rPr>
        <w:t>”</w:t>
      </w:r>
      <w:r>
        <w:rPr>
          <w:rFonts w:hint="eastAsia" w:ascii="Times New Roman" w:hAnsi="Times New Roman" w:cs="Times New Roman"/>
        </w:rPr>
        <w:t xml:space="preserve"> for consideration for publication in </w:t>
      </w:r>
      <w:r>
        <w:rPr>
          <w:rFonts w:hint="eastAsia" w:ascii="Times New Roman" w:hAnsi="Times New Roman" w:cs="Times New Roman"/>
          <w:i/>
          <w:iCs/>
        </w:rPr>
        <w:t>IEEE Transactions on Consumer Electronics</w:t>
      </w:r>
      <w:r>
        <w:rPr>
          <w:rFonts w:hint="eastAsia" w:ascii="Times New Roman" w:hAnsi="Times New Roman" w:cs="Times New Roman"/>
        </w:rPr>
        <w:t>. Audio–Visual Generalized Zero-Shot Learning (AVGZSL) aims to exploit the correlations among audio, visual, and semantic information to recognize and learn unseen classes. Most existing methods rely on brief class labels for semantic modeling, making it difficult to adequately characterize fine-grained class semantics, and are vulnerable to weak audio–visual associations and modality noise in real-world scenarios. To address these issues, we propose KA-GZSL, a framework that aggregates external fine-grained knowledge and reduces distribution discrepancies across modalities, thereby improving the model's ability to recognize unseen classes. Specifically, KA-GZSL first utilizes large language models to perform fine-grained semantic expansion on class labels and combines them with CLIP and CLAP text encoders to construct relational global action and audio knowledge graphs. Second, it introduces an audio–visual context encoder to fuse modality-specific and modality-shared information, effectively reducing distribution discrepancies between different modalities. Furthermore, through a cross-graph knowledge transfer mechanism, external prior knowledge is structurally injected into audio–visual temporal features, explicitly modeling the deep correlations among audio, action, and visual features. Extensive experiments on three widely used benchmarks (VGGSound-GZSL</w:t>
      </w:r>
      <w:r>
        <w:rPr>
          <w:rFonts w:hint="eastAsia" w:ascii="Times New Roman" w:hAnsi="Times New Roman" w:cs="Times New Roman"/>
          <w:i/>
          <w:iCs/>
          <w:vertAlign w:val="superscript"/>
        </w:rPr>
        <w:t>cls</w:t>
      </w:r>
      <w:r>
        <w:rPr>
          <w:rFonts w:hint="eastAsia" w:ascii="Times New Roman" w:hAnsi="Times New Roman" w:cs="Times New Roman"/>
        </w:rPr>
        <w:t>, UCF-GZSL</w:t>
      </w:r>
      <w:r>
        <w:rPr>
          <w:rFonts w:hint="eastAsia" w:ascii="Times New Roman" w:hAnsi="Times New Roman" w:cs="Times New Roman"/>
          <w:i/>
          <w:iCs/>
          <w:vertAlign w:val="superscript"/>
        </w:rPr>
        <w:t>cls</w:t>
      </w:r>
      <w:r>
        <w:rPr>
          <w:rFonts w:hint="eastAsia" w:ascii="Times New Roman" w:hAnsi="Times New Roman" w:cs="Times New Roman"/>
        </w:rPr>
        <w:t>, and ActivityNet-GZSL</w:t>
      </w:r>
      <w:r>
        <w:rPr>
          <w:rFonts w:hint="eastAsia" w:ascii="Times New Roman" w:hAnsi="Times New Roman" w:cs="Times New Roman"/>
          <w:i/>
          <w:iCs/>
          <w:vertAlign w:val="superscript"/>
        </w:rPr>
        <w:t>cls</w:t>
      </w:r>
      <w:r>
        <w:rPr>
          <w:rFonts w:hint="eastAsia" w:ascii="Times New Roman" w:hAnsi="Times New Roman" w:cs="Times New Roman"/>
        </w:rPr>
        <w:t>) demonstrate that KA-GZSL achieves state-of-the-art performance across multiple evaluation metrics.</w:t>
      </w:r>
    </w:p>
    <w:p w14:paraId="516EDB60">
      <w:pPr>
        <w:rPr>
          <w:rFonts w:ascii="Times New Roman" w:hAnsi="Times New Roman" w:cs="Times New Roman"/>
        </w:rPr>
      </w:pPr>
    </w:p>
    <w:p w14:paraId="7C46B27E">
      <w:pPr>
        <w:rPr>
          <w:rFonts w:ascii="Times New Roman" w:hAnsi="Times New Roman" w:cs="Times New Roman"/>
          <w:b/>
          <w:bCs/>
        </w:rPr>
      </w:pPr>
      <w:r>
        <w:rPr>
          <w:rFonts w:ascii="Times New Roman" w:hAnsi="Times New Roman" w:cs="Times New Roman"/>
          <w:b/>
          <w:bCs/>
        </w:rPr>
        <w:t>Key Contributions</w:t>
      </w:r>
    </w:p>
    <w:p w14:paraId="3444757D">
      <w:pPr>
        <w:numPr>
          <w:ilvl w:val="0"/>
          <w:numId w:val="1"/>
        </w:numPr>
        <w:rPr>
          <w:rFonts w:ascii="Times New Roman" w:hAnsi="Times New Roman" w:cs="Times New Roman"/>
        </w:rPr>
      </w:pPr>
      <w:r>
        <w:rPr>
          <w:rFonts w:hint="eastAsia" w:ascii="Times New Roman" w:hAnsi="Times New Roman" w:cs="Times New Roman"/>
          <w:b/>
          <w:bCs/>
        </w:rPr>
        <w:t xml:space="preserve">Knowledge-Augmented Semantic (KAS): </w:t>
      </w:r>
      <w:r>
        <w:rPr>
          <w:rFonts w:hint="eastAsia" w:ascii="Times New Roman" w:hAnsi="Times New Roman" w:cs="Times New Roman"/>
        </w:rPr>
        <w:t>We utilize large language models to expand the semantic space of classes and generate rich fine-grained descriptions to compensate for the semantic ambiguity caused by merely relying on class names, thereby increasing the model's semantic representation capability for unseen classes.</w:t>
      </w:r>
    </w:p>
    <w:p w14:paraId="59846FF6">
      <w:pPr>
        <w:numPr>
          <w:ilvl w:val="0"/>
          <w:numId w:val="1"/>
        </w:numPr>
        <w:rPr>
          <w:rFonts w:ascii="Times New Roman" w:hAnsi="Times New Roman" w:cs="Times New Roman"/>
        </w:rPr>
      </w:pPr>
      <w:r>
        <w:rPr>
          <w:rFonts w:hint="eastAsia" w:ascii="Times New Roman" w:hAnsi="Times New Roman" w:cs="Times New Roman"/>
          <w:b/>
          <w:bCs/>
        </w:rPr>
        <w:t>Action Knowledge Graphs (AKG):</w:t>
      </w:r>
      <w:r>
        <w:rPr>
          <w:rFonts w:hint="eastAsia" w:ascii="Times New Roman" w:hAnsi="Times New Roman" w:cs="Times New Roman"/>
        </w:rPr>
        <w:t xml:space="preserve"> We introduce an action knowledge graph to model audio–visual temporal features as graph structures and utilize prior action logic to guide modality decoupling and denoising, which effectively addresses the prevalent weak audio–visual correlations in real-world videos.</w:t>
      </w:r>
    </w:p>
    <w:p w14:paraId="69EABAA4">
      <w:pPr>
        <w:numPr>
          <w:ilvl w:val="0"/>
          <w:numId w:val="1"/>
        </w:numPr>
        <w:rPr>
          <w:rFonts w:ascii="Times New Roman" w:hAnsi="Times New Roman" w:cs="Times New Roman"/>
        </w:rPr>
      </w:pPr>
      <w:r>
        <w:rPr>
          <w:rFonts w:hint="eastAsia" w:ascii="Times New Roman" w:hAnsi="Times New Roman" w:cs="Times New Roman"/>
          <w:b/>
          <w:bCs/>
        </w:rPr>
        <w:t>Audio–Visual Context Encoder (AVCE):</w:t>
      </w:r>
      <w:r>
        <w:rPr>
          <w:rFonts w:hint="eastAsia" w:ascii="Times New Roman" w:hAnsi="Times New Roman" w:cs="Times New Roman"/>
        </w:rPr>
        <w:t xml:space="preserve"> We propose an audio–visual context encoder and a cross-graph knowledge transfer mechanism aimed at minimizing the differences in the distributions of different modalities in the manifold space. By forcibly aligning abstract semantic features with specific audio–visual features, efficient knowledge transfer from seen classes to unseen classes is achieved.</w:t>
      </w:r>
    </w:p>
    <w:p w14:paraId="69169D97">
      <w:pPr>
        <w:numPr>
          <w:ilvl w:val="0"/>
          <w:numId w:val="1"/>
        </w:numPr>
        <w:rPr>
          <w:rFonts w:ascii="Times New Roman" w:hAnsi="Times New Roman" w:cs="Times New Roman"/>
        </w:rPr>
      </w:pPr>
      <w:r>
        <w:rPr>
          <w:rFonts w:hint="eastAsia" w:ascii="Times New Roman" w:hAnsi="Times New Roman" w:cs="Times New Roman"/>
          <w:b/>
          <w:bCs/>
        </w:rPr>
        <w:t>Comprehensive Evaluation and Performance Gains:</w:t>
      </w:r>
      <w:r>
        <w:rPr>
          <w:rFonts w:hint="eastAsia" w:ascii="Times New Roman" w:hAnsi="Times New Roman" w:cs="Times New Roman"/>
        </w:rPr>
        <w:t xml:space="preserve"> The proposed model (KA-GZSL) is systematically evaluated on three major AVGZSL benchmark datasets under generalized zero-shot learning settings, achieving state-of-the-art performance, with HM improvements of up to 4.83% on UCF-GZSL</w:t>
      </w:r>
      <w:r>
        <w:rPr>
          <w:rFonts w:hint="eastAsia" w:ascii="Times New Roman" w:hAnsi="Times New Roman" w:cs="Times New Roman"/>
          <w:i/>
          <w:iCs/>
          <w:vertAlign w:val="superscript"/>
        </w:rPr>
        <w:t>cls</w:t>
      </w:r>
      <w:r>
        <w:rPr>
          <w:rFonts w:hint="eastAsia" w:ascii="Times New Roman" w:hAnsi="Times New Roman" w:cs="Times New Roman"/>
        </w:rPr>
        <w:t xml:space="preserve"> and consistent gains across all three datasets over existing methods.</w:t>
      </w:r>
    </w:p>
    <w:p w14:paraId="40370229">
      <w:pPr>
        <w:rPr>
          <w:rFonts w:ascii="Times New Roman" w:hAnsi="Times New Roman" w:cs="Times New Roman"/>
          <w:b/>
          <w:bCs/>
        </w:rPr>
      </w:pPr>
    </w:p>
    <w:p w14:paraId="23DD0690">
      <w:pPr>
        <w:rPr>
          <w:rFonts w:ascii="Times New Roman" w:hAnsi="Times New Roman" w:cs="Times New Roman"/>
          <w:b/>
          <w:bCs/>
        </w:rPr>
      </w:pPr>
      <w:r>
        <w:rPr>
          <w:rFonts w:hint="eastAsia" w:ascii="Times New Roman" w:hAnsi="Times New Roman" w:cs="Times New Roman"/>
          <w:b/>
          <w:bCs/>
        </w:rPr>
        <w:t xml:space="preserve">Relevance to </w:t>
      </w:r>
      <w:r>
        <w:rPr>
          <w:rFonts w:hint="eastAsia" w:ascii="Times New Roman" w:hAnsi="Times New Roman" w:cs="Times New Roman"/>
          <w:b/>
          <w:bCs/>
          <w:i/>
          <w:iCs/>
        </w:rPr>
        <w:t>IEEE Transactions on Consumer Electronics</w:t>
      </w:r>
    </w:p>
    <w:p w14:paraId="4591B08F">
      <w:pPr>
        <w:rPr>
          <w:rFonts w:ascii="Times New Roman" w:hAnsi="Times New Roman" w:cs="Times New Roman"/>
        </w:rPr>
      </w:pPr>
      <w:r>
        <w:rPr>
          <w:rFonts w:hint="eastAsia" w:ascii="Times New Roman" w:hAnsi="Times New Roman" w:cs="Times New Roman"/>
        </w:rPr>
        <w:t xml:space="preserve">This work is highly aligned with the scope of </w:t>
      </w:r>
      <w:r>
        <w:rPr>
          <w:rFonts w:hint="eastAsia" w:ascii="Times New Roman" w:hAnsi="Times New Roman" w:cs="Times New Roman"/>
          <w:i/>
          <w:iCs/>
        </w:rPr>
        <w:t>IEEE Transactions on Consumer Electronics</w:t>
      </w:r>
      <w:r>
        <w:rPr>
          <w:rFonts w:hint="eastAsia" w:ascii="Times New Roman" w:hAnsi="Times New Roman" w:cs="Times New Roman"/>
        </w:rPr>
        <w:t xml:space="preserve">, particularly in the areas of audio–visual perception for smart consumer devices, multimedia content understanding, and AI-driven consumer applications. We believe that this work will be of strong interest to the readership of the journal. With the rapid proliferation of consumer electronics equipped with both cameras and microphones—such as smartphones, smart speakers, home security cameras, smart TVs, and AR/VR headsets—audio–visual multimodal understanding has become a core enabling technology for next-generation intelligent consumer products. These devices frequently encounter novel events, actions, and acoustic scenarios that were not covered in their factory training data, making the ability to recognize unseen categories (i.e., zero-shot generalization) essential for delivering safe, adaptive, and personalized user experiences. </w:t>
      </w:r>
    </w:p>
    <w:p w14:paraId="0DF4759B">
      <w:pPr>
        <w:rPr>
          <w:rFonts w:ascii="Times New Roman" w:hAnsi="Times New Roman" w:cs="Times New Roman"/>
        </w:rPr>
      </w:pPr>
    </w:p>
    <w:p w14:paraId="271C173A">
      <w:pPr>
        <w:rPr>
          <w:rFonts w:ascii="Times New Roman" w:hAnsi="Times New Roman" w:cs="Times New Roman"/>
        </w:rPr>
      </w:pPr>
      <w:r>
        <w:rPr>
          <w:rFonts w:hint="eastAsia" w:ascii="Times New Roman" w:hAnsi="Times New Roman" w:cs="Times New Roman"/>
        </w:rPr>
        <w:t xml:space="preserve">Recent works published in </w:t>
      </w:r>
      <w:r>
        <w:rPr>
          <w:rFonts w:hint="eastAsia" w:ascii="Times New Roman" w:hAnsi="Times New Roman" w:cs="Times New Roman"/>
          <w:i/>
          <w:iCs/>
        </w:rPr>
        <w:t>IEEE Transactions on Consumer Electronics</w:t>
      </w:r>
      <w:r>
        <w:rPr>
          <w:rFonts w:hint="eastAsia" w:ascii="Times New Roman" w:hAnsi="Times New Roman" w:cs="Times New Roman"/>
        </w:rPr>
        <w:t xml:space="preserve"> in related areas, such as smart home activity recognition, consumer-grade video analytics, and edge-based audiovisual event detection, have attracted considerable attention from both academia and industry. However, the systematic integration of external knowledge sources—such as large language model-based semantic expansion and graph-structured prior knowledge—into audio–visual zero-shot learning frameworks tailored for consumer-grade applications still lacks in-depth investigation. Through comprehensive empirical studies, we observe that most existing audio–visual zero-shot learning methods primarily rely on brief class labels for semantic modeling, which proves insufficient for the fine-grained discrimination required in real-world consumer scenarios involving visually or acoustically similar activities (e.g., distinguishing "playing basketball" from "slam dunk"). Moreover, the inherently weak audio–visual correlations prevalent in user-generated or in-the-wild consumer video data pose significant challenges for conventional cross-attention-based fusion approaches. We propose a novel method termed KA-GZSL, which aggregates external fine-grained knowledge and reduces modality distribution discrepancies. Specifically, KA-GZSL leverages LLMs to generate detailed class descriptions to overcome semantic ambiguity in class labels, constructs action knowledge graphs to structurally model audio–visual temporal relationships under prior knowledge guidance, and employs an audio–visual context encoder to harmonize modality-specific and modality-shared information in a unified space. These innovations collectively provide a principled and effective solution for audio–visual zero-shot learning in consumer-oriented applications.</w:t>
      </w:r>
    </w:p>
    <w:p w14:paraId="08C21AA9">
      <w:pPr>
        <w:rPr>
          <w:rFonts w:ascii="Times New Roman" w:hAnsi="Times New Roman" w:cs="Times New Roman"/>
        </w:rPr>
      </w:pPr>
    </w:p>
    <w:p w14:paraId="35EC6796">
      <w:pPr>
        <w:rPr>
          <w:rFonts w:ascii="Times New Roman" w:hAnsi="Times New Roman" w:cs="Times New Roman"/>
        </w:rPr>
      </w:pPr>
      <w:r>
        <w:rPr>
          <w:rFonts w:hint="eastAsia" w:ascii="Times New Roman" w:hAnsi="Times New Roman" w:cs="Times New Roman"/>
        </w:rPr>
        <w:t>We appreciate your consideration of our manuscript and would feel great honor if this paper could be published in your journal. Please let us know at your most convenient time if you need any other information.</w:t>
      </w:r>
    </w:p>
    <w:p w14:paraId="7B60E8A0">
      <w:pPr>
        <w:rPr>
          <w:rFonts w:ascii="Times New Roman" w:hAnsi="Times New Roman" w:cs="Times New Roman"/>
        </w:rPr>
      </w:pPr>
    </w:p>
    <w:p w14:paraId="6217061B">
      <w:pPr>
        <w:rPr>
          <w:rFonts w:ascii="Times New Roman" w:hAnsi="Times New Roman" w:cs="Times New Roman"/>
        </w:rPr>
      </w:pPr>
      <w:r>
        <w:rPr>
          <w:rFonts w:hint="eastAsia" w:ascii="Times New Roman" w:hAnsi="Times New Roman" w:cs="Times New Roman"/>
        </w:rPr>
        <w:t>First author: Hu Wang</w:t>
      </w:r>
    </w:p>
    <w:p w14:paraId="470523D9">
      <w:pPr>
        <w:rPr>
          <w:rFonts w:ascii="Times New Roman" w:hAnsi="Times New Roman" w:cs="Times New Roman"/>
        </w:rPr>
      </w:pPr>
      <w:r>
        <w:rPr>
          <w:rFonts w:hint="eastAsia" w:ascii="Times New Roman" w:hAnsi="Times New Roman" w:cs="Times New Roman"/>
        </w:rPr>
        <w:t>Corresponding author: Jing Yang</w:t>
      </w:r>
    </w:p>
    <w:p w14:paraId="52DEF609">
      <w:pPr>
        <w:rPr>
          <w:rFonts w:hint="eastAsia"/>
          <w:lang w:val="en-US" w:eastAsia="zh-CN"/>
        </w:rPr>
      </w:pPr>
      <w:r>
        <w:rPr>
          <w:rFonts w:hint="eastAsia" w:ascii="Times New Roman" w:hAnsi="Times New Roman" w:cs="Times New Roman"/>
        </w:rPr>
        <w:t>email: jyang23@gzu.edu.cn</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FCDC48"/>
    <w:multiLevelType w:val="singleLevel"/>
    <w:tmpl w:val="33FCDC48"/>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A0369E"/>
    <w:rsid w:val="03A0369E"/>
    <w:rsid w:val="0E1B485A"/>
    <w:rsid w:val="1D7A5AF4"/>
    <w:rsid w:val="3034320B"/>
    <w:rsid w:val="37BE58E1"/>
    <w:rsid w:val="41765073"/>
    <w:rsid w:val="440B5626"/>
    <w:rsid w:val="5FFA0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829</Words>
  <Characters>5443</Characters>
  <Lines>0</Lines>
  <Paragraphs>0</Paragraphs>
  <TotalTime>1</TotalTime>
  <ScaleCrop>false</ScaleCrop>
  <LinksUpToDate>false</LinksUpToDate>
  <CharactersWithSpaces>6216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2026-04-10T12:26:00Z</dcterms:created>
  <dc:creator>回来</dc:creator>
  <cp:lastModifiedBy>Fa'te</cp:lastModifiedBy>
  <dcterms:modified xsi:type="dcterms:W3CDTF">2026-04-30T14:40:28Z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19FED9B5976649E28ECE2082CA86CB28_13</vt:lpwstr>
  </property>
  <property fmtid="{D5CDD505-2E9C-101B-9397-08002B2CF9AE}" pid="4" name="KSOTemplateDocerSaveRecord">
    <vt:lpwstr>eyJoZGlkIjoiMTg3OGE4Y2Q0M2ZiYjlkODNhMzI3MTM2ZGQ1ZTVlNjAiLCJ1c2VySWQiOiI2Njg0OTg3MDcifQ==</vt:lpwstr>
  </property>
</Properties>
</file>