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4.3 消融实验</w:t>
      </w:r>
    </w:p>
    <w:p>
      <w:pPr>
        <w:jc w:val="both"/>
      </w:pPr>
      <w:r>
        <w:t>为分析各组成部分对视听广义零样本识别的作用，我们围绕核心模块、时序定位方式、高斯专家数量、原型优化目标、交互与融合策略、文本编码器及细粒度描述开展消融实验。各组实验结果分别见表3—表9，以下性能增减均以百分点表示。</w:t>
      </w:r>
    </w:p>
    <w:p>
      <w:pPr>
        <w:pStyle w:val="Heading2"/>
      </w:pPr>
      <w:r>
        <w:t>4.3.1 核心模块消融</w:t>
      </w:r>
    </w:p>
    <w:p>
      <w:pPr>
        <w:jc w:val="both"/>
      </w:pPr>
      <w:r>
        <w:t>为了验证判别性语义原型优化（DSPO）、语义引导高斯时序定位（SGTG）以及解耦模态交互与门控融合（DMIF）的有效性，我们在完整框架中分别移除上述模块，并在三个基准数据集上进行比较。表3显示，任一模块的移除均会降低模型的HM，但不同模块的影响程度存在差异。其中，移除SGTG后，VGGSound-GZSL</w:t>
      </w:r>
      <w:r>
        <w:rPr>
          <w:i/>
          <w:vertAlign w:val="superscript"/>
        </w:rPr>
        <w:t>cls</w:t>
      </w:r>
      <w:r>
        <w:t>与UCF-GZSL</w:t>
      </w:r>
      <w:r>
        <w:rPr>
          <w:i/>
          <w:vertAlign w:val="superscript"/>
        </w:rPr>
        <w:t>cls</w:t>
      </w:r>
      <w:r>
        <w:t>上的HM分别由22.78%和60.63%降至8.90%和33.81%，降幅为13.88和26.82个百分点，在这两个数据集的三种移除配置中影响最大。这说明，获得全局视听表示并不足以充分利用视频中的局部判别线索。SGTG将类别语义引入时序编码，并分别在视觉与音频时间轴上分配高斯权重，使模型能够围绕当前候选类别汇聚相关片段，减轻无关背景对有效证据的稀释。</w:t>
      </w:r>
    </w:p>
    <w:p>
      <w:pPr>
        <w:jc w:val="both"/>
      </w:pPr>
      <w:r>
        <w:t>原型优化与后续融合也直接影响识别表现。移除DSPO后，ActivityNet-GZSL</w:t>
      </w:r>
      <w:r>
        <w:rPr>
          <w:i/>
          <w:vertAlign w:val="superscript"/>
        </w:rPr>
        <w:t>cls</w:t>
      </w:r>
      <w:r>
        <w:t>上的HM由33.22%降至15.37%，说明类别条件建模不仅需要丰富的文本信息，还需要具有区分度的语义参照。DSPO通过协调类别分离与语义关系保持，为时序定位和最终匹配提供更清晰的类别原型。移除DMIF后，UCF-GZSL</w:t>
      </w:r>
      <w:r>
        <w:rPr>
          <w:i/>
          <w:vertAlign w:val="superscript"/>
        </w:rPr>
        <w:t>cls</w:t>
      </w:r>
      <w:r>
        <w:t>上的HM由60.63%降至51.41%，表明定位后的证据仍需通过关系建模与自适应加权加以组织。值得注意的是，移除DMIF在VGGSound-GZSL</w:t>
      </w:r>
      <w:r>
        <w:rPr>
          <w:i/>
          <w:vertAlign w:val="superscript"/>
        </w:rPr>
        <w:t>cls</w:t>
      </w:r>
      <w:r>
        <w:t>上获得更高的U，但S由35.08%降至24.23%；移除DSPO在ActivityNet-GZSL</w:t>
      </w:r>
      <w:r>
        <w:rPr>
          <w:i/>
          <w:vertAlign w:val="superscript"/>
        </w:rPr>
        <w:t>cls</w:t>
      </w:r>
      <w:r>
        <w:t>上的ZSL也高于完整模型，但其HM明显偏低。因此，这些模块的收益主要体现为广义识别性能的改善：DSPO增强语义参照，SGTG提取类别相关时序证据，DMIF协调不同来源的证据，三者共同改善已见类与未见类的识别平衡。</w:t>
      </w:r>
    </w:p>
    <w:p>
      <w:pPr>
        <w:pStyle w:val="Heading2"/>
      </w:pPr>
      <w:r>
        <w:t>4.3.2 SGTG设计消融</w:t>
      </w:r>
    </w:p>
    <w:p>
      <w:pPr>
        <w:jc w:val="both"/>
      </w:pPr>
      <w:r>
        <w:t>我们提出的SGTG同时利用连续高斯时间权重与自适应专家路由进行证据聚合。为了分析这两项设计的作用，设置时间均匀池化、Top-K离散选择、保留高斯专家但采用固定等权分配的均匀路由，以及完整SGTG四种方案，实验结果见表4。与均匀池化相比，完整SGTG在VGGSound-GZSL</w:t>
      </w:r>
      <w:r>
        <w:rPr>
          <w:i/>
          <w:vertAlign w:val="superscript"/>
        </w:rPr>
        <w:t>cls</w:t>
      </w:r>
      <w:r>
        <w:t>、UCF-GZSL</w:t>
      </w:r>
      <w:r>
        <w:rPr>
          <w:i/>
          <w:vertAlign w:val="superscript"/>
        </w:rPr>
        <w:t>cls</w:t>
      </w:r>
      <w:r>
        <w:t>和ActivityNet-GZSL</w:t>
      </w:r>
      <w:r>
        <w:rPr>
          <w:i/>
          <w:vertAlign w:val="superscript"/>
        </w:rPr>
        <w:t>cls</w:t>
      </w:r>
      <w:r>
        <w:t>上的HM分别提高7.70、13.09和7.38个百分点；与Top-K离散选择相比，分别提高7.31、10.52和9.28个百分点。均匀池化对所有片段赋予相同权重，难以突出短暂出现的有效证据；Top-K虽然能够筛选高相关片段，但按分数进行离散截断可能遗漏相邻的动作或声音上下文。相比之下，高斯定位通过中心与宽度共同控制证据的时间范围，为邻近片段分配平滑权重，在突出局部区域的同时保留支持类别判断的连续线索。</w:t>
      </w:r>
    </w:p>
    <w:p>
      <w:pPr>
        <w:jc w:val="both"/>
      </w:pPr>
      <w:r>
        <w:t>进一步比较均匀路由与完整SGTG可以发现，仅保留多个高斯专家仍不足以获得最优结果。采用自适应路由后，三个数据集上的HM分别增加6.13、11.21和9.86个百分点。其中，UCF-GZSL</w:t>
      </w:r>
      <w:r>
        <w:rPr>
          <w:i/>
          <w:vertAlign w:val="superscript"/>
        </w:rPr>
        <w:t>cls</w:t>
      </w:r>
      <w:r>
        <w:t>上的U由35.75%提高至46.97%，ActivityNet-GZSL</w:t>
      </w:r>
      <w:r>
        <w:rPr>
          <w:i/>
          <w:vertAlign w:val="superscript"/>
        </w:rPr>
        <w:t>cls</w:t>
      </w:r>
      <w:r>
        <w:t>上的U由16.40%提高至25.61%。其原因在于，不同视频及候选类别所对应的关键证据位置并不相同，固定等权分配无法区分各专家提供的信息是否与当前类别相关，而类别条件路由能够按需调节不同时间区域的贡献。均匀路由在上述两个数据集上的ZSL分别略高0.29和0.47个百分点，但完整SGTG在三个数据集上均取得更高的S、U与HM。上述结果表明，连续时间加权与自适应专家选择相互配合，能够更有效地组织面向广义识别的时序证据。</w:t>
      </w:r>
    </w:p>
    <w:p>
      <w:pPr>
        <w:pStyle w:val="Heading2"/>
      </w:pPr>
      <w:r>
        <w:t>4.3.3 高斯专家数量的影响</w:t>
      </w:r>
    </w:p>
    <w:p>
      <w:pPr>
        <w:jc w:val="both"/>
      </w:pPr>
      <w:r>
        <w:t>为了考察时间覆盖粒度对模型性能的影响，我们将高斯专家数量</w:t>
      </w:r>
      <w:r>
        <w:rPr>
          <w:i/>
        </w:rPr>
        <w:t>E</w:t>
      </w:r>
      <w:r>
        <w:t>分别设置为1、3、5、7和9，并保持其余设置不变，结果如表5所示。在所测试的配置中，</w:t>
      </w:r>
      <w:r>
        <w:rPr>
          <w:i/>
        </w:rPr>
        <w:t>E=7</w:t>
      </w:r>
      <w:r>
        <w:t>在VGGSound-GZSL</w:t>
      </w:r>
      <w:r>
        <w:rPr>
          <w:i/>
          <w:vertAlign w:val="superscript"/>
        </w:rPr>
        <w:t>cls</w:t>
      </w:r>
      <w:r>
        <w:t>、UCF-GZSL</w:t>
      </w:r>
      <w:r>
        <w:rPr>
          <w:i/>
          <w:vertAlign w:val="superscript"/>
        </w:rPr>
        <w:t>cls</w:t>
      </w:r>
      <w:r>
        <w:t>和ActivityNet-GZSL</w:t>
      </w:r>
      <w:r>
        <w:rPr>
          <w:i/>
          <w:vertAlign w:val="superscript"/>
        </w:rPr>
        <w:t>cls</w:t>
      </w:r>
      <w:r>
        <w:t>上的HM分别达到22.78%、60.63%和33.22%，相较单专家配置提高8.16、26.36和13.28个百分点。单个高斯专家仅能围绕一个中心组织时间权重，当类别相关动作或声音分布在多个区段时，模型需要在集中于局部证据与扩大覆盖范围之间进行取舍。多个专家则能够从不同时间位置提供候选证据，并由路由机制组合各区段的信息，因而具有更灵活的时序表达能力。</w:t>
      </w:r>
    </w:p>
    <w:p>
      <w:pPr>
        <w:jc w:val="both"/>
      </w:pPr>
      <w:r>
        <w:t>不过，实验结果并不支持专家越多性能越好的判断。例如，VGGSound-GZSL</w:t>
      </w:r>
      <w:r>
        <w:rPr>
          <w:i/>
          <w:vertAlign w:val="superscript"/>
        </w:rPr>
        <w:t>cls</w:t>
      </w:r>
      <w:r>
        <w:t>上的HM从</w:t>
      </w:r>
      <w:r>
        <w:rPr>
          <w:i/>
        </w:rPr>
        <w:t>E=3</w:t>
      </w:r>
      <w:r>
        <w:t>时的16.04%降至</w:t>
      </w:r>
      <w:r>
        <w:rPr>
          <w:i/>
        </w:rPr>
        <w:t>E=5</w:t>
      </w:r>
      <w:r>
        <w:t>时的13.85%；当</w:t>
      </w:r>
      <w:r>
        <w:rPr>
          <w:i/>
        </w:rPr>
        <w:t>E</w:t>
      </w:r>
      <w:r>
        <w:t>由7增加至9时，三个数据集上的HM又分别下降5.74、0.53和2.04个百分点。这可能是因为新增专家带来的重复覆盖与更复杂的权重分配，抵消了额外时间覆盖的收益。在UCF-GZSL</w:t>
      </w:r>
      <w:r>
        <w:rPr>
          <w:i/>
          <w:vertAlign w:val="superscript"/>
        </w:rPr>
        <w:t>cls</w:t>
      </w:r>
      <w:r>
        <w:t>上，</w:t>
      </w:r>
      <w:r>
        <w:rPr>
          <w:i/>
        </w:rPr>
        <w:t>E=9</w:t>
      </w:r>
      <w:r>
        <w:t>虽然取得更高的S和ZSL，分别为87.48%和51.48%，但U由</w:t>
      </w:r>
      <w:r>
        <w:rPr>
          <w:i/>
        </w:rPr>
        <w:t>E=7</w:t>
      </w:r>
      <w:r>
        <w:t>时的46.97%降至45.77%，HM也由60.63%降至60.10%。因此，多专家设计的关键在于提供适当的证据覆盖，而非单纯增加专家数量；在本实验考察的范围内，七专家配置实现了最好的已见类与未见类综合识别表现。</w:t>
      </w:r>
    </w:p>
    <w:p>
      <w:pPr>
        <w:pStyle w:val="Heading2"/>
      </w:pPr>
      <w:r>
        <w:t>4.3.4 DSPO优化目标消融</w:t>
      </w:r>
    </w:p>
    <w:p>
      <w:pPr>
        <w:jc w:val="both"/>
      </w:pPr>
      <w:r>
        <w:t>DSPO旨在提高类别原型区分度的同时保留用于知识迁移的语义关系。为分析两类约束的作用，我们比较直接使用初始原型、仅采用类别分离损失</w:t>
      </w:r>
      <w:r>
        <w:rPr>
          <w:rFonts w:ascii="DejaVu Serif" w:hAnsi="DejaVu Serif"/>
        </w:rPr>
        <w:t>ℒ</w:t>
      </w:r>
      <w:r>
        <w:rPr>
          <w:i w:val="0"/>
          <w:vertAlign w:val="subscript"/>
        </w:rPr>
        <w:t>sep</w:t>
      </w:r>
      <w:r>
        <w:t>、仅采用语义排序保持损失</w:t>
      </w:r>
      <w:r>
        <w:rPr>
          <w:rFonts w:ascii="DejaVu Serif" w:hAnsi="DejaVu Serif"/>
        </w:rPr>
        <w:t>ℒ</w:t>
      </w:r>
      <w:r>
        <w:rPr>
          <w:i w:val="0"/>
          <w:vertAlign w:val="subscript"/>
        </w:rPr>
        <w:t>rank</w:t>
      </w:r>
      <w:r>
        <w:t>，以及采用两者联合目标四种配置。联合目标的权衡系数</w:t>
      </w:r>
      <w:r>
        <w:rPr>
          <w:i/>
        </w:rPr>
        <w:t>α</w:t>
      </w:r>
      <w:r>
        <w:t>设为0.5，各配置中的原型在后续主网络训练期间保持固定。实验结果如表6所示，两种单独损失均能改善初始原型对应的HM，但各自的优势并不一致：仅采用</w:t>
      </w:r>
      <w:r>
        <w:rPr>
          <w:rFonts w:ascii="DejaVu Serif" w:hAnsi="DejaVu Serif"/>
        </w:rPr>
        <w:t>ℒ</w:t>
      </w:r>
      <w:r>
        <w:rPr>
          <w:i w:val="0"/>
          <w:vertAlign w:val="subscript"/>
        </w:rPr>
        <w:t>sep</w:t>
      </w:r>
      <w:r>
        <w:t>时，VGGSound-GZSL</w:t>
      </w:r>
      <w:r>
        <w:rPr>
          <w:i/>
          <w:vertAlign w:val="superscript"/>
        </w:rPr>
        <w:t>cls</w:t>
      </w:r>
      <w:r>
        <w:t>和ActivityNet-GZSL</w:t>
      </w:r>
      <w:r>
        <w:rPr>
          <w:i/>
          <w:vertAlign w:val="superscript"/>
        </w:rPr>
        <w:t>cls</w:t>
      </w:r>
      <w:r>
        <w:t>上的HM分别为16.94%和30.12%，高于仅采用</w:t>
      </w:r>
      <w:r>
        <w:rPr>
          <w:rFonts w:ascii="DejaVu Serif" w:hAnsi="DejaVu Serif"/>
        </w:rPr>
        <w:t>ℒ</w:t>
      </w:r>
      <w:r>
        <w:rPr>
          <w:i w:val="0"/>
          <w:vertAlign w:val="subscript"/>
        </w:rPr>
        <w:t>rank</w:t>
      </w:r>
      <w:r>
        <w:t>的15.63%和26.26%；而在UCF-GZSL</w:t>
      </w:r>
      <w:r>
        <w:rPr>
          <w:i/>
          <w:vertAlign w:val="superscript"/>
        </w:rPr>
        <w:t>cls</w:t>
      </w:r>
      <w:r>
        <w:t>上，</w:t>
      </w:r>
      <w:r>
        <w:rPr>
          <w:rFonts w:ascii="DejaVu Serif" w:hAnsi="DejaVu Serif"/>
        </w:rPr>
        <w:t>ℒ</w:t>
      </w:r>
      <w:r>
        <w:rPr>
          <w:i w:val="0"/>
          <w:vertAlign w:val="subscript"/>
        </w:rPr>
        <w:t>rank</w:t>
      </w:r>
      <w:r>
        <w:t>对应的HM达到57.44%，高于</w:t>
      </w:r>
      <w:r>
        <w:rPr>
          <w:rFonts w:ascii="DejaVu Serif" w:hAnsi="DejaVu Serif"/>
        </w:rPr>
        <w:t>ℒ</w:t>
      </w:r>
      <w:r>
        <w:rPr>
          <w:i w:val="0"/>
          <w:vertAlign w:val="subscript"/>
        </w:rPr>
        <w:t>sep</w:t>
      </w:r>
      <w:r>
        <w:t>的48.38%。这说明，仅强调类别分离或语义保持，均难以适应不同数据集上的识别需求。</w:t>
      </w:r>
    </w:p>
    <w:p>
      <w:pPr>
        <w:jc w:val="both"/>
      </w:pPr>
      <w:r>
        <w:t>联合优化后，三个数据集上的HM分别达到22.78%、60.63%和33.22%，较表6中的初始原型配置提高10.59、25.82和12.16个百分点。两类目标的互补性在于，</w:t>
      </w:r>
      <w:r>
        <w:rPr>
          <w:rFonts w:ascii="DejaVu Serif" w:hAnsi="DejaVu Serif"/>
        </w:rPr>
        <w:t>ℒ</w:t>
      </w:r>
      <w:r>
        <w:rPr>
          <w:i w:val="0"/>
          <w:vertAlign w:val="subscript"/>
        </w:rPr>
        <w:t>sep</w:t>
      </w:r>
      <w:r>
        <w:t>优先拉开距离最近、易发生混淆的类别原型，但单独扩大类别间隔可能改变原有语义结构；</w:t>
      </w:r>
      <w:r>
        <w:rPr>
          <w:rFonts w:ascii="DejaVu Serif" w:hAnsi="DejaVu Serif"/>
        </w:rPr>
        <w:t>ℒ</w:t>
      </w:r>
      <w:r>
        <w:rPr>
          <w:i w:val="0"/>
          <w:vertAlign w:val="subscript"/>
        </w:rPr>
        <w:t>rank</w:t>
      </w:r>
      <w:r>
        <w:t>约束类别间距离的相对次序，有助于保留语义邻域，却并不直接保证相近类别具有充分的判别间隔。联合目标同时约束这两个方面，使优化后的原型既能区分类别，又能保留可迁移的语义联系，从而为类别条件定位与语义匹配提供可靠参照。尽管ActivityNet-GZSL</w:t>
      </w:r>
      <w:r>
        <w:rPr>
          <w:i/>
          <w:vertAlign w:val="superscript"/>
        </w:rPr>
        <w:t>cls</w:t>
      </w:r>
      <w:r>
        <w:t>上仅使用</w:t>
      </w:r>
      <w:r>
        <w:rPr>
          <w:rFonts w:ascii="DejaVu Serif" w:hAnsi="DejaVu Serif"/>
        </w:rPr>
        <w:t>ℒ</w:t>
      </w:r>
      <w:r>
        <w:rPr>
          <w:i w:val="0"/>
          <w:vertAlign w:val="subscript"/>
        </w:rPr>
        <w:t>sep</w:t>
      </w:r>
      <w:r>
        <w:t>的S以及仅使用</w:t>
      </w:r>
      <w:r>
        <w:rPr>
          <w:rFonts w:ascii="DejaVu Serif" w:hAnsi="DejaVu Serif"/>
        </w:rPr>
        <w:t>ℒ</w:t>
      </w:r>
      <w:r>
        <w:rPr>
          <w:i w:val="0"/>
          <w:vertAlign w:val="subscript"/>
        </w:rPr>
        <w:t>rank</w:t>
      </w:r>
      <w:r>
        <w:t>的ZSL略高于联合配置，联合目标仍取得最高的HM，体现了类别可分性与语义结构保持之间更有效的协调。</w:t>
      </w:r>
    </w:p>
    <w:p>
      <w:pPr>
        <w:pStyle w:val="Heading2"/>
      </w:pPr>
      <w:r>
        <w:t>4.3.5 DMIF分支与门控消融</w:t>
      </w:r>
    </w:p>
    <w:p>
      <w:pPr>
        <w:jc w:val="both"/>
      </w:pPr>
      <w:r>
        <w:t>为了验证解耦关系建模与动态融合的作用，我们设置仅保留模态内分支、仅保留模态间分支、对三路证据进行等权平均，以及采用完整三路门控四种方案，结果见表7。单分支实验显示，两类关系建模具有不同作用。在VGGSound-GZSL</w:t>
      </w:r>
      <w:r>
        <w:rPr>
          <w:i/>
          <w:vertAlign w:val="superscript"/>
        </w:rPr>
        <w:t>cls</w:t>
      </w:r>
      <w:r>
        <w:t>和UCF-GZSL</w:t>
      </w:r>
      <w:r>
        <w:rPr>
          <w:i/>
          <w:vertAlign w:val="superscript"/>
        </w:rPr>
        <w:t>cls</w:t>
      </w:r>
      <w:r>
        <w:t>上，仅模态间分支的HM分别为16.56%和39.53%，高于仅模态内分支的14.53%和38.45%；在ActivityNet-GZSL</w:t>
      </w:r>
      <w:r>
        <w:rPr>
          <w:i/>
          <w:vertAlign w:val="superscript"/>
        </w:rPr>
        <w:t>cls</w:t>
      </w:r>
      <w:r>
        <w:t>上，仅模态内分支则以20.17%的HM优于仅模态间分支的16.71%。从结构上看，模态内分支侧重组织各模态内部的时序线索，模态间分支侧重利用声画之间的相互补充。上述差异表明，两种关系并不能相互替代，仅依赖其中一种难以获得一致的识别优势。</w:t>
      </w:r>
    </w:p>
    <w:p>
      <w:pPr>
        <w:jc w:val="both"/>
      </w:pPr>
      <w:r>
        <w:t>完整三路门控在三个数据集的S、U、HM和ZSL上均优于其余配置。与三路等权平均相比，其HM分别提高13.02、14.13和5.70个百分点。尤其在VGGSound-GZSL</w:t>
      </w:r>
      <w:r>
        <w:rPr>
          <w:i/>
          <w:vertAlign w:val="superscript"/>
        </w:rPr>
        <w:t>cls</w:t>
      </w:r>
      <w:r>
        <w:t>上，等权平均的HM仅为9.76%，低于两种单分支方案，说明引入更多证据并不必然改善识别结果，固定比例融合反而可能使低相关信息干扰有效线索。DMIF将模态内表示、模态间表示与未经关系重组的直接时序证据共同作为融合对象，并结合候选类别原型预测三路权重，使融合比例随样本内容和类别条件变化。这样，模型无需始终偏向某一种关系，而能够在保留局部证据与利用视听互补信息之间进行调整。因此，DMIF的作用不仅是增加交互分支，更在于对不同来源的证据进行有区别的组织和利用。</w:t>
      </w:r>
    </w:p>
    <w:p>
      <w:pPr>
        <w:pStyle w:val="Heading2"/>
      </w:pPr>
      <w:r>
        <w:t>4.3.6 文本编码器消融</w:t>
      </w:r>
    </w:p>
    <w:p>
      <w:pPr>
        <w:jc w:val="both"/>
      </w:pPr>
      <w:r>
        <w:t>文本编码器决定了类别描述如何映射为语义表示。为了分析不同文本先验对原型构建与时序条件化的影响，我们比较仅使用CLIP文本编码器、仅使用CLAP文本编码器以及联合使用两者三种方案，视觉与音频输入编码器保持不变。表8显示，仅使用CLAP时，VGGSound-GZSL</w:t>
      </w:r>
      <w:r>
        <w:rPr>
          <w:i/>
          <w:vertAlign w:val="superscript"/>
        </w:rPr>
        <w:t>cls</w:t>
      </w:r>
      <w:r>
        <w:t>和ActivityNet-GZSL</w:t>
      </w:r>
      <w:r>
        <w:rPr>
          <w:i/>
          <w:vertAlign w:val="superscript"/>
        </w:rPr>
        <w:t>cls</w:t>
      </w:r>
      <w:r>
        <w:t>上的HM分别为15.59%和24.61%，高于仅使用CLIP的13.61%和20.01%；但在UCF-GZSL</w:t>
      </w:r>
      <w:r>
        <w:rPr>
          <w:i/>
          <w:vertAlign w:val="superscript"/>
        </w:rPr>
        <w:t>cls</w:t>
      </w:r>
      <w:r>
        <w:t>上，CLIP对应的HM为44.24%，高于CLAP的40.41%。这表明，单一文本编码器提供的语义表示具有不同侧重，其对类别区分的支持程度会随数据集变化，不能在所有基准上保持一致优势。</w:t>
      </w:r>
    </w:p>
    <w:p>
      <w:pPr>
        <w:jc w:val="both"/>
      </w:pPr>
      <w:r>
        <w:t>联合使用CLIP与CLAP后，三个数据集的四项指标均超过对应的单编码器配置，HM分别达到22.78%、60.63%和33.22%，相较各数据集上HM较高的单编码器方案提升7.19、16.39和8.61个百分点。ZSL也分别达到17.65%、50.38%和23.96%，说明联合语义表示不仅改善广义识别平衡，还提高了仅在未见类别中进行识别的性能。这种互补性与两种文本编码器的语义侧重相一致：CLIP提供与视觉内容相关的文本表示，CLAP补充与声音内容相关的文本表示；二者分别支持视觉侧与听觉侧的条件编码，并共同参与初始类别原型的构建。相比依赖单一语义空间，联合表示为模型同时理解类别的动作外观与声音特征提供了更充分的语义参照，有助于建立文本条件与视听证据之间的对应关系。</w:t>
      </w:r>
    </w:p>
    <w:p>
      <w:pPr>
        <w:pStyle w:val="Heading2"/>
      </w:pPr>
      <w:r>
        <w:t>4.3.7 细粒度描述消融</w:t>
      </w:r>
    </w:p>
    <w:p>
      <w:pPr>
        <w:jc w:val="both"/>
      </w:pPr>
      <w:r>
        <w:t>为了分析类别描述的细化程度对模型性能的影响，我们比较仅使用类别名称模板、加入视觉侧描述、加入听觉侧描述以及采用完整双侧描述四种策略，实验结果见表9。与名称模板相比，加入任一侧细粒度描述均提高了三个数据集上的HM与ZSL，说明仅依赖类别名称难以充分表达用于识别的属性信息。其中，视觉侧描述在三个数据集上的HM分别达到19.10%、47.12%和28.34%，均高于听觉侧描述的14.35%、43.14%和23.95%。但这一结果并不意味着听觉语义没有补充作用：联合双侧描述后，HM进一步达到22.78%、60.63%和33.22%，相较视觉侧描述分别提高3.68、13.51和4.88个百分点，相较名称模板则分别提高11.49、27.09和17.58个百分点。</w:t>
      </w:r>
    </w:p>
    <w:p>
      <w:pPr>
        <w:jc w:val="both"/>
      </w:pPr>
      <w:r>
        <w:t>细粒度描述的作用在于，将抽象的类别名称转化为更明确的动作、外观与声音属性，使语义条件不再局限于粗粒度的类别标识。在本文框架中，这些描述既用于构建类别原型，也以属性级语义token参与视觉和音频序列的条件化，因此能够为后续定位提供更具体的检索线索。视觉侧与听觉侧描述共同使用时，模型可以从不同语义角度关联支持同一类别的视听证据，而不必完全依赖单侧属性。VGGSound-GZSL</w:t>
      </w:r>
      <w:r>
        <w:rPr>
          <w:i/>
          <w:vertAlign w:val="superscript"/>
        </w:rPr>
        <w:t>cls</w:t>
      </w:r>
      <w:r>
        <w:t>上的视觉侧描述取得18.06%的ZSL，略高于双侧描述的17.65%，但双侧描述同时将S由23.45%提高至35.08%、U由16.11%提高至16.87%，因而获得更高的HM。总体而言，双侧描述的优势在于提供互补且具体的类别信息，使语义条件化与时序证据提取共同受益，并改善已见类与未见类的综合识别表现。</w:t>
      </w:r>
    </w:p>
    <w:sectPr w:rsidR="00FC693F" w:rsidRPr="0006063C" w:rsidSect="00034616">
      <w:headerReference w:type="default" r:id="rId9"/>
      <w:footerReference w:type="default" r:id="rId10"/>
      <w:pgSz w:w="11906" w:h="16838"/>
      <w:pgMar w:top="1162" w:right="1304" w:bottom="1134" w:left="1304" w:header="454"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pPr>
    <w:r>
      <w:rPr>
        <w:rFonts w:ascii="Times New Roman" w:hAnsi="Times New Roman" w:eastAsia="Noto Serif CJK SC"/>
        <w:sz w:val="18"/>
      </w:rPr>
      <w:t>SGTG-AVGZSL  |  消融实验描述</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400" w:lineRule="exact" w:after="120"/>
      <w:ind w:firstLine="480"/>
    </w:pPr>
    <w:rPr>
      <w:rFonts w:ascii="Times New Roman" w:hAnsi="Times New Roman" w:eastAsia="Noto Serif CJK SC"/>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40" w:line="400" w:lineRule="exact"/>
      <w:ind w:firstLine="0"/>
      <w:outlineLvl w:val="1"/>
    </w:pPr>
    <w:rPr>
      <w:rFonts w:asciiTheme="majorHAnsi" w:eastAsiaTheme="majorEastAsia" w:hAnsiTheme="majorHAnsi" w:cstheme="majorBidi" w:ascii="Times New Roman" w:hAnsi="Times New Roman" w:eastAsia="Noto Serif CJK SC"/>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ind w:firstLine="0"/>
      <w:contextualSpacing/>
    </w:pPr>
    <w:rPr>
      <w:rFonts w:asciiTheme="majorHAnsi" w:eastAsiaTheme="majorEastAsia" w:hAnsiTheme="majorHAnsi" w:cstheme="majorBidi" w:ascii="Times New Roman" w:hAnsi="Times New Roman" w:eastAsia="Noto Serif CJK SC"/>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消融实验描述重写版</dc:title>
  <dc:subject>SGTG-AVGZSL，第4.3节，表3—表9</dc:subject>
  <dc:creator/>
  <cp:keywords/>
  <dc:description>数值来源：pointerHu/WH/论文方案/实验结果.xlsx，Git blob 153a327be31e1d438c215edce141060207c16505；方法和表号依据：王虎-论文-0917_实验修订版.docx，Git blob 3f350c8098e982f640c8b966cc9caba409ac1ec1。仅重写消融描述，不修改源表格或源论文。</dc:description>
  <cp:lastModifiedBy/>
  <cp:revision>1</cp:revision>
  <dcterms:created xsi:type="dcterms:W3CDTF">2013-12-23T23:15:00Z</dcterms:created>
  <dcterms:modified xsi:type="dcterms:W3CDTF">2013-12-23T23:15:00Z</dcterms:modified>
  <cp:category/>
</cp:coreProperties>
</file>