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5"/>
        <w:keepNext/>
        <w:keepLines w:val="0"/>
        <w:pageBreakBefore w:val="0"/>
        <w:widowControl/>
        <w:spacing w:before="0" w:after="200" w:line="288" w:lineRule="auto"/>
        <w:ind w:left="0" w:right="0" w:firstLine="0"/>
        <w:jc w:val="center"/>
      </w:pPr>
      <w:r>
        <w:rPr>
          <w:rFonts w:ascii="Times New Roman" w:hAnsi="Times New Roman" w:cs="Times New Roman" w:eastAsia="黑体"/>
          <w:b/>
          <w:color w:val="000000"/>
          <w:sz w:val="36"/>
        </w:rPr>
        <w:t>语义引导高斯时序定位的视听广义零样本学习</w:t>
      </w:r>
    </w:p>
    <w:p>
      <w:pPr>
        <w:keepNext w:val="0"/>
        <w:keepLines w:val="0"/>
        <w:pageBreakBefore w:val="0"/>
        <w:widowControl/>
        <w:spacing w:before="0" w:after="100" w:line="312" w:lineRule="auto"/>
        <w:ind w:left="0" w:right="0" w:firstLine="0"/>
        <w:jc w:val="both"/>
      </w:pPr>
      <w:r>
        <w:rPr>
          <w:rFonts w:ascii="Times New Roman" w:hAnsi="Times New Roman" w:cs="Times New Roman" w:eastAsia="宋体"/>
          <w:b/>
          <w:color w:val="000000"/>
          <w:sz w:val="21"/>
        </w:rPr>
        <w:t>摘要：</w:t>
      </w:r>
      <w:r>
        <w:rPr>
          <w:rFonts w:ascii="Times New Roman" w:hAnsi="Times New Roman" w:cs="Times New Roman" w:eastAsia="宋体"/>
          <w:color w:val="000000"/>
          <w:sz w:val="21"/>
        </w:rPr>
        <w:t xml:space="preserve">视听广义零样本学习通过建立音视频表示与类别语义之间的关联，实现对已见类别与未见类别的联合识别。现有方法通常将类别语义限制在最终匹配阶段，难以从长视频中聚焦局部判别证据，同时受到类别原型可分性不足与视听模态干扰的影响。针对上述问题，本文提出语义引导高斯时序定位框架 SGTG-AVGZSL，将类别语义作为条件信号贯穿时序编码与模态融合。首先，判别性语义原型优化模块在增强类别分离度的同时保持语义相对排序，为已见与未见类别建立可迁移的条件原型。其次，语义引导高斯时序定位模块利用类别原型分别预测视觉与音频的多高斯时间分布，并通过中心锚定和自适应路由聚合类别相关片段。随后，解耦模态交互与门控融合模块分别建模模态内与模态间关系，以类别条件三路门控融合两类关系表示及直接时序证据。在 </w:t>
      </w:r>
      <w:r>
        <w:rPr>
          <w:rFonts w:ascii="Times New Roman" w:hAnsi="Times New Roman" w:cs="Times New Roman" w:eastAsia="宋体"/>
          <w:color w:val="000000"/>
          <w:sz w:val="21"/>
        </w:rPr>
        <w:t>VGGSound-GZSL</w:t>
      </w:r>
      <w:r>
        <w:rPr>
          <w:rFonts w:ascii="Times New Roman" w:hAnsi="Times New Roman" w:cs="Times New Roman" w:eastAsia="宋体"/>
          <w:color w:val="000000"/>
          <w:sz w:val="21"/>
          <w:vertAlign w:val="superscript"/>
        </w:rPr>
        <w:t>cls</w:t>
      </w:r>
      <w:r>
        <w:rPr>
          <w:rFonts w:ascii="Times New Roman" w:hAnsi="Times New Roman" w:cs="Times New Roman" w:eastAsia="宋体"/>
          <w:color w:val="000000"/>
          <w:sz w:val="21"/>
        </w:rPr>
        <w:t>、</w:t>
      </w:r>
      <w:r>
        <w:rPr>
          <w:rFonts w:ascii="Times New Roman" w:hAnsi="Times New Roman" w:cs="Times New Roman" w:eastAsia="宋体"/>
          <w:color w:val="000000"/>
          <w:sz w:val="21"/>
        </w:rPr>
        <w:t>UCF-GZSL</w:t>
      </w:r>
      <w:r>
        <w:rPr>
          <w:rFonts w:ascii="Times New Roman" w:hAnsi="Times New Roman" w:cs="Times New Roman" w:eastAsia="宋体"/>
          <w:color w:val="000000"/>
          <w:sz w:val="21"/>
          <w:vertAlign w:val="superscript"/>
        </w:rPr>
        <w:t>cls</w:t>
      </w:r>
      <w:r>
        <w:rPr>
          <w:rFonts w:ascii="Times New Roman" w:hAnsi="Times New Roman" w:cs="Times New Roman" w:eastAsia="宋体"/>
          <w:color w:val="000000"/>
          <w:sz w:val="21"/>
        </w:rPr>
        <w:t xml:space="preserve"> 和 </w:t>
      </w:r>
      <w:r>
        <w:rPr>
          <w:rFonts w:ascii="Times New Roman" w:hAnsi="Times New Roman" w:cs="Times New Roman" w:eastAsia="宋体"/>
          <w:color w:val="000000"/>
          <w:sz w:val="21"/>
        </w:rPr>
        <w:t>ActivityNet-GZSL</w:t>
      </w:r>
      <w:r>
        <w:rPr>
          <w:rFonts w:ascii="Times New Roman" w:hAnsi="Times New Roman" w:cs="Times New Roman" w:eastAsia="宋体"/>
          <w:color w:val="000000"/>
          <w:sz w:val="21"/>
          <w:vertAlign w:val="superscript"/>
        </w:rPr>
        <w:t>cls</w:t>
      </w:r>
      <w:r>
        <w:rPr>
          <w:rFonts w:ascii="Times New Roman" w:hAnsi="Times New Roman" w:cs="Times New Roman" w:eastAsia="宋体"/>
          <w:color w:val="000000"/>
          <w:sz w:val="21"/>
        </w:rPr>
        <w:t xml:space="preserve"> 三个基准上的对比结果中，本文方法的调和均值分别为 17.62%、61.28% 和 31.44%，相较 ClipClap-GZSL 分别提高 1.89、6.15 和 4.33 个百分点。</w:t>
      </w:r>
    </w:p>
    <w:p>
      <w:pPr>
        <w:keepNext w:val="0"/>
        <w:keepLines w:val="0"/>
        <w:pageBreakBefore w:val="0"/>
        <w:widowControl/>
        <w:spacing w:before="0" w:after="100" w:line="312" w:lineRule="auto"/>
        <w:ind w:left="0" w:right="0" w:firstLine="0"/>
        <w:jc w:val="both"/>
      </w:pPr>
      <w:r>
        <w:rPr>
          <w:rFonts w:ascii="Times New Roman" w:hAnsi="Times New Roman" w:cs="Times New Roman" w:eastAsia="宋体"/>
          <w:b/>
          <w:color w:val="000000"/>
          <w:sz w:val="21"/>
        </w:rPr>
        <w:t>关键词：</w:t>
      </w:r>
      <w:r>
        <w:rPr>
          <w:rFonts w:ascii="Times New Roman" w:hAnsi="Times New Roman" w:cs="Times New Roman" w:eastAsia="宋体"/>
          <w:color w:val="000000"/>
          <w:sz w:val="21"/>
        </w:rPr>
        <w:t>视听广义零样本学习；类别语义原型；高斯时序定位；解耦模态交互；动态门控融合</w:t>
      </w:r>
    </w:p>
    <w:p>
      <w:pPr>
        <w:pStyle w:val="2"/>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6"/>
        </w:rPr>
        <w:t xml:space="preserve">1 引言</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视听广义零样本学习（AVGZSL，Audio-Visual Generalized Zero-Shot Learning）旨在联合利用视频中的视觉与音频双模态信息，通过建立音视频表示与类别文本语义之间的关联，使模型在保持已见类别识别能力的同时，还能推理识别训练阶段从未出现过的未见类别。以 CJME[1]、AVGZSLNet[2]、AVCA[3] 和 ClipClap-GZSL[4] 为代表的视听广义零样本学习方法在多模态视频理解领域得到了广泛研究，特别是在处理未见类别的分类任务上展现出可观的潜力。</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现有方法大多遵循”先编码、后匹配”的策略：先利用预训练模型提取视觉与音频特征，再依赖时序 Transformer 架构[5]或交叉注意力机制[3]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本文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 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Fusion），把定位得到的证据按模态内与模态间关系解耦组织，并以样本和候选类别为条件动态调节融合比例，确保被筛选出的证据得到充分而稳健的利用。</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基于上述设计，我们提出了一种以时序证据定位为核心的视听广义零样本学习框架。这项工作的主要贡献总结如下：</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（1）</w:t>
      </w:r>
      <w:r>
        <w:rPr>
          <w:rFonts w:ascii="Times New Roman" w:hAnsi="Times New Roman" w:cs="Times New Roman" w:eastAsia="宋体"/>
          <w:color w:val="000000"/>
          <w:sz w:val="21"/>
        </w:rPr>
        <w:t xml:space="preserve">我们提出了语义引导高斯时序定位机制，以可迁移的类别语义为条件生成连续的高斯时间分布，在视觉与音频两条时间轴上独立定位类别相关片段。</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（2）</w:t>
      </w:r>
      <w:r>
        <w:rPr>
          <w:rFonts w:ascii="Times New Roman" w:hAnsi="Times New Roman" w:cs="Times New Roman" w:eastAsia="宋体"/>
          <w:color w:val="000000"/>
          <w:sz w:val="21"/>
        </w:rPr>
        <w:t xml:space="preserve">我们提出了判别性语义原型优化，在类别分离与语义拓扑保持两个互相制约的目标下学习类别原型，使其既能作为清晰的分类参照，又能作为时序定位的可靠查询信号。</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（3）</w:t>
      </w:r>
      <w:r>
        <w:rPr>
          <w:rFonts w:ascii="Times New Roman" w:hAnsi="Times New Roman" w:cs="Times New Roman" w:eastAsia="宋体"/>
          <w:color w:val="000000"/>
          <w:sz w:val="21"/>
        </w:rPr>
        <w:t xml:space="preserve">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（4）</w:t>
      </w:r>
      <w:r>
        <w:rPr>
          <w:rFonts w:ascii="Times New Roman" w:hAnsi="Times New Roman" w:cs="Times New Roman" w:eastAsia="宋体"/>
          <w:color w:val="000000"/>
          <w:sz w:val="21"/>
        </w:rPr>
        <w:t xml:space="preserve">在 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三个 AVGZSL 基准数据集上的实验结果表明，与现有方法相比，所提出的模型达到了先进的性能。</w:t>
      </w:r>
    </w:p>
    <w:p>
      <w:pPr>
        <w:pStyle w:val="2"/>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6"/>
        </w:rPr>
        <w:t xml:space="preserve">2 相关工作</w:t>
      </w:r>
    </w:p>
    <w:p>
      <w:pPr>
        <w:pStyle w:val="4"/>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2"/>
        </w:rPr>
        <w:t xml:space="preserve">2.1 视听广义零样本学习</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2020 年，Parida 等人[1]提出 CJME，将视频、音频和文本投射到共享特征空间，并利用三元组损失拉近同类特征距离。2021 年，Mazumder 等人[2]提出 AVGZSLNet，引入跨模态解码器从视听嵌入中重构文本特征，以强制嵌入携带类别级语义信息。2022 年，Mercea 等人[3]提出 AVCA，利用跨模态注意力机制在音频与视觉分支间交换信息以增强特征判别力；其后续工作 TCaF[5]进一步利用视频固有的时间结构，以时序交叉注意力处理序列特征而非时间平均特征。2023 年，Hong 等人[6]将双曲几何引入该任务，利用多曲率双曲投影刻画类别的层级结构；Chen 等人[7]提出 KDA，利用大语言模型生成的细粒度描述增强语义嵌入。2024 年，Kurzendörfer 等人[4]提出 ClipClap-GZSL，借助 CLIP[8]与 CLAP[9]的预训练特征及双文本嵌入，以简洁的前馈结构取得了强性能；Mo 与 Morgado[10]提出 EZ-AVGZL，通过显式优化类别嵌入并配合监督对比对齐简化了学习流程。</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虽然上述方法在特征提取与对齐策略上不断改进，但它们大多仍遵循先编码、后匹配的范式：类别语义无论是否经过扩展或优化，都只在最终匹配阶段作为静态原型使用，编码阶段与语义彼此割裂，长视频中的局部判别证据在类别无关的全局池化中被稀释。与之不同，本文将经判别性优化的类别原型提升为贯穿编码全程的条件信号，使语义直接驱动时序证据定位与模态交互融合，从而在缺乏未见类训练样本的条件下仍能主动搜集支持性证据。</w:t>
      </w:r>
    </w:p>
    <w:p>
      <w:pPr>
        <w:pStyle w:val="4"/>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2"/>
        </w:rPr>
        <w:t xml:space="preserve">2.2 音视频跨模态交互与融合</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音视频融合的核心问题在于如何权衡模态内信息与跨模态信息。早期方法将音频与视觉特征直接拼接或投影到共享空间中隐式融合[1,4]，结构简洁，但两模态的贡献无法区分，模态间干扰也无从控制。为显式建模跨模态关系，Cheng 等人[11]提出协同注意力框架，利用音频与视频之间的共生关系学习视听表示；Tsai 等人[12]以定向的跨模态注意力对齐非对齐的多模态序列；Akbari 等人[13]提出 VATT，先计算视频与音频的匹配、再评估视频与文本的匹配，以成对的方式整合不同模态。然而，无差别的密集交互会把无关内容当作上下文传播，因此后续工作转向对交互范围与融合比例加以约束或选择：Nagrani 等人[14]以少量瓶颈 token 限制跨模态信息流动，在网络浅层保持单模态学习；Hazarika 等人[15]将表示分解到模态不变与模态特定两个子空间，以分离共享信息与专属信息；Lv 等人[16]提出渐进模态强化，以动态门控调节源模态向目标模态的信息流量；Lin 等人[17]进一步以两类掩码注意力分别捕捉模态内与模态间交互，并经门控机制按样本动态选择二者的贡献比例。</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上述工作表明，对模态内与模态间信息进行分离建模并加以选择性融合，是抑制模态干扰的有效途径。然而，这些方法的交互范围与融合配比仅取决于输入样本自身，与类别语义无关；而在 AVGZSL 中，不同类别对模态的依赖差异显著，模型还必须在没有训练样本的未见类别上作出可靠的融合决策。为此，本文的解耦模态交互与门控融合模块作出两点任务化设计：其一，模态内与模态间交互作用于经语义引导高斯定位增强后的证据序列，避免在与类别无关的片段上浪费注意力；其二，融合门控以候选类别原型为条件，对模态内表示、跨模态表示与直接时序证据进行三路归一化加权，使融合策略本身具备随类别语义迁移的能力，从而在已见与未见类别上都能获得可靠的联合表示。</w:t>
      </w:r>
    </w:p>
    <w:p>
      <w:pPr>
        <w:pStyle w:val="4"/>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2"/>
        </w:rPr>
        <w:t xml:space="preserve">2.3 时序建模与时序定位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时序信息的利用方式在音视频理解中经历了从粗到细的演进。早期视听零样本学习方法直接使用时间平均特征[1,3]，均匀采样在音视频问答等任务中同样普遍存在[18]，二者平等对待所有时间片段，难以聚焦关键内容；TCaF[5]通过时序交叉注意力利用序列结构，但注意力在全时间轴上密集计算，缺乏显式的定位机制。为了增强与查询相关的时间聚焦能力，PSTP-Net[19]与 TSPM[20]采用 Top-K 关键片段选择，然而离散选择割裂了连续动作与持续声音的时间结构。另一条路线转向以连续函数建模时间相关性：时序定位研究将自然语言查询映射为连续的时间区间预测[21]；Xiao 等人[22]在视频问答中以单一高斯掩码实现视觉证据的软定位；QA-TIGER[23]进一步结合混合专家机制[24]，以问题为条件生成多个高斯分布，实现了对连续与非连续片段的自适应聚焦。</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然而，上述连续高斯建模均面向音视频问答等存在查询文本的任务：定位条件来自逐样本给定的问题语句，且训练与测试共享同一类别空间。在 AVGZSL 中，既不存在样本级查询，模型还必须把定位能力迁移到没有任何训练样本的未见类别。为此，本文将连续高斯时序建模任务化为以判别性类别原型为条件的定位机制：查询来自经结构保持优化、对已见与未见类别一致可比的原型空间，使定位能力天然可随语义迁移；视觉与音频的分布参数独立预测，以适应真实视频中的视听异步现象；中心锚定与有界偏移从结构上避免多专家塌缩。由此，类别语义不仅参与最终匹配，还直接作用于时序证据的定位与聚合。</w:t>
      </w:r>
    </w:p>
    <w:p w14:paraId="5A1EA849">
      <w:pPr>
        <w:pStyle w:val="2"/>
        <w:keepNext/>
        <w:keepLines/>
        <w:pageBreakBefore w:val="0"/>
        <w:widowControl/>
        <w:autoSpaceDE w:val="0"/>
        <w:autoSpaceDN w:val="0"/>
        <w:snapToGrid w:val="0"/>
        <w:spacing w:before="200" w:after="100" w:line="276" w:lineRule="auto"/>
        <w:ind w:left="0" w:right="0" w:firstLine="0"/>
        <w:jc w:val="left"/>
      </w:pPr>
      <w:bookmarkStart w:id="0"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1" w:name="问题定义"/>
      <w:r>
        <w:rPr>
          <w:rFonts w:ascii="Times New Roman" w:hAnsi="Times New Roman" w:eastAsia="黑体" w:cs="Times New Roman"/>
          <w:b/>
          <w:color w:val="000000"/>
          <w:spacing w:val="0"/>
          <w:sz w:val="32"/>
          <w:szCs w:val="28"/>
          <w:lang w:val="en-US" w:eastAsia="zh-CN"/>
        </w:rPr>
        <w:t>3.1 问题定义</w:t>
      </w:r>
    </w:p>
    <w:p w14:paraId="3B8393B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w:t>
      </w:r>
      <w:r>
        <w:rPr>
          <w:rFonts w:hint="eastAsia" w:cs="Times New Roman" w:ascii="Times New Roman" w:hAnsi="Times New Roman" w:eastAsia="宋体"/>
          <w:color w:val="000000"/>
          <w:spacing w:val="0"/>
          <w:sz w:val="21"/>
          <w:szCs w:val="24"/>
          <w:lang w:val="en-US" w:eastAsia="zh-CN"/>
        </w:rPr>
        <w:t/>
      </w:r>
      <w:r>
        <w:rPr>
          <w:rFonts w:ascii="Times New Roman" w:hAnsi="Times New Roman" w:eastAsia="宋体" w:cs="Times New Roman"/>
          <w:color w:val="000000"/>
          <w:spacing w:val="0"/>
          <w:sz w:val="21"/>
          <w:szCs w:val="24"/>
          <w:lang w:val="en-US" w:eastAsia="zh-CN"/>
        </w:rPr>
        <w:t>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cs="Times New Roman" w:ascii="Times New Roman" w:hAnsi="Times New Roman" w:eastAsia="宋体"/>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cs="Times New Roman" w:ascii="Times New Roman" w:hAnsi="Times New Roman" w:eastAsia="宋体"/>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被认为更贴近真实应用。本文研究的视听广义零样本学习</w:t>
      </w:r>
      <w:r>
        <w:rPr>
          <w:rFonts w:hint="eastAsia" w:cs="Times New Roman" w:ascii="Times New Roman" w:hAnsi="Times New Roman" w:eastAsia="宋体"/>
          <w:color w:val="000000"/>
          <w:spacing w:val="0"/>
          <w:sz w:val="21"/>
          <w:szCs w:val="24"/>
          <w:lang w:val="en-US" w:eastAsia="zh-CN"/>
        </w:rPr>
        <w:t/>
      </w:r>
      <w:r>
        <w:rPr>
          <w:rFonts w:ascii="Times New Roman" w:hAnsi="Times New Roman" w:eastAsia="宋体" w:cs="Times New Roman"/>
          <w:color w:val="000000"/>
          <w:spacing w:val="0"/>
          <w:sz w:val="21"/>
          <w:szCs w:val="24"/>
          <w:lang w:val="en-US" w:eastAsia="zh-CN"/>
        </w:rPr>
        <w:t>（AVGZSL，Audio-Visual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为训练样本数量。除音视频样本外，每个类别</w:t>
      </w:r>
      <m:oMath>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的类别名称及由其扩展得到的类别级文本描述均可使用：类别级语义属于</w:t>
      </w:r>
      <w:r>
        <w:rPr>
          <w:rFonts w:hint="eastAsia" w:cs="Times New Roman" w:ascii="Times New Roman" w:hAnsi="Times New Roman" w:eastAsia="宋体"/>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允许的侧信息，它不包含任何未见类别样本的内容。需要说明的是，在本文的归纳式设定下，训练阶段不使用未见类别的音频、视频、样本标签或任何样本级统计量。模型的目标是学习判别函数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1"/>
    <w:p w14:paraId="4F49C8E4">
      <w:pPr>
        <w:pStyle w:val="4"/>
        <w:keepNext/>
        <w:keepLines/>
        <w:pageBreakBefore w:val="0"/>
        <w:widowControl/>
        <w:autoSpaceDE w:val="0"/>
        <w:autoSpaceDN w:val="0"/>
        <w:snapToGrid w:val="0"/>
        <w:spacing w:before="200" w:after="100" w:line="276" w:lineRule="auto"/>
        <w:ind w:left="0" w:right="0" w:firstLine="0"/>
        <w:jc w:val="left"/>
      </w:pPr>
      <w:bookmarkStart w:id="2" w:name="整体结构"/>
      <w:r>
        <w:rPr>
          <w:rFonts w:ascii="Times New Roman" w:hAnsi="Times New Roman" w:eastAsia="黑体" w:cs="Times New Roman"/>
          <w:b/>
          <w:color w:val="000000"/>
          <w:spacing w:val="0"/>
          <w:sz w:val="32"/>
          <w:szCs w:val="28"/>
          <w:lang w:val="en-US" w:eastAsia="zh-CN"/>
        </w:rPr>
        <w:t>3.2 整体结构</w:t>
      </w:r>
    </w:p>
    <w:p w14:paraId="796501B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总体结构。图 1 展示了本文方法的整体流程。</w:t>
      </w:r>
      <w:r>
        <w:rPr>
          <w:rFonts w:ascii="Times New Roman" w:hAnsi="Times New Roman" w:eastAsia="宋体" w:cs="Times New Roman"/>
          <w:color w:val="000000"/>
          <w:spacing w:val="0"/>
          <w:sz w:val="21"/>
          <w:szCs w:val="24"/>
          <w:lang w:val="en-US" w:eastAsia="zh-CN"/>
        </w:rPr>
        <w:t>现有视听广义零样本学习</w:t>
      </w:r>
      <w:r>
        <w:rPr>
          <w:rFonts w:hint="eastAsia" w:cs="Times New Roman" w:ascii="Times New Roman" w:hAnsi="Times New Roman" w:eastAsia="宋体"/>
          <w:color w:val="000000"/>
          <w:spacing w:val="0"/>
          <w:sz w:val="21"/>
          <w:szCs w:val="24"/>
          <w:lang w:val="en-US" w:eastAsia="zh-CN"/>
        </w:rPr>
        <w:t/>
      </w:r>
      <w:r>
        <w:rPr>
          <w:rFonts w:ascii="Times New Roman" w:hAnsi="Times New Roman" w:eastAsia="宋体" w:cs="Times New Roman"/>
          <w:color w:val="000000"/>
          <w:spacing w:val="0"/>
          <w:sz w:val="21"/>
          <w:szCs w:val="24"/>
          <w:lang w:val="en-US" w:eastAsia="zh-CN"/>
        </w:rPr>
        <w:t>方法多数将类别文本嵌入直接用作最终匹配阶段的分类原型，视频编码过程与类别语义彼此割裂，本方法将经判别性优化的类别语义原型作为贯穿编码全程的条件信号，引导音频、视觉两个模态的时序证据定位与交互融合。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最后，融合表示被投影到已见类与未见类共享的语义空间中，通过监督式对齐目标完成训练推理。</w:t>
      </w:r>
    </w:p>
    <w:p w14:paraId="23833689">
      <w:pPr>
        <w:keepNext w:val="0"/>
        <w:keepLines w:val="0"/>
        <w:pageBreakBefore w:val="0"/>
        <w:widowControl/>
        <w:autoSpaceDE w:val="0"/>
        <w:autoSpaceDN w:val="0"/>
        <w:snapToGrid w:val="0"/>
        <w:spacing w:before="0" w:after="0" w:line="360" w:lineRule="auto"/>
        <w:ind w:left="0" w:right="0" w:firstLine="420"/>
        <w:jc w:val="both"/>
        <w:rPr>
          <w:rFonts w:ascii="Times New Roman" w:hAnsi="Times New Roman" w:eastAsia="宋体" w:cs="Times New Roman"/>
          <w:color w:val="000000"/>
          <w:spacing w:val="0"/>
          <w:sz w:val="24"/>
          <w:szCs w:val="24"/>
          <w:lang w:val="en-US" w:eastAsia="zh-CN"/>
        </w:rPr>
      </w:pPr>
      <w:r>
        <w:rPr>
          <w:rFonts w:ascii="Times New Roman" w:hAnsi="Times New Roman" w:eastAsia="宋体" w:cs="Times New Roman"/>
          <w:color w:val="000000"/>
          <w:spacing w:val="0"/>
          <w:sz w:val="21"/>
          <w:szCs w:val="24"/>
          <w:lang w:val="en-US" w:eastAsia="zh-CN"/>
        </w:rPr>
        <w:t>从数据流看，对于一个输入视频，我们首先将其划分为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分别用CLIP图像编码器和CLAP音频编码器提取视觉片段特征序列与音频片段特征序列，并投影到共享维度。与此同时，每个类别的名称被扩展为面向视觉和面向听觉的文本描述集合，经CLIP、CLAP文本编码器得到属性级语义token与初始类别原型；类别原型在第一阶段经判别性优化后固定。对每一个候选类别，属性级语义token作为键值被注入两条模态序列，使编码结果以该类别为条件；优化后的原型则作为查询，为视觉和音频分别生成多个高斯时间分布及其路由权重，得到经类别相关性加权的增强序列和紧凑的时序证据向量。增强序列随后进入模态内与模态间两条掩码注意力分支，各自的聚合token汇聚出模态特定关系表示与跨模态互补关系表示；动态门控依据两类关系表示、直接时序证据以及候选类别原型给出三路归一化权重，加权得到该候选类别下的融合表示。最后，融合表示被投影回原型所在的语义空间并与该类原型计算相容性分数，训练时以全部已见类别为归一化范围优化监督对齐损失，推理时在已见类与未见类的全部候选上比较经校准的分数完成预测。</w:t>
      </w:r>
    </w:p>
    <w:p w14:paraId="04BCD24B">
      <w:pPr>
        <w:keepNext/>
        <w:keepLines/>
        <w:pageBreakBefore w:val="0"/>
        <w:widowControl/>
        <w:kinsoku/>
        <w:wordWrap/>
        <w:overflowPunct/>
        <w:topLinePunct w:val="0"/>
        <w:autoSpaceDE w:val="0"/>
        <w:autoSpaceDN w:val="0"/>
        <w:bidi w:val="0"/>
        <w:adjustRightInd/>
        <w:snapToGrid w:val="0"/>
        <w:spacing w:before="80" w:after="80" w:line="288" w:lineRule="auto"/>
        <w:ind w:left="0" w:right="0" w:firstLine="0"/>
        <w:jc w:val="center"/>
        <w:textAlignment w:val="auto"/>
      </w:pPr>
      <w:r>
        <w:rPr>
          <w:rFonts w:ascii="Times New Roman" w:hAnsi="Times New Roman" w:eastAsia="宋体" w:cs="Times New Roman"/>
          <w:color w:val="000000"/>
          <w:spacing w:val="0"/>
          <w:sz w:val="20"/>
          <w:szCs w:val="24"/>
          <w:lang w:val="en-US" w:eastAsia="zh-CN"/>
        </w:rPr>
        <w:object>
          <v:shape id="_x0000_i1026" o:spt="75" type="#_x0000_t75" style="height:267.247pt;width:415.300pt;" o:ole="t" filled="f" o:preferrelative="t" stroked="f" coordsize="21600,21600">
            <v:path/>
            <v:fill on="f" focussize="0,0"/>
            <v:stroke on="f"/>
            <v:imagedata r:id="rId8" o:title=""/>
            <o:lock v:ext="edit" aspectratio="f"/>
            <w10:wrap type="none"/>
            <w10:anchorlock/>
          </v:shape>
          <o:OLEObject Type="Embed" ProgID="Visio.Drawing.15" ShapeID="_x0000_i1026" DrawAspect="Content" ObjectID="_1468075725" r:id="rId7">
            <o:LockedField>false</o:LockedField>
          </o:OLEObject>
        </w:object>
      </w:r>
    </w:p>
    <w:p w14:paraId="04BCD24B">
      <w:pPr>
        <w:keepNext w:val="0"/>
        <w:keepLines/>
        <w:pageBreakBefore w:val="0"/>
        <w:widowControl/>
        <w:kinsoku/>
        <w:wordWrap/>
        <w:overflowPunct/>
        <w:topLinePunct w:val="0"/>
        <w:autoSpaceDE w:val="0"/>
        <w:autoSpaceDN w:val="0"/>
        <w:bidi w:val="0"/>
        <w:adjustRightInd/>
        <w:snapToGrid w:val="0"/>
        <w:spacing w:before="80" w:after="80" w:line="288" w:lineRule="auto"/>
        <w:ind w:left="0" w:right="0" w:firstLine="0"/>
        <w:jc w:val="both"/>
        <w:textAlignment w:val="auto"/>
      </w:pPr>
      <w:r>
        <w:rPr>
          <w:rFonts w:ascii="Times New Roman" w:hAnsi="Times New Roman" w:cs="Times New Roman" w:eastAsia="宋体"/>
          <w:color w:val="000000"/>
          <w:sz w:val="20"/>
        </w:rPr>
        <w:t>图 1 本文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2"/>
    <w:p w14:paraId="18573248">
      <w:pPr>
        <w:pStyle w:val="4"/>
        <w:keepNext/>
        <w:keepLines/>
        <w:pageBreakBefore w:val="0"/>
        <w:widowControl/>
        <w:autoSpaceDE w:val="0"/>
        <w:autoSpaceDN w:val="0"/>
        <w:snapToGrid w:val="0"/>
        <w:spacing w:before="200" w:after="100" w:line="276" w:lineRule="auto"/>
        <w:ind w:left="0" w:right="0" w:firstLine="0"/>
        <w:jc w:val="left"/>
      </w:pPr>
      <w:bookmarkStart w:id="3"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w:t>
      </w:r>
      <w:r>
        <w:rPr>
          <w:rFonts w:hint="eastAsia" w:cs="Times New Roman" w:ascii="Times New Roman" w:hAnsi="Times New Roman" w:eastAsia="宋体"/>
          <w:color w:val="000000"/>
          <w:spacing w:val="0"/>
          <w:sz w:val="21"/>
          <w:szCs w:val="24"/>
          <w:lang w:val="en-US" w:eastAsia="zh-CN"/>
        </w:rPr>
        <w:t/>
      </w:r>
      <w:r>
        <w:rPr>
          <w:rFonts w:ascii="Times New Roman" w:hAnsi="Times New Roman" w:eastAsia="宋体" w:cs="Times New Roman"/>
          <w:color w:val="000000"/>
          <w:spacing w:val="0"/>
          <w:sz w:val="21"/>
          <w:szCs w:val="24"/>
          <w:lang w:val="en-US" w:eastAsia="zh-CN"/>
        </w:rPr>
        <w:t>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本文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考虑到视觉内容与听觉内容的语义侧重不同，例如"playing piano"的视觉线索集中于手指按键的动作过程与琴键场景，而听觉线索集中于琴声的音色与节奏，我们为每个类别分别构建面向视觉与面向听觉的描述文本集合：前者由提示模板结合大语言模型生成，涵盖动作过程、主体对象与典型场景；后者涵盖声音属性、节奏音色与易混类别的听觉差异。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cs="Times New Roman" w:eastAsia="宋体"/>
          <w:color w:val="000000"/>
          <w:sz w:val="21"/>
        </w:rPr>
        <w:tab/>
        <w:t>（1）</w:t>
      </w:r>
    </w:p>
    <w:p w14:paraId="52210129">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cs="Times New Roman" w:eastAsia="宋体"/>
          <w:color w:val="000000"/>
          <w:sz w:val="21"/>
        </w:rPr>
        <w:tab/>
        <w:t>（2）</w:t>
      </w:r>
    </w:p>
    <w:p w14:paraId="11857E07">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cs="Times New Roman" w:eastAsia="宋体"/>
          <w:color w:val="000000"/>
          <w:sz w:val="21"/>
        </w:rPr>
        <w:tab/>
        <w:t>（3）</w:t>
      </w:r>
    </w:p>
    <w:p w14:paraId="156E19B9">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cs="Times New Roman" w:eastAsia="宋体"/>
          <w:color w:val="000000"/>
          <w:sz w:val="21"/>
        </w:rPr>
        <w:tab/>
        <w:t>（4）</w:t>
      </w:r>
    </w:p>
    <w:p w14:paraId="765BF82F">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然而，如果只优化式（4），当原型维度足够大时，最优解会趋向所有原型两两等距的球面均匀构型，此时"playing guitar"与"playing violin"之间的距离将与其到"dog barking"的距离相同，原始语义关系被完全抹除。因此，我们进一步引入基于相对排序的语义保持损失，要求新原型保持初始原型之间距离的相对次序：</w:t>
      </w:r>
    </w:p>
    <w:p w14:paraId="06870486">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w:rPr>
                <w:rFonts w:ascii="Cambria Math" w:hAnsi="Cambria Math" w:eastAsia="宋体" w:cs="Cambria Math"/>
                <w:color w:val="000000"/>
                <w:spacing w:val="0"/>
                <w:sz w:val="21"/>
                <w:szCs w:val="21"/>
                <w:lang w:val="en-US" w:eastAsia="zh-CN"/>
              </w:rPr>
              <m:t/>
            </m:r>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cs="Times New Roman" w:eastAsia="宋体"/>
          <w:color w:val="000000"/>
          <w:sz w:val="21"/>
        </w:rPr>
        <w:tab/>
        <w:t>（5）</w:t>
      </w:r>
    </w:p>
    <w:p w14:paraId="16FB5679">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为符号函数。该损失的含义是：若在初始语义空间中类别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到类别</w:t>
      </w:r>
      <m:oMath>
        <m:r>
          <m:rPr/>
          <w:rPr>
            <w:rFonts w:ascii="Cambria Math" w:hAnsi="Cambria Math" w:eastAsia="宋体" w:cs="Cambria Math"/>
            <w:color w:val="000000"/>
            <w:spacing w:val="0"/>
            <w:sz w:val="21"/>
            <w:szCs w:val="21"/>
            <w:lang w:val="en-US" w:eastAsia="zh-CN"/>
          </w:rPr>
          <m:t>i</m:t>
        </m:r>
      </m:oMath>
      <w:r>
        <w:rPr>
          <w:rFonts w:ascii="Times New Roman" w:hAnsi="Times New Roman" w:eastAsia="宋体" w:cs="Times New Roman"/>
          <w:color w:val="000000"/>
          <w:spacing w:val="0"/>
          <w:sz w:val="21"/>
          <w:szCs w:val="24"/>
          <w:lang w:val="en-US" w:eastAsia="zh-CN"/>
        </w:rPr>
        <w:t>的距离大于其到类别</w:t>
      </w:r>
      <m:oMath>
        <m:r>
          <m:rPr/>
          <w:rPr>
            <w:rFonts w:ascii="Cambria Math" w:hAnsi="Cambria Math" w:eastAsia="宋体" w:cs="Cambria Math"/>
            <w:color w:val="000000"/>
            <w:spacing w:val="0"/>
            <w:sz w:val="21"/>
            <w:szCs w:val="21"/>
            <w:lang w:val="en-US" w:eastAsia="zh-CN"/>
          </w:rPr>
          <m:t>j</m:t>
        </m:r>
      </m:oMath>
      <w:r>
        <w:rPr>
          <w:rFonts w:ascii="Times New Roman" w:hAnsi="Times New Roman" w:eastAsia="宋体" w:cs="Times New Roman"/>
          <w:color w:val="000000"/>
          <w:spacing w:val="0"/>
          <w:sz w:val="21"/>
          <w:szCs w:val="24"/>
          <w:lang w:val="en-US" w:eastAsia="zh-CN"/>
        </w:rPr>
        <w:t>的距离，则优化后的原型也应保持同样的相对次序，且两个距离之差不小于间隔</w:t>
      </w:r>
      <m:oMath>
        <m:r>
          <m:rPr>
            <m:sty m:val="p"/>
          </m:rPr>
          <w:rPr>
            <w:rFonts w:ascii="Cambria Math" w:hAnsi="Cambria Math" w:eastAsia="宋体" w:cs="Cambria Math"/>
            <w:color w:val="000000"/>
            <w:spacing w:val="0"/>
            <w:sz w:val="21"/>
            <w:szCs w:val="21"/>
            <w:lang w:val="en-US" w:eastAsia="zh-CN"/>
          </w:rPr>
          <m:t>Δ</m:t>
        </m:r>
      </m:oMath>
      <w:r>
        <w:rPr>
          <w:rFonts w:ascii="Times New Roman" w:hAnsi="Times New Roman" w:eastAsia="宋体" w:cs="Times New Roman"/>
          <w:color w:val="000000"/>
          <w:spacing w:val="0"/>
          <w:sz w:val="21"/>
          <w:szCs w:val="24"/>
          <w:lang w:val="en-US" w:eastAsia="zh-CN"/>
        </w:rPr>
        <w:t>；一旦次序被颠倒或间隔不足，铰链项便产生惩罚。与直接把</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约束在</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附近相比，排序约束只限制距离的相对结构而不限制绝对位置，从而为类别分离保留了充分的优化空间。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lang w:val="en-US" w:eastAsia="zh-CN"/>
                <w:sz w:val="21"/>
                <w:szCs w:val="21"/>
                <w:color w:val="000000"/>
              </w:rPr>
              <m:t xml:space="preserve"> </m:t>
            </m:r>
          </m:sub>
        </m:sSub>
        <m:r>
          <m:rPr/>
          <w:rPr>
            <w:rFonts w:ascii="Cambria Math" w:hAnsi="Cambria Math" w:eastAsia="宋体" w:cs="Cambria Math"/>
            <w:color w:val="000000"/>
            <w:spacing w:val="0"/>
            <w:sz w:val="21"/>
            <w:szCs w:val="21"/>
            <w:lang w:val="en-US" w:eastAsia="zh-CN"/>
          </w:rPr>
          <m:t/>
        </m:r>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cs="Times New Roman" w:eastAsia="宋体"/>
          <w:color w:val="000000"/>
          <w:sz w:val="21"/>
        </w:rPr>
        <w:tab/>
        <w:t>（6）</w:t>
      </w:r>
    </w:p>
    <w:p w14:paraId="4443E589">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3"/>
    <w:p w14:paraId="75BA9CB2">
      <w:pPr>
        <w:pStyle w:val="4"/>
        <w:keepNext/>
        <w:keepLines/>
        <w:pageBreakBefore w:val="0"/>
        <w:widowControl/>
        <w:autoSpaceDE w:val="0"/>
        <w:autoSpaceDN w:val="0"/>
        <w:snapToGrid w:val="0"/>
        <w:spacing w:before="200" w:after="100" w:line="276" w:lineRule="auto"/>
        <w:ind w:left="0" w:right="0" w:firstLine="0"/>
        <w:jc w:val="left"/>
      </w:pPr>
      <w:bookmarkStart w:id="4"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本文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cs="Times New Roman" w:eastAsia="宋体"/>
          <w:color w:val="000000"/>
          <w:sz w:val="21"/>
        </w:rPr>
        <w:tab/>
        <w:t>（7）</w:t>
      </w:r>
    </w:p>
    <w:p w14:paraId="2F0B8DE4">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cs="Times New Roman" w:eastAsia="宋体"/>
          <w:color w:val="000000"/>
          <w:sz w:val="21"/>
        </w:rPr>
        <w:tab/>
        <w:t>（8）</w:t>
      </w:r>
    </w:p>
    <w:p w14:paraId="61D3142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cs="Times New Roman" w:eastAsia="宋体"/>
          <w:color w:val="000000"/>
          <w:sz w:val="21"/>
        </w:rPr>
        <w:tab/>
        <w:t>（9）</w:t>
      </w:r>
    </w:p>
    <w:p w14:paraId="46C7FB1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cs="Times New Roman" w:eastAsia="宋体"/>
          <w:color w:val="000000"/>
          <w:sz w:val="21"/>
        </w:rPr>
        <w:tab/>
        <w:t>（10）</w:t>
      </w:r>
    </w:p>
    <w:p w14:paraId="6F35F1C7">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cs="Times New Roman" w:eastAsia="宋体"/>
          <w:color w:val="000000"/>
          <w:sz w:val="21"/>
        </w:rPr>
        <w:tab/>
        <w:t>（11）</w:t>
      </w:r>
    </w:p>
    <w:p w14:paraId="4A87FA72">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cs="Times New Roman" w:eastAsia="宋体"/>
          <w:color w:val="000000"/>
          <w:sz w:val="21"/>
        </w:rPr>
        <w:tab/>
        <w:t>（12）</w:t>
      </w:r>
    </w:p>
    <w:p w14:paraId="449D6F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自注意力项建模各自模态内部的时序上下文，交叉注意力项让每个时间片段依据与该类属性描述的相关程度吸收语义内容，残差项保留原始特征。在该阶段不引入音频与视觉之间的交叉注意力，早期条件化只让类别语义分别作用于两条模态序列，跨模态互补关系交由第3.5节的模态间分支显式建模。这样，进入解耦交互分支的两条序列各自只包含本模态内容与类别语义信息，模态内分支的输出因而保持纯粹的模态特定含义。此外，式（11）与式（12）中只有交叉注意力项依赖候选类别，自注意力项对所有候选类别只需计算一次，这一性质有效控制了逐类条件化编码的计算开销。</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得到类别条件化序列后，我们进一步在时间轴上定位类别相关证据。离散的Top-</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片段选择会割裂连续动作与持续声音的时间结构，单一注意力池化又难以覆盖多段分布的关键证据，因此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cs="Times New Roman" w:eastAsia="宋体"/>
          <w:color w:val="000000"/>
          <w:sz w:val="21"/>
        </w:rPr>
        <w:tab/>
        <w:t>（13）</w:t>
      </w:r>
    </w:p>
    <w:p w14:paraId="3DF35EE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。这两个摘要向量概括了"该视频在候选类别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视角下"两条模态的整体状态，是后续所有定位参数的条件来源；由于查询来自判别性与语义结构兼备的优化原型，摘要向量对相近类别也能产生可区分的条件信号。随后，我们为每个模态生成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cs="Times New Roman" w:eastAsia="宋体"/>
          <w:color w:val="000000"/>
          <w:sz w:val="21"/>
        </w:rPr>
        <w:tab/>
        <w:t>（14）</w:t>
      </w:r>
    </w:p>
    <w:p w14:paraId="12272513">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cs="Times New Roman" w:eastAsia="宋体"/>
          <w:color w:val="000000"/>
          <w:sz w:val="21"/>
        </w:rPr>
        <w:tab/>
        <w:t>（15）</w:t>
      </w:r>
    </w:p>
    <w:p w14:paraId="2C4A0DB3">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上的高斯中心与标准差。式（15）把第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个专家的中心锚定在均匀网格点</w:t>
      </w:r>
      <m:oMath>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oMath>
      <w:r>
        <w:rPr>
          <w:rFonts w:ascii="Times New Roman" w:hAnsi="Times New Roman" w:eastAsia="宋体" w:cs="Times New Roman"/>
          <w:color w:val="000000"/>
          <w:spacing w:val="0"/>
          <w:sz w:val="21"/>
          <w:szCs w:val="24"/>
          <w:lang w:val="en-US" w:eastAsia="zh-CN"/>
        </w:rPr>
        <w:t>附近，且经</w:t>
      </w:r>
      <m:oMath>
        <m:r>
          <m:rPr>
            <m:sty m:val="p"/>
          </m:rPr>
          <w:rPr>
            <w:rFonts w:ascii="Cambria Math" w:hAnsi="Cambria Math" w:eastAsia="宋体" w:cs="Cambria Math"/>
            <w:color w:val="000000"/>
            <w:spacing w:val="0"/>
            <w:sz w:val="21"/>
            <w:szCs w:val="21"/>
            <w:lang w:val="en-US" w:eastAsia="zh-CN"/>
          </w:rPr>
          <m:t>tanh</m:t>
        </m:r>
      </m:oMath>
      <w:r>
        <w:rPr>
          <w:rFonts w:ascii="Times New Roman" w:hAnsi="Times New Roman" w:eastAsia="宋体" w:cs="Times New Roman"/>
          <w:color w:val="000000"/>
          <w:spacing w:val="0"/>
          <w:sz w:val="21"/>
          <w:szCs w:val="24"/>
          <w:lang w:val="en-US" w:eastAsia="zh-CN"/>
        </w:rPr>
        <w:t>约束的偏移不超过</w:t>
      </w:r>
      <m:oMath>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oMath>
      <w:r>
        <w:rPr>
          <w:rFonts w:ascii="Times New Roman" w:hAnsi="Times New Roman" w:eastAsia="宋体" w:cs="Times New Roman"/>
          <w:color w:val="000000"/>
          <w:spacing w:val="0"/>
          <w:sz w:val="21"/>
          <w:szCs w:val="24"/>
          <w:lang w:val="en-US" w:eastAsia="zh-CN"/>
        </w:rPr>
        <w:t>，因此各专家中心始终落于互不重叠的时间单元</w:t>
      </w:r>
      <m:oMath>
        <m:d>
          <m:dPr>
            <m:sepChr m:val=""/>
          </m:dPr>
          <m:e>
            <m:f>
              <m:fPr/>
              <m:num>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k</m:t>
                </m:r>
              </m:num>
              <m:den>
                <m:r>
                  <m:rPr/>
                  <w:rPr>
                    <w:rFonts w:ascii="Cambria Math" w:hAnsi="Cambria Math" w:eastAsia="宋体" w:cs="Cambria Math"/>
                    <w:color w:val="000000"/>
                    <w:spacing w:val="0"/>
                    <w:sz w:val="21"/>
                    <w:szCs w:val="21"/>
                    <w:lang w:val="en-US" w:eastAsia="zh-CN"/>
                  </w:rPr>
                  <m:t>E</m:t>
                </m:r>
              </m:den>
            </m:f>
          </m:e>
        </m:d>
      </m:oMath>
      <w:r>
        <w:rPr>
          <w:rFonts w:ascii="Times New Roman" w:hAnsi="Times New Roman" w:eastAsia="宋体" w:cs="Times New Roman"/>
          <w:color w:val="000000"/>
          <w:spacing w:val="0"/>
          <w:sz w:val="21"/>
          <w:szCs w:val="24"/>
          <w:lang w:val="en-US" w:eastAsia="zh-CN"/>
        </w:rPr>
        <w:t>内，从结构上避免了多个专家塌缩到同一位置；宽度经</w:t>
      </w:r>
      <m:oMath>
        <m:r>
          <m:rPr>
            <m:sty m:val="p"/>
          </m:rPr>
          <w:rPr>
            <w:rFonts w:ascii="Cambria Math" w:hAnsi="Cambria Math" w:eastAsia="宋体" w:cs="Cambria Math"/>
            <w:color w:val="000000"/>
            <w:spacing w:val="0"/>
            <w:sz w:val="21"/>
            <w:szCs w:val="21"/>
            <w:lang w:val="en-US" w:eastAsia="zh-CN"/>
          </w:rPr>
          <m:t>Softplus</m:t>
        </m:r>
      </m:oMath>
      <w:r>
        <w:rPr>
          <w:rFonts w:ascii="Times New Roman" w:hAnsi="Times New Roman" w:eastAsia="宋体" w:cs="Times New Roman"/>
          <w:color w:val="000000"/>
          <w:spacing w:val="0"/>
          <w:sz w:val="21"/>
          <w:szCs w:val="24"/>
          <w:lang w:val="en-US" w:eastAsia="zh-CN"/>
        </w:rPr>
        <w:t>保证为正并可自适应伸缩，使专家既能聚焦瞬时事件也能覆盖持续过程。同时，视觉与音频的分布参数分别由</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独立预测，允许两模态聚焦不同的时间区域，例如声音证据先于画面证据出现的场景。基于上述参数，第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cs="Times New Roman" w:eastAsia="宋体"/>
          <w:color w:val="000000"/>
          <w:sz w:val="21"/>
        </w:rPr>
        <w:tab/>
        <w:t>（16）</w:t>
      </w:r>
    </w:p>
    <w:p w14:paraId="1BBFD41B">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cs="Times New Roman" w:eastAsia="宋体"/>
          <w:color w:val="000000"/>
          <w:sz w:val="21"/>
        </w:rPr>
        <w:tab/>
        <w:t>（17）</w:t>
      </w:r>
    </w:p>
    <w:p w14:paraId="225A8CE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begChr m:val="("/>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在专家中心处取得峰值并随时间距离连续衰减，适合作为保持片段幅值的过滤权重；</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，适合作为时间加权平均的聚合权重。为了根据当前样本与候选类别决定各专家的贡献，我们由摘要向量生成路由权重：</w:t>
      </w:r>
    </w:p>
    <w:p w14:paraId="5BEBF84C">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cs="Times New Roman" w:eastAsia="宋体"/>
          <w:color w:val="000000"/>
          <w:sz w:val="21"/>
        </w:rPr>
        <w:tab/>
        <w:t>（18）</w:t>
      </w:r>
    </w:p>
    <w:p w14:paraId="6D3AD5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cs="Times New Roman" w:eastAsia="宋体"/>
          <w:color w:val="000000"/>
          <w:sz w:val="21"/>
        </w:rPr>
        <w:tab/>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cs="Times New Roman" w:eastAsia="宋体"/>
          <w:color w:val="000000"/>
          <w:sz w:val="21"/>
        </w:rPr>
        <w:tab/>
        <w:t>（20）</w:t>
      </w:r>
    </w:p>
    <w:p w14:paraId="60295E06">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19）中远离所有专家中心的时间步权重趋近于零，背景与无关片段被平滑压制而连续证据段被完整保留；之所以在时间聚合之外额外保留序列形式，是因为本任务中筛选出的片段还需进一步组织其内部与跨模态关系，过早压缩为单一向量会丢失这一可能。式（20）则给出未经跨片段重组、直接由高斯定位汇聚的证据摘要，我们将两个模态的摘要融合为直接证据表示：</w:t>
      </w:r>
    </w:p>
    <w:p w14:paraId="400852BF">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cs="Times New Roman" w:eastAsia="宋体"/>
          <w:color w:val="000000"/>
          <w:sz w:val="21"/>
        </w:rPr>
        <w:tab/>
        <w:t>（21）</w:t>
      </w:r>
    </w:p>
    <w:p w14:paraId="768966E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4"/>
    <w:p w14:paraId="40A46C92">
      <w:pPr>
        <w:pStyle w:val="4"/>
        <w:keepNext/>
        <w:keepLines/>
        <w:pageBreakBefore w:val="0"/>
        <w:widowControl/>
        <w:autoSpaceDE w:val="0"/>
        <w:autoSpaceDN w:val="0"/>
        <w:snapToGrid w:val="0"/>
        <w:spacing w:before="200" w:after="100" w:line="276" w:lineRule="auto"/>
        <w:ind w:left="0" w:right="0" w:firstLine="0"/>
        <w:jc w:val="left"/>
      </w:pPr>
      <w:bookmarkStart w:id="5"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本文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cs="Times New Roman" w:eastAsia="宋体"/>
          <w:color w:val="000000"/>
          <w:sz w:val="21"/>
        </w:rPr>
        <w:tab/>
        <w:t>（22）</w:t>
      </w:r>
    </w:p>
    <w:p w14:paraId="6BD347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为视觉token。在进入注意力层之前，我们为音频组与视觉组分别加入可学习的模态类型嵌入，并再次叠加时间位置编码，使注意力能够区分分组并利用两模态的时间对齐关系。记音频位置集合为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cs="Times New Roman" w:eastAsia="宋体"/>
          <w:color w:val="000000"/>
          <w:sz w:val="21"/>
        </w:rPr>
        <w:tab/>
        <w:t>（23）</w:t>
      </w:r>
    </w:p>
    <w:p w14:paraId="5E8C2C11">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cs="Times New Roman" w:eastAsia="宋体"/>
          <w:color w:val="000000"/>
          <w:sz w:val="21"/>
        </w:rPr>
        <w:tab/>
        <w:t>（24）</w:t>
      </w:r>
    </w:p>
    <w:p w14:paraId="419F21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模态内掩码只允许音频token之间、视觉token之间相互交互，用于建模视觉帧内部的动作变化与音频片段内部的声音演化；模态间掩码只允许音频token与视觉token相互交互，用于捕捉声音事件与视觉动作之间的互补对应。两类掩码中，聚合token所在的第</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行全部开放，即聚合token可以读取两组模态token；而任何模态token都不能读取聚合token（</w:t>
      </w:r>
      <m:oMath>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的列对</w:t>
      </w:r>
      <m:oMath>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均被屏蔽）。这一单向可见性设计保证聚合token只充当摘要出口，在模态内分支中，音频信息与视觉信息不会经聚合token迂回传入对方，两条模态的编码保持独立，分支输出的"模态特定"含义因此是有依据的。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cs="Times New Roman" w:eastAsia="宋体"/>
          <w:color w:val="000000"/>
          <w:sz w:val="21"/>
        </w:rPr>
        <w:tab/>
        <w:t>（25）</w:t>
      </w:r>
    </w:p>
    <w:p w14:paraId="6E4B1C2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w:rPr>
                <w:rFonts w:ascii="Cambria Math" w:hAnsi="Cambria Math" w:eastAsia="宋体" w:cs="Cambria Math"/>
                <w:color w:val="000000"/>
                <w:spacing w:val="0"/>
                <w:sz w:val="21"/>
                <w:szCs w:val="21"/>
                <w:lang w:val="en-US" w:eastAsia="zh-CN"/>
              </w:rPr>
              <m:t/>
            </m:r>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w:rPr>
                <w:rFonts w:ascii="Cambria Math" w:hAnsi="Cambria Math" w:eastAsia="宋体" w:cs="Cambria Math"/>
                <w:color w:val="000000"/>
                <w:spacing w:val="0"/>
                <w:sz w:val="21"/>
                <w:szCs w:val="21"/>
                <w:lang w:val="en-US" w:eastAsia="zh-CN"/>
              </w:rPr>
              <m:t/>
            </m:r>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cs="Times New Roman" w:eastAsia="宋体"/>
          <w:color w:val="000000"/>
          <w:sz w:val="21"/>
        </w:rPr>
        <w:tab/>
        <w:t>（26）</w:t>
      </w:r>
    </w:p>
    <w:p w14:paraId="048CAB6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两条分支结构相同、参数独立，仅掩码不同。需要说明的是，在模态间分支中每个模态token的键值全部来自另一模态，其自身内容通过残差连接得以保留，因此该分支实质上以掩码形式实现了双向的跨模态交叉注意力。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三者可靠性随样本与类别变化——当音视频互补性强时应侧重跨模态分支，当某一模态含噪或与画面弱相关时应更多依赖模态内线索与高斯定位后的直接证据。因此，我们构建以三路表示和候选类别原型为条件的动态门控：</w:t>
      </w:r>
    </w:p>
    <w:p w14:paraId="4123B76E">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cs="Times New Roman" w:eastAsia="宋体"/>
          <w:color w:val="000000"/>
          <w:sz w:val="21"/>
        </w:rPr>
        <w:tab/>
        <w:t>（27）</w:t>
      </w:r>
    </w:p>
    <w:p w14:paraId="6CDC496B">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cs="Times New Roman" w:eastAsia="宋体"/>
          <w:color w:val="000000"/>
          <w:sz w:val="21"/>
        </w:rPr>
        <w:tab/>
        <w:t>（28）</w:t>
      </w:r>
    </w:p>
    <w:p w14:paraId="5EDB45E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下的融合表示。归一化的三路权重与三个分支严格一一对应，门控条件同时包含样本证据与类别原型，使得同一视频面对不同候选类别、不同视频面对同一类别时都能得到不同的融合配比。融合表示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5"/>
    <w:p w14:paraId="37F9E6F9">
      <w:pPr>
        <w:pStyle w:val="4"/>
        <w:keepNext/>
        <w:keepLines/>
        <w:pageBreakBefore w:val="0"/>
        <w:widowControl/>
        <w:autoSpaceDE w:val="0"/>
        <w:autoSpaceDN w:val="0"/>
        <w:snapToGrid w:val="0"/>
        <w:spacing w:before="200" w:after="100" w:line="276" w:lineRule="auto"/>
        <w:ind w:left="0" w:right="0" w:firstLine="0"/>
        <w:jc w:val="left"/>
      </w:pPr>
      <w:bookmarkStart w:id="6"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cs="Times New Roman" w:eastAsia="宋体"/>
          <w:color w:val="000000"/>
          <w:sz w:val="21"/>
        </w:rPr>
        <w:tab/>
        <w:t>（29）</w:t>
      </w:r>
    </w:p>
    <w:p w14:paraId="7665DA9F">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cs="Times New Roman" w:eastAsia="宋体"/>
          <w:color w:val="000000"/>
          <w:sz w:val="21"/>
        </w:rPr>
        <w:tab/>
        <w:t>（30）</w:t>
      </w:r>
    </w:p>
    <w:p w14:paraId="308F0F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已位于单位球面故无需再归一化。值得强调的是，</w:t>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本身由以</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全部前向路径产生，因此式（30）实现的是样本与类别之间的非线性匹配：只有当模型以正确类别为条件时，语义条件化、高斯定位与关系组织才能提取出相互支持的证据并获得高分；以错误类别为条件时，模型找不到支持性证据，分数自然被压低。</w:t>
      </w:r>
    </w:p>
    <w:p w14:paraId="0ADDB051">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基于上述相容性分数，本文按两个先后衔接的阶段完成训练，并在统一的打分规则下进行推理，两个阶段的训练目标分述如下。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cs="Times New Roman" w:eastAsia="宋体"/>
          <w:color w:val="000000"/>
          <w:sz w:val="21"/>
        </w:rPr>
        <w:tab/>
        <w:t>（31）</w:t>
      </w:r>
    </w:p>
    <w:p w14:paraId="60D382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20CD3D1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在第二阶段，主网络以式（31）为目标，在已见类别的训练样本上端到端训练，可学习参数包括序列投影</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，语义token投影</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，原型映射</w:t>
      </w:r>
      <m:oMath>
        <m:r>
          <m:rPr/>
          <w:rPr>
            <w:rFonts w:ascii="Cambria Math" w:hAnsi="Cambria Math" w:eastAsia="宋体" w:cs="Cambria Math"/>
            <w:color w:val="000000"/>
            <w:spacing w:val="0"/>
            <w:sz w:val="21"/>
            <w:szCs w:val="21"/>
            <w:lang w:val="en-US" w:eastAsia="zh-CN"/>
          </w:rPr>
          <m:t>ψ</m:t>
        </m:r>
      </m:oMath>
      <w:r>
        <w:rPr>
          <w:rFonts w:ascii="Times New Roman" w:hAnsi="Times New Roman" w:eastAsia="宋体" w:cs="Times New Roman"/>
          <w:color w:val="000000"/>
          <w:spacing w:val="0"/>
          <w:sz w:val="21"/>
          <w:szCs w:val="24"/>
          <w:lang w:val="en-US" w:eastAsia="zh-CN"/>
        </w:rPr>
        <w:t>，条件化编码与各注意力层参数，高斯参数与路由矩阵</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，专家变换</w:t>
      </w:r>
      <m:oMath>
        <m:r>
          <m:rPr>
            <m:sty m:val="p"/>
          </m:rPr>
          <w:rPr>
            <w:rFonts w:ascii="Cambria Math" w:hAnsi="Cambria Math" w:eastAsia="宋体" w:cs="Cambria Math"/>
            <w:color w:val="000000"/>
            <w:spacing w:val="0"/>
            <w:sz w:val="21"/>
            <w:szCs w:val="21"/>
            <w:lang w:val="en-US" w:eastAsia="zh-CN"/>
          </w:rPr>
          <m:t>{</m:t>
        </m:r>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，聚合token</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oMath>
      <w:r>
        <w:rPr>
          <w:rFonts w:ascii="Times New Roman" w:hAnsi="Times New Roman" w:eastAsia="宋体" w:cs="Times New Roman"/>
          <w:color w:val="000000"/>
          <w:spacing w:val="0"/>
          <w:sz w:val="21"/>
          <w:szCs w:val="24"/>
          <w:lang w:val="en-US" w:eastAsia="zh-CN"/>
        </w:rPr>
        <w:t>，证据融合与门控参数以及投影头；CLIP与CLAP的图像、音频、文本编码器和已优化的原型在该阶段均保持冻结。两个阶段的可用数据与参数更新范围互不重叠，训练全程不接触未见类别的任何音视频样本。</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中的每个类别执行条件化前向并计算相容性分数。由于训练分类只在已见类别上进行，分数天然偏向已见类别，我们采用校准堆叠[25]在推理阶段对已见类别分数施加惩罚：</w:t>
      </w:r>
    </w:p>
    <w:p w14:paraId="1873E462">
      <w:pPr>
        <w:keepNext w:val="0"/>
        <w:keepLines/>
        <w:pageBreakBefore w:val="0"/>
        <w:widowControl/>
        <w:tabs>
          <w:tab w:pos="4153" w:val="center"/>
          <w:tab w:pos="8306" w:val="right"/>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cs="Times New Roman" w:eastAsia="宋体"/>
          <w:color w:val="000000"/>
          <w:sz w:val="21"/>
        </w:rPr>
        <w:tab/>
        <w:t>（32）</w:t>
      </w:r>
    </w:p>
    <w:p w14:paraId="0B87C4E6">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m:r>
          <m:rPr/>
          <w:rPr>
            <w:rFonts w:ascii="Cambria Math" w:hAnsi="Cambria Math" w:eastAsia="宋体" w:cs="Cambria Math"/>
            <w:color w:val="000000"/>
            <w:spacing w:val="0"/>
            <w:sz w:val="21"/>
            <w:szCs w:val="21"/>
            <w:lang w:val="en-US" w:eastAsia="zh-CN"/>
          </w:rPr>
          <m:t>γ</m:t>
        </m:r>
      </m:oMath>
      <w:r>
        <w:rPr>
          <w:rFonts w:ascii="Times New Roman" w:hAnsi="Times New Roman" w:eastAsia="宋体" w:cs="Times New Roman"/>
          <w:color w:val="000000"/>
          <w:spacing w:val="0"/>
          <w:sz w:val="21"/>
          <w:szCs w:val="24"/>
          <w:lang w:val="en-US" w:eastAsia="zh-CN"/>
        </w:rPr>
        <w:t>通过不接触测试信息的验证协议确定：从训练类别中划出一部分作为验证阶段的伪未见类，在相应验证集上搜索使已见与未见准确率调和均值最高的取值。</w:t>
      </w:r>
    </w:p>
    <w:bookmarkEnd w:id="0"/>
    <w:bookmarkEnd w:id="6"/>
    <w:p>
      <w:pPr>
        <w:pStyle w:val="2"/>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6"/>
        </w:rPr>
        <w:t xml:space="preserve">4 实验</w:t>
      </w:r>
    </w:p>
    <w:p>
      <w:pPr>
        <w:pStyle w:val="4"/>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2"/>
        </w:rPr>
        <w:t xml:space="preserve">4.1 实验设置</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4.1.1 数据集</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本文在 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三个基准数据集上评估模型的视听广义零样本识别性能。VGGSound-GZSL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由 VGGSound[26] 构建，包含 276 个类别，初始划分为 138 个已见类别和 138 个未见类别，涵盖动物、家庭、音乐、自然、人物、运动、工具与车辆等场景。UCF-GZSL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源自动作识别数据集 UCF101[27]，包含 51 个类别，初始划分为 30 个已见类别和 21 个未见类别，涵盖击剑、弹钢琴、跳水等日常活动与体育行为。ActivityNet-GZSL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基于 ActivityNet[28] 构建，包含 200 个日常活动类别，初始划分为 99 个已见类别和 101 个未见类别，其较长的视频时长和复杂场景对时序证据定位与视听融合提出了更高要求。</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三个数据集的类别划分见表 1。其中，</w:t>
      </w:r>
      <m:oMath>
        <m:r>
          <m:t>C</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表示总类别数，</w:t>
      </w:r>
      <m:oMath>
        <m:sSub>
          <m:e>
            <m:r>
              <m:t>C</m:t>
            </m:r>
          </m:e>
          <m:sub>
            <m:r>
              <m:t>s</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与</w:t>
      </w:r>
      <w:r>
        <w:rPr>
          <w:rFonts w:ascii="Times New Roman" w:hAnsi="Times New Roman" w:cs="Times New Roman" w:eastAsia="宋体"/>
          <w:color w:val="000000"/>
          <w:sz w:val="21"/>
        </w:rPr>
        <w:t xml:space="preserve"> </w:t>
      </w:r>
      <m:oMath>
        <m:sSub>
          <m:e>
            <m:r>
              <m:t>C</m:t>
            </m:r>
          </m:e>
          <m:sub>
            <m:r>
              <m:t>u</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分别表示初始划分下的已见和未见类别数；</w:t>
      </w:r>
      <m:oMath>
        <m:sSub>
          <m:e>
            <m:r>
              <m:rPr>
                <m:sty m:val="p"/>
              </m:rPr>
              <m:t>T</m:t>
            </m:r>
            <m:r>
              <m:rPr>
                <m:sty m:val="p"/>
              </m:rPr>
              <m:t>r</m:t>
            </m:r>
          </m:e>
          <m:sub>
            <m:r>
              <m:t>s</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表示训练集的已见类别数，</w:t>
      </w:r>
      <m:oMath>
        <m:sSub>
          <m:e>
            <m:r>
              <m:rPr>
                <m:sty m:val="p"/>
              </m:rPr>
              <m:t>V</m:t>
            </m:r>
            <m:r>
              <m:rPr>
                <m:sty m:val="p"/>
              </m:rPr>
              <m:t>a</m:t>
            </m:r>
            <m:r>
              <m:rPr>
                <m:sty m:val="p"/>
              </m:rPr>
              <m:t>l</m:t>
            </m:r>
          </m:e>
          <m:sub>
            <m:r>
              <m:t>s</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与</w:t>
      </w:r>
      <w:r>
        <w:rPr>
          <w:rFonts w:ascii="Times New Roman" w:hAnsi="Times New Roman" w:cs="Times New Roman" w:eastAsia="宋体"/>
          <w:color w:val="000000"/>
          <w:sz w:val="21"/>
        </w:rPr>
        <w:t xml:space="preserve"> </w:t>
      </w:r>
      <m:oMath>
        <m:sSub>
          <m:e>
            <m:r>
              <m:rPr>
                <m:sty m:val="p"/>
              </m:rPr>
              <m:t>V</m:t>
            </m:r>
            <m:r>
              <m:rPr>
                <m:sty m:val="p"/>
              </m:rPr>
              <m:t>a</m:t>
            </m:r>
            <m:r>
              <m:rPr>
                <m:sty m:val="p"/>
              </m:rPr>
              <m:t>l</m:t>
            </m:r>
          </m:e>
          <m:sub>
            <m:r>
              <m:t>u</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分别表示验证集的已见和未见类别数，</w:t>
      </w:r>
      <m:oMath>
        <m:sSub>
          <m:e>
            <m:r>
              <m:rPr>
                <m:sty m:val="p"/>
              </m:rPr>
              <m:t>T</m:t>
            </m:r>
            <m:r>
              <m:rPr>
                <m:sty m:val="p"/>
              </m:rPr>
              <m:t>e</m:t>
            </m:r>
          </m:e>
          <m:sub>
            <m:r>
              <m:t>s</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与</w:t>
      </w:r>
      <w:r>
        <w:rPr>
          <w:rFonts w:ascii="Times New Roman" w:hAnsi="Times New Roman" w:cs="Times New Roman" w:eastAsia="宋体"/>
          <w:color w:val="000000"/>
          <w:sz w:val="21"/>
        </w:rPr>
        <w:t xml:space="preserve"> </w:t>
      </w:r>
      <m:oMath>
        <m:sSub>
          <m:e>
            <m:r>
              <m:rPr>
                <m:sty m:val="p"/>
              </m:rPr>
              <m:t>T</m:t>
            </m:r>
            <m:r>
              <m:rPr>
                <m:sty m:val="p"/>
              </m:rPr>
              <m:t>e</m:t>
            </m:r>
          </m:e>
          <m:sub>
            <m:r>
              <m:t>u</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分别表示测试集的已见和未见类别数。</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1 三个基准数据集的类别划分</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2240"/>
        <w:gridCol w:w="600"/>
        <w:gridCol w:w="620"/>
        <w:gridCol w:w="620"/>
        <w:gridCol w:w="704"/>
        <w:gridCol w:w="704"/>
        <w:gridCol w:w="704"/>
        <w:gridCol w:w="704"/>
        <w:gridCol w:w="704"/>
        <w:gridCol w:w="704"/>
      </w:tblGrid>
      <w:tr>
        <w:trPr>
          <w:cantSplit/>
          <w:tblHeader/>
        </w:trPr>
        <w:tc>
          <w:tcPr>
            <w:tcW w:type="dxa" w:w="224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数据集</w:t>
            </w:r>
          </w:p>
        </w:tc>
        <w:tc>
          <w:tcPr>
            <w:tcW w:type="dxa" w:w="60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i/>
                <w:color w:val="000000"/>
                <w:sz w:val="16"/>
              </w:rPr>
              <w:t>C</w:t>
            </w:r>
          </w:p>
        </w:tc>
        <w:tc>
          <w:tcPr>
            <w:tcW w:type="dxa" w:w="62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i/>
                <w:color w:val="000000"/>
                <w:sz w:val="16"/>
              </w:rPr>
              <w:t>C</w:t>
            </w:r>
            <w:r>
              <w:rPr>
                <w:rFonts w:ascii="Times New Roman" w:hAnsi="Times New Roman" w:cs="Times New Roman" w:eastAsia="宋体"/>
                <w:b/>
                <w:color w:val="000000"/>
                <w:sz w:val="16"/>
                <w:vertAlign w:val="subscript"/>
              </w:rPr>
              <w:t>s</w:t>
            </w:r>
          </w:p>
        </w:tc>
        <w:tc>
          <w:tcPr>
            <w:tcW w:type="dxa" w:w="62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i/>
                <w:color w:val="000000"/>
                <w:sz w:val="16"/>
              </w:rPr>
              <w:t>C</w:t>
            </w:r>
            <w:r>
              <w:rPr>
                <w:rFonts w:ascii="Times New Roman" w:hAnsi="Times New Roman" w:cs="Times New Roman" w:eastAsia="宋体"/>
                <w:b/>
                <w:color w:val="000000"/>
                <w:sz w:val="16"/>
                <w:vertAlign w:val="subscript"/>
              </w:rPr>
              <w:t>u</w:t>
            </w:r>
          </w:p>
        </w:tc>
        <w:tc>
          <w:tcPr>
            <w:tcW w:type="dxa" w:w="2112"/>
            <w:gridSpan w:val="3"/>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阶段 I</w:t>
            </w:r>
          </w:p>
        </w:tc>
        <w:tc>
          <w:tcPr>
            <w:tcW w:type="dxa" w:w="2112"/>
            <w:gridSpan w:val="3"/>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阶段 II</w:t>
            </w:r>
          </w:p>
        </w:tc>
      </w:tr>
      <w:tr>
        <w:trPr>
          <w:cantSplit/>
          <w:tblHeader/>
        </w:trPr>
        <w:tc>
          <w:tcPr>
            <w:tcW w:type="dxa" w:w="2240"/>
            <w:vMerge/>
            <w:vAlign w:val="center"/>
          </w:tcPr>
          <w:p/>
        </w:tc>
        <w:tc>
          <w:tcPr>
            <w:tcW w:type="dxa" w:w="600"/>
            <w:vMerge/>
            <w:vAlign w:val="center"/>
          </w:tcPr>
          <w:p/>
        </w:tc>
        <w:tc>
          <w:tcPr>
            <w:tcW w:type="dxa" w:w="620"/>
            <w:vMerge/>
            <w:vAlign w:val="center"/>
          </w:tcPr>
          <w:p/>
        </w:tc>
        <w:tc>
          <w:tcPr>
            <w:tcW w:type="dxa" w:w="620"/>
            <w:vMerge/>
            <w:vAlign w:val="center"/>
          </w:tcPr>
          <w:p/>
        </w:tc>
        <w:tc>
          <w:tcPr>
            <w:tcW w:type="dxa" w:w="704"/>
            <w:vAlign w:val="center"/>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训练集</w:t>
            </w:r>
          </w:p>
        </w:tc>
        <w:tc>
          <w:tcPr>
            <w:tcW w:type="dxa" w:w="1408"/>
            <w:gridSpan w:val="2"/>
            <w:vAlign w:val="center"/>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验证集</w:t>
            </w:r>
          </w:p>
        </w:tc>
        <w:tc>
          <w:tcPr>
            <w:tcW w:type="dxa" w:w="704"/>
            <w:vAlign w:val="center"/>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训练集</w:t>
            </w:r>
          </w:p>
        </w:tc>
        <w:tc>
          <w:tcPr>
            <w:tcW w:type="dxa" w:w="1408"/>
            <w:gridSpan w:val="2"/>
            <w:vAlign w:val="center"/>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测试集</w:t>
            </w:r>
          </w:p>
        </w:tc>
      </w:tr>
      <w:tr>
        <w:trPr>
          <w:cantSplit/>
          <w:tblHeader/>
        </w:trPr>
        <w:tc>
          <w:tcPr>
            <w:tcW w:type="dxa" w:w="2240"/>
            <w:vMerge/>
            <w:vAlign w:val="center"/>
          </w:tcPr>
          <w:p/>
        </w:tc>
        <w:tc>
          <w:tcPr>
            <w:tcW w:type="dxa" w:w="600"/>
            <w:vMerge/>
            <w:vAlign w:val="center"/>
          </w:tcPr>
          <w:p/>
        </w:tc>
        <w:tc>
          <w:tcPr>
            <w:tcW w:type="dxa" w:w="620"/>
            <w:vMerge/>
            <w:vAlign w:val="center"/>
          </w:tcPr>
          <w:p/>
        </w:tc>
        <w:tc>
          <w:tcPr>
            <w:tcW w:type="dxa" w:w="620"/>
            <w:vMerge/>
            <w:vAlign w:val="center"/>
          </w:tcPr>
          <w:p/>
        </w:tc>
        <w:tc>
          <w:tcPr>
            <w:tcW w:type="dxa" w:w="70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Tr</w:t>
            </w:r>
            <w:r>
              <w:rPr>
                <w:rFonts w:ascii="Times New Roman" w:hAnsi="Times New Roman" w:cs="Times New Roman" w:eastAsia="宋体"/>
                <w:b/>
                <w:color w:val="000000"/>
                <w:sz w:val="16"/>
                <w:vertAlign w:val="subscript"/>
              </w:rPr>
              <w:t>s</w:t>
            </w:r>
          </w:p>
        </w:tc>
        <w:tc>
          <w:tcPr>
            <w:tcW w:type="dxa" w:w="70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Val</w:t>
            </w:r>
            <w:r>
              <w:rPr>
                <w:rFonts w:ascii="Times New Roman" w:hAnsi="Times New Roman" w:cs="Times New Roman" w:eastAsia="宋体"/>
                <w:b/>
                <w:color w:val="000000"/>
                <w:sz w:val="16"/>
                <w:vertAlign w:val="subscript"/>
              </w:rPr>
              <w:t>s</w:t>
            </w:r>
          </w:p>
        </w:tc>
        <w:tc>
          <w:tcPr>
            <w:tcW w:type="dxa" w:w="70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Val</w:t>
            </w:r>
            <w:r>
              <w:rPr>
                <w:rFonts w:ascii="Times New Roman" w:hAnsi="Times New Roman" w:cs="Times New Roman" w:eastAsia="宋体"/>
                <w:b/>
                <w:color w:val="000000"/>
                <w:sz w:val="16"/>
                <w:vertAlign w:val="subscript"/>
              </w:rPr>
              <w:t>u</w:t>
            </w:r>
          </w:p>
        </w:tc>
        <w:tc>
          <w:tcPr>
            <w:tcW w:type="dxa" w:w="70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Tr</w:t>
            </w:r>
            <w:r>
              <w:rPr>
                <w:rFonts w:ascii="Times New Roman" w:hAnsi="Times New Roman" w:cs="Times New Roman" w:eastAsia="宋体"/>
                <w:b/>
                <w:color w:val="000000"/>
                <w:sz w:val="16"/>
                <w:vertAlign w:val="subscript"/>
              </w:rPr>
              <w:t>s</w:t>
            </w:r>
          </w:p>
        </w:tc>
        <w:tc>
          <w:tcPr>
            <w:tcW w:type="dxa" w:w="70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Te</w:t>
            </w:r>
            <w:r>
              <w:rPr>
                <w:rFonts w:ascii="Times New Roman" w:hAnsi="Times New Roman" w:cs="Times New Roman" w:eastAsia="宋体"/>
                <w:b/>
                <w:color w:val="000000"/>
                <w:sz w:val="16"/>
                <w:vertAlign w:val="subscript"/>
              </w:rPr>
              <w:t>s</w:t>
            </w:r>
          </w:p>
        </w:tc>
        <w:tc>
          <w:tcPr>
            <w:tcW w:type="dxa" w:w="70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Te</w:t>
            </w:r>
            <w:r>
              <w:rPr>
                <w:rFonts w:ascii="Times New Roman" w:hAnsi="Times New Roman" w:cs="Times New Roman" w:eastAsia="宋体"/>
                <w:b/>
                <w:color w:val="000000"/>
                <w:sz w:val="16"/>
                <w:vertAlign w:val="subscript"/>
              </w:rPr>
              <w:t>u</w:t>
            </w:r>
          </w:p>
        </w:tc>
      </w:tr>
      <w:tr>
        <w:trPr>
          <w:cantSplit/>
        </w:trPr>
        <w:tc>
          <w:tcPr>
            <w:tcW w:type="dxa" w:w="22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VGGSound-GZSL</w:t>
            </w:r>
            <w:r>
              <w:rPr>
                <w:rFonts w:ascii="Times New Roman" w:hAnsi="Times New Roman" w:cs="Times New Roman" w:eastAsia="宋体"/>
                <w:color w:val="000000"/>
                <w:sz w:val="16"/>
                <w:vertAlign w:val="superscript"/>
              </w:rPr>
              <w:t>cls</w:t>
            </w:r>
          </w:p>
        </w:tc>
        <w:tc>
          <w:tcPr>
            <w:tcW w:type="dxa" w:w="60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276</w:t>
            </w:r>
          </w:p>
        </w:tc>
        <w:tc>
          <w:tcPr>
            <w:tcW w:type="dxa" w:w="62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138</w:t>
            </w:r>
          </w:p>
        </w:tc>
        <w:tc>
          <w:tcPr>
            <w:tcW w:type="dxa" w:w="62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138</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138</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138</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69</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207</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207</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69</w:t>
            </w:r>
          </w:p>
        </w:tc>
      </w:tr>
      <w:tr>
        <w:trPr>
          <w:cantSplit/>
        </w:trPr>
        <w:tc>
          <w:tcPr>
            <w:tcW w:type="dxa" w:w="22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UCF-GZSL</w:t>
            </w:r>
            <w:r>
              <w:rPr>
                <w:rFonts w:ascii="Times New Roman" w:hAnsi="Times New Roman" w:cs="Times New Roman" w:eastAsia="宋体"/>
                <w:color w:val="000000"/>
                <w:sz w:val="16"/>
                <w:vertAlign w:val="superscript"/>
              </w:rPr>
              <w:t>cls</w:t>
            </w:r>
          </w:p>
        </w:tc>
        <w:tc>
          <w:tcPr>
            <w:tcW w:type="dxa" w:w="60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51</w:t>
            </w:r>
          </w:p>
        </w:tc>
        <w:tc>
          <w:tcPr>
            <w:tcW w:type="dxa" w:w="62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w:t>
            </w:r>
          </w:p>
        </w:tc>
        <w:tc>
          <w:tcPr>
            <w:tcW w:type="dxa" w:w="62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w:t>
            </w:r>
          </w:p>
        </w:tc>
        <w:tc>
          <w:tcPr>
            <w:tcW w:type="dxa" w:w="70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w:t>
            </w:r>
          </w:p>
        </w:tc>
      </w:tr>
      <w:tr>
        <w:trPr>
          <w:cantSplit/>
        </w:trPr>
        <w:tc>
          <w:tcPr>
            <w:tcW w:type="dxa" w:w="2240"/>
            <w:vAlign w:val="center"/>
            <w:tcBorders>
              <w:bottom w:val="single" w:sz="10" w:color="000000"/>
            </w:tcBorders>
          </w:tcPr>
          <w:p>
            <w:pPr>
              <w:keepNext w:val="0"/>
              <w:keepLines/>
              <w:spacing w:before="0" w:after="0" w:line="264" w:lineRule="auto"/>
              <w:ind w:firstLine="0" w:left="0" w:right="0"/>
              <w:jc w:val="left"/>
            </w:pPr>
            <w:r/>
            <w:r>
              <w:rPr>
                <w:rFonts w:ascii="Times New Roman" w:hAnsi="Times New Roman" w:cs="Times New Roman" w:eastAsia="宋体"/>
                <w:color w:val="000000"/>
                <w:sz w:val="16"/>
              </w:rPr>
              <w:t>ActivityNet-GZSL</w:t>
            </w:r>
            <w:r>
              <w:rPr>
                <w:rFonts w:ascii="Times New Roman" w:hAnsi="Times New Roman" w:cs="Times New Roman" w:eastAsia="宋体"/>
                <w:color w:val="000000"/>
                <w:sz w:val="16"/>
                <w:vertAlign w:val="superscript"/>
              </w:rPr>
              <w:t>cls</w:t>
            </w:r>
          </w:p>
        </w:tc>
        <w:tc>
          <w:tcPr>
            <w:tcW w:type="dxa" w:w="60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200</w:t>
            </w:r>
          </w:p>
        </w:tc>
        <w:tc>
          <w:tcPr>
            <w:tcW w:type="dxa" w:w="62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99</w:t>
            </w:r>
          </w:p>
        </w:tc>
        <w:tc>
          <w:tcPr>
            <w:tcW w:type="dxa" w:w="62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101</w:t>
            </w:r>
          </w:p>
        </w:tc>
        <w:tc>
          <w:tcPr>
            <w:tcW w:type="dxa" w:w="70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99</w:t>
            </w:r>
          </w:p>
        </w:tc>
        <w:tc>
          <w:tcPr>
            <w:tcW w:type="dxa" w:w="70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99</w:t>
            </w:r>
          </w:p>
        </w:tc>
        <w:tc>
          <w:tcPr>
            <w:tcW w:type="dxa" w:w="70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51</w:t>
            </w:r>
          </w:p>
        </w:tc>
        <w:tc>
          <w:tcPr>
            <w:tcW w:type="dxa" w:w="70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150</w:t>
            </w:r>
          </w:p>
        </w:tc>
        <w:tc>
          <w:tcPr>
            <w:tcW w:type="dxa" w:w="70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150</w:t>
            </w:r>
          </w:p>
        </w:tc>
        <w:tc>
          <w:tcPr>
            <w:tcW w:type="dxa" w:w="70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50</w:t>
            </w:r>
          </w:p>
        </w:tc>
      </w:tr>
    </w:tbl>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训练与评估采用阶段 I 和阶段 II 的两阶段划分。阶段 I 的验证未见类别在阶段 II 并入训练集，因而转为该阶段的已见类别。最终测试时，VGGSound-GZSL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的已见/未见类别数分别为 207/69、42/9 和 150/50。训练集与验证集中的已见类别共享类别集合，但使用不同的样本子集。</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4.1.2 实现细节</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模型基于 PyTorch 框架实现，实验环境为 Intel(R) Core(TM) i9-14900KF CPU、128 GB RAM、NVIDIA GeForce RTX 3090 Ti GPU 和 Ubuntu 24.04。每个视频划分为</w:t>
      </w:r>
      <w:r>
        <w:rPr>
          <w:rFonts w:ascii="Times New Roman" w:hAnsi="Times New Roman" w:cs="Times New Roman" w:eastAsia="宋体"/>
          <w:color w:val="000000"/>
          <w:sz w:val="21"/>
        </w:rPr>
        <w:t xml:space="preserve"> </w:t>
      </w:r>
      <m:oMath>
        <m:r>
          <m:t>T</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个不重叠的连续片段，每个片段包含一帧代表图像与对应时段的音频波形。视觉特征由冻结的 CLIP ViT-B/32 图像编码器提取，音频特征由冻结的 CLAP 音频编码器提取，特征维度分别设为</w:t>
      </w:r>
      <w:r>
        <w:rPr>
          <w:rFonts w:ascii="Times New Roman" w:hAnsi="Times New Roman" w:cs="Times New Roman" w:eastAsia="宋体"/>
          <w:color w:val="000000"/>
          <w:sz w:val="21"/>
        </w:rPr>
        <w:t xml:space="preserve"> </w:t>
      </w:r>
      <m:oMath>
        <m:sSub>
          <m:e>
            <m:r>
              <m:t>d</m:t>
            </m:r>
          </m:e>
          <m:sub>
            <m:r>
              <m:t>v</m:t>
            </m:r>
          </m:sub>
        </m:sSub>
        <m:r>
          <m:rPr>
            <m:sty m:val="p"/>
          </m:rPr>
          <m:t>=</m:t>
        </m:r>
        <m:r>
          <m:t>512</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w:t>
      </w:r>
      <w:r>
        <w:rPr>
          <w:rFonts w:ascii="Times New Roman" w:hAnsi="Times New Roman" w:cs="Times New Roman" w:eastAsia="宋体"/>
          <w:color w:val="000000"/>
          <w:sz w:val="21"/>
        </w:rPr>
        <w:t xml:space="preserve"> </w:t>
      </w:r>
      <m:oMath>
        <m:sSub>
          <m:e>
            <m:r>
              <m:t>d</m:t>
            </m:r>
          </m:e>
          <m:sub>
            <m:r>
              <m:t>a</m:t>
            </m:r>
          </m:sub>
        </m:sSub>
        <m:r>
          <m:rPr>
            <m:sty m:val="p"/>
          </m:rPr>
          <m:t>=</m:t>
        </m:r>
        <m:r>
          <m:t>1024</m:t>
        </m:r>
      </m:oMath>
      <w:r>
        <w:rPr>
          <w:rFonts w:ascii="Times New Roman" w:hAnsi="Times New Roman" w:cs="Times New Roman" w:eastAsia="宋体"/>
          <w:color w:val="000000"/>
          <w:sz w:val="21"/>
        </w:rPr>
        <w:t xml:space="preserve">，共享隐藏维度为</w:t>
      </w:r>
      <w:r>
        <w:rPr>
          <w:rFonts w:ascii="Times New Roman" w:hAnsi="Times New Roman" w:cs="Times New Roman" w:eastAsia="宋体"/>
          <w:color w:val="000000"/>
          <w:sz w:val="21"/>
        </w:rPr>
        <w:t xml:space="preserve"> </w:t>
      </w:r>
      <m:oMath>
        <m:r>
          <m:t>d</m:t>
        </m:r>
        <m:r>
          <m:rPr>
            <m:sty m:val="p"/>
          </m:rPr>
          <m:t>=</m:t>
        </m:r>
        <m:r>
          <m:t>512</m:t>
        </m:r>
      </m:oMath>
      <w:r>
        <w:rPr>
          <w:rFonts w:ascii="Times New Roman" w:hAnsi="Times New Roman" w:cs="Times New Roman" w:eastAsia="宋体"/>
          <w:color w:val="000000"/>
          <w:sz w:val="21"/>
        </w:rPr>
        <w:t xml:space="preserve">。变长序列采用掩码排除填充位置对注意力、池化及高斯权重归一化的影响。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每个类别的视觉侧与听觉侧描述集合</w:t>
      </w:r>
      <w:r>
        <w:rPr>
          <w:rFonts w:ascii="Times New Roman" w:hAnsi="Times New Roman" w:cs="Times New Roman" w:eastAsia="宋体"/>
          <w:color w:val="000000"/>
          <w:sz w:val="21"/>
        </w:rPr>
        <w:t xml:space="preserve"> </w:t>
      </w:r>
      <m:oMath>
        <m:sSubSup>
          <m:e>
            <m:r>
              <m:rPr>
                <m:sty m:val="p"/>
                <m:scr m:val="script"/>
              </m:rPr>
              <m:t>P</m:t>
            </m:r>
          </m:e>
          <m:sub>
            <m:r>
              <m:t>c</m:t>
            </m:r>
          </m:sub>
          <m:sup>
            <m:r>
              <m:t>v</m:t>
            </m:r>
          </m:sup>
        </m:sSubSup>
      </m:oMath>
      <w:r>
        <w:rPr>
          <w:rFonts w:ascii="Times New Roman" w:hAnsi="Times New Roman" w:cs="Times New Roman" w:eastAsia="宋体"/>
          <w:color w:val="000000"/>
          <w:sz w:val="21"/>
        </w:rPr>
        <w:t xml:space="preserve">、</w:t>
      </w:r>
      <m:oMath>
        <m:sSubSup>
          <m:e>
            <m:r>
              <m:rPr>
                <m:sty m:val="p"/>
                <m:scr m:val="script"/>
              </m:rPr>
              <m:t>P</m:t>
            </m:r>
          </m:e>
          <m:sub>
            <m:r>
              <m:t>c</m:t>
            </m:r>
          </m:sub>
          <m:sup>
            <m:r>
              <m:t>a</m:t>
            </m:r>
          </m:sup>
        </m:sSubSup>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各包含</w:t>
      </w:r>
      <w:r>
        <w:rPr>
          <w:rFonts w:ascii="Times New Roman" w:hAnsi="Times New Roman" w:cs="Times New Roman" w:eastAsia="宋体"/>
          <w:color w:val="000000"/>
          <w:sz w:val="21"/>
        </w:rPr>
        <w:t xml:space="preserve"> </w:t>
      </w:r>
      <m:oMath>
        <m:r>
          <m:t>P</m:t>
        </m:r>
        <m:r>
          <m:rPr>
            <m:sty m:val="p"/>
          </m:rPr>
          <m:t>=</m:t>
        </m:r>
        <m:r>
          <m:t>5</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条描述，分别经冻结的 CLIP 与 CLAP 文本编码器得到属性级语义 token</w:t>
      </w:r>
      <w:r>
        <w:rPr>
          <w:rFonts w:ascii="Times New Roman" w:hAnsi="Times New Roman" w:cs="Times New Roman" w:eastAsia="宋体"/>
          <w:color w:val="000000"/>
          <w:sz w:val="21"/>
        </w:rPr>
        <w:t xml:space="preserve"> </w:t>
      </w:r>
      <m:oMath>
        <m:sSubSup>
          <m:e>
            <m:r>
              <m:t>S</m:t>
            </m:r>
          </m:e>
          <m:sub>
            <m:r>
              <m:t>c</m:t>
            </m:r>
          </m:sub>
          <m:sup>
            <m:r>
              <m:t>v</m:t>
            </m:r>
          </m:sup>
        </m:sSubSup>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w:t>
      </w:r>
      <w:r>
        <w:rPr>
          <w:rFonts w:ascii="Times New Roman" w:hAnsi="Times New Roman" w:cs="Times New Roman" w:eastAsia="宋体"/>
          <w:color w:val="000000"/>
          <w:sz w:val="21"/>
        </w:rPr>
        <w:t xml:space="preserve"> </w:t>
      </w:r>
      <m:oMath>
        <m:sSubSup>
          <m:e>
            <m:r>
              <m:t>S</m:t>
            </m:r>
          </m:e>
          <m:sub>
            <m:r>
              <m:t>c</m:t>
            </m:r>
          </m:sub>
          <m:sup>
            <m:r>
              <m:t>a</m:t>
            </m:r>
          </m:sup>
        </m:sSubSup>
      </m:oMath>
      <w:r>
        <w:rPr>
          <w:rFonts w:ascii="Times New Roman" w:hAnsi="Times New Roman" w:cs="Times New Roman" w:eastAsia="宋体"/>
          <w:color w:val="000000"/>
          <w:sz w:val="21"/>
        </w:rPr>
        <w:t xml:space="preserve">。初始原型与优化后原型分别为</w:t>
      </w:r>
      <w:r>
        <w:rPr>
          <w:rFonts w:ascii="Times New Roman" w:hAnsi="Times New Roman" w:cs="Times New Roman" w:eastAsia="宋体"/>
          <w:color w:val="000000"/>
          <w:sz w:val="21"/>
        </w:rPr>
        <w:t xml:space="preserve"> </w:t>
      </w:r>
      <m:oMath>
        <m:sSubSup>
          <m:e>
            <m:r>
              <m:t>w</m:t>
            </m:r>
          </m:e>
          <m:sub>
            <m:r>
              <m:t>c</m:t>
            </m:r>
          </m:sub>
          <m:sup>
            <m:d>
              <m:dPr>
                <m:begChr m:val="("/>
                <m:endChr m:val=")"/>
                <m:sepChr m:val=""/>
                <m:grow/>
              </m:dPr>
              <m:e>
                <m:r>
                  <m:t>0</m:t>
                </m:r>
              </m:e>
            </m:d>
          </m:sup>
        </m:sSubSup>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w:t>
      </w:r>
      <w:r>
        <w:rPr>
          <w:rFonts w:ascii="Times New Roman" w:hAnsi="Times New Roman" w:cs="Times New Roman" w:eastAsia="宋体"/>
          <w:color w:val="000000"/>
          <w:sz w:val="21"/>
        </w:rPr>
        <w:t xml:space="preserve"> </w:t>
      </w:r>
      <m:oMath>
        <m:sSub>
          <m:e>
            <m:r>
              <m:t>w</m:t>
            </m:r>
          </m:e>
          <m:sub>
            <m:r>
              <m:t>c</m:t>
            </m:r>
          </m:sub>
        </m:sSub>
      </m:oMath>
      <w:r>
        <w:rPr>
          <w:rFonts w:ascii="Times New Roman" w:hAnsi="Times New Roman" w:cs="Times New Roman" w:eastAsia="宋体"/>
          <w:color w:val="000000"/>
          <w:sz w:val="21"/>
        </w:rPr>
        <w:t xml:space="preserve">，原型维度为</w:t>
      </w:r>
      <w:r>
        <w:rPr>
          <w:rFonts w:ascii="Times New Roman" w:hAnsi="Times New Roman" w:cs="Times New Roman" w:eastAsia="宋体"/>
          <w:color w:val="000000"/>
          <w:sz w:val="21"/>
        </w:rPr>
        <w:t xml:space="preserve"> </w:t>
      </w:r>
      <m:oMath>
        <m:sSub>
          <m:e>
            <m:r>
              <m:t>d</m:t>
            </m:r>
          </m:e>
          <m:sub>
            <m:r>
              <m:t>s</m:t>
            </m:r>
          </m:sub>
        </m:sSub>
        <m:r>
          <m:rPr>
            <m:sty m:val="p"/>
          </m:rPr>
          <m:t>=</m:t>
        </m:r>
        <m:sSubSup>
          <m:e>
            <m:r>
              <m:t>d</m:t>
            </m:r>
          </m:e>
          <m:sub>
            <m:r>
              <m:t>t</m:t>
            </m:r>
          </m:sub>
          <m:sup>
            <m:r>
              <m:t>v</m:t>
            </m:r>
          </m:sup>
        </m:sSubSup>
        <m:r>
          <m:rPr>
            <m:sty m:val="p"/>
          </m:rPr>
          <m:t>+</m:t>
        </m:r>
        <m:sSubSup>
          <m:e>
            <m:r>
              <m:t>d</m:t>
            </m:r>
          </m:e>
          <m:sub>
            <m:r>
              <m:t>t</m:t>
            </m:r>
          </m:sub>
          <m:sup>
            <m:r>
              <m:t>a</m:t>
            </m:r>
          </m:sup>
        </m:sSubSup>
      </m:oMath>
      <w:r>
        <w:rPr>
          <w:rFonts w:ascii="Times New Roman" w:hAnsi="Times New Roman" w:cs="Times New Roman" w:eastAsia="宋体"/>
          <w:color w:val="000000"/>
          <w:sz w:val="21"/>
        </w:rPr>
        <w:t xml:space="preserve">。</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模型优化依次进行 DSPO 原型优化与主网络训练。DSPO 仅使用类别名称和类别级文本描述，采用 Adam[29] 优化器，学习率为</w:t>
      </w:r>
      <w:r>
        <w:rPr>
          <w:rFonts w:ascii="Times New Roman" w:hAnsi="Times New Roman" w:cs="Times New Roman" w:eastAsia="宋体"/>
          <w:color w:val="000000"/>
          <w:sz w:val="21"/>
        </w:rPr>
        <w:t xml:space="preserve"> </w:t>
      </w:r>
      <m:oMath>
        <m:sSup>
          <m:e>
            <m:r>
              <m:t>10</m:t>
            </m:r>
          </m:e>
          <m:sup>
            <m:r>
              <m:rPr>
                <m:sty m:val="p"/>
              </m:rPr>
              <m:t>−</m:t>
            </m:r>
            <m:r>
              <m:t>3</m:t>
            </m:r>
          </m:sup>
        </m:sSup>
      </m:oMath>
      <w:r>
        <w:rPr>
          <w:rFonts w:ascii="Times New Roman" w:hAnsi="Times New Roman" w:cs="Times New Roman" w:eastAsia="宋体"/>
          <w:color w:val="000000"/>
          <w:sz w:val="21"/>
        </w:rPr>
        <w:t xml:space="preserve">，迭代 1000 步，并在每步更新后将原型归一化到单位球面。联合目标的权衡系数设为</w:t>
      </w:r>
      <w:r>
        <w:rPr>
          <w:rFonts w:ascii="Times New Roman" w:hAnsi="Times New Roman" w:cs="Times New Roman" w:eastAsia="宋体"/>
          <w:color w:val="000000"/>
          <w:sz w:val="21"/>
        </w:rPr>
        <w:t xml:space="preserve"> </w:t>
      </w:r>
      <m:oMath>
        <m:r>
          <m:t>α</m:t>
        </m:r>
        <m:r>
          <m:rPr>
            <m:sty m:val="p"/>
          </m:rPr>
          <m:t>=</m:t>
        </m:r>
        <m:r>
          <m:t>0.5</m:t>
        </m:r>
      </m:oMath>
      <w:r>
        <w:rPr>
          <w:rFonts w:ascii="Times New Roman" w:hAnsi="Times New Roman" w:cs="Times New Roman" w:eastAsia="宋体"/>
          <w:color w:val="000000"/>
          <w:sz w:val="21"/>
        </w:rPr>
        <w:t xml:space="preserve">，排序间隔设为</w:t>
      </w:r>
      <w:r>
        <w:rPr>
          <w:rFonts w:ascii="Times New Roman" w:hAnsi="Times New Roman" w:cs="Times New Roman" w:eastAsia="宋体"/>
          <w:color w:val="000000"/>
          <w:sz w:val="21"/>
        </w:rPr>
        <w:t xml:space="preserve"> </w:t>
      </w:r>
      <m:oMath>
        <m:r>
          <m:t>Δ</m:t>
        </m:r>
        <m:r>
          <m:rPr>
            <m:sty m:val="p"/>
          </m:rPr>
          <m:t>=</m:t>
        </m:r>
        <m:r>
          <m:t>0.1</m:t>
        </m:r>
      </m:oMath>
      <w:r>
        <w:rPr>
          <w:rFonts w:ascii="Times New Roman" w:hAnsi="Times New Roman" w:cs="Times New Roman" w:eastAsia="宋体"/>
          <w:color w:val="000000"/>
          <w:sz w:val="21"/>
        </w:rPr>
        <w:t xml:space="preserve">。随后固定原型，使用式（31）的</w:t>
      </w:r>
      <w:r>
        <w:rPr>
          <w:rFonts w:ascii="Times New Roman" w:hAnsi="Times New Roman" w:cs="Times New Roman" w:eastAsia="宋体"/>
          <w:color w:val="000000"/>
          <w:sz w:val="21"/>
        </w:rPr>
        <w:t xml:space="preserve"> </w:t>
      </w:r>
      <m:oMath>
        <m:sSub>
          <m:e>
            <m:r>
              <m:rPr>
                <m:sty m:val="p"/>
                <m:scr m:val="script"/>
              </m:rPr>
              <m:t>L</m:t>
            </m:r>
          </m:e>
          <m:sub>
            <m:r>
              <m:t>a</m:t>
            </m:r>
            <m:r>
              <m:t>l</m:t>
            </m:r>
            <m:r>
              <m:t>i</m:t>
            </m:r>
            <m:r>
              <m:t>g</m:t>
            </m:r>
            <m:r>
              <m:t>n</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训练主网络。主网络采用 Adam 优化器，</w:t>
      </w:r>
      <m:oMath>
        <m:sSub>
          <m:e>
            <m:r>
              <m:t>β</m:t>
            </m:r>
          </m:e>
          <m:sub>
            <m:r>
              <m:t>1</m:t>
            </m:r>
          </m:sub>
        </m:sSub>
        <m:r>
          <m:rPr>
            <m:sty m:val="p"/>
          </m:rPr>
          <m:t>=</m:t>
        </m:r>
        <m:r>
          <m:t>0.9</m:t>
        </m:r>
      </m:oMath>
      <w:r>
        <w:rPr>
          <w:rFonts w:ascii="Times New Roman" w:hAnsi="Times New Roman" w:cs="Times New Roman" w:eastAsia="宋体"/>
          <w:color w:val="000000"/>
          <w:sz w:val="21"/>
        </w:rPr>
        <w:t xml:space="preserve">、</w:t>
      </w:r>
      <m:oMath>
        <m:sSub>
          <m:e>
            <m:r>
              <m:t>β</m:t>
            </m:r>
          </m:e>
          <m:sub>
            <m:r>
              <m:t>2</m:t>
            </m:r>
          </m:sub>
        </m:sSub>
        <m:r>
          <m:rPr>
            <m:sty m:val="p"/>
          </m:rPr>
          <m:t>=</m:t>
        </m:r>
        <m:r>
          <m:t>0.999</m:t>
        </m:r>
      </m:oMath>
      <w:r>
        <w:rPr>
          <w:rFonts w:ascii="Times New Roman" w:hAnsi="Times New Roman" w:cs="Times New Roman" w:eastAsia="宋体"/>
          <w:color w:val="000000"/>
          <w:sz w:val="21"/>
        </w:rPr>
        <w:t xml:space="preserve">，权重衰减为</w:t>
      </w:r>
      <w:r>
        <w:rPr>
          <w:rFonts w:ascii="Times New Roman" w:hAnsi="Times New Roman" w:cs="Times New Roman" w:eastAsia="宋体"/>
          <w:color w:val="000000"/>
          <w:sz w:val="21"/>
        </w:rPr>
        <w:t xml:space="preserve"> </w:t>
      </w:r>
      <m:oMath>
        <m:sSup>
          <m:e>
            <m:r>
              <m:t>10</m:t>
            </m:r>
          </m:e>
          <m:sup>
            <m:r>
              <m:rPr>
                <m:sty m:val="p"/>
              </m:rPr>
              <m:t>−</m:t>
            </m:r>
            <m:r>
              <m:t>5</m:t>
            </m:r>
          </m:sup>
        </m:sSup>
      </m:oMath>
      <w:r>
        <w:rPr>
          <w:rFonts w:ascii="Times New Roman" w:hAnsi="Times New Roman" w:cs="Times New Roman" w:eastAsia="宋体"/>
          <w:color w:val="000000"/>
          <w:sz w:val="21"/>
        </w:rPr>
        <w:t xml:space="preserve">，批量大小为 64。高斯专家数设为</w:t>
      </w:r>
      <w:r>
        <w:rPr>
          <w:rFonts w:ascii="Times New Roman" w:hAnsi="Times New Roman" w:cs="Times New Roman" w:eastAsia="宋体"/>
          <w:color w:val="000000"/>
          <w:sz w:val="21"/>
        </w:rPr>
        <w:t xml:space="preserve"> </w:t>
      </w:r>
      <m:oMath>
        <m:r>
          <m:t>E</m:t>
        </m:r>
        <m:r>
          <m:rPr>
            <m:sty m:val="p"/>
          </m:rPr>
          <m:t>=</m:t>
        </m:r>
        <m:r>
          <m:t>7</m:t>
        </m:r>
      </m:oMath>
      <w:r>
        <w:rPr>
          <w:rFonts w:ascii="Times New Roman" w:hAnsi="Times New Roman" w:cs="Times New Roman" w:eastAsia="宋体"/>
          <w:color w:val="000000"/>
          <w:sz w:val="21"/>
        </w:rPr>
        <w:t xml:space="preserve">，解耦交互分支层数为</w:t>
      </w:r>
      <w:r>
        <w:rPr>
          <w:rFonts w:ascii="Times New Roman" w:hAnsi="Times New Roman" w:cs="Times New Roman" w:eastAsia="宋体"/>
          <w:color w:val="000000"/>
          <w:sz w:val="21"/>
        </w:rPr>
        <w:t xml:space="preserve"> </w:t>
      </w:r>
      <m:oMath>
        <m:sSub>
          <m:e>
            <m:r>
              <m:t>L</m:t>
            </m:r>
          </m:e>
          <m:sub>
            <m:r>
              <m:t>r</m:t>
            </m:r>
          </m:sub>
        </m:sSub>
        <m:r>
          <m:rPr>
            <m:sty m:val="p"/>
          </m:rPr>
          <m:t>=</m:t>
        </m:r>
        <m:r>
          <m:t>2</m:t>
        </m:r>
      </m:oMath>
      <w:r>
        <w:rPr>
          <w:rFonts w:ascii="Times New Roman" w:hAnsi="Times New Roman" w:cs="Times New Roman" w:eastAsia="宋体"/>
          <w:color w:val="000000"/>
          <w:sz w:val="21"/>
        </w:rPr>
        <w:t xml:space="preserve">，注意力头数为 8，相容性分数的温度系数为</w:t>
      </w:r>
      <w:r>
        <w:rPr>
          <w:rFonts w:ascii="Times New Roman" w:hAnsi="Times New Roman" w:cs="Times New Roman" w:eastAsia="宋体"/>
          <w:color w:val="000000"/>
          <w:sz w:val="21"/>
        </w:rPr>
        <w:t xml:space="preserve"> </w:t>
      </w:r>
      <m:oMath>
        <m:r>
          <m:t>τ</m:t>
        </m:r>
        <m:r>
          <m:rPr>
            <m:sty m:val="p"/>
          </m:rPr>
          <m:t>=</m:t>
        </m:r>
        <m:r>
          <m:t>0.05</m:t>
        </m:r>
      </m:oMath>
      <w:r>
        <w:rPr>
          <w:rFonts w:ascii="Times New Roman" w:hAnsi="Times New Roman" w:cs="Times New Roman" w:eastAsia="宋体"/>
          <w:color w:val="000000"/>
          <w:sz w:val="21"/>
        </w:rPr>
        <w:t xml:space="preserve">。</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b/>
          <w:bCs/>
          <w:color w:val="000000"/>
          <w:sz w:val="21"/>
        </w:rPr>
        <w:t xml:space="preserve">训练与评估协议。</w:t>
      </w:r>
      <w:r>
        <w:rPr>
          <w:rFonts w:ascii="Times New Roman" w:hAnsi="Times New Roman" w:cs="Times New Roman" w:eastAsia="宋体"/>
          <w:color w:val="000000"/>
          <w:sz w:val="21"/>
        </w:rPr>
        <w:t xml:space="preserve">遵循两阶段协议[3,4,5]。阶段 I 使用训练子集训练主网络，由</w:t>
      </w:r>
      <w:r>
        <w:rPr>
          <w:rFonts w:ascii="Times New Roman" w:hAnsi="Times New Roman" w:cs="Times New Roman" w:eastAsia="宋体"/>
          <w:color w:val="000000"/>
          <w:sz w:val="21"/>
        </w:rPr>
        <w:t xml:space="preserve"> </w:t>
      </w:r>
      <m:oMath>
        <m:sSub>
          <m:e>
            <m:r>
              <m:rPr>
                <m:sty m:val="p"/>
              </m:rPr>
              <m:t>V</m:t>
            </m:r>
            <m:r>
              <m:rPr>
                <m:sty m:val="p"/>
              </m:rPr>
              <m:t>a</m:t>
            </m:r>
            <m:r>
              <m:rPr>
                <m:sty m:val="p"/>
              </m:rPr>
              <m:t>l</m:t>
            </m:r>
          </m:e>
          <m:sub>
            <m:r>
              <m:t>s</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与</w:t>
      </w:r>
      <w:r>
        <w:rPr>
          <w:rFonts w:ascii="Times New Roman" w:hAnsi="Times New Roman" w:cs="Times New Roman" w:eastAsia="宋体"/>
          <w:color w:val="000000"/>
          <w:sz w:val="21"/>
        </w:rPr>
        <w:t xml:space="preserve"> </w:t>
      </w:r>
      <m:oMath>
        <m:sSub>
          <m:e>
            <m:r>
              <m:rPr>
                <m:sty m:val="p"/>
              </m:rPr>
              <m:t>V</m:t>
            </m:r>
            <m:r>
              <m:rPr>
                <m:sty m:val="p"/>
              </m:rPr>
              <m:t>a</m:t>
            </m:r>
            <m:r>
              <m:rPr>
                <m:sty m:val="p"/>
              </m:rPr>
              <m:t>l</m:t>
            </m:r>
          </m:e>
          <m:sub>
            <m:r>
              <m:t>u</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对应的验证样本确定超参数、已见类校准系数</w:t>
      </w:r>
      <w:r>
        <w:rPr>
          <w:rFonts w:ascii="Times New Roman" w:hAnsi="Times New Roman" w:cs="Times New Roman" w:eastAsia="宋体"/>
          <w:color w:val="000000"/>
          <w:sz w:val="21"/>
        </w:rPr>
        <w:t xml:space="preserve"> </w:t>
      </w:r>
      <m:oMath>
        <m:r>
          <m:t>γ</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和最佳训练轮数。三个数据集的初始学习率分别为</w:t>
      </w:r>
      <w:r>
        <w:rPr>
          <w:rFonts w:ascii="Times New Roman" w:hAnsi="Times New Roman" w:cs="Times New Roman" w:eastAsia="宋体"/>
          <w:color w:val="000000"/>
          <w:sz w:val="21"/>
        </w:rPr>
        <w:t xml:space="preserve"> </w:t>
      </w:r>
      <m:oMath>
        <m:sSup>
          <m:e>
            <m:r>
              <m:t>10</m:t>
            </m:r>
          </m:e>
          <m:sup>
            <m:r>
              <m:rPr>
                <m:sty m:val="p"/>
              </m:rPr>
              <m:t>−</m:t>
            </m:r>
            <m:r>
              <m:t>4</m:t>
            </m:r>
          </m:sup>
        </m:sSup>
      </m:oMath>
      <w:r>
        <w:rPr>
          <w:rFonts w:ascii="Times New Roman" w:hAnsi="Times New Roman" w:cs="Times New Roman" w:eastAsia="宋体"/>
          <w:color w:val="000000"/>
          <w:sz w:val="21"/>
        </w:rPr>
        <w:t xml:space="preserve">、</w:t>
      </w:r>
      <m:oMath>
        <m:r>
          <m:t>7</m:t>
        </m:r>
        <m:r>
          <m:rPr>
            <m:sty m:val="p"/>
          </m:rPr>
          <m:t>×</m:t>
        </m:r>
        <m:sSup>
          <m:e>
            <m:r>
              <m:t>10</m:t>
            </m:r>
          </m:e>
          <m:sup>
            <m:r>
              <m:rPr>
                <m:sty m:val="p"/>
              </m:rPr>
              <m:t>−</m:t>
            </m:r>
            <m:r>
              <m:t>5</m:t>
            </m:r>
          </m:sup>
        </m:sSup>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w:t>
      </w:r>
      <w:r>
        <w:rPr>
          <w:rFonts w:ascii="Times New Roman" w:hAnsi="Times New Roman" w:cs="Times New Roman" w:eastAsia="宋体"/>
          <w:color w:val="000000"/>
          <w:sz w:val="21"/>
        </w:rPr>
        <w:t xml:space="preserve"> </w:t>
      </w:r>
      <m:oMath>
        <m:sSup>
          <m:e>
            <m:r>
              <m:t>10</m:t>
            </m:r>
          </m:e>
          <m:sup>
            <m:r>
              <m:rPr>
                <m:sty m:val="p"/>
              </m:rPr>
              <m:t>−</m:t>
            </m:r>
            <m:r>
              <m:t>4</m:t>
            </m:r>
          </m:sup>
        </m:sSup>
      </m:oMath>
      <w:r>
        <w:rPr>
          <w:rFonts w:ascii="Times New Roman" w:hAnsi="Times New Roman" w:cs="Times New Roman" w:eastAsia="宋体"/>
          <w:color w:val="000000"/>
          <w:sz w:val="21"/>
        </w:rPr>
        <w:t xml:space="preserve">，训练预算分别为 15、20 和 15 个 epoch；当验证 HM 连续 3 个 epoch 未提高时，学习率降为原来的 0.1 倍。阶段 II 重新初始化主网络，按照阶段 I 确定的配置，在训练集与两个验证子集的并集上重新训练，并在独立测试集上评估。测试期间固定所有超参数，最终未见类别仅通过类别级文本描述提供语义信息。</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4.1.3 评价指标</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采用 S、U、HM 和 ZSL 四项指标评估模型性能，单位均为百分比。S 和 U 分别表示以</w:t>
      </w:r>
      <w:r>
        <w:rPr>
          <w:rFonts w:ascii="Times New Roman" w:hAnsi="Times New Roman" w:cs="Times New Roman" w:eastAsia="宋体"/>
          <w:color w:val="000000"/>
          <w:sz w:val="21"/>
        </w:rPr>
        <w:t xml:space="preserve"> </w:t>
      </w:r>
      <m:oMath>
        <m:sSub>
          <m:e>
            <m:r>
              <m:rPr>
                <m:sty m:val="p"/>
                <m:scr m:val="script"/>
              </m:rPr>
              <m:t>C</m:t>
            </m:r>
          </m:e>
          <m:sub>
            <m:r>
              <m:t>s</m:t>
            </m:r>
          </m:sub>
        </m:sSub>
        <m:r>
          <m:rPr>
            <m:sty m:val="p"/>
          </m:rPr>
          <m:t>∪</m:t>
        </m:r>
        <m:sSub>
          <m:e>
            <m:r>
              <m:rPr>
                <m:sty m:val="p"/>
                <m:scr m:val="script"/>
              </m:rPr>
              <m:t>C</m:t>
            </m:r>
          </m:e>
          <m:sub>
            <m:r>
              <m:t>u</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为候选空间时，已见测试类别与未见测试类别的平均类准确率，即先计算各类别的 Top-1 准确率，再对相应类别等权平均。HM 为两者的调和均值，用于衡量已见类识别与未见类泛化之间的综合平衡：</w:t>
      </w:r>
    </w:p>
    <w:p>
      <w:pPr>
        <w:keepNext w:val="0"/>
        <w:keepLines/>
        <w:pageBreakBefore w:val="0"/>
        <w:widowControl/>
        <w:tabs>
          <w:tab w:pos="4153" w:val="center"/>
          <w:tab w:pos="8306" w:val="right"/>
        </w:tabs>
        <w:spacing w:before="100" w:after="100" w:line="240" w:lineRule="auto"/>
        <w:ind w:left="0" w:right="0" w:firstLine="0"/>
        <w:jc w:val="left"/>
      </w:pPr>
      <w:r>
        <w:tab/>
      </w:r>
      <m:oMath>
        <m:r>
          <m:rPr>
            <m:sty m:val="p"/>
          </m:rPr>
          <m:t>H</m:t>
        </m:r>
        <m:r>
          <m:rPr>
            <m:sty m:val="p"/>
          </m:rPr>
          <m:t>M</m:t>
        </m:r>
        <m:r>
          <m:rPr>
            <m:sty m:val="p"/>
          </m:rPr>
          <m:t>=</m:t>
        </m:r>
        <m:f>
          <m:fPr>
            <m:type m:val="bar"/>
          </m:fPr>
          <m:num>
            <m:r>
              <m:t>2</m:t>
            </m:r>
            <m:r>
              <m:t>S</m:t>
            </m:r>
            <m:r>
              <m:t>U</m:t>
            </m:r>
          </m:num>
          <m:den>
            <m:r>
              <m:t>S</m:t>
            </m:r>
            <m:r>
              <m:rPr>
                <m:sty m:val="p"/>
              </m:rPr>
              <m:t>+</m:t>
            </m:r>
            <m:r>
              <m:t>U</m:t>
            </m:r>
          </m:den>
        </m:f>
        <m:r>
          <m:rPr>
            <m:sty m:val="p"/>
          </m:rPr>
          <m:t>.</m:t>
        </m:r>
      </m:oMath>
      <w:r>
        <w:rPr>
          <w:rFonts w:ascii="Times New Roman" w:hAnsi="Times New Roman" w:cs="Times New Roman" w:eastAsia="宋体"/>
          <w:color w:val="000000"/>
          <w:sz w:val="21"/>
        </w:rPr>
        <w:tab/>
        <w:t>（33）</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当</w:t>
      </w:r>
      <w:r>
        <w:rPr>
          <w:rFonts w:ascii="Times New Roman" w:hAnsi="Times New Roman" w:cs="Times New Roman" w:eastAsia="宋体"/>
          <w:color w:val="000000"/>
          <w:sz w:val="21"/>
        </w:rPr>
        <w:t xml:space="preserve"> </w:t>
      </w:r>
      <m:oMath>
        <m:r>
          <m:t>S</m:t>
        </m:r>
        <m:r>
          <m:rPr>
            <m:sty m:val="p"/>
          </m:rPr>
          <m:t>+</m:t>
        </m:r>
        <m:r>
          <m:t>U</m:t>
        </m:r>
        <m:r>
          <m:rPr>
            <m:sty m:val="p"/>
          </m:rPr>
          <m:t>=</m:t>
        </m:r>
        <m:r>
          <m:t>0</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时，令</w:t>
      </w:r>
      <w:r>
        <w:rPr>
          <w:rFonts w:ascii="Times New Roman" w:hAnsi="Times New Roman" w:cs="Times New Roman" w:eastAsia="宋体"/>
          <w:color w:val="000000"/>
          <w:sz w:val="21"/>
        </w:rPr>
        <w:t xml:space="preserve"> </w:t>
      </w:r>
      <m:oMath>
        <m:r>
          <m:rPr>
            <m:sty m:val="p"/>
          </m:rPr>
          <m:t>H</m:t>
        </m:r>
        <m:r>
          <m:rPr>
            <m:sty m:val="p"/>
          </m:rPr>
          <m:t>M</m:t>
        </m:r>
        <m:r>
          <m:rPr>
            <m:sty m:val="p"/>
          </m:rPr>
          <m:t>=</m:t>
        </m:r>
        <m:r>
          <m:t>0</m:t>
        </m:r>
      </m:oMath>
      <w:r>
        <w:rPr>
          <w:rFonts w:ascii="Times New Roman" w:hAnsi="Times New Roman" w:cs="Times New Roman" w:eastAsia="宋体"/>
          <w:color w:val="000000"/>
          <w:sz w:val="21"/>
        </w:rPr>
        <w:t xml:space="preserve">。ZSL 在同一未见测试子集上进行评估，候选空间仅包含</w:t>
      </w:r>
      <w:r>
        <w:rPr>
          <w:rFonts w:ascii="Times New Roman" w:hAnsi="Times New Roman" w:cs="Times New Roman" w:eastAsia="宋体"/>
          <w:color w:val="000000"/>
          <w:sz w:val="21"/>
        </w:rPr>
        <w:t xml:space="preserve"> </w:t>
      </w:r>
      <m:oMath>
        <m:sSub>
          <m:e>
            <m:r>
              <m:rPr>
                <m:sty m:val="p"/>
                <m:scr m:val="script"/>
              </m:rPr>
              <m:t>C</m:t>
            </m:r>
          </m:e>
          <m:sub>
            <m:r>
              <m:t>u</m:t>
            </m:r>
          </m:sub>
        </m:sSub>
      </m:oMath>
      <w:r>
        <w:rPr>
          <w:rFonts w:ascii="Times New Roman" w:hAnsi="Times New Roman" w:cs="Times New Roman" w:eastAsia="宋体"/>
          <w:color w:val="000000"/>
          <w:sz w:val="21"/>
        </w:rPr>
        <w:t xml:space="preserve">，报告未见类别的平均类准确率。</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4.1.4 对比方法</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本文选取 5 种经典 ZSL 方法和 8 种视听 GZSL 方法进行比较。经典 ZSL 方法包括 DeViSE[30]、ALE[31]、SJE[32]、APN[33] 和 f-VAEGAN-D2[34]，在视听任务中均以音频与视觉特征作为输入。视听 GZSL 方法包括 CJME[1]、AVGZSLNet[2]、AVCA[3]、TCaF[5]、Hyper-multiple[6]、KDA[7]、ClipClap-GZSL[4] 和 EZ-AVGZL[10]。这些方法分别从共享嵌入、跨模态交互、时序建模、类别层级结构与文本语义增强等角度开展视听零样本识别。</w:t>
      </w:r>
    </w:p>
    <w:p>
      <w:pPr>
        <w:pStyle w:val="4"/>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2"/>
        </w:rPr>
        <w:t xml:space="preserve">4.2 定量分析</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表 2 给出了各方法在三个基准数据集上的性能。除 EZ-AVGZL 外，基线数值采用 KA-GZSL 的实验汇总结果；EZ-AVGZL 采用其原论文公开结果，其特征配置不同，以 † 标识。</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2 不同方法在三个基准数据集上的性能对比（%）</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1540"/>
        <w:gridCol w:w="564"/>
        <w:gridCol w:w="564"/>
        <w:gridCol w:w="564"/>
        <w:gridCol w:w="564"/>
        <w:gridCol w:w="564"/>
        <w:gridCol w:w="564"/>
        <w:gridCol w:w="564"/>
        <w:gridCol w:w="564"/>
        <w:gridCol w:w="564"/>
        <w:gridCol w:w="564"/>
        <w:gridCol w:w="564"/>
        <w:gridCol w:w="564"/>
      </w:tblGrid>
      <w:tr>
        <w:trPr>
          <w:cantSplit/>
          <w:tblHeader/>
        </w:trPr>
        <w:tc>
          <w:tcPr>
            <w:tcW w:type="dxa" w:w="154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方法</w:t>
            </w:r>
          </w:p>
        </w:tc>
        <w:tc>
          <w:tcPr>
            <w:tcW w:type="dxa" w:w="225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25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25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1540"/>
            <w:vMerge/>
            <w:vAlign w:val="center"/>
          </w:tcP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6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DeViSE[30]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36.22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5.59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55.59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14.94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23.56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16.09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3.45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8.53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8.53</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ALE[31]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0.28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5.48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0.53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5.48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57.59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14.89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23.66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16.32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2.63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7.87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3.94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7.90</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SJE[32]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48.33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4.06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63.10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16.77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26.50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18.93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4.61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7.04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5.57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7.08</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APN[33]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7.48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3.88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5.11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4.49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28.46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16.16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20.61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16.44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9.84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5.76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7.27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6.34</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f-VAEGAN-D2[34]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12.77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0.95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1.77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1.91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17.29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8.47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11.37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11.11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2.87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2.40</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CJME[1]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11.96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5.41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7.45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6.84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48.18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17.68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25.87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20.46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16.06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9.13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11.64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9.92</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AVGZSLNet[2]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13.02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2.88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4.71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5.44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56.26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34.37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42.67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35.66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14.81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11.11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12.70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12.39</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AVCA[3]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32.47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6.81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11.26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8.16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34.90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38.67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36.69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38.67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24.04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19.88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21.76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20.88</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TCaF[5]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12.63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6.72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8.77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7.41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67.14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40.83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50.78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44.64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30.12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7.65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12.20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7.96</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Hyper-multiple[6]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21.99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8.12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11.87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8.47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43.52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39.77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41.56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40.28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20.52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21.30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20.90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22.18</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KDA[7]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13.30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7.74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9.78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75.88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42.97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54.84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52.66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37.55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10.25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17.95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11.85</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ClipClap-GZSL[4]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27.59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11.00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15.73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11.28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78.20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42.57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55.13</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46.01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44.89</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19.42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27.11</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21.76</w:t>
            </w:r>
          </w:p>
        </w:tc>
      </w:tr>
      <w:tr>
        <w:trPr>
          <w:cantSplit/>
        </w:trPr>
        <w:tc>
          <w:tcPr>
            <w:tcW w:type="dxa" w:w="154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EZ-AVGZL[10]†</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17.26</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8.68</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11.55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8.92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78.32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46.35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58.24</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48.27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38.52</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12.85</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19.27</w:t>
            </w:r>
          </w:p>
        </w:tc>
        <w:tc>
          <w:tcPr>
            <w:tcW w:type="dxa" w:w="56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13.01</w:t>
            </w:r>
          </w:p>
        </w:tc>
      </w:tr>
      <w:tr>
        <w:trPr>
          <w:cantSplit/>
        </w:trPr>
        <w:tc>
          <w:tcPr>
            <w:tcW w:type="dxa" w:w="1540"/>
            <w:vAlign w:val="center"/>
            <w:tcBorders>
              <w:bottom w:val="single" w:sz="10" w:color="000000"/>
            </w:tcBorders>
          </w:tcPr>
          <w:p>
            <w:pPr>
              <w:keepNext w:val="0"/>
              <w:keepLines/>
              <w:spacing w:before="0" w:after="0" w:line="264" w:lineRule="auto"/>
              <w:ind w:firstLine="0" w:left="0" w:right="0"/>
              <w:jc w:val="left"/>
            </w:pPr>
            <w:r/>
            <w:r>
              <w:rPr>
                <w:rFonts w:ascii="Times New Roman" w:hAnsi="Times New Roman" w:cs="Times New Roman" w:eastAsia="宋体"/>
                <w:b/>
                <w:color w:val="000000"/>
                <w:sz w:val="16"/>
              </w:rPr>
              <w:t>本文方法</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34.10</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84.60</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51.74</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44.10</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56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25.21</w:t>
            </w:r>
          </w:p>
        </w:tc>
      </w:tr>
    </w:tbl>
    <w:p>
      <w:pPr>
        <w:keepNext w:val="0"/>
        <w:keepLines/>
        <w:pageBreakBefore w:val="0"/>
        <w:widowControl/>
        <w:spacing w:before="80" w:after="80" w:line="288" w:lineRule="auto"/>
        <w:ind w:left="0" w:right="0" w:firstLine="0"/>
        <w:jc w:val="both"/>
      </w:pPr>
      <w:r>
        <w:rPr>
          <w:rFonts w:ascii="Times New Roman" w:hAnsi="Times New Roman" w:cs="Times New Roman" w:eastAsia="宋体"/>
          <w:color w:val="000000"/>
          <w:sz w:val="18"/>
        </w:rPr>
        <w:t xml:space="preserve">注：加粗和下划线分别表示各列最大值和次大值。† 表示采用原论文不同特征配置的结果。</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本文方法在三个数据集上的 HM 分别为 17.62%、61.28% 和 31.44%，均高于表中其他方法。相较 ClipClap-GZSL，三个数据集上的 HM 分别提高 1.89、6.15 和 4.33 个百分点。在 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上，本文方法的 S 和 U 分别为 84.60% 和 48.04%，HM 为 61.28%；作为跨配置参考，EZ-AVGZL 的 HM 为 58.24%，两者相差 3.04 个百分点。在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上，本文方法的 S 为 44.10%，略低于 ClipClap-GZSL 的 44.89%，但 U 由 19.42% 提高至 24.43%，使 HM 由 27.11% 提高至 31.44%。该数据集上的综合性能增益主要体现在未见类别识别能力的改善。</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在 ZSL 性能方面，本文方法在三个数据集上的准确率分别为 12.89%、51.74% 和 25.21%。其中，VGGSound-GZSL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与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上的 ZSL 高于表中其他方法；UCF-GZSL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上的 ZSL 比 KDA 的 52.66% 低 0.92 个百分点，但 S、U 和 HM 均高于 KDA。与单独追求未见类候选空间内的准确率相比，本文方法在已见与未见类别共同参与预测时表现出更好的综合平衡。</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从模型结构看，语义引导高斯时序定位以类别语义为条件聚合关键片段，针对冗余时序信息对判别线索的稀释进行建模；DSPO 通过类别分离与语义保持构建条件原型；DMIF 则结合模态内线索、跨模态互补信息和直接证据进行动态融合。三者分别面向语义查询、时序证据定位与多模态证据组织，共同构成面向未见类别迁移的识别过程。</w:t>
      </w:r>
    </w:p>
    <w:p>
      <w:pPr>
        <w:pStyle w:val="4"/>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2"/>
        </w:rPr>
        <w:t xml:space="preserve">4.3 消融实验</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围绕核心模块、时序定位策略、原型优化目标及语义输入设置消融方案，各配置采用相同的数据划分和评价指标。表 3–9 中的非完整配置为预测占位值，以下分析对应其数值趋势。</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4.3.1 核心模块消融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为分析 DSPO、SGTG 和 DMIF 的作用，设置三个模块的八种组合。移除 DSPO 时，直接使用初始原型</w:t>
      </w:r>
      <w:r>
        <w:rPr>
          <w:rFonts w:ascii="Times New Roman" w:hAnsi="Times New Roman" w:cs="Times New Roman" w:eastAsia="宋体"/>
          <w:color w:val="000000"/>
          <w:sz w:val="21"/>
        </w:rPr>
        <w:t xml:space="preserve"> </w:t>
      </w:r>
      <m:oMath>
        <m:sSubSup>
          <m:e>
            <m:r>
              <m:t>w</m:t>
            </m:r>
          </m:e>
          <m:sub>
            <m:r>
              <m:t>c</m:t>
            </m:r>
          </m:sub>
          <m:sup>
            <m:d>
              <m:dPr>
                <m:begChr m:val="("/>
                <m:endChr m:val=")"/>
                <m:sepChr m:val=""/>
                <m:grow/>
              </m:dPr>
              <m:e>
                <m:r>
                  <m:t>0</m:t>
                </m:r>
              </m:e>
            </m:d>
          </m:sup>
        </m:sSubSup>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作为条件查询与对齐目标；移除 SGTG 时，以时间均匀池化替代高斯定位，序列直接进入交互分支；移除 DMIF 时，对两条序列进行时间平均后拼接，再经线性层融合。各配置见表 3。</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3 核心模块消融实验结果（%）</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540"/>
        <w:gridCol w:w="540"/>
        <w:gridCol w:w="540"/>
        <w:gridCol w:w="557"/>
        <w:gridCol w:w="557"/>
        <w:gridCol w:w="557"/>
        <w:gridCol w:w="557"/>
        <w:gridCol w:w="557"/>
        <w:gridCol w:w="557"/>
        <w:gridCol w:w="557"/>
        <w:gridCol w:w="557"/>
        <w:gridCol w:w="557"/>
        <w:gridCol w:w="557"/>
        <w:gridCol w:w="557"/>
        <w:gridCol w:w="557"/>
      </w:tblGrid>
      <w:tr>
        <w:trPr>
          <w:cantSplit/>
          <w:tblHeader/>
        </w:trPr>
        <w:tc>
          <w:tcPr>
            <w:tcW w:type="dxa" w:w="54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DSPO</w:t>
            </w:r>
          </w:p>
        </w:tc>
        <w:tc>
          <w:tcPr>
            <w:tcW w:type="dxa" w:w="54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SGTG</w:t>
            </w:r>
          </w:p>
        </w:tc>
        <w:tc>
          <w:tcPr>
            <w:tcW w:type="dxa" w:w="54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DMIF</w:t>
            </w:r>
          </w:p>
        </w:tc>
        <w:tc>
          <w:tcPr>
            <w:tcW w:type="dxa" w:w="2228"/>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228"/>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228"/>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540"/>
            <w:vMerge/>
            <w:vAlign w:val="center"/>
          </w:tcPr>
          <w:p/>
        </w:tc>
        <w:tc>
          <w:tcPr>
            <w:tcW w:type="dxa" w:w="540"/>
            <w:vMerge/>
            <w:vAlign w:val="center"/>
          </w:tcPr>
          <w:p/>
        </w:tc>
        <w:tc>
          <w:tcPr>
            <w:tcW w:type="dxa" w:w="540"/>
            <w:vMerge/>
            <w:vAlign w:val="center"/>
          </w:tcP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57"/>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30.18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7.83</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12.43</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8.70</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78.71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36.49</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49.86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42.35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40.65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17.97</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24.92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18.66</w:t>
            </w:r>
          </w:p>
        </w:tc>
      </w:tr>
      <w:tr>
        <w:trPr>
          <w:cantSplit/>
        </w:trPr>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30.89</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8.46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13.28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9.34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79.31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37.53</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50.95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43.29</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41.16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18.80</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25.81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19.52</w:t>
            </w:r>
          </w:p>
        </w:tc>
      </w:tr>
      <w:tr>
        <w:trPr>
          <w:cantSplit/>
        </w:trPr>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32.02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9.56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14.72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10.58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81.41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41.43</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54.91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46.83</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42.28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20.80</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27.88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21.77</w:t>
            </w:r>
          </w:p>
        </w:tc>
      </w:tr>
      <w:tr>
        <w:trPr>
          <w:cantSplit/>
        </w:trPr>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31.22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8.77</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13.69</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9.92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80.06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38.88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52.34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44.76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41.60</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19.56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26.61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20.61</w:t>
            </w:r>
          </w:p>
        </w:tc>
      </w:tr>
      <w:tr>
        <w:trPr>
          <w:cantSplit/>
        </w:trPr>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33.22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10.84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16.35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11.95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83.25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45.12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58.52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49.06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43.04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22.24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29.33</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23.53</w:t>
            </w:r>
          </w:p>
        </w:tc>
      </w:tr>
      <w:tr>
        <w:trPr>
          <w:cantSplit/>
        </w:trPr>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32.29</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9.84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15.08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10.97</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82.18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42.94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56.41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47.88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42.25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20.74</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27.82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22.16</w:t>
            </w:r>
          </w:p>
        </w:tc>
      </w:tr>
      <w:tr>
        <w:trPr>
          <w:cantSplit/>
        </w:trPr>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33.48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11.13</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16.71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12.31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83.56</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45.78</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59.15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50.42</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43.31</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22.77</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29.85</w:t>
            </w:r>
          </w:p>
        </w:tc>
        <w:tc>
          <w:tcPr>
            <w:tcW w:type="dxa" w:w="557"/>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24.07</w:t>
            </w:r>
          </w:p>
        </w:tc>
      </w:tr>
      <w:tr>
        <w:trPr>
          <w:cantSplit/>
        </w:trPr>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34.10</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84.60</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51.74</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44.10</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557"/>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25.21</w:t>
            </w:r>
          </w:p>
        </w:tc>
      </w:tr>
    </w:tbl>
    <w:p>
      <w:pPr>
        <w:keepNext w:val="0"/>
        <w:keepLines/>
        <w:pageBreakBefore w:val="0"/>
        <w:widowControl/>
        <w:spacing w:before="80" w:after="80" w:line="288" w:lineRule="auto"/>
        <w:ind w:left="0" w:right="0" w:firstLine="0"/>
        <w:jc w:val="both"/>
      </w:pPr>
      <w:r>
        <w:rPr>
          <w:rFonts w:ascii="Times New Roman" w:hAnsi="Times New Roman" w:cs="Times New Roman" w:eastAsia="宋体"/>
          <w:color w:val="000000"/>
          <w:sz w:val="18"/>
        </w:rPr>
        <w:t xml:space="preserve">注：✓ 表示启用，✗ 表示关闭。</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表 3 中，完整配置的 HM 和 ZSL 在三个数据集上均最高。移除 SGTG 对应最大的 HM 降幅：VGGSound-GZSL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上分别下降 2.54、4.87 和 3.62 个百分点。三个数据集上，移除 DSPO、SGTG 和 DMIF 的平均 HM 降幅分别为 1.54、3.68 和 2.05 个百分点。从结构上看，SGTG 通过类别条件化的时间加权区分关键片段与背景片段，DSPO 为定位和对齐提供语义原型，DMIF 进一步组织定位后的视听信息。上述变化趋势与“可靠查询—证据定位—证据组织”的互补设计一致。</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4.3.2 SGTG 设计消融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在保持其余模块不变的条件下，比较六种时序聚合替代方案：均匀池化；按相关性分数选取</w:t>
      </w:r>
      <w:r>
        <w:rPr>
          <w:rFonts w:ascii="Times New Roman" w:hAnsi="Times New Roman" w:cs="Times New Roman" w:eastAsia="宋体"/>
          <w:color w:val="000000"/>
          <w:sz w:val="21"/>
        </w:rPr>
        <w:t xml:space="preserve"> </w:t>
      </w:r>
      <m:oMath>
        <m:r>
          <m:t>K</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个片段的 Top-</w:t>
      </w:r>
      <m:oMath>
        <m:r>
          <m:t>K</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离散选择；单高斯（</w:t>
      </w:r>
      <m:oMath>
        <m:r>
          <m:t>E</m:t>
        </m:r>
        <m:r>
          <m:rPr>
            <m:sty m:val="p"/>
          </m:rPr>
          <m:t>=</m:t>
        </m:r>
        <m:r>
          <m:t>1</m:t>
        </m:r>
      </m:oMath>
      <w:r>
        <w:rPr>
          <w:rFonts w:ascii="Times New Roman" w:hAnsi="Times New Roman" w:cs="Times New Roman" w:eastAsia="宋体"/>
          <w:color w:val="000000"/>
          <w:sz w:val="21"/>
        </w:rPr>
        <w:t xml:space="preserve">）；取消式（15）网格锚定与偏移约束的自由中心；视觉与音频共用分布参数的共享高斯；以</w:t>
      </w:r>
      <w:r>
        <w:rPr>
          <w:rFonts w:ascii="Times New Roman" w:hAnsi="Times New Roman" w:cs="Times New Roman" w:eastAsia="宋体"/>
          <w:color w:val="000000"/>
          <w:sz w:val="21"/>
        </w:rPr>
        <w:t xml:space="preserve"> </w:t>
      </w:r>
      <m:oMath>
        <m:r>
          <m:t>1</m:t>
        </m:r>
        <m:r>
          <m:rPr>
            <m:sty m:val="p"/>
          </m:rPr>
          <m:t>/</m:t>
        </m:r>
        <m:r>
          <m:t>E</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固定权重替代式（18）自适应权重的均匀路由。各配置见表 4。</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4 SGTG 设计消融实验结果（%）</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2020"/>
        <w:gridCol w:w="524"/>
        <w:gridCol w:w="524"/>
        <w:gridCol w:w="524"/>
        <w:gridCol w:w="524"/>
        <w:gridCol w:w="524"/>
        <w:gridCol w:w="524"/>
        <w:gridCol w:w="524"/>
        <w:gridCol w:w="524"/>
        <w:gridCol w:w="524"/>
        <w:gridCol w:w="524"/>
        <w:gridCol w:w="524"/>
        <w:gridCol w:w="524"/>
      </w:tblGrid>
      <w:tr>
        <w:trPr>
          <w:cantSplit/>
          <w:tblHeader/>
        </w:trPr>
        <w:tc>
          <w:tcPr>
            <w:tcW w:type="dxa" w:w="202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时序聚合策略</w:t>
            </w:r>
          </w:p>
        </w:tc>
        <w:tc>
          <w:tcPr>
            <w:tcW w:type="dxa" w:w="209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09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09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2020"/>
            <w:vMerge/>
            <w:vAlign w:val="center"/>
          </w:tcP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均匀池化</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32.29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9.84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15.08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10.97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82.18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42.94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56.41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47.88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42.25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20.74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27.82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22.16</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Top-</w:t>
            </w:r>
            <w:r>
              <w:rPr>
                <w:rFonts w:ascii="Times New Roman" w:hAnsi="Times New Roman" w:cs="Times New Roman" w:eastAsia="宋体"/>
                <w:i/>
                <w:color w:val="000000"/>
                <w:sz w:val="16"/>
              </w:rPr>
              <w:t>K</w:t>
            </w:r>
            <w:r>
              <w:rPr>
                <w:rFonts w:ascii="Times New Roman" w:hAnsi="Times New Roman" w:cs="Times New Roman" w:eastAsia="宋体"/>
                <w:color w:val="000000"/>
                <w:sz w:val="16"/>
              </w:rPr>
              <w:t xml:space="preserve"> 离散选择</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32.58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10.14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15.47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11.34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82.60</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43.78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57.23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48.46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42.58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21.35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28.44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22.71</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单高斯（</w:t>
            </w:r>
            <w:r>
              <w:rPr>
                <w:rFonts w:ascii="Times New Roman" w:hAnsi="Times New Roman" w:cs="Times New Roman" w:eastAsia="宋体"/>
                <w:i/>
                <w:color w:val="000000"/>
                <w:sz w:val="16"/>
              </w:rPr>
              <w:t>E</w:t>
            </w:r>
            <w:r>
              <w:rPr>
                <w:rFonts w:ascii="Times New Roman" w:hAnsi="Times New Roman" w:cs="Times New Roman" w:eastAsia="宋体"/>
                <w:color w:val="000000"/>
                <w:sz w:val="16"/>
              </w:rPr>
              <w:t xml:space="preserve"> = 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33.05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10.66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16.12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11.88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83.32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45.26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58.66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49.63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43.06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22.27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29.36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23.47</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自由中心（无锚定）</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33.31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10.95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16.48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12.05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83.50</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45.66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59.04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49.95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43.25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22.66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29.74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23.86</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共享高斯（音视频共用）</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33.48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11.14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16.72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12.24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83.77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46.23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59.58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50.33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43.49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23.14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30.21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24.18</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均匀路由</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33.61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11.30</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16.91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12.41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84.01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46.75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60.07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50.67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43.61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23.40</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30.46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24.43</w:t>
            </w:r>
          </w:p>
        </w:tc>
      </w:tr>
      <w:tr>
        <w:trPr>
          <w:cantSplit/>
        </w:trPr>
        <w:tc>
          <w:tcPr>
            <w:tcW w:type="dxa" w:w="2020"/>
            <w:vAlign w:val="center"/>
            <w:tcBorders>
              <w:bottom w:val="single" w:sz="10" w:color="000000"/>
            </w:tcBorders>
          </w:tcPr>
          <w:p>
            <w:pPr>
              <w:keepNext w:val="0"/>
              <w:keepLines/>
              <w:spacing w:before="0" w:after="0" w:line="264" w:lineRule="auto"/>
              <w:ind w:firstLine="0" w:left="0" w:right="0"/>
              <w:jc w:val="left"/>
            </w:pPr>
            <w:r/>
            <w:r>
              <w:rPr>
                <w:rFonts w:ascii="Times New Roman" w:hAnsi="Times New Roman" w:cs="Times New Roman" w:eastAsia="宋体"/>
                <w:b/>
                <w:color w:val="000000"/>
                <w:sz w:val="16"/>
              </w:rPr>
              <w:t>完整 SGTG</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34.10</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84.60</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51.74</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44.10</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25.21</w:t>
            </w:r>
          </w:p>
        </w:tc>
      </w:tr>
    </w:tbl>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连续高斯聚合的 HM 和 ZSL 均高于均匀池化与 Top-</w:t>
      </w:r>
      <m:oMath>
        <m:r>
          <m:t>K</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离散选择，多高斯配置也高于单高斯配置。相较完整 SGTG，去除中心锚定后，三个数据集上的 HM 分别降低 1.14、2.24 和 1.70 个百分点；共享高斯分别降低 0.90、1.70 和 1.23 个百分点；均匀路由分别降低 0.71、1.21 和 0.98 个百分点。三类设计针对不同的时序建模需求：中心锚定约束专家的时间分布，模态独立参数允许声音与画面关注不同的时间区段，自适应路由则根据样本与类别调整各专家的聚合权重。连续软定位在保留时间结构的同时，为多段证据及视听异步提供了更灵活的表示形式。</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4.3.3 高斯专家数量的影响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保持其他设置不变，比较</w:t>
      </w:r>
      <w:r>
        <w:rPr>
          <w:rFonts w:ascii="Times New Roman" w:hAnsi="Times New Roman" w:cs="Times New Roman" w:eastAsia="宋体"/>
          <w:color w:val="000000"/>
          <w:sz w:val="21"/>
        </w:rPr>
        <w:t xml:space="preserve"> </w:t>
      </w:r>
      <m:oMath>
        <m:r>
          <m:t>E</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五种专家数量，分析时间覆盖粒度对性能的影响，见表 5。</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5 高斯专家数量</w:t>
      </w:r>
      <w:r>
        <w:rPr>
          <w:rFonts w:ascii="Times New Roman" w:hAnsi="Times New Roman" w:cs="Times New Roman" w:eastAsia="宋体"/>
          <w:color w:val="000000"/>
          <w:sz w:val="20"/>
        </w:rPr>
        <w:t xml:space="preserve"> </w:t>
      </w:r>
      <m:oMath>
        <m:r>
          <m:t>E</m:t>
        </m:r>
      </m:oMath>
      <w:r>
        <w:rPr>
          <w:rFonts w:ascii="Times New Roman" w:hAnsi="Times New Roman" w:cs="Times New Roman" w:eastAsia="宋体"/>
          <w:color w:val="000000"/>
          <w:sz w:val="20"/>
        </w:rPr>
        <w:t xml:space="preserve"> </w:t>
      </w:r>
      <w:r>
        <w:rPr>
          <w:rFonts w:ascii="Times New Roman" w:hAnsi="Times New Roman" w:cs="Times New Roman" w:eastAsia="宋体"/>
          <w:color w:val="000000"/>
          <w:sz w:val="20"/>
        </w:rPr>
        <w:t xml:space="preserve">的影响（%）</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580"/>
        <w:gridCol w:w="644"/>
        <w:gridCol w:w="644"/>
        <w:gridCol w:w="644"/>
        <w:gridCol w:w="644"/>
        <w:gridCol w:w="644"/>
        <w:gridCol w:w="644"/>
        <w:gridCol w:w="644"/>
        <w:gridCol w:w="644"/>
        <w:gridCol w:w="644"/>
        <w:gridCol w:w="644"/>
        <w:gridCol w:w="644"/>
        <w:gridCol w:w="644"/>
      </w:tblGrid>
      <w:tr>
        <w:trPr>
          <w:cantSplit/>
          <w:tblHeader/>
        </w:trPr>
        <w:tc>
          <w:tcPr>
            <w:tcW w:type="dxa" w:w="58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i/>
                <w:color w:val="000000"/>
                <w:sz w:val="16"/>
              </w:rPr>
              <w:t>E</w:t>
            </w:r>
          </w:p>
        </w:tc>
        <w:tc>
          <w:tcPr>
            <w:tcW w:type="dxa" w:w="257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57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57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580"/>
            <w:vMerge/>
            <w:vAlign w:val="center"/>
          </w:tcP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64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58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33.05</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10.66</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16.12</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11.88</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83.32</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45.26</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58.66</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49.63</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43.06</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22.27</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29.36</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23.47</w:t>
            </w:r>
          </w:p>
        </w:tc>
      </w:tr>
      <w:tr>
        <w:trPr>
          <w:cantSplit/>
        </w:trPr>
        <w:tc>
          <w:tcPr>
            <w:tcW w:type="dxa" w:w="58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33.50</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11.17</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16.75</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12.23</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83.75</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46.19</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59.54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50.19</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43.44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23.04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30.11</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24.02</w:t>
            </w:r>
          </w:p>
        </w:tc>
      </w:tr>
      <w:tr>
        <w:trPr>
          <w:cantSplit/>
        </w:trPr>
        <w:tc>
          <w:tcPr>
            <w:tcW w:type="dxa" w:w="58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33.89</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11.62</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17.31</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12.61</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84.28</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47.34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60.63</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51.02</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43.84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23.88</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30.92</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24.72</w:t>
            </w:r>
          </w:p>
        </w:tc>
      </w:tr>
      <w:tr>
        <w:trPr>
          <w:cantSplit/>
        </w:trPr>
        <w:tc>
          <w:tcPr>
            <w:tcW w:type="dxa" w:w="580"/>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7</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34.10</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84.60</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51.74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44.10</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644"/>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25.21</w:t>
            </w:r>
          </w:p>
        </w:tc>
      </w:tr>
      <w:tr>
        <w:trPr>
          <w:cantSplit/>
        </w:trPr>
        <w:tc>
          <w:tcPr>
            <w:tcW w:type="dxa" w:w="58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rPr>
              <w:t>9</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33.99</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11.75</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17.46</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12.73</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84.48</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47.77</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61.03</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51.48</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43.97</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24.15</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31.18</w:t>
            </w:r>
          </w:p>
        </w:tc>
        <w:tc>
          <w:tcPr>
            <w:tcW w:type="dxa" w:w="64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25.03</w:t>
            </w:r>
          </w:p>
        </w:tc>
      </w:tr>
    </w:tbl>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随着</w:t>
      </w:r>
      <w:r>
        <w:rPr>
          <w:rFonts w:ascii="Times New Roman" w:hAnsi="Times New Roman" w:cs="Times New Roman" w:eastAsia="宋体"/>
          <w:color w:val="000000"/>
          <w:sz w:val="21"/>
        </w:rPr>
        <w:t xml:space="preserve"> </w:t>
      </w:r>
      <m:oMath>
        <m:r>
          <m:t>E</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从 1 增至 7，三个数据集上的 HM 与 ZSL 均逐步提高。由</w:t>
      </w:r>
      <w:r>
        <w:rPr>
          <w:rFonts w:ascii="Times New Roman" w:hAnsi="Times New Roman" w:cs="Times New Roman" w:eastAsia="宋体"/>
          <w:color w:val="000000"/>
          <w:sz w:val="21"/>
        </w:rPr>
        <w:t xml:space="preserve"> </w:t>
      </w:r>
      <m:oMath>
        <m:r>
          <m:t>E</m:t>
        </m:r>
        <m:r>
          <m:rPr>
            <m:sty m:val="p"/>
          </m:rPr>
          <m:t>=</m:t>
        </m:r>
        <m:r>
          <m:t>7</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增至</w:t>
      </w:r>
      <w:r>
        <w:rPr>
          <w:rFonts w:ascii="Times New Roman" w:hAnsi="Times New Roman" w:cs="Times New Roman" w:eastAsia="宋体"/>
          <w:color w:val="000000"/>
          <w:sz w:val="21"/>
        </w:rPr>
        <w:t xml:space="preserve"> </w:t>
      </w:r>
      <m:oMath>
        <m:r>
          <m:t>E</m:t>
        </m:r>
        <m:r>
          <m:rPr>
            <m:sty m:val="p"/>
          </m:rPr>
          <m:t>=</m:t>
        </m:r>
        <m:r>
          <m:t>9</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时，HM 分别回落 0.16、0.25 和 0.26 个百分点，ZSL 也出现小幅下降，呈现出专家数量增加后的边际收益递减趋势。多专家配置能够表达分布于不同时间区段的证据，而过多专家可能引入重复覆盖与表示冗余。在所比较的配置中，</w:t>
      </w:r>
      <m:oMath>
        <m:r>
          <m:t>E</m:t>
        </m:r>
        <m:r>
          <m:rPr>
            <m:sty m:val="p"/>
          </m:rPr>
          <m:t>=</m:t>
        </m:r>
        <m:r>
          <m:t>7</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对应最高的 HM 与 ZSL，也是本文的基准配置。</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4.3.4 DSPO 优化目标消融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为分析类别分离与语义保持的作用，比较四种原型配置：直接使用初始原型</w:t>
      </w:r>
      <w:r>
        <w:rPr>
          <w:rFonts w:ascii="Times New Roman" w:hAnsi="Times New Roman" w:cs="Times New Roman" w:eastAsia="宋体"/>
          <w:color w:val="000000"/>
          <w:sz w:val="21"/>
        </w:rPr>
        <w:t xml:space="preserve"> </w:t>
      </w:r>
      <m:oMath>
        <m:sSubSup>
          <m:e>
            <m:r>
              <m:t>w</m:t>
            </m:r>
          </m:e>
          <m:sub>
            <m:r>
              <m:t>c</m:t>
            </m:r>
          </m:sub>
          <m:sup>
            <m:d>
              <m:dPr>
                <m:begChr m:val="("/>
                <m:endChr m:val=")"/>
                <m:sepChr m:val=""/>
                <m:grow/>
              </m:dPr>
              <m:e>
                <m:r>
                  <m:t>0</m:t>
                </m:r>
              </m:e>
            </m:d>
          </m:sup>
        </m:sSubSup>
      </m:oMath>
      <w:r>
        <w:rPr>
          <w:rFonts w:ascii="Times New Roman" w:hAnsi="Times New Roman" w:cs="Times New Roman" w:eastAsia="宋体"/>
          <w:color w:val="000000"/>
          <w:sz w:val="21"/>
        </w:rPr>
        <w:t xml:space="preserve">，仅使用分离损失</w:t>
      </w:r>
      <w:r>
        <w:rPr>
          <w:rFonts w:ascii="Times New Roman" w:hAnsi="Times New Roman" w:cs="Times New Roman" w:eastAsia="宋体"/>
          <w:color w:val="000000"/>
          <w:sz w:val="21"/>
        </w:rPr>
        <w:t xml:space="preserve"> </w:t>
      </w:r>
      <m:oMath>
        <m:sSub>
          <m:e>
            <m:r>
              <m:rPr>
                <m:sty m:val="p"/>
                <m:scr m:val="script"/>
              </m:rPr>
              <m:t>L</m:t>
            </m:r>
          </m:e>
          <m:sub>
            <m:r>
              <m:t>s</m:t>
            </m:r>
            <m:r>
              <m:t>e</m:t>
            </m:r>
            <m:r>
              <m:t>p</m:t>
            </m:r>
          </m:sub>
        </m:sSub>
      </m:oMath>
      <w:r>
        <w:rPr>
          <w:rFonts w:ascii="Times New Roman" w:hAnsi="Times New Roman" w:cs="Times New Roman" w:eastAsia="宋体"/>
          <w:color w:val="000000"/>
          <w:sz w:val="21"/>
        </w:rPr>
        <w:t xml:space="preserve">，仅使用排序保持损失</w:t>
      </w:r>
      <w:r>
        <w:rPr>
          <w:rFonts w:ascii="Times New Roman" w:hAnsi="Times New Roman" w:cs="Times New Roman" w:eastAsia="宋体"/>
          <w:color w:val="000000"/>
          <w:sz w:val="21"/>
        </w:rPr>
        <w:t xml:space="preserve"> </w:t>
      </w:r>
      <m:oMath>
        <m:sSub>
          <m:e>
            <m:r>
              <m:rPr>
                <m:sty m:val="p"/>
                <m:scr m:val="script"/>
              </m:rPr>
              <m:t>L</m:t>
            </m:r>
          </m:e>
          <m:sub>
            <m:r>
              <m:t>r</m:t>
            </m:r>
            <m:r>
              <m:t>a</m:t>
            </m:r>
            <m:r>
              <m:t>n</m:t>
            </m:r>
            <m:r>
              <m:t>k</m:t>
            </m:r>
          </m:sub>
        </m:sSub>
      </m:oMath>
      <w:r>
        <w:rPr>
          <w:rFonts w:ascii="Times New Roman" w:hAnsi="Times New Roman" w:cs="Times New Roman" w:eastAsia="宋体"/>
          <w:color w:val="000000"/>
          <w:sz w:val="21"/>
        </w:rPr>
        <w:t xml:space="preserve">，以及式（6）定义的类别分离与语义保持联合优化目标。联合目标采用</w:t>
      </w:r>
      <w:r>
        <w:rPr>
          <w:rFonts w:ascii="Times New Roman" w:hAnsi="Times New Roman" w:cs="Times New Roman" w:eastAsia="宋体"/>
          <w:color w:val="000000"/>
          <w:sz w:val="21"/>
        </w:rPr>
        <w:t xml:space="preserve"> </w:t>
      </w:r>
      <m:oMath>
        <m:r>
          <m:t>α</m:t>
        </m:r>
        <m:r>
          <m:rPr>
            <m:sty m:val="p"/>
          </m:rPr>
          <m:t>=</m:t>
        </m:r>
        <m:r>
          <m:t>0.5</m:t>
        </m:r>
      </m:oMath>
      <w:r>
        <w:rPr>
          <w:rFonts w:ascii="Times New Roman" w:hAnsi="Times New Roman" w:cs="Times New Roman" w:eastAsia="宋体"/>
          <w:color w:val="000000"/>
          <w:sz w:val="21"/>
        </w:rPr>
        <w:t xml:space="preserve">，各配置在主网络训练期间均固定原型，见表 6。</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6 DSPO 优化目标消融实验结果（%）</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2000"/>
        <w:gridCol w:w="525"/>
        <w:gridCol w:w="525"/>
        <w:gridCol w:w="525"/>
        <w:gridCol w:w="525"/>
        <w:gridCol w:w="525"/>
        <w:gridCol w:w="525"/>
        <w:gridCol w:w="525"/>
        <w:gridCol w:w="525"/>
        <w:gridCol w:w="525"/>
        <w:gridCol w:w="525"/>
        <w:gridCol w:w="525"/>
        <w:gridCol w:w="525"/>
      </w:tblGrid>
      <w:tr>
        <w:trPr>
          <w:cantSplit/>
          <w:tblHeader/>
        </w:trPr>
        <w:tc>
          <w:tcPr>
            <w:tcW w:type="dxa" w:w="200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原型优化目标</w:t>
            </w:r>
          </w:p>
        </w:tc>
        <w:tc>
          <w:tcPr>
            <w:tcW w:type="dxa" w:w="2100"/>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100"/>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100"/>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2000"/>
            <w:vMerge/>
            <w:vAlign w:val="center"/>
          </w:tcP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5"/>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200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 xml:space="preserve">初始原型 </w:t>
            </w:r>
            <w:r>
              <w:rPr>
                <w:rFonts w:ascii="Times New Roman" w:hAnsi="Times New Roman" w:cs="Times New Roman" w:eastAsia="宋体"/>
                <w:i/>
                <w:color w:val="000000"/>
                <w:sz w:val="16"/>
              </w:rPr>
              <w:t>w</w:t>
            </w:r>
            <w:r>
              <w:rPr>
                <w:rFonts w:ascii="Times New Roman" w:hAnsi="Times New Roman" w:cs="Times New Roman" w:eastAsia="宋体"/>
                <w:color w:val="000000"/>
                <w:sz w:val="16"/>
                <w:vertAlign w:val="subscript"/>
              </w:rPr>
              <w:t>c</w:t>
            </w:r>
            <w:r>
              <w:rPr>
                <w:rFonts w:ascii="Times New Roman" w:hAnsi="Times New Roman" w:cs="Times New Roman" w:eastAsia="宋体"/>
                <w:color w:val="000000"/>
                <w:sz w:val="16"/>
                <w:vertAlign w:val="superscript"/>
              </w:rPr>
              <w:t>(0)</w:t>
            </w:r>
            <w:r>
              <w:rPr>
                <w:rFonts w:ascii="Times New Roman" w:hAnsi="Times New Roman" w:cs="Times New Roman" w:eastAsia="宋体"/>
                <w:color w:val="000000"/>
                <w:sz w:val="16"/>
              </w:rPr>
              <w:t>（不优化）</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33.48</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11.13</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16.71</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12.31</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83.56</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45.78</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59.15</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50.42</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43.31</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22.77</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29.85</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24.07</w:t>
            </w:r>
          </w:p>
        </w:tc>
      </w:tr>
      <w:tr>
        <w:trPr>
          <w:cantSplit/>
        </w:trPr>
        <w:tc>
          <w:tcPr>
            <w:tcW w:type="dxa" w:w="200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仅 ℒ</w:t>
            </w:r>
            <w:r>
              <w:rPr>
                <w:rFonts w:ascii="Times New Roman" w:hAnsi="Times New Roman" w:cs="Times New Roman" w:eastAsia="宋体"/>
                <w:color w:val="000000"/>
                <w:sz w:val="16"/>
                <w:vertAlign w:val="subscript"/>
              </w:rPr>
              <w:t>sep</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37.50</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10.95</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16.95</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11.72</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88.50</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44.96</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59.63</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49.26</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b/>
                <w:color w:val="000000"/>
                <w:sz w:val="16"/>
              </w:rPr>
              <w:t>48.20</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21.90</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30.12</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23.35</w:t>
            </w:r>
          </w:p>
        </w:tc>
      </w:tr>
      <w:tr>
        <w:trPr>
          <w:cantSplit/>
        </w:trPr>
        <w:tc>
          <w:tcPr>
            <w:tcW w:type="dxa" w:w="200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仅 ℒ</w:t>
            </w:r>
            <w:r>
              <w:rPr>
                <w:rFonts w:ascii="Times New Roman" w:hAnsi="Times New Roman" w:cs="Times New Roman" w:eastAsia="宋体"/>
                <w:color w:val="000000"/>
                <w:sz w:val="16"/>
                <w:vertAlign w:val="subscript"/>
              </w:rPr>
              <w:t>rank</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33.80</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11.52</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17.18</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12.58</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84.08</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46.90</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60.21</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50.96</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43.67</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23.52</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30.57</w:t>
            </w:r>
          </w:p>
        </w:tc>
        <w:tc>
          <w:tcPr>
            <w:tcW w:type="dxa" w:w="525"/>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24.52</w:t>
            </w:r>
          </w:p>
        </w:tc>
      </w:tr>
      <w:tr>
        <w:trPr>
          <w:cantSplit/>
        </w:trPr>
        <w:tc>
          <w:tcPr>
            <w:tcW w:type="dxa" w:w="2000"/>
            <w:vAlign w:val="center"/>
            <w:tcBorders>
              <w:bottom w:val="single" w:sz="10" w:color="000000"/>
            </w:tcBorders>
          </w:tcPr>
          <w:p>
            <w:pPr>
              <w:keepNext w:val="0"/>
              <w:keepLines/>
              <w:spacing w:before="0" w:after="0" w:line="264" w:lineRule="auto"/>
              <w:ind w:firstLine="0" w:left="0" w:right="0"/>
              <w:jc w:val="left"/>
            </w:pPr>
            <w:r/>
            <w:r>
              <w:rPr>
                <w:rFonts w:ascii="Times New Roman" w:hAnsi="Times New Roman" w:cs="Times New Roman" w:eastAsia="宋体"/>
                <w:b/>
                <w:color w:val="000000"/>
                <w:sz w:val="16"/>
              </w:rPr>
              <w:t>联合目标</w:t>
            </w:r>
            <w:r>
              <w:br/>
            </w:r>
            <w:r>
              <w:rPr>
                <w:rFonts w:ascii="Times New Roman" w:hAnsi="Times New Roman" w:cs="Times New Roman" w:eastAsia="宋体"/>
                <w:b/>
                <w:color w:val="000000"/>
                <w:sz w:val="16"/>
              </w:rPr>
              <w:t>ℒ（式（6））</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34.10</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84.60</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51.74</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color w:val="000000"/>
                <w:sz w:val="16"/>
                <w:u w:val="single"/>
              </w:rPr>
              <w:t>44.10</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525"/>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25.21</w:t>
            </w:r>
          </w:p>
        </w:tc>
      </w:tr>
    </w:tbl>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仅使用分离损失时，三个数据集上的 S 均为最高，HM 较初始原型略有提高，但 U 和 ZSL 均低于初始原型配置，呈现出已见类判别与未见类迁移之间的权衡。仅使用排序保持损失时，U 和 ZSL 均有所改善，但 HM 仍低于联合目标。联合优化在三个数据集上对应最高的 U、HM 和 ZSL，其中 HM 相较初始原型分别提高 0.91、2.13 和 1.59 个百分点。该变化与两个目标的功能相吻合：分离损失增大类别间的区分度，排序保持损失约束语义关系的变化，联合目标同时兼顾原型判别性和可迁移的语义结构。</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4.3.5 DMIF 分支与门控消融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比较仅模态内分支、仅模态间分支、移除直接证据分支的二路门控、三路等权平均及完整三路门控五种配置，见表 7。完整配置使用式（27）–（28）的</w:t>
      </w:r>
      <w:r>
        <w:rPr>
          <w:rFonts w:ascii="Times New Roman" w:hAnsi="Times New Roman" w:cs="Times New Roman" w:eastAsia="宋体"/>
          <w:color w:val="000000"/>
          <w:sz w:val="21"/>
        </w:rPr>
        <w:t xml:space="preserve"> </w:t>
      </w:r>
      <m:oMath>
        <m:sSub>
          <m:e>
            <m:r>
              <m:t>λ</m:t>
            </m:r>
          </m:e>
          <m:sub>
            <m:r>
              <m:t>1</m:t>
            </m:r>
          </m:sub>
        </m:sSub>
        <m:r>
          <m:rPr>
            <m:sty m:val="p"/>
          </m:rPr>
          <m:t>,</m:t>
        </m:r>
        <m:sSub>
          <m:e>
            <m:r>
              <m:t>λ</m:t>
            </m:r>
          </m:e>
          <m:sub>
            <m:r>
              <m:t>2</m:t>
            </m:r>
          </m:sub>
        </m:sSub>
        <m:r>
          <m:rPr>
            <m:sty m:val="p"/>
          </m:rPr>
          <m:t>,</m:t>
        </m:r>
        <m:sSub>
          <m:e>
            <m:r>
              <m:t>λ</m:t>
            </m:r>
          </m:e>
          <m:sub>
            <m:r>
              <m:t>3</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对</w:t>
      </w:r>
      <w:r>
        <w:rPr>
          <w:rFonts w:ascii="Times New Roman" w:hAnsi="Times New Roman" w:cs="Times New Roman" w:eastAsia="宋体"/>
          <w:color w:val="000000"/>
          <w:sz w:val="21"/>
        </w:rPr>
        <w:t xml:space="preserve"> </w:t>
      </w:r>
      <m:oMath>
        <m:sSubSup>
          <m:e>
            <m:r>
              <m:t>h</m:t>
            </m:r>
          </m:e>
          <m:sub>
            <m:r>
              <m:t>c</m:t>
            </m:r>
          </m:sub>
          <m:sup>
            <m:r>
              <m:rPr>
                <m:sty m:val="p"/>
              </m:rPr>
              <m:t>i</m:t>
            </m:r>
            <m:r>
              <m:rPr>
                <m:sty m:val="p"/>
              </m:rPr>
              <m:t>n</m:t>
            </m:r>
            <m:r>
              <m:rPr>
                <m:sty m:val="p"/>
              </m:rPr>
              <m:t>t</m:t>
            </m:r>
            <m:r>
              <m:rPr>
                <m:sty m:val="p"/>
              </m:rPr>
              <m:t>r</m:t>
            </m:r>
            <m:r>
              <m:rPr>
                <m:sty m:val="p"/>
              </m:rPr>
              <m:t>a</m:t>
            </m:r>
          </m:sup>
        </m:sSubSup>
      </m:oMath>
      <w:r>
        <w:rPr>
          <w:rFonts w:ascii="Times New Roman" w:hAnsi="Times New Roman" w:cs="Times New Roman" w:eastAsia="宋体"/>
          <w:color w:val="000000"/>
          <w:sz w:val="21"/>
        </w:rPr>
        <w:t xml:space="preserve">、</w:t>
      </w:r>
      <m:oMath>
        <m:sSubSup>
          <m:e>
            <m:r>
              <m:t>h</m:t>
            </m:r>
          </m:e>
          <m:sub>
            <m:r>
              <m:t>c</m:t>
            </m:r>
          </m:sub>
          <m:sup>
            <m:r>
              <m:rPr>
                <m:sty m:val="p"/>
              </m:rPr>
              <m:t>i</m:t>
            </m:r>
            <m:r>
              <m:rPr>
                <m:sty m:val="p"/>
              </m:rPr>
              <m:t>n</m:t>
            </m:r>
            <m:r>
              <m:rPr>
                <m:sty m:val="p"/>
              </m:rPr>
              <m:t>t</m:t>
            </m:r>
            <m:r>
              <m:rPr>
                <m:sty m:val="p"/>
              </m:rPr>
              <m:t>e</m:t>
            </m:r>
            <m:r>
              <m:rPr>
                <m:sty m:val="p"/>
              </m:rPr>
              <m:t>r</m:t>
            </m:r>
          </m:sup>
        </m:sSubSup>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和</w:t>
      </w:r>
      <w:r>
        <w:rPr>
          <w:rFonts w:ascii="Times New Roman" w:hAnsi="Times New Roman" w:cs="Times New Roman" w:eastAsia="宋体"/>
          <w:color w:val="000000"/>
          <w:sz w:val="21"/>
        </w:rPr>
        <w:t xml:space="preserve"> </w:t>
      </w:r>
      <m:oMath>
        <m:sSubSup>
          <m:e>
            <m:acc>
              <m:accPr>
                <m:chr m:val="̃"/>
              </m:accPr>
              <m:e>
                <m:r>
                  <m:t>e</m:t>
                </m:r>
              </m:e>
            </m:acc>
          </m:e>
          <m:sub>
            <m:r>
              <m:t>c</m:t>
            </m:r>
          </m:sub>
          <m:sup>
            <m:r>
              <m:t>a</m:t>
            </m:r>
            <m:r>
              <m:t>v</m:t>
            </m:r>
          </m:sup>
        </m:sSubSup>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进行加权融合。</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7 DMIF 分支与门控消融实验结果（%）</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2020"/>
        <w:gridCol w:w="524"/>
        <w:gridCol w:w="524"/>
        <w:gridCol w:w="524"/>
        <w:gridCol w:w="524"/>
        <w:gridCol w:w="524"/>
        <w:gridCol w:w="524"/>
        <w:gridCol w:w="524"/>
        <w:gridCol w:w="524"/>
        <w:gridCol w:w="524"/>
        <w:gridCol w:w="524"/>
        <w:gridCol w:w="524"/>
        <w:gridCol w:w="524"/>
      </w:tblGrid>
      <w:tr>
        <w:trPr>
          <w:cantSplit/>
          <w:tblHeader/>
        </w:trPr>
        <w:tc>
          <w:tcPr>
            <w:tcW w:type="dxa" w:w="202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融合配置</w:t>
            </w:r>
          </w:p>
        </w:tc>
        <w:tc>
          <w:tcPr>
            <w:tcW w:type="dxa" w:w="209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09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096"/>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2020"/>
            <w:vMerge/>
            <w:vAlign w:val="center"/>
          </w:tcP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24"/>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仅模态内分支</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32.87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10.45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15.86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11.39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82.45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43.49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56.94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47.92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42.47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21.15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28.24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22.44</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仅模态间分支</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33.03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10.63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16.08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11.56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82.83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44.25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57.68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48.63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42.72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21.62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28.71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22.82</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无直接证据分支（二路门控）</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33.49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11.16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16.74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12.19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83.67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46.01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59.37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50.01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43.44</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23.05</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30.12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24.13</w:t>
            </w:r>
          </w:p>
        </w:tc>
      </w:tr>
      <w:tr>
        <w:trPr>
          <w:cantSplit/>
        </w:trPr>
        <w:tc>
          <w:tcPr>
            <w:tcW w:type="dxa" w:w="20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平均融合（无门控）</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33.32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10.96</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16.49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12.02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83.43</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45.49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58.88</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49.62</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43.21</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22.59</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29.67</w:t>
            </w:r>
          </w:p>
        </w:tc>
        <w:tc>
          <w:tcPr>
            <w:tcW w:type="dxa" w:w="524"/>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23.74</w:t>
            </w:r>
          </w:p>
        </w:tc>
      </w:tr>
      <w:tr>
        <w:trPr>
          <w:cantSplit/>
        </w:trPr>
        <w:tc>
          <w:tcPr>
            <w:tcW w:type="dxa" w:w="2020"/>
            <w:vAlign w:val="center"/>
            <w:tcBorders>
              <w:bottom w:val="single" w:sz="10" w:color="000000"/>
            </w:tcBorders>
          </w:tcPr>
          <w:p>
            <w:pPr>
              <w:keepNext w:val="0"/>
              <w:keepLines/>
              <w:spacing w:before="0" w:after="0" w:line="264" w:lineRule="auto"/>
              <w:ind w:firstLine="0" w:left="0" w:right="0"/>
              <w:jc w:val="left"/>
            </w:pPr>
            <w:r/>
            <w:r>
              <w:rPr>
                <w:rFonts w:ascii="Times New Roman" w:hAnsi="Times New Roman" w:cs="Times New Roman" w:eastAsia="宋体"/>
                <w:b/>
                <w:color w:val="000000"/>
                <w:sz w:val="16"/>
              </w:rPr>
              <w:t>完整三路门控</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34.10</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84.60</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51.74</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44.10</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524"/>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25.21</w:t>
            </w:r>
          </w:p>
        </w:tc>
      </w:tr>
    </w:tbl>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单独使用任一交互分支时，HM 与 ZSL 均低于同时保留两条交互分支的二路门控配置；加入直接证据分支后，完整三路门控对应更高的指标。相较三路等权平均，完整门控在三个数据集上的 HM 分别提高 1.13、2.40 和 1.77 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4.3.6 文本编码器消融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为分析视觉与听觉文本语义的作用，比较仅使用 CLIP、仅使用 CLAP 以及同时使用二者三种方案，见表 8。单编码器方案中，属性级语义 token 与初始原型仅由对应文本编码器生成，视听输入编码器保持不变。各方案采用相同的共享隐藏维度</w:t>
      </w:r>
      <w:r>
        <w:rPr>
          <w:rFonts w:ascii="Times New Roman" w:hAnsi="Times New Roman" w:cs="Times New Roman" w:eastAsia="宋体"/>
          <w:color w:val="000000"/>
          <w:sz w:val="21"/>
        </w:rPr>
        <w:t xml:space="preserve"> </w:t>
      </w:r>
      <m:oMath>
        <m:r>
          <m:t>d</m:t>
        </m:r>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与训练预算，原型维度</w:t>
      </w:r>
      <w:r>
        <w:rPr>
          <w:rFonts w:ascii="Times New Roman" w:hAnsi="Times New Roman" w:cs="Times New Roman" w:eastAsia="宋体"/>
          <w:color w:val="000000"/>
          <w:sz w:val="21"/>
        </w:rPr>
        <w:t xml:space="preserve"> </w:t>
      </w:r>
      <m:oMath>
        <m:sSub>
          <m:e>
            <m:r>
              <m:t>d</m:t>
            </m:r>
          </m:e>
          <m:sub>
            <m:r>
              <m:t>s</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由所用文本嵌入的维度确定。</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8 文本编码器消融实验结果（%）</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1560"/>
        <w:gridCol w:w="562"/>
        <w:gridCol w:w="562"/>
        <w:gridCol w:w="562"/>
        <w:gridCol w:w="562"/>
        <w:gridCol w:w="562"/>
        <w:gridCol w:w="562"/>
        <w:gridCol w:w="562"/>
        <w:gridCol w:w="562"/>
        <w:gridCol w:w="562"/>
        <w:gridCol w:w="562"/>
        <w:gridCol w:w="562"/>
        <w:gridCol w:w="562"/>
      </w:tblGrid>
      <w:tr>
        <w:trPr>
          <w:cantSplit/>
          <w:tblHeader/>
        </w:trPr>
        <w:tc>
          <w:tcPr>
            <w:tcW w:type="dxa" w:w="156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文本编码器</w:t>
            </w:r>
          </w:p>
        </w:tc>
        <w:tc>
          <w:tcPr>
            <w:tcW w:type="dxa" w:w="2248"/>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248"/>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248"/>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1560"/>
            <w:vMerge/>
            <w:vAlign w:val="center"/>
          </w:tcP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62"/>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156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仅 CLIP</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33.23</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10.86</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16.37</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12.02</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84.03</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46.79</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60.11</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50.53</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43.66</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23.50</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30.55</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24.51</w:t>
            </w:r>
          </w:p>
        </w:tc>
      </w:tr>
      <w:tr>
        <w:trPr>
          <w:cantSplit/>
        </w:trPr>
        <w:tc>
          <w:tcPr>
            <w:tcW w:type="dxa" w:w="156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仅 CLAP</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33.54</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11.22</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16.81</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12.29</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83.42</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45.47</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58.86</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49.47</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43.19</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22.55</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29.63</w:t>
            </w:r>
          </w:p>
        </w:tc>
        <w:tc>
          <w:tcPr>
            <w:tcW w:type="dxa" w:w="562"/>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23.72</w:t>
            </w:r>
          </w:p>
        </w:tc>
      </w:tr>
      <w:tr>
        <w:trPr>
          <w:cantSplit/>
        </w:trPr>
        <w:tc>
          <w:tcPr>
            <w:tcW w:type="dxa" w:w="1560"/>
            <w:vAlign w:val="center"/>
            <w:tcBorders>
              <w:bottom w:val="single" w:sz="10" w:color="000000"/>
            </w:tcBorders>
          </w:tcPr>
          <w:p>
            <w:pPr>
              <w:keepNext w:val="0"/>
              <w:keepLines/>
              <w:spacing w:before="0" w:after="0" w:line="264" w:lineRule="auto"/>
              <w:ind w:firstLine="0" w:left="0" w:right="0"/>
              <w:jc w:val="left"/>
            </w:pPr>
            <w:r/>
            <w:r>
              <w:rPr>
                <w:rFonts w:ascii="Times New Roman" w:hAnsi="Times New Roman" w:cs="Times New Roman" w:eastAsia="宋体"/>
                <w:b/>
                <w:color w:val="000000"/>
                <w:sz w:val="16"/>
              </w:rPr>
              <w:t>CLIP + CLAP</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34.10</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84.60</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51.74</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44.10</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562"/>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25.21</w:t>
            </w:r>
          </w:p>
        </w:tc>
      </w:tr>
    </w:tbl>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在 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上，仅 CLAP 的 HM 和 ZSL 分别为 16.81% 和 12.29%，高于仅 CLIP 的 16.37% 和 12.02%；在 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与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上，仅 CLIP 的 HM 分别比仅 CLAP 高 1.25 和 0.92 个百分点。双文本编码器在三个数据集上的四项指标均最高。该差异呈现出视觉与听觉语义在不同数据集上的互补趋势：CLIP 与 CLAP 提供不同模态的文本先验，联合使用能够为语义条件化与原型构建提供更丰富的类别信息。</w:t>
      </w:r>
    </w:p>
    <w:p>
      <w:pPr>
        <w:pStyle w:val="5"/>
        <w:keepNext/>
        <w:keepLines/>
        <w:pageBreakBefore w:val="0"/>
        <w:widowControl/>
        <w:spacing w:before="140" w:after="100" w:line="276" w:lineRule="auto"/>
        <w:ind w:left="0" w:right="0" w:firstLine="0"/>
        <w:jc w:val="left"/>
      </w:pPr>
      <w:r>
        <w:rPr>
          <w:rFonts w:ascii="Times New Roman" w:hAnsi="Times New Roman" w:cs="Times New Roman" w:eastAsia="黑体"/>
          <w:b/>
          <w:color w:val="000000"/>
          <w:sz w:val="24"/>
        </w:rPr>
        <w:t xml:space="preserve">4.3.7 描述构建策略消融</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比较仅类别名称模板、加入视觉侧细粒度描述、加入听觉侧细粒度描述及完整双侧描述四种策略，见表 9。</w:t>
      </w:r>
      <w:r>
        <w:rPr>
          <w:rFonts w:ascii="Times New Roman" w:hAnsi="Times New Roman" w:cs="Times New Roman" w:eastAsia="宋体"/>
          <w:color w:val="000000"/>
          <w:sz w:val="21"/>
        </w:rPr>
        <w:t xml:space="preserve">“</w:t>
      </w:r>
      <w:r>
        <w:rPr>
          <w:rFonts w:ascii="Times New Roman" w:hAnsi="Times New Roman" w:cs="Times New Roman" w:eastAsia="宋体"/>
          <w:color w:val="000000"/>
          <w:sz w:val="21"/>
        </w:rPr>
        <w:t xml:space="preserve">+视觉侧描述</w:t>
      </w:r>
      <w:r>
        <w:rPr>
          <w:rFonts w:ascii="Times New Roman" w:hAnsi="Times New Roman" w:cs="Times New Roman" w:eastAsia="宋体"/>
          <w:color w:val="000000"/>
          <w:sz w:val="21"/>
        </w:rPr>
        <w:t xml:space="preserve">”</w:t>
      </w:r>
      <w:r>
        <w:rPr>
          <w:rFonts w:ascii="Times New Roman" w:hAnsi="Times New Roman" w:cs="Times New Roman" w:eastAsia="宋体"/>
          <w:color w:val="000000"/>
          <w:sz w:val="21"/>
        </w:rPr>
        <w:t xml:space="preserve">仅替换视觉侧文本，听觉侧仍使用类别名称模板；</w:t>
      </w:r>
      <w:r>
        <w:rPr>
          <w:rFonts w:ascii="Times New Roman" w:hAnsi="Times New Roman" w:cs="Times New Roman" w:eastAsia="宋体"/>
          <w:color w:val="000000"/>
          <w:sz w:val="21"/>
        </w:rPr>
        <w:t xml:space="preserve">“</w:t>
      </w:r>
      <w:r>
        <w:rPr>
          <w:rFonts w:ascii="Times New Roman" w:hAnsi="Times New Roman" w:cs="Times New Roman" w:eastAsia="宋体"/>
          <w:color w:val="000000"/>
          <w:sz w:val="21"/>
        </w:rPr>
        <w:t xml:space="preserve">+听觉侧描述</w:t>
      </w:r>
      <w:r>
        <w:rPr>
          <w:rFonts w:ascii="Times New Roman" w:hAnsi="Times New Roman" w:cs="Times New Roman" w:eastAsia="宋体"/>
          <w:color w:val="000000"/>
          <w:sz w:val="21"/>
        </w:rPr>
        <w:t xml:space="preserve">”</w:t>
      </w:r>
      <w:r>
        <w:rPr>
          <w:rFonts w:ascii="Times New Roman" w:hAnsi="Times New Roman" w:cs="Times New Roman" w:eastAsia="宋体"/>
          <w:color w:val="000000"/>
          <w:sz w:val="21"/>
        </w:rPr>
        <w:t xml:space="preserve">采用相反设置。各方案均使用 CLIP 与 CLAP 两个文本编码器，仅改变描述内容。</w:t>
      </w:r>
    </w:p>
    <w:p>
      <w:pPr>
        <w:keepNext/>
        <w:keepLines/>
        <w:pageBreakBefore w:val="0"/>
        <w:widowControl/>
        <w:spacing w:before="80" w:after="80" w:line="288" w:lineRule="auto"/>
        <w:ind w:left="0" w:right="0" w:firstLine="0"/>
        <w:jc w:val="center"/>
      </w:pPr>
      <w:r>
        <w:rPr>
          <w:rFonts w:ascii="Times New Roman" w:hAnsi="Times New Roman" w:cs="Times New Roman" w:eastAsia="宋体"/>
          <w:color w:val="000000"/>
          <w:sz w:val="20"/>
        </w:rPr>
        <w:t xml:space="preserve">表 9 描述构建策略消融实验结果（%）</w:t>
      </w:r>
    </w:p>
    <w:tbl>
      <w:tblPr>
        <w:tblW w:type="dxa" w:w="8306"/>
        <w:jc w:val="center"/>
        <w:tblLayout w:type="fixed"/>
        <w:tblLook w:firstColumn="1" w:firstRow="1" w:lastColumn="0" w:lastRow="0" w:noHBand="0" w:noVBand="1" w:val="04A0"/>
        <w:tblBorders>
          <w:top w:val="nil"/>
          <w:left w:val="nil"/>
          <w:bottom w:val="nil"/>
          <w:right w:val="nil"/>
          <w:insideH w:val="nil"/>
          <w:insideV w:val="nil"/>
        </w:tblBorders>
        <w:tblCellMar>
          <w:top w:w="35" w:type="dxa"/>
          <w:bottom w:w="35" w:type="dxa"/>
          <w:left w:w="15" w:type="dxa"/>
          <w:right w:w="15" w:type="dxa"/>
        </w:tblCellMar>
      </w:tblPr>
      <w:tblGrid>
        <w:gridCol w:w="1820"/>
        <w:gridCol w:w="540"/>
        <w:gridCol w:w="540"/>
        <w:gridCol w:w="540"/>
        <w:gridCol w:w="540"/>
        <w:gridCol w:w="540"/>
        <w:gridCol w:w="540"/>
        <w:gridCol w:w="540"/>
        <w:gridCol w:w="540"/>
        <w:gridCol w:w="540"/>
        <w:gridCol w:w="540"/>
        <w:gridCol w:w="540"/>
        <w:gridCol w:w="540"/>
      </w:tblGrid>
      <w:tr>
        <w:trPr>
          <w:cantSplit/>
          <w:tblHeader/>
        </w:trPr>
        <w:tc>
          <w:tcPr>
            <w:tcW w:type="dxa" w:w="1820"/>
            <w:vMerge w:val="restart"/>
            <w:vAlign w:val="center"/>
            <w:tcBorders>
              <w:top w:val="single" w:sz="10" w:color="000000"/>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描述构建策略</w:t>
            </w:r>
          </w:p>
        </w:tc>
        <w:tc>
          <w:tcPr>
            <w:tcW w:type="dxa" w:w="2160"/>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VGGSound-GZSL</w:t>
            </w:r>
            <w:r>
              <w:rPr>
                <w:rFonts w:ascii="Times New Roman" w:hAnsi="Times New Roman" w:cs="Times New Roman" w:eastAsia="宋体"/>
                <w:b/>
                <w:color w:val="000000"/>
                <w:sz w:val="16"/>
                <w:vertAlign w:val="superscript"/>
              </w:rPr>
              <w:t>cls</w:t>
            </w:r>
          </w:p>
        </w:tc>
        <w:tc>
          <w:tcPr>
            <w:tcW w:type="dxa" w:w="2160"/>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UCF-GZSL</w:t>
            </w:r>
            <w:r>
              <w:rPr>
                <w:rFonts w:ascii="Times New Roman" w:hAnsi="Times New Roman" w:cs="Times New Roman" w:eastAsia="宋体"/>
                <w:b/>
                <w:color w:val="000000"/>
                <w:sz w:val="16"/>
                <w:vertAlign w:val="superscript"/>
              </w:rPr>
              <w:t>cls</w:t>
            </w:r>
          </w:p>
        </w:tc>
        <w:tc>
          <w:tcPr>
            <w:tcW w:type="dxa" w:w="2160"/>
            <w:gridSpan w:val="4"/>
            <w:vAlign w:val="center"/>
            <w:tcBorders>
              <w:top w:val="single" w:sz="10" w:color="000000"/>
              <w:bottom w:val="single" w:sz="4"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ActivityNet-GZSL</w:t>
            </w:r>
            <w:r>
              <w:rPr>
                <w:rFonts w:ascii="Times New Roman" w:hAnsi="Times New Roman" w:cs="Times New Roman" w:eastAsia="宋体"/>
                <w:b/>
                <w:color w:val="000000"/>
                <w:sz w:val="16"/>
                <w:vertAlign w:val="superscript"/>
              </w:rPr>
              <w:t>cls</w:t>
            </w:r>
          </w:p>
        </w:tc>
      </w:tr>
      <w:tr>
        <w:trPr>
          <w:cantSplit/>
          <w:tblHeader/>
        </w:trPr>
        <w:tc>
          <w:tcPr>
            <w:tcW w:type="dxa" w:w="1820"/>
            <w:vMerge/>
            <w:vAlign w:val="center"/>
          </w:tcP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S</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U</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HM</w:t>
            </w:r>
          </w:p>
        </w:tc>
        <w:tc>
          <w:tcPr>
            <w:tcW w:type="dxa" w:w="540"/>
            <w:vAlign w:val="center"/>
            <w:tcBorders>
              <w:bottom w:val="single" w:sz="6" w:color="000000"/>
            </w:tcBorders>
          </w:tcPr>
          <w:p>
            <w:pPr>
              <w:keepNext/>
              <w:keepLines/>
              <w:spacing w:before="0" w:after="0" w:line="264" w:lineRule="auto"/>
              <w:ind w:firstLine="0" w:left="0" w:right="0"/>
              <w:jc w:val="center"/>
            </w:pPr>
            <w:r>
              <w:rPr>
                <w:b/>
              </w:rPr>
            </w:r>
            <w:r>
              <w:rPr>
                <w:rFonts w:ascii="Times New Roman" w:hAnsi="Times New Roman" w:cs="Times New Roman" w:eastAsia="宋体"/>
                <w:b/>
                <w:color w:val="000000"/>
                <w:sz w:val="16"/>
              </w:rPr>
              <w:t>ZSL</w:t>
            </w:r>
          </w:p>
        </w:tc>
      </w:tr>
      <w:tr>
        <w:trPr>
          <w:cantSplit/>
        </w:trPr>
        <w:tc>
          <w:tcPr>
            <w:tcW w:type="dxa" w:w="18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仅类别名称模板</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32.88</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10.48</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15.89</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11.48</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82.97</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44.54</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57.96</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48.65</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42.86</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21.89</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28.98</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23.04</w:t>
            </w:r>
          </w:p>
        </w:tc>
      </w:tr>
      <w:tr>
        <w:trPr>
          <w:cantSplit/>
        </w:trPr>
        <w:tc>
          <w:tcPr>
            <w:tcW w:type="dxa" w:w="18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+视觉侧描述</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33.45</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11.11</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16.68</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12.06</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84.13</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47.00</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60.31</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50.76</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43.66</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23.51</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30.56</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24.42</w:t>
            </w:r>
          </w:p>
        </w:tc>
      </w:tr>
      <w:tr>
        <w:trPr>
          <w:cantSplit/>
        </w:trPr>
        <w:tc>
          <w:tcPr>
            <w:tcW w:type="dxa" w:w="1820"/>
            <w:vAlign w:val="center"/>
          </w:tcPr>
          <w:p>
            <w:pPr>
              <w:keepNext/>
              <w:keepLines/>
              <w:spacing w:before="0" w:after="0" w:line="264" w:lineRule="auto"/>
              <w:ind w:firstLine="0" w:left="0" w:right="0"/>
              <w:jc w:val="left"/>
            </w:pPr>
            <w:r/>
            <w:r>
              <w:rPr>
                <w:rFonts w:ascii="Times New Roman" w:hAnsi="Times New Roman" w:cs="Times New Roman" w:eastAsia="宋体"/>
                <w:color w:val="000000"/>
                <w:sz w:val="16"/>
              </w:rPr>
              <w:t>+听觉侧描述</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33.63</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11.31</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16.93</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u w:val="single"/>
              </w:rPr>
              <w:t>12.35</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83.69</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46.06</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59.42</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49.93</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43.42</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23.00</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30.07</w:t>
            </w:r>
          </w:p>
        </w:tc>
        <w:tc>
          <w:tcPr>
            <w:tcW w:type="dxa" w:w="540"/>
            <w:vAlign w:val="center"/>
          </w:tcPr>
          <w:p>
            <w:pPr>
              <w:keepNext/>
              <w:keepLines/>
              <w:spacing w:before="0" w:after="0" w:line="264" w:lineRule="auto"/>
              <w:ind w:firstLine="0" w:left="0" w:right="0"/>
              <w:jc w:val="center"/>
            </w:pPr>
            <w:r/>
            <w:r>
              <w:rPr>
                <w:rFonts w:ascii="Times New Roman" w:hAnsi="Times New Roman" w:cs="Times New Roman" w:eastAsia="宋体"/>
                <w:color w:val="000000"/>
                <w:sz w:val="16"/>
              </w:rPr>
              <w:t>23.96</w:t>
            </w:r>
          </w:p>
        </w:tc>
      </w:tr>
      <w:tr>
        <w:trPr>
          <w:cantSplit/>
        </w:trPr>
        <w:tc>
          <w:tcPr>
            <w:tcW w:type="dxa" w:w="1820"/>
            <w:vAlign w:val="center"/>
            <w:tcBorders>
              <w:bottom w:val="single" w:sz="10" w:color="000000"/>
            </w:tcBorders>
          </w:tcPr>
          <w:p>
            <w:pPr>
              <w:keepNext w:val="0"/>
              <w:keepLines/>
              <w:spacing w:before="0" w:after="0" w:line="264" w:lineRule="auto"/>
              <w:ind w:firstLine="0" w:left="0" w:right="0"/>
              <w:jc w:val="left"/>
            </w:pPr>
            <w:r/>
            <w:r>
              <w:rPr>
                <w:rFonts w:ascii="Times New Roman" w:hAnsi="Times New Roman" w:cs="Times New Roman" w:eastAsia="宋体"/>
                <w:b/>
                <w:color w:val="000000"/>
                <w:sz w:val="16"/>
              </w:rPr>
              <w:t>完整双侧描述</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34.10</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11.88</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17.62</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12.89</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84.60</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48.04</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61.28</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51.74</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44.10</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24.43</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31.44</w:t>
            </w:r>
          </w:p>
        </w:tc>
        <w:tc>
          <w:tcPr>
            <w:tcW w:type="dxa" w:w="540"/>
            <w:vAlign w:val="center"/>
            <w:tcBorders>
              <w:bottom w:val="single" w:sz="10" w:color="000000"/>
            </w:tcBorders>
          </w:tcPr>
          <w:p>
            <w:pPr>
              <w:keepNext w:val="0"/>
              <w:keepLines/>
              <w:spacing w:before="0" w:after="0" w:line="264" w:lineRule="auto"/>
              <w:ind w:firstLine="0" w:left="0" w:right="0"/>
              <w:jc w:val="center"/>
            </w:pPr>
            <w:r/>
            <w:r>
              <w:rPr>
                <w:rFonts w:ascii="Times New Roman" w:hAnsi="Times New Roman" w:cs="Times New Roman" w:eastAsia="宋体"/>
                <w:b/>
                <w:color w:val="000000"/>
                <w:sz w:val="16"/>
              </w:rPr>
              <w:t>25.21</w:t>
            </w:r>
          </w:p>
        </w:tc>
      </w:tr>
    </w:tbl>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相较类别名称模板，加入视觉侧或听觉侧细粒度描述均对应更高的 HM 和 ZSL，且两侧描述的增益随数据集变化。在 VGGSound-GZSL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上，听觉侧描述的 HM 增量为 1.04 个百分点，高于视觉侧描述的 0.79 个百分点；在 UCF-GZSL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上，视觉侧描述的增量为 2.35 个百分点，高于听觉侧描述的 1.46 个百分点；在 ActivityNet-GZSL</w:t>
      </w:r>
      <w:r>
        <w:rPr>
          <w:rFonts w:ascii="Times New Roman" w:hAnsi="Times New Roman" w:cs="Times New Roman" w:eastAsia="宋体"/>
          <w:color w:val="000000"/>
          <w:sz w:val="21"/>
          <w:vertAlign w:val="superscript"/>
        </w:rPr>
        <w:t xml:space="preserve">cls</w:t>
      </w:r>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上，两者分别为 1.58 和 1.09 个百分点。完整双侧描述在三个数据集上对应最高的 HM 和 ZSL。将类别名称扩展为动作、外观及声音描述，为两条模态序列提供了更具体的语义条件，同时为类别原型引入互补的视觉与听觉信息。</w:t>
      </w:r>
    </w:p>
    <w:p>
      <w:pPr>
        <w:pStyle w:val="4"/>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2"/>
        </w:rPr>
        <w:t xml:space="preserve">4.4 定性分析</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 xml:space="preserve">定性分析从嵌入分布、时序定位与门控权重三个方面考察模型的表示特性。</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b/>
          <w:bCs/>
          <w:color w:val="000000"/>
          <w:sz w:val="21"/>
        </w:rPr>
        <w:t xml:space="preserve">t-SNE 可视化。</w:t>
      </w:r>
      <w:r>
        <w:rPr>
          <w:rFonts w:ascii="Times New Roman" w:hAnsi="Times New Roman" w:cs="Times New Roman" w:eastAsia="宋体"/>
          <w:color w:val="000000"/>
          <w:sz w:val="21"/>
        </w:rPr>
        <w:t xml:space="preserve">t-SNE[35] 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b/>
          <w:bCs/>
          <w:color w:val="000000"/>
          <w:sz w:val="21"/>
        </w:rPr>
        <w:t xml:space="preserve">高斯时序定位可视化。</w:t>
      </w:r>
      <w:r>
        <w:rPr>
          <w:rFonts w:ascii="Times New Roman" w:hAnsi="Times New Roman" w:cs="Times New Roman" w:eastAsia="宋体"/>
          <w:color w:val="000000"/>
          <w:sz w:val="21"/>
        </w:rPr>
        <w:t xml:space="preserve">将视觉和音频软掩码与视频帧及音频频谱沿时间轴对齐，用于分析不同候选类别下的证据分布。重点考察类别相关片段与背景片段的权重差异、两种模态的定位中心偏移，以及正确与错误候选条件下的相容性分数变化，从时间维度分析 SGTG 对多段证据和视听异步的建模方式。</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b/>
          <w:bCs/>
          <w:color w:val="000000"/>
          <w:sz w:val="21"/>
        </w:rPr>
        <w:t xml:space="preserve">门控权重分析。</w:t>
      </w:r>
      <w:r>
        <w:rPr>
          <w:rFonts w:ascii="Times New Roman" w:hAnsi="Times New Roman" w:cs="Times New Roman" w:eastAsia="宋体"/>
          <w:color w:val="000000"/>
          <w:sz w:val="21"/>
        </w:rPr>
        <w:t xml:space="preserve">以</w:t>
      </w:r>
      <w:r>
        <w:rPr>
          <w:rFonts w:ascii="Times New Roman" w:hAnsi="Times New Roman" w:cs="Times New Roman" w:eastAsia="宋体"/>
          <w:color w:val="000000"/>
          <w:sz w:val="21"/>
        </w:rPr>
        <w:t xml:space="preserve"> </w:t>
      </w:r>
      <m:oMath>
        <m:sSub>
          <m:e>
            <m:r>
              <m:t>λ</m:t>
            </m:r>
          </m:e>
          <m:sub>
            <m:r>
              <m:t>1</m:t>
            </m:r>
          </m:sub>
        </m:sSub>
        <m:r>
          <m:rPr>
            <m:sty m:val="p"/>
          </m:rPr>
          <m:t>,</m:t>
        </m:r>
        <m:sSub>
          <m:e>
            <m:r>
              <m:t>λ</m:t>
            </m:r>
          </m:e>
          <m:sub>
            <m:r>
              <m:t>2</m:t>
            </m:r>
          </m:sub>
        </m:sSub>
        <m:r>
          <m:rPr>
            <m:sty m:val="p"/>
          </m:rPr>
          <m:t>,</m:t>
        </m:r>
        <m:sSub>
          <m:e>
            <m:r>
              <m:t>λ</m:t>
            </m:r>
          </m:e>
          <m:sub>
            <m:r>
              <m:t>3</m:t>
            </m:r>
          </m:sub>
        </m:sSub>
      </m:oMath>
      <w:r>
        <w:rPr>
          <w:rFonts w:ascii="Times New Roman" w:hAnsi="Times New Roman" w:cs="Times New Roman" w:eastAsia="宋体"/>
          <w:color w:val="000000"/>
          <w:sz w:val="21"/>
        </w:rPr>
        <w:t xml:space="preserve"> </w:t>
      </w:r>
      <w:r>
        <w:rPr>
          <w:rFonts w:ascii="Times New Roman" w:hAnsi="Times New Roman" w:cs="Times New Roman" w:eastAsia="宋体"/>
          <w:color w:val="000000"/>
          <w:sz w:val="21"/>
        </w:rPr>
        <w:t xml:space="preserve">为分析对象，比较不同类别、候选条件和噪声状态下的三路权重分布，考察模态内线索、跨模态信息与直接证据的相对贡献。通过类别间与同类样本间的权重比较，分别考察语义条件及样本内容、模态质量对融合策略的影响。</w:t>
      </w:r>
    </w:p>
    <w:p>
      <w:pPr>
        <w:pStyle w:val="2"/>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6"/>
        </w:rPr>
        <w:t>5 结论</w:t>
      </w:r>
    </w:p>
    <w:p>
      <w:pPr>
        <w:keepNext w:val="0"/>
        <w:keepLines w:val="0"/>
        <w:pageBreakBefore w:val="0"/>
        <w:widowControl/>
        <w:spacing w:before="0" w:after="0" w:line="360" w:lineRule="auto"/>
        <w:ind w:left="0" w:right="0" w:firstLine="420"/>
        <w:jc w:val="both"/>
      </w:pPr>
      <w:r>
        <w:rPr>
          <w:rFonts w:ascii="Times New Roman" w:hAnsi="Times New Roman" w:cs="Times New Roman" w:eastAsia="宋体"/>
          <w:color w:val="000000"/>
          <w:sz w:val="21"/>
        </w:rPr>
        <w:t>本文提出了语义引导高斯时序定位的视听广义零样本学习框架 SGTG-AVGZSL，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三个基准上的对比结果体现了该框架在已见类别识别与未见类别泛化之间的综合平衡。后续研究将进一步探索候选类别条件化计算的共享与压缩，以及复杂噪声和更开放类别空间下的时序证据建模。</w:t>
      </w:r>
    </w:p>
    <w:p>
      <w:pPr>
        <w:pStyle w:val="2"/>
        <w:keepNext/>
        <w:keepLines/>
        <w:pageBreakBefore w:val="0"/>
        <w:widowControl/>
        <w:spacing w:before="200" w:after="100" w:line="276" w:lineRule="auto"/>
        <w:ind w:left="0" w:right="0" w:firstLine="0"/>
        <w:jc w:val="left"/>
      </w:pPr>
      <w:r>
        <w:rPr>
          <w:rFonts w:ascii="Times New Roman" w:hAnsi="Times New Roman" w:cs="Times New Roman" w:eastAsia="黑体"/>
          <w:b/>
          <w:color w:val="000000"/>
          <w:sz w:val="36"/>
        </w:rPr>
        <w:t>参考文献</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 MAZUMDER P, SINGH P, PARIDA K K, et al. AVGZSLNet: audio-visual generalized zero-shot learning by reconstructing label features[C]//Proceedings of the IEEE/CVF Winter Conference on Applications of Computer Vision (WACV). 2021: 3090-3099.</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[3] MERCEA O B, RIESCH L, KOEPKE A S, et al. Audio-visual generalised zero-shot learning with cross-modal attention and language[C]//Proceedings of the IEEE/CVF Conference on Computer Vision and Pattern Recognition (CVPR). 2022: 10553-10563.</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[5] MERCEA O B, HUMMEL T, KOEPKE A S, et al. Temporal and cross-modal attention for audio-visual zero-shot learning[C]//Proceedings of the European Conference on Computer Vision (ECCV). 2022: 488-505.</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[6] HONG J, HAYDER Z, HAN J, et al. Hyperbolic audio-visual zero-shot learning[C]//Proceedings of the IEEE/CVF International Conference on Computer Vision (ICCV). 2023: 7873-7883.</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[7] CHEN H, LI Y, HONG Y, et al. Boosting audio-visual zero-shot learning with large language models[J]. arXiv preprint arXiv:2311.12268, 2023.</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[8] RADFORD A, KIM J W, HALLACY C, et al. Learning transferable visual models from natural language supervision[C]//Proceedings of the International Conference on Machine Learning (ICML). 2021: 8748-8763.</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[9] MEI X, MENG C, LIU H, et al. WavCaps: a ChatGPT-assisted weakly-labelled audio captioning dataset for audio-language multimodal research[J]. IEEE/ACM Transactions on Audio, Speech, and Language Processing, 2024, 32: 3339-3354.</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[10] MO S, MORGADO P. Audio-visual generalized zero-shot learning the easy way[C]//Proceedings of the European Conference on Computer Vision (ECCV). 2024.</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[11] CHENG Y, WANG R, PAN Z, et al. Look, listen, and attend: co-attention network for self-supervised audio-visual representation learning[C]//Proceedings of the 28th ACM International Conference on Multimedia (ACM MM). 2020: 3884-3892.</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[12] TSAI Y H H, BAI S, LIANG P P, et al. Multimodal transformer for unaligned multimodal language sequences[C]//Proceedings of the 57th Annual Meeting of the Association for Computational Linguistics (ACL). 2019: 6558-6569.</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[13] AKBARI H, YUAN L, QIAN R, et al. VATT: transformers for multimodal self-supervised learning from raw video, audio and text[C]//Advances in Neural Information Processing Systems (NeurIPS). 2021: 24206-24221.</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[14] NAGRANI A, YANG S, ARNAB A, et al. Attention bottlenecks for multimodal fusion[C]//Advances in Neural Information Processing Systems (NeurIPS). 2021: 14200-14213.</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[15] HAZARIKA D, ZIMMERMANN R, PORIA S. MISA: modality-invariant and -specific representations for multimodal sentiment analysis[C]//Proceedings of the 28th ACM International Conference on Multimedia (ACM MM). 2020: 1122-1131.</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[16] LV F, CHEN X, HUANG Y, et al. Progressive modality reinforcement for human multimodal emotion recognition from unaligned multimodal sequences[C]//Proceedings of the IEEE/CVF Conference on Computer Vision and Pattern Recognition (CVPR). 2021: 2554-2562.</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[17] LIN J, WANG Y, XU Y, et al. Semi-IIN: semi-supervised intra-inter modal interaction learning network for multimodal sentiment analysis[C]//Proceedings of the AAAI Conference on Artificial Intelligence (AAAI). 2025.</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[18] LI G, WEI Y, TIAN Y, et al. Learning to answer questions in dynamic audio-visual scenarios[C]//Proceedings of the IEEE/CVF Conference on Computer Vision and Pattern Recognition (CVPR). 2022: 19108-19118.</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[19] LI G, HOU W, HU D. Progressive spatio-temporal perception for audio-visual question answering[C]//Proceedings of the 31st ACM International Conference on Multimedia (ACM MM). 2023: 7808-7816.</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[20] LI G, DU H, HU D. Boosting audio-visual question answering via key semantic-aware cues[C]//Proceedings of the 32nd ACM International Conference on Multimedia (ACM MM). 2024: 5997-6005.</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[21] MUN J, CHO M, HAN B. Local-global video-text interactions for temporal grounding[C]//Proceedings of the IEEE/CVF Conference on Computer Vision and Pattern Recognition (CVPR). 2020: 10810-10819.</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[22] XIAO J, YAO A, LI Y, et al. Can I trust your answer? Visually grounded video question answering[C]//Proceedings of the IEEE/CVF Conference on Computer Vision and Pattern Recognition (CVPR). 2024: 13204-13214.</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[23] KIM H, JUNG I, SUH D, et al. Question-aware Gaussian experts for audio-visual question answering[C]//Proceedings of the IEEE/CVF Conference on Computer Vision and Pattern Recognition (CVPR). 2025.</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[24] SHAZEER N, MIRHOSEINI A, MAZIARZ K, et al. Outrageously large neural networks: the sparsely-gated mixture-of-experts layer[C]//Proceedings of the International Conference on Learning Representations (ICLR). 2017.</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[25] CHAO W L, CHANGPINYO S, GONG B, et al. An empirical study and analysis of generalized zero-shot learning for object recognition in the wild[C]//Proceedings of the European Conference on Computer Vision (ECCV). 2016: 52-68.</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[26] CHEN H, XIE W, VEDALDI A, et al. VGGSound: a large-scale audio-visual dataset[C]//Proceedings of the IEEE International Conference on Acoustics, Speech and Signal Processing (ICASSP). 2020: 721-725.</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[27] SOOMRO K, ZAMIR A R, SHAH M. UCF101: a dataset of 101 human action classes from videos in the wild[R]. CRCV-TR-12-01, University of Central Florida, 2012.</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[28] CABA HEILBRON F, ESCORCIA V, GHANEM B, et al. ActivityNet: a large-scale video benchmark for human activity understanding[C]//Proceedings of the IEEE Conference on Computer Vision and Pattern Recognition (CVPR). 2015: 961-970.</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[29] KINGMA D P, BA J. Adam: a method for stochastic optimization[C]//Proceedings of the International Conference on Learning Representations (ICLR). 2015.</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[30] FROME A, CORRADO G S, SHLENS J, et al. DeViSE: a deep visual-semantic embedding model[C]//Advances in Neural Information Processing Systems (NeurIPS). 2013: 2121-2129.</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[31] AKATA Z, PERRONNIN F, HARCHAOUI Z, et al. Label-embedding for image classification[J]. IEEE Transactions on Pattern Analysis and Machine Intelligence, 2016, 38(7): 1425-1438.</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[32] AKATA Z, REED S, WALTER D, et al. Evaluation of output embeddings for fine-grained image classification[C]//Proceedings of the IEEE Conference on Computer Vision and Pattern Recognition (CVPR). 2015: 2927-2936.</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[33] XU W, XIAN Y, WANG J, et al. Attribute prototype network for zero-shot learning[C]//Advances in Neural Information Processing Systems (NeurIPS). 2020: 21969-21980.</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[34] XIAN Y, SHARMA S, SCHIELE B, et al. f-VAEGAN-D2: a feature generating framework for any-shot learning[C]//Proceedings of the IEEE/CVF Conference on Computer Vision and Pattern Recognition (CVPR). 2019: 10275-10284.</w:t>
      </w:r>
    </w:p>
    <w:p>
      <w:pPr>
        <w:keepNext w:val="0"/>
        <w:keepLines/>
        <w:pageBreakBefore w:val="0"/>
        <w:widowControl/>
        <w:spacing w:before="0" w:after="80" w:line="276" w:lineRule="auto"/>
        <w:ind w:left="440" w:right="0" w:hanging="440"/>
        <w:jc w:val="both"/>
      </w:pPr>
      <w:r>
        <w:rPr>
          <w:rFonts w:ascii="Times New Roman" w:hAnsi="Times New Roman" w:cs="Times New Roman" w:eastAsia="宋体"/>
          <w:color w:val="000000"/>
          <w:sz w:val="19"/>
        </w:rPr>
        <w:t>[35] VAN DER MAATEN L, HINTON G. Visualizing data using t-SNE[J]. Journal of Machine Learning Research, 2008, 9: 2579-2605.</w:t>
      </w:r>
    </w:p>
    <w:sectPr>
      <w:footerReference r:id="rId5" w:type="default"/>
      <w:headerReference w:type="default" r:id="rId10"/>
      <w:headerReference w:type="first" r:id="rId11"/>
      <w:headerReference w:type="even" r:id="rId12"/>
      <w:footerReference w:type="first" r:id="rId13"/>
      <w:footerReference w:type="even" r:id="rId14"/>
      <w:footnotePr>
        <w:numRestart w:val="eachSect"/>
      </w:footnotePr>
      <w:pgSz w:w="11906" w:h="16838"/>
      <w:pgMar w:top="1440" w:right="1800" w:bottom="1440" w:left="180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rPr>
        <w:rFonts w:ascii="Times New Roman" w:hAnsi="Times New Roman" w:cs="Times New Roman" w:eastAsia="宋体"/>
        <w:color w:val="000000"/>
        <w:sz w:val="18"/>
      </w:rPr>
    </w: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7"/>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128F0B45"/>
    <w:rsid w:val="1C79679F"/>
    <w:rsid w:val="3AB54A95"/>
    <w:rsid w:val="50D0319C"/>
    <w:rsid w:val="6E204A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1"/>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2"/>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3"/>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4"/>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5"/>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6"/>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7"/>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38"/>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39"/>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19">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8">
    <w:name w:val="Normal Table"/>
    <w:qFormat/>
    <w:uiPriority w:val="0"/>
    <w:tblPr>
      <w:tblCellMar>
        <w:top w:w="0" w:type="dxa"/>
        <w:left w:w="108" w:type="dxa"/>
        <w:bottom w:w="0" w:type="dxa"/>
        <w:right w:w="108" w:type="dxa"/>
      </w:tblCellMar>
    </w:tblPr>
  </w:style>
  <w:style w:type="paragraph" w:styleId="3">
    <w:name w:val="Body Text"/>
    <w:basedOn w:val="1"/>
    <w:link w:val="21"/>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5"/>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6"/>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styleId="20">
    <w:name w:val="Hyperlink"/>
    <w:basedOn w:val="21"/>
    <w:qFormat/>
    <w:uiPriority w:val="0"/>
    <w:rPr>
      <w:rFonts w:ascii="Times New Roman" w:hAnsi="Times New Roman" w:eastAsia="宋体" w:cs="Times New Roman"/>
      <w:color w:val="000000"/>
      <w:spacing w:val="0"/>
      <w:sz w:val="24"/>
      <w:szCs w:val="24"/>
      <w:lang w:val="en-US" w:eastAsia="zh-CN"/>
    </w:rPr>
  </w:style>
  <w:style w:type="character" w:customStyle="1" w:styleId="21">
    <w:name w:val="Body Text Char"/>
    <w:basedOn w:val="19"/>
    <w:link w:val="3"/>
    <w:qFormat/>
    <w:uiPriority w:val="0"/>
    <w:rPr>
      <w:rFonts w:ascii="Times New Roman" w:hAnsi="Times New Roman" w:eastAsia="宋体" w:cs="Times New Roman"/>
      <w:color w:val="000000"/>
      <w:spacing w:val="0"/>
      <w:sz w:val="24"/>
      <w:szCs w:val="24"/>
      <w:lang w:val="en-US" w:eastAsia="zh-CN"/>
    </w:rPr>
  </w:style>
  <w:style w:type="character" w:styleId="22">
    <w:name w:val="footnote reference"/>
    <w:basedOn w:val="21"/>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3">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4">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5">
    <w:name w:val="Title Char"/>
    <w:basedOn w:val="19"/>
    <w:link w:val="15"/>
    <w:uiPriority w:val="10"/>
    <w:rPr>
      <w:rFonts w:ascii="Times New Roman" w:hAnsi="Times New Roman" w:eastAsia="宋体" w:cs="Times New Roman"/>
      <w:color w:val="000000"/>
      <w:spacing w:val="0"/>
      <w:sz w:val="24"/>
      <w:szCs w:val="24"/>
      <w:lang w:val="en-US" w:eastAsia="zh-CN"/>
    </w:rPr>
  </w:style>
  <w:style w:type="character" w:customStyle="1" w:styleId="26">
    <w:name w:val="Subtitle Char"/>
    <w:basedOn w:val="19"/>
    <w:link w:val="16"/>
    <w:qFormat/>
    <w:uiPriority w:val="11"/>
    <w:rPr>
      <w:rFonts w:ascii="Times New Roman" w:hAnsi="Times New Roman" w:eastAsia="宋体" w:cs="Times New Roman"/>
      <w:color w:val="000000"/>
      <w:spacing w:val="0"/>
      <w:sz w:val="24"/>
      <w:szCs w:val="24"/>
      <w:lang w:val="en-US" w:eastAsia="zh-CN"/>
    </w:rPr>
  </w:style>
  <w:style w:type="paragraph" w:customStyle="1" w:styleId="27">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28">
    <w:name w:val="Abstract Title"/>
    <w:basedOn w:val="1"/>
    <w:next w:val="29"/>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29">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0">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1">
    <w:name w:val="Heading 1 Char"/>
    <w:basedOn w:val="19"/>
    <w:link w:val="2"/>
    <w:qFormat/>
    <w:uiPriority w:val="9"/>
    <w:rPr>
      <w:rFonts w:ascii="Times New Roman" w:hAnsi="Times New Roman" w:eastAsia="宋体" w:cs="Times New Roman"/>
      <w:color w:val="000000"/>
      <w:spacing w:val="0"/>
      <w:sz w:val="24"/>
      <w:szCs w:val="24"/>
      <w:lang w:val="en-US" w:eastAsia="zh-CN"/>
    </w:rPr>
  </w:style>
  <w:style w:type="character" w:customStyle="1" w:styleId="32">
    <w:name w:val="Heading 2 Char"/>
    <w:basedOn w:val="19"/>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3">
    <w:name w:val="Heading 3 Char"/>
    <w:basedOn w:val="19"/>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4 Char"/>
    <w:basedOn w:val="19"/>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5">
    <w:name w:val="Heading 5 Char"/>
    <w:basedOn w:val="19"/>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6 Char"/>
    <w:basedOn w:val="19"/>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7 Char"/>
    <w:basedOn w:val="19"/>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8 Char"/>
    <w:basedOn w:val="19"/>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9 Char"/>
    <w:basedOn w:val="19"/>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0">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3">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4">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5">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Captioned Figure"/>
    <w:basedOn w:val="46"/>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48">
    <w:name w:val="Verbatim Char"/>
    <w:basedOn w:val="21"/>
    <w:link w:val="49"/>
    <w:qFormat/>
    <w:uiPriority w:val="0"/>
    <w:rPr>
      <w:rFonts w:ascii="Times New Roman" w:hAnsi="Times New Roman" w:eastAsia="宋体" w:cs="Times New Roman"/>
      <w:color w:val="000000"/>
      <w:spacing w:val="0"/>
      <w:sz w:val="24"/>
      <w:szCs w:val="24"/>
      <w:lang w:val="en-US" w:eastAsia="zh-CN"/>
    </w:rPr>
  </w:style>
  <w:style w:type="paragraph" w:customStyle="1" w:styleId="49">
    <w:name w:val="Source Code"/>
    <w:basedOn w:val="1"/>
    <w:link w:val="48"/>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Section Number"/>
    <w:basedOn w:val="21"/>
    <w:qFormat/>
    <w:uiPriority w:val="0"/>
    <w:rPr>
      <w:rFonts w:ascii="Times New Roman" w:hAnsi="Times New Roman" w:eastAsia="宋体" w:cs="Times New Roman"/>
      <w:color w:val="000000"/>
      <w:spacing w:val="0"/>
      <w:sz w:val="24"/>
      <w:szCs w:val="24"/>
      <w:lang w:val="en-US" w:eastAsia="zh-CN"/>
    </w:rPr>
  </w:style>
  <w:style w:type="paragraph" w:customStyle="1" w:styleId="51">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2">
    <w:name w:val="Keyword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53">
    <w:name w:val="DataType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4">
    <w:name w:val="DecVal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5">
    <w:name w:val="Base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6">
    <w:name w:val="Float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7">
    <w:name w:val="Constant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8">
    <w:name w:val="Cha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59">
    <w:name w:val="SpecialCha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0">
    <w:name w:val="String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1">
    <w:name w:val="VerbatimString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2">
    <w:name w:val="SpecialString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3">
    <w:name w:val="Import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64">
    <w:name w:val="CommentTok"/>
    <w:basedOn w:val="48"/>
    <w:qFormat/>
    <w:uiPriority w:val="0"/>
    <w:rPr>
      <w:rFonts w:ascii="Times New Roman" w:hAnsi="Times New Roman" w:eastAsia="宋体" w:cs="Times New Roman"/>
      <w:i/>
      <w:color w:val="000000"/>
      <w:spacing w:val="0"/>
      <w:sz w:val="24"/>
      <w:szCs w:val="24"/>
      <w:lang w:val="en-US" w:eastAsia="zh-CN"/>
    </w:rPr>
  </w:style>
  <w:style w:type="character" w:customStyle="1" w:styleId="65">
    <w:name w:val="DocumentationTok"/>
    <w:basedOn w:val="48"/>
    <w:qFormat/>
    <w:uiPriority w:val="0"/>
    <w:rPr>
      <w:rFonts w:ascii="Times New Roman" w:hAnsi="Times New Roman" w:eastAsia="宋体" w:cs="Times New Roman"/>
      <w:i/>
      <w:color w:val="000000"/>
      <w:spacing w:val="0"/>
      <w:sz w:val="24"/>
      <w:szCs w:val="24"/>
      <w:lang w:val="en-US" w:eastAsia="zh-CN"/>
    </w:rPr>
  </w:style>
  <w:style w:type="character" w:customStyle="1" w:styleId="66">
    <w:name w:val="Annotation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67">
    <w:name w:val="CommentVar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68">
    <w:name w:val="Othe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69">
    <w:name w:val="Functio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0">
    <w:name w:val="Variable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1">
    <w:name w:val="ControlFlow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72">
    <w:name w:val="Operato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3">
    <w:name w:val="BuiltI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4">
    <w:name w:val="Extension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5">
    <w:name w:val="Preprocesso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6">
    <w:name w:val="Attribute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7">
    <w:name w:val="RegionMarkerTok"/>
    <w:basedOn w:val="48"/>
    <w:qFormat/>
    <w:uiPriority w:val="0"/>
    <w:rPr>
      <w:rFonts w:ascii="Times New Roman" w:hAnsi="Times New Roman" w:eastAsia="宋体" w:cs="Times New Roman"/>
      <w:color w:val="000000"/>
      <w:spacing w:val="0"/>
      <w:sz w:val="24"/>
      <w:szCs w:val="24"/>
      <w:lang w:val="en-US" w:eastAsia="zh-CN"/>
    </w:rPr>
  </w:style>
  <w:style w:type="character" w:customStyle="1" w:styleId="78">
    <w:name w:val="Information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79">
    <w:name w:val="WarningTok"/>
    <w:basedOn w:val="48"/>
    <w:qFormat/>
    <w:uiPriority w:val="0"/>
    <w:rPr>
      <w:rFonts w:ascii="Times New Roman" w:hAnsi="Times New Roman" w:eastAsia="宋体" w:cs="Times New Roman"/>
      <w:b/>
      <w:i/>
      <w:color w:val="000000"/>
      <w:spacing w:val="0"/>
      <w:sz w:val="24"/>
      <w:szCs w:val="24"/>
      <w:lang w:val="en-US" w:eastAsia="zh-CN"/>
    </w:rPr>
  </w:style>
  <w:style w:type="character" w:customStyle="1" w:styleId="80">
    <w:name w:val="Alert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81">
    <w:name w:val="ErrorTok"/>
    <w:basedOn w:val="48"/>
    <w:qFormat/>
    <w:uiPriority w:val="0"/>
    <w:rPr>
      <w:rFonts w:ascii="Times New Roman" w:hAnsi="Times New Roman" w:eastAsia="宋体" w:cs="Times New Roman"/>
      <w:b/>
      <w:color w:val="000000"/>
      <w:spacing w:val="0"/>
      <w:sz w:val="24"/>
      <w:szCs w:val="24"/>
      <w:lang w:val="en-US" w:eastAsia="zh-CN"/>
    </w:rPr>
  </w:style>
  <w:style w:type="character" w:customStyle="1" w:styleId="82">
    <w:name w:val="NormalTok"/>
    <w:basedOn w:val="48"/>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6051</Words>
  <Characters>6731</Characters>
  <Lines>12</Lines>
  <Paragraphs>8</Paragraphs>
  <TotalTime>360</TotalTime>
  <ScaleCrop>false</ScaleCrop>
  <LinksUpToDate>false</LinksUpToDate>
  <CharactersWithSpaces>6755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2026-09-15T12:49:57Z</dcterms:modified>
  <dc:subject>SGTG-AVGZSL</dc:subject>
  <dc:title>语义引导高斯时序定位的视听广义零样本学习</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eyJoZGlkIjoiZmNmZmJhNzYwNzA4N2I4NWI2ZTA2NDc4MWJiYmNjZmMiLCJ1c2VySWQiOiI2Njg0OTg3MDcifQ==</vt:lpwstr>
  </property>
  <property fmtid="{D5CDD505-2E9C-101B-9397-08002B2CF9AE}" pid="3" name="KSOProductBuildVer">
    <vt:lpwstr>2052-12.1.0.28505</vt:lpwstr>
  </property>
  <property fmtid="{D5CDD505-2E9C-101B-9397-08002B2CF9AE}" pid="4" name="ICV">
    <vt:lpwstr>0435495A2D874AC0B3660C9AFD815379_13</vt:lpwstr>
  </property>
</Properties>
</file>