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E84CC7" w14:textId="77777777" w:rsidR="00143586" w:rsidRDefault="00143586" w:rsidP="00143586">
      <w:pPr>
        <w:tabs>
          <w:tab w:val="left" w:pos="9538"/>
        </w:tabs>
        <w:rPr>
          <w:rFonts w:cstheme="minorHAnsi"/>
          <w:b/>
          <w:color w:val="000000" w:themeColor="text1"/>
        </w:rPr>
      </w:pPr>
      <w:r>
        <w:rPr>
          <w:rFonts w:cstheme="minorHAnsi"/>
          <w:b/>
          <w:color w:val="000000" w:themeColor="text1"/>
        </w:rPr>
        <w:t>Woodfine Management Corp. (“Woodfine”)</w:t>
      </w:r>
      <w:r>
        <w:rPr>
          <w:rFonts w:cstheme="minorHAnsi"/>
          <w:b/>
          <w:color w:val="000000" w:themeColor="text1"/>
        </w:rPr>
        <w:tab/>
      </w:r>
    </w:p>
    <w:p w14:paraId="43D641EA" w14:textId="77777777" w:rsidR="00143586" w:rsidRDefault="00143586" w:rsidP="00143586">
      <w:pPr>
        <w:rPr>
          <w:rFonts w:cstheme="minorHAnsi"/>
          <w:b/>
          <w:color w:val="000000" w:themeColor="text1"/>
        </w:rPr>
      </w:pPr>
    </w:p>
    <w:tbl>
      <w:tblPr>
        <w:tblStyle w:val="TableGrid"/>
        <w:tblpPr w:leftFromText="180" w:rightFromText="180" w:vertAnchor="text" w:tblpY="1"/>
        <w:tblOverlap w:val="never"/>
        <w:tblW w:w="9350" w:type="dxa"/>
        <w:tblLayout w:type="fixed"/>
        <w:tblLook w:val="04A0" w:firstRow="1" w:lastRow="0" w:firstColumn="1" w:lastColumn="0" w:noHBand="0" w:noVBand="1"/>
      </w:tblPr>
      <w:tblGrid>
        <w:gridCol w:w="1409"/>
        <w:gridCol w:w="7941"/>
      </w:tblGrid>
      <w:tr w:rsidR="00143586" w14:paraId="0BFF3370" w14:textId="77777777" w:rsidTr="00986C81">
        <w:tc>
          <w:tcPr>
            <w:tcW w:w="1409" w:type="dxa"/>
            <w:tcBorders>
              <w:top w:val="nil"/>
              <w:left w:val="nil"/>
              <w:bottom w:val="nil"/>
              <w:right w:val="nil"/>
            </w:tcBorders>
          </w:tcPr>
          <w:p w14:paraId="0DAB7CC3" w14:textId="77777777" w:rsidR="00143586" w:rsidRDefault="00143586" w:rsidP="00986C81">
            <w:pPr>
              <w:rPr>
                <w:rFonts w:cstheme="minorHAnsi"/>
                <w:b/>
                <w:color w:val="000000" w:themeColor="text1"/>
              </w:rPr>
            </w:pPr>
            <w:r>
              <w:rPr>
                <w:rFonts w:cstheme="minorHAnsi"/>
                <w:b/>
                <w:color w:val="000000" w:themeColor="text1"/>
              </w:rPr>
              <w:t>Company:</w:t>
            </w:r>
          </w:p>
        </w:tc>
        <w:tc>
          <w:tcPr>
            <w:tcW w:w="7940" w:type="dxa"/>
            <w:tcBorders>
              <w:top w:val="nil"/>
              <w:left w:val="nil"/>
              <w:bottom w:val="nil"/>
              <w:right w:val="nil"/>
            </w:tcBorders>
          </w:tcPr>
          <w:p w14:paraId="06DDF4A6" w14:textId="40B48B69" w:rsidR="00143586" w:rsidRDefault="00143586" w:rsidP="00986C81">
            <w:pPr>
              <w:rPr>
                <w:rFonts w:cstheme="minorHAnsi"/>
              </w:rPr>
            </w:pPr>
            <w:r>
              <w:rPr>
                <w:rFonts w:cstheme="minorHAnsi"/>
              </w:rPr>
              <w:t>&lt;Insert company name&gt;</w:t>
            </w:r>
          </w:p>
        </w:tc>
      </w:tr>
      <w:tr w:rsidR="00143586" w14:paraId="37B18594" w14:textId="77777777" w:rsidTr="00986C81">
        <w:tc>
          <w:tcPr>
            <w:tcW w:w="1409" w:type="dxa"/>
            <w:tcBorders>
              <w:top w:val="nil"/>
              <w:left w:val="nil"/>
              <w:bottom w:val="nil"/>
              <w:right w:val="nil"/>
            </w:tcBorders>
          </w:tcPr>
          <w:p w14:paraId="58650CD4" w14:textId="77777777" w:rsidR="00143586" w:rsidRDefault="00143586" w:rsidP="00986C81">
            <w:pPr>
              <w:rPr>
                <w:rFonts w:cstheme="minorHAnsi"/>
                <w:b/>
                <w:color w:val="000000" w:themeColor="text1"/>
              </w:rPr>
            </w:pPr>
            <w:r>
              <w:rPr>
                <w:rFonts w:cstheme="minorHAnsi"/>
                <w:b/>
                <w:color w:val="000000" w:themeColor="text1"/>
              </w:rPr>
              <w:t>Contact:</w:t>
            </w:r>
          </w:p>
        </w:tc>
        <w:tc>
          <w:tcPr>
            <w:tcW w:w="7940" w:type="dxa"/>
            <w:tcBorders>
              <w:top w:val="nil"/>
              <w:left w:val="nil"/>
              <w:bottom w:val="nil"/>
              <w:right w:val="nil"/>
            </w:tcBorders>
          </w:tcPr>
          <w:p w14:paraId="104B66C0" w14:textId="4BED8717" w:rsidR="00143586" w:rsidRDefault="00143586" w:rsidP="00143586">
            <w:pPr>
              <w:rPr>
                <w:rFonts w:cstheme="minorHAnsi"/>
                <w:color w:val="242424"/>
                <w:sz w:val="23"/>
                <w:szCs w:val="23"/>
              </w:rPr>
            </w:pPr>
            <w:r>
              <w:rPr>
                <w:rFonts w:cstheme="minorHAnsi"/>
              </w:rPr>
              <w:t>&lt;Insert name&gt;</w:t>
            </w:r>
          </w:p>
        </w:tc>
      </w:tr>
      <w:tr w:rsidR="00143586" w14:paraId="02894B47" w14:textId="77777777" w:rsidTr="00986C81">
        <w:tc>
          <w:tcPr>
            <w:tcW w:w="1409" w:type="dxa"/>
            <w:tcBorders>
              <w:top w:val="nil"/>
              <w:left w:val="nil"/>
              <w:bottom w:val="nil"/>
              <w:right w:val="nil"/>
            </w:tcBorders>
          </w:tcPr>
          <w:p w14:paraId="305E5097" w14:textId="77777777" w:rsidR="00143586" w:rsidRDefault="00143586" w:rsidP="00986C81">
            <w:pPr>
              <w:rPr>
                <w:rFonts w:cstheme="minorHAnsi"/>
                <w:b/>
                <w:color w:val="000000" w:themeColor="text1"/>
              </w:rPr>
            </w:pPr>
            <w:r>
              <w:rPr>
                <w:rFonts w:cstheme="minorHAnsi"/>
                <w:b/>
                <w:color w:val="000000" w:themeColor="text1"/>
              </w:rPr>
              <w:t>Date:</w:t>
            </w:r>
          </w:p>
        </w:tc>
        <w:tc>
          <w:tcPr>
            <w:tcW w:w="7940" w:type="dxa"/>
            <w:tcBorders>
              <w:top w:val="nil"/>
              <w:left w:val="nil"/>
              <w:bottom w:val="nil"/>
              <w:right w:val="nil"/>
            </w:tcBorders>
          </w:tcPr>
          <w:p w14:paraId="2D4671D2" w14:textId="3797E2CF" w:rsidR="00143586" w:rsidRDefault="00143586" w:rsidP="00986C81">
            <w:pPr>
              <w:rPr>
                <w:rFonts w:cstheme="minorHAnsi"/>
                <w:color w:val="000000" w:themeColor="text1"/>
              </w:rPr>
            </w:pPr>
            <w:r>
              <w:rPr>
                <w:rFonts w:cstheme="minorHAnsi"/>
                <w:color w:val="000000" w:themeColor="text1"/>
              </w:rPr>
              <w:t xml:space="preserve">May </w:t>
            </w:r>
            <w:r>
              <w:rPr>
                <w:rFonts w:ascii="Calibri" w:hAnsi="Calibri" w:cs="Calibri"/>
                <w:color w:val="000000" w:themeColor="text1"/>
              </w:rPr>
              <w:t>•</w:t>
            </w:r>
            <w:r>
              <w:rPr>
                <w:rFonts w:cstheme="minorHAnsi"/>
                <w:color w:val="000000" w:themeColor="text1"/>
              </w:rPr>
              <w:t>, 202</w:t>
            </w:r>
            <w:r>
              <w:rPr>
                <w:rFonts w:cstheme="minorHAnsi"/>
                <w:color w:val="000000" w:themeColor="text1"/>
              </w:rPr>
              <w:t>6</w:t>
            </w:r>
          </w:p>
        </w:tc>
      </w:tr>
      <w:tr w:rsidR="00143586" w14:paraId="3F61F084" w14:textId="77777777" w:rsidTr="00986C81">
        <w:tc>
          <w:tcPr>
            <w:tcW w:w="1409" w:type="dxa"/>
            <w:tcBorders>
              <w:top w:val="nil"/>
              <w:left w:val="nil"/>
              <w:bottom w:val="nil"/>
              <w:right w:val="nil"/>
            </w:tcBorders>
          </w:tcPr>
          <w:p w14:paraId="681988EE" w14:textId="77777777" w:rsidR="00143586" w:rsidRDefault="00143586" w:rsidP="00986C81">
            <w:pPr>
              <w:rPr>
                <w:rFonts w:cstheme="minorHAnsi"/>
                <w:b/>
                <w:color w:val="000000" w:themeColor="text1"/>
              </w:rPr>
            </w:pPr>
            <w:r>
              <w:rPr>
                <w:rFonts w:cstheme="minorHAnsi"/>
                <w:b/>
                <w:color w:val="000000" w:themeColor="text1"/>
              </w:rPr>
              <w:t>Subject:</w:t>
            </w:r>
          </w:p>
        </w:tc>
        <w:tc>
          <w:tcPr>
            <w:tcW w:w="7940" w:type="dxa"/>
            <w:tcBorders>
              <w:top w:val="nil"/>
              <w:left w:val="nil"/>
              <w:bottom w:val="nil"/>
              <w:right w:val="nil"/>
            </w:tcBorders>
          </w:tcPr>
          <w:p w14:paraId="36A6FDC3" w14:textId="77777777" w:rsidR="00143586" w:rsidRDefault="00143586" w:rsidP="00986C81">
            <w:pPr>
              <w:rPr>
                <w:rFonts w:cstheme="minorHAnsi"/>
                <w:color w:val="000000" w:themeColor="text1"/>
              </w:rPr>
            </w:pPr>
            <w:r>
              <w:rPr>
                <w:rFonts w:cstheme="minorHAnsi"/>
                <w:color w:val="000000" w:themeColor="text1"/>
              </w:rPr>
              <w:t>Onboarding – Comments on the slides</w:t>
            </w:r>
          </w:p>
        </w:tc>
      </w:tr>
    </w:tbl>
    <w:p w14:paraId="2B54C727" w14:textId="77777777" w:rsidR="00143586" w:rsidRDefault="00143586" w:rsidP="00143586">
      <w:pPr>
        <w:pBdr>
          <w:bottom w:val="single" w:sz="4" w:space="1" w:color="000000"/>
        </w:pBdr>
        <w:rPr>
          <w:rFonts w:cstheme="minorHAnsi"/>
          <w:b/>
          <w:color w:val="000000" w:themeColor="text1"/>
        </w:rPr>
      </w:pPr>
      <w:r>
        <w:br w:type="textWrapping" w:clear="all"/>
      </w:r>
    </w:p>
    <w:p w14:paraId="6E68FCC8" w14:textId="77777777" w:rsidR="00143586" w:rsidRDefault="00143586" w:rsidP="00143586"/>
    <w:tbl>
      <w:tblPr>
        <w:tblStyle w:val="TableGrid"/>
        <w:tblW w:w="10738" w:type="dxa"/>
        <w:tblInd w:w="-113" w:type="dxa"/>
        <w:tblLayout w:type="fixed"/>
        <w:tblLook w:val="04A0" w:firstRow="1" w:lastRow="0" w:firstColumn="1" w:lastColumn="0" w:noHBand="0" w:noVBand="1"/>
      </w:tblPr>
      <w:tblGrid>
        <w:gridCol w:w="1231"/>
        <w:gridCol w:w="1542"/>
        <w:gridCol w:w="1978"/>
        <w:gridCol w:w="5987"/>
      </w:tblGrid>
      <w:tr w:rsidR="00143586" w:rsidRPr="001701A1" w14:paraId="51D12F57" w14:textId="77777777" w:rsidTr="00986C81">
        <w:trPr>
          <w:trHeight w:val="267"/>
        </w:trPr>
        <w:tc>
          <w:tcPr>
            <w:tcW w:w="1231" w:type="dxa"/>
            <w:shd w:val="clear" w:color="auto" w:fill="D9D9D9" w:themeFill="background1" w:themeFillShade="D9"/>
          </w:tcPr>
          <w:p w14:paraId="4CB667C9" w14:textId="77777777" w:rsidR="00143586" w:rsidRPr="00C64080" w:rsidRDefault="00143586" w:rsidP="00986C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C64080">
              <w:rPr>
                <w:rFonts w:cstheme="minorHAnsi"/>
                <w:b/>
                <w:bCs/>
                <w:color w:val="000000" w:themeColor="text1"/>
              </w:rPr>
              <w:t>Comment Number</w:t>
            </w:r>
          </w:p>
        </w:tc>
        <w:tc>
          <w:tcPr>
            <w:tcW w:w="1542" w:type="dxa"/>
            <w:shd w:val="clear" w:color="auto" w:fill="D9D9D9" w:themeFill="background1" w:themeFillShade="D9"/>
          </w:tcPr>
          <w:p w14:paraId="0CB86FDA" w14:textId="77777777" w:rsidR="00143586" w:rsidRPr="00C64080" w:rsidRDefault="00143586" w:rsidP="00986C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C64080">
              <w:rPr>
                <w:rFonts w:cstheme="minorHAnsi"/>
                <w:b/>
                <w:bCs/>
                <w:color w:val="000000" w:themeColor="text1"/>
              </w:rPr>
              <w:t>Slide</w:t>
            </w:r>
          </w:p>
        </w:tc>
        <w:tc>
          <w:tcPr>
            <w:tcW w:w="1978" w:type="dxa"/>
            <w:shd w:val="clear" w:color="auto" w:fill="D9D9D9" w:themeFill="background1" w:themeFillShade="D9"/>
          </w:tcPr>
          <w:p w14:paraId="1AA7ABE7" w14:textId="03F5EBC6" w:rsidR="00143586" w:rsidRPr="00C64080" w:rsidRDefault="00143586" w:rsidP="00986C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C64080">
              <w:rPr>
                <w:rFonts w:ascii="Calibri" w:hAnsi="Calibri" w:cs="Calibri"/>
                <w:b/>
                <w:bCs/>
                <w:color w:val="000000" w:themeColor="text1"/>
              </w:rPr>
              <w:t>Comments</w:t>
            </w:r>
          </w:p>
        </w:tc>
        <w:tc>
          <w:tcPr>
            <w:tcW w:w="5987" w:type="dxa"/>
            <w:shd w:val="clear" w:color="auto" w:fill="D9D9D9" w:themeFill="background1" w:themeFillShade="D9"/>
          </w:tcPr>
          <w:p w14:paraId="2D7A8F1E" w14:textId="77777777" w:rsidR="00143586" w:rsidRPr="00C64080" w:rsidRDefault="00143586" w:rsidP="00986C81">
            <w:pPr>
              <w:textAlignment w:val="baseline"/>
              <w:rPr>
                <w:rFonts w:cstheme="minorHAnsi"/>
                <w:color w:val="FF0000"/>
              </w:rPr>
            </w:pPr>
            <w:r w:rsidRPr="00C64080">
              <w:rPr>
                <w:rFonts w:cstheme="minorHAnsi"/>
                <w:b/>
                <w:bCs/>
                <w:color w:val="000000" w:themeColor="text1"/>
              </w:rPr>
              <w:t xml:space="preserve">Woodfine Notes </w:t>
            </w:r>
          </w:p>
        </w:tc>
      </w:tr>
      <w:tr w:rsidR="00143586" w:rsidRPr="001701A1" w14:paraId="119AFB26" w14:textId="77777777" w:rsidTr="00986C81">
        <w:trPr>
          <w:trHeight w:val="267"/>
        </w:trPr>
        <w:tc>
          <w:tcPr>
            <w:tcW w:w="1231" w:type="dxa"/>
            <w:shd w:val="clear" w:color="auto" w:fill="auto"/>
          </w:tcPr>
          <w:p w14:paraId="5D5A1C08" w14:textId="77777777" w:rsidR="00143586" w:rsidRPr="001701A1" w:rsidRDefault="00143586" w:rsidP="00986C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542" w:type="dxa"/>
            <w:shd w:val="clear" w:color="auto" w:fill="auto"/>
          </w:tcPr>
          <w:p w14:paraId="64F24ED9" w14:textId="77777777" w:rsidR="00143586" w:rsidRPr="001701A1" w:rsidRDefault="00143586" w:rsidP="00986C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978" w:type="dxa"/>
            <w:shd w:val="clear" w:color="auto" w:fill="auto"/>
          </w:tcPr>
          <w:p w14:paraId="3EC7C2E8" w14:textId="77777777" w:rsidR="00143586" w:rsidRPr="001701A1" w:rsidRDefault="00143586" w:rsidP="00986C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5987" w:type="dxa"/>
            <w:shd w:val="clear" w:color="auto" w:fill="auto"/>
          </w:tcPr>
          <w:p w14:paraId="23E325CA" w14:textId="77777777" w:rsidR="00143586"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FF0000"/>
              </w:rPr>
            </w:pPr>
            <w:r>
              <w:rPr>
                <w:rFonts w:cstheme="minorHAnsi"/>
                <w:color w:val="FF0000"/>
              </w:rPr>
              <w:t>Search: Building Width Calculator</w:t>
            </w:r>
          </w:p>
          <w:p w14:paraId="108D2396" w14:textId="59FB972B"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FF0000"/>
              </w:rPr>
            </w:pPr>
          </w:p>
        </w:tc>
      </w:tr>
      <w:tr w:rsidR="00143586" w:rsidRPr="001701A1" w14:paraId="172BBCC7" w14:textId="77777777" w:rsidTr="00986C81">
        <w:trPr>
          <w:trHeight w:val="267"/>
        </w:trPr>
        <w:tc>
          <w:tcPr>
            <w:tcW w:w="1231" w:type="dxa"/>
            <w:shd w:val="clear" w:color="auto" w:fill="auto"/>
          </w:tcPr>
          <w:p w14:paraId="6111F458" w14:textId="77777777" w:rsidR="00143586" w:rsidRPr="001701A1" w:rsidRDefault="00143586" w:rsidP="00986C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542" w:type="dxa"/>
            <w:shd w:val="clear" w:color="auto" w:fill="auto"/>
          </w:tcPr>
          <w:p w14:paraId="08D7C8B6" w14:textId="0C62B75E" w:rsidR="00143586" w:rsidRPr="001701A1" w:rsidRDefault="00143586" w:rsidP="00986C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978" w:type="dxa"/>
            <w:shd w:val="clear" w:color="auto" w:fill="auto"/>
          </w:tcPr>
          <w:p w14:paraId="593BA171" w14:textId="77777777" w:rsidR="00143586" w:rsidRPr="001701A1" w:rsidRDefault="00143586" w:rsidP="00986C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5987" w:type="dxa"/>
            <w:shd w:val="clear" w:color="auto" w:fill="auto"/>
          </w:tcPr>
          <w:p w14:paraId="54BF814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FF0000"/>
              </w:rPr>
            </w:pPr>
            <w:r w:rsidRPr="001701A1">
              <w:rPr>
                <w:rFonts w:cstheme="minorHAnsi"/>
                <w:color w:val="FF0000"/>
              </w:rPr>
              <w:t>KEY PLANS AND TILES</w:t>
            </w:r>
          </w:p>
          <w:p w14:paraId="51CEAF0C"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55"/>
              <w:rPr>
                <w:rFonts w:cstheme="minorHAnsi"/>
                <w:color w:val="000000" w:themeColor="text1"/>
              </w:rPr>
            </w:pPr>
            <w:r w:rsidRPr="001701A1">
              <w:rPr>
                <w:rFonts w:cstheme="minorHAnsi"/>
                <w:color w:val="000000" w:themeColor="text1"/>
              </w:rPr>
              <w:t>Here is our definition to date of the Key Plans and Tiles:</w:t>
            </w:r>
          </w:p>
          <w:p w14:paraId="011E32AF"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55"/>
              <w:rPr>
                <w:rFonts w:cstheme="minorHAnsi"/>
                <w:b/>
                <w:bCs/>
                <w:color w:val="000000" w:themeColor="text1"/>
              </w:rPr>
            </w:pPr>
          </w:p>
          <w:p w14:paraId="7E8B167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55"/>
              <w:rPr>
                <w:rFonts w:cstheme="minorHAnsi"/>
                <w:color w:val="000000" w:themeColor="text1"/>
              </w:rPr>
            </w:pPr>
            <w:r w:rsidRPr="001701A1">
              <w:rPr>
                <w:rFonts w:cstheme="minorHAnsi"/>
                <w:color w:val="000000" w:themeColor="text1"/>
              </w:rPr>
              <w:t>"Key Plans and Tiles" means a geometric self-similar aperiodic space planning system based on furniture/equipment arrangements and circulation versus modular area per person progressions.</w:t>
            </w:r>
          </w:p>
          <w:p w14:paraId="38E9206E"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55"/>
              <w:rPr>
                <w:rFonts w:cstheme="minorHAnsi"/>
                <w:color w:val="000000" w:themeColor="text1"/>
              </w:rPr>
            </w:pPr>
          </w:p>
          <w:p w14:paraId="628DFB7E"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55"/>
              <w:rPr>
                <w:rFonts w:cstheme="minorHAnsi"/>
                <w:color w:val="000000" w:themeColor="text1"/>
              </w:rPr>
            </w:pPr>
            <w:r w:rsidRPr="001701A1">
              <w:rPr>
                <w:rFonts w:cstheme="minorHAnsi"/>
                <w:color w:val="000000" w:themeColor="text1"/>
              </w:rPr>
              <w:t>Individual Key Plans are not to be summed up together to make Tiles. Nor are all the Key Plans supposed to fit in all the Tiles – in the case of the building corners or the Elevator Lobbies there may be “unique” Special Tiles where only certain Key Plans fit.</w:t>
            </w:r>
          </w:p>
          <w:p w14:paraId="7BF6015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55"/>
              <w:rPr>
                <w:rFonts w:cstheme="minorHAnsi"/>
                <w:color w:val="000000" w:themeColor="text1"/>
              </w:rPr>
            </w:pPr>
          </w:p>
          <w:p w14:paraId="279D5386"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55"/>
              <w:rPr>
                <w:rFonts w:cstheme="minorHAnsi"/>
                <w:color w:val="000000" w:themeColor="text1"/>
              </w:rPr>
            </w:pPr>
            <w:r w:rsidRPr="001701A1">
              <w:rPr>
                <w:rFonts w:cstheme="minorHAnsi"/>
                <w:color w:val="000000" w:themeColor="text1"/>
              </w:rPr>
              <w:t>Without getting into the end caps of the office buildings or the Elevator Lobbies corresponding to each of the floors, the idea is that it should not be all that complicated, with only three basic types of Tiles for leasing:</w:t>
            </w:r>
          </w:p>
          <w:p w14:paraId="599A0017" w14:textId="77777777" w:rsidR="00143586" w:rsidRPr="001701A1" w:rsidRDefault="00143586" w:rsidP="00143586">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55"/>
              <w:rPr>
                <w:rFonts w:asciiTheme="minorHAnsi" w:hAnsiTheme="minorHAnsi" w:cstheme="minorHAnsi"/>
                <w:color w:val="000000" w:themeColor="text1"/>
              </w:rPr>
            </w:pPr>
            <w:r w:rsidRPr="001701A1">
              <w:rPr>
                <w:rFonts w:asciiTheme="minorHAnsi" w:hAnsiTheme="minorHAnsi" w:cstheme="minorHAnsi"/>
                <w:color w:val="000000" w:themeColor="text1"/>
              </w:rPr>
              <w:t>Private Office</w:t>
            </w:r>
          </w:p>
          <w:p w14:paraId="040245FB" w14:textId="77777777" w:rsidR="00143586" w:rsidRPr="001701A1" w:rsidRDefault="00143586" w:rsidP="00143586">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55"/>
              <w:rPr>
                <w:rFonts w:asciiTheme="minorHAnsi" w:hAnsiTheme="minorHAnsi" w:cstheme="minorHAnsi"/>
                <w:color w:val="000000" w:themeColor="text1"/>
              </w:rPr>
            </w:pPr>
            <w:r w:rsidRPr="001701A1">
              <w:rPr>
                <w:rFonts w:asciiTheme="minorHAnsi" w:hAnsiTheme="minorHAnsi" w:cstheme="minorHAnsi"/>
                <w:color w:val="000000" w:themeColor="text1"/>
              </w:rPr>
              <w:t>Professional Office</w:t>
            </w:r>
          </w:p>
          <w:p w14:paraId="66435691" w14:textId="77777777" w:rsidR="00143586" w:rsidRDefault="00143586" w:rsidP="00143586">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55"/>
              <w:rPr>
                <w:rFonts w:asciiTheme="minorHAnsi" w:hAnsiTheme="minorHAnsi" w:cstheme="minorHAnsi"/>
                <w:color w:val="000000" w:themeColor="text1"/>
              </w:rPr>
            </w:pPr>
            <w:r w:rsidRPr="001701A1">
              <w:rPr>
                <w:rFonts w:asciiTheme="minorHAnsi" w:hAnsiTheme="minorHAnsi" w:cstheme="minorHAnsi"/>
                <w:color w:val="000000" w:themeColor="text1"/>
              </w:rPr>
              <w:t>Corporate Office</w:t>
            </w:r>
          </w:p>
          <w:p w14:paraId="405CF535" w14:textId="77777777" w:rsidR="00143586"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55"/>
              <w:rPr>
                <w:rFonts w:cstheme="minorHAnsi"/>
                <w:color w:val="000000" w:themeColor="text1"/>
              </w:rPr>
            </w:pPr>
          </w:p>
          <w:p w14:paraId="4937C7BF" w14:textId="77777777" w:rsidR="00143586" w:rsidRPr="00993E4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themeColor="text1"/>
                <w:highlight w:val="yellow"/>
              </w:rPr>
            </w:pPr>
            <w:r w:rsidRPr="00993E4F">
              <w:rPr>
                <w:rFonts w:cstheme="minorHAnsi"/>
                <w:color w:val="000000" w:themeColor="text1"/>
                <w:highlight w:val="yellow"/>
              </w:rPr>
              <w:t>The other major Tiles for the office buildings represent the amenities and are as follows:</w:t>
            </w:r>
          </w:p>
          <w:p w14:paraId="7BF6CDE3" w14:textId="77777777" w:rsidR="00143586" w:rsidRPr="00993E4F" w:rsidRDefault="00143586" w:rsidP="00143586">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Theme="minorHAnsi" w:hAnsiTheme="minorHAnsi" w:cstheme="minorHAnsi"/>
                <w:color w:val="000000" w:themeColor="text1"/>
                <w:highlight w:val="yellow"/>
              </w:rPr>
            </w:pPr>
            <w:r w:rsidRPr="00993E4F">
              <w:rPr>
                <w:rFonts w:asciiTheme="minorHAnsi" w:hAnsiTheme="minorHAnsi" w:cstheme="minorHAnsi"/>
                <w:color w:val="000000" w:themeColor="text1"/>
                <w:highlight w:val="yellow"/>
              </w:rPr>
              <w:t xml:space="preserve">Lobby Atrium </w:t>
            </w:r>
          </w:p>
          <w:p w14:paraId="4645860F" w14:textId="77777777" w:rsidR="00143586" w:rsidRPr="00993E4F" w:rsidRDefault="00143586" w:rsidP="00143586">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Theme="minorHAnsi" w:hAnsiTheme="minorHAnsi" w:cstheme="minorHAnsi"/>
                <w:color w:val="000000" w:themeColor="text1"/>
                <w:highlight w:val="yellow"/>
              </w:rPr>
            </w:pPr>
            <w:r w:rsidRPr="00993E4F">
              <w:rPr>
                <w:rFonts w:asciiTheme="minorHAnsi" w:hAnsiTheme="minorHAnsi" w:cstheme="minorHAnsi"/>
                <w:color w:val="000000" w:themeColor="text1"/>
                <w:highlight w:val="yellow"/>
              </w:rPr>
              <w:t xml:space="preserve">Building Manager </w:t>
            </w:r>
          </w:p>
          <w:p w14:paraId="7434CC61" w14:textId="77777777" w:rsidR="00143586" w:rsidRPr="00993E4F" w:rsidRDefault="00143586" w:rsidP="00143586">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Theme="minorHAnsi" w:hAnsiTheme="minorHAnsi" w:cstheme="minorHAnsi"/>
                <w:color w:val="000000" w:themeColor="text1"/>
                <w:highlight w:val="yellow"/>
              </w:rPr>
            </w:pPr>
            <w:r w:rsidRPr="00993E4F">
              <w:rPr>
                <w:rFonts w:asciiTheme="minorHAnsi" w:hAnsiTheme="minorHAnsi" w:cstheme="minorHAnsi"/>
                <w:color w:val="000000" w:themeColor="text1"/>
                <w:highlight w:val="yellow"/>
              </w:rPr>
              <w:t>Mail Room</w:t>
            </w:r>
          </w:p>
          <w:p w14:paraId="2891AAC3" w14:textId="77777777" w:rsidR="00143586" w:rsidRPr="00993E4F" w:rsidRDefault="00143586" w:rsidP="00143586">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Theme="minorHAnsi" w:hAnsiTheme="minorHAnsi" w:cstheme="minorHAnsi"/>
                <w:color w:val="000000" w:themeColor="text1"/>
                <w:highlight w:val="yellow"/>
              </w:rPr>
            </w:pPr>
            <w:r w:rsidRPr="00993E4F">
              <w:rPr>
                <w:rFonts w:asciiTheme="minorHAnsi" w:hAnsiTheme="minorHAnsi" w:cstheme="minorHAnsi"/>
                <w:color w:val="000000" w:themeColor="text1"/>
                <w:highlight w:val="yellow"/>
              </w:rPr>
              <w:t>Tenant Lounge</w:t>
            </w:r>
          </w:p>
          <w:p w14:paraId="7750C8B0" w14:textId="77777777" w:rsidR="00143586" w:rsidRPr="00993E4F" w:rsidRDefault="00143586" w:rsidP="00143586">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Theme="minorHAnsi" w:hAnsiTheme="minorHAnsi" w:cstheme="minorHAnsi"/>
                <w:color w:val="000000" w:themeColor="text1"/>
                <w:highlight w:val="yellow"/>
              </w:rPr>
            </w:pPr>
            <w:r w:rsidRPr="00993E4F">
              <w:rPr>
                <w:rFonts w:asciiTheme="minorHAnsi" w:hAnsiTheme="minorHAnsi" w:cstheme="minorHAnsi"/>
                <w:color w:val="000000" w:themeColor="text1"/>
                <w:highlight w:val="yellow"/>
              </w:rPr>
              <w:t>Coffee/Bread</w:t>
            </w:r>
          </w:p>
          <w:p w14:paraId="712FFD92" w14:textId="77777777" w:rsidR="00143586" w:rsidRPr="00993E4F" w:rsidRDefault="00143586" w:rsidP="00143586">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Theme="minorHAnsi" w:hAnsiTheme="minorHAnsi" w:cstheme="minorHAnsi"/>
                <w:color w:val="000000" w:themeColor="text1"/>
                <w:highlight w:val="yellow"/>
              </w:rPr>
            </w:pPr>
            <w:r w:rsidRPr="00993E4F">
              <w:rPr>
                <w:rFonts w:asciiTheme="minorHAnsi" w:hAnsiTheme="minorHAnsi" w:cstheme="minorHAnsi"/>
                <w:color w:val="000000" w:themeColor="text1"/>
                <w:highlight w:val="yellow"/>
              </w:rPr>
              <w:t>Loading and Recycling</w:t>
            </w:r>
          </w:p>
          <w:p w14:paraId="591FD122" w14:textId="77777777" w:rsidR="00143586" w:rsidRPr="00993E4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themeColor="text1"/>
                <w:highlight w:val="yellow"/>
              </w:rPr>
            </w:pPr>
          </w:p>
          <w:p w14:paraId="34A6F260" w14:textId="77777777" w:rsidR="00143586" w:rsidRPr="00993E4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themeColor="text1"/>
                <w:highlight w:val="yellow"/>
              </w:rPr>
            </w:pPr>
            <w:r w:rsidRPr="00993E4F">
              <w:rPr>
                <w:rFonts w:cstheme="minorHAnsi"/>
                <w:color w:val="000000" w:themeColor="text1"/>
                <w:highlight w:val="yellow"/>
              </w:rPr>
              <w:t>For Tech Industrial, the Floor Plates are the Tiles, and we see there are only two sizes of buildings:</w:t>
            </w:r>
          </w:p>
          <w:p w14:paraId="03AD0B5F" w14:textId="77777777" w:rsidR="00143586" w:rsidRPr="00993E4F" w:rsidRDefault="00143586" w:rsidP="00143586">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Theme="minorHAnsi" w:hAnsiTheme="minorHAnsi" w:cstheme="minorHAnsi"/>
                <w:color w:val="000000" w:themeColor="text1"/>
                <w:highlight w:val="yellow"/>
              </w:rPr>
            </w:pPr>
            <w:r w:rsidRPr="00993E4F">
              <w:rPr>
                <w:rFonts w:asciiTheme="minorHAnsi" w:hAnsiTheme="minorHAnsi" w:cstheme="minorHAnsi"/>
                <w:color w:val="000000" w:themeColor="text1"/>
                <w:highlight w:val="yellow"/>
              </w:rPr>
              <w:t xml:space="preserve">Medium </w:t>
            </w:r>
          </w:p>
          <w:p w14:paraId="2099DB5C" w14:textId="77777777" w:rsidR="00143586" w:rsidRPr="00993E4F" w:rsidRDefault="00143586" w:rsidP="00143586">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Theme="minorHAnsi" w:hAnsiTheme="minorHAnsi" w:cstheme="minorHAnsi"/>
                <w:color w:val="000000" w:themeColor="text1"/>
                <w:highlight w:val="yellow"/>
              </w:rPr>
            </w:pPr>
            <w:r w:rsidRPr="00993E4F">
              <w:rPr>
                <w:rFonts w:asciiTheme="minorHAnsi" w:hAnsiTheme="minorHAnsi" w:cstheme="minorHAnsi"/>
                <w:color w:val="000000" w:themeColor="text1"/>
                <w:highlight w:val="yellow"/>
              </w:rPr>
              <w:t xml:space="preserve">Large </w:t>
            </w:r>
          </w:p>
          <w:p w14:paraId="49811377" w14:textId="77777777" w:rsidR="00143586" w:rsidRPr="00993E4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themeColor="text1"/>
                <w:highlight w:val="yellow"/>
              </w:rPr>
            </w:pPr>
          </w:p>
          <w:p w14:paraId="77D49B29" w14:textId="77777777" w:rsidR="00143586" w:rsidRPr="00993E4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themeColor="text1"/>
                <w:highlight w:val="yellow"/>
              </w:rPr>
            </w:pPr>
            <w:r w:rsidRPr="00993E4F">
              <w:rPr>
                <w:rFonts w:cstheme="minorHAnsi"/>
                <w:color w:val="000000" w:themeColor="text1"/>
                <w:highlight w:val="yellow"/>
              </w:rPr>
              <w:t>For Retail Select, the Floor Plates are the Tiles, and we see there are three sizes of buildings:</w:t>
            </w:r>
          </w:p>
          <w:p w14:paraId="3251796B" w14:textId="77777777" w:rsidR="00143586" w:rsidRPr="00993E4F" w:rsidRDefault="00143586" w:rsidP="00143586">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Theme="minorHAnsi" w:hAnsiTheme="minorHAnsi" w:cstheme="minorHAnsi"/>
                <w:color w:val="000000" w:themeColor="text1"/>
                <w:highlight w:val="yellow"/>
              </w:rPr>
            </w:pPr>
            <w:r w:rsidRPr="00993E4F">
              <w:rPr>
                <w:rFonts w:asciiTheme="minorHAnsi" w:hAnsiTheme="minorHAnsi" w:cstheme="minorHAnsi"/>
                <w:color w:val="000000" w:themeColor="text1"/>
                <w:highlight w:val="yellow"/>
              </w:rPr>
              <w:t>Small</w:t>
            </w:r>
          </w:p>
          <w:p w14:paraId="7AABCBB8" w14:textId="77777777" w:rsidR="00143586" w:rsidRPr="00993E4F" w:rsidRDefault="00143586" w:rsidP="00143586">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Theme="minorHAnsi" w:hAnsiTheme="minorHAnsi" w:cstheme="minorHAnsi"/>
                <w:color w:val="000000" w:themeColor="text1"/>
                <w:highlight w:val="yellow"/>
              </w:rPr>
            </w:pPr>
            <w:r w:rsidRPr="00993E4F">
              <w:rPr>
                <w:rFonts w:asciiTheme="minorHAnsi" w:hAnsiTheme="minorHAnsi" w:cstheme="minorHAnsi"/>
                <w:color w:val="000000" w:themeColor="text1"/>
                <w:highlight w:val="yellow"/>
              </w:rPr>
              <w:t>Medium</w:t>
            </w:r>
          </w:p>
          <w:p w14:paraId="2BB3477C" w14:textId="77777777" w:rsidR="00143586" w:rsidRPr="00993E4F" w:rsidRDefault="00143586" w:rsidP="00143586">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Theme="minorHAnsi" w:hAnsiTheme="minorHAnsi" w:cstheme="minorHAnsi"/>
                <w:color w:val="000000" w:themeColor="text1"/>
                <w:highlight w:val="yellow"/>
              </w:rPr>
            </w:pPr>
            <w:r w:rsidRPr="00993E4F">
              <w:rPr>
                <w:rFonts w:asciiTheme="minorHAnsi" w:hAnsiTheme="minorHAnsi" w:cstheme="minorHAnsi"/>
                <w:color w:val="000000" w:themeColor="text1"/>
                <w:highlight w:val="yellow"/>
              </w:rPr>
              <w:lastRenderedPageBreak/>
              <w:t xml:space="preserve">Large </w:t>
            </w:r>
          </w:p>
          <w:p w14:paraId="17CA1A6B" w14:textId="77777777" w:rsidR="00143586" w:rsidRPr="00F83520"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55"/>
              <w:rPr>
                <w:rFonts w:cstheme="minorHAnsi"/>
                <w:color w:val="000000" w:themeColor="text1"/>
              </w:rPr>
            </w:pPr>
          </w:p>
          <w:p w14:paraId="3F644174" w14:textId="77777777" w:rsidR="00143586" w:rsidRPr="001701A1" w:rsidRDefault="00143586" w:rsidP="00143586">
            <w:pPr>
              <w:pStyle w:val="ListParagraph"/>
              <w:ind w:left="569"/>
              <w:rPr>
                <w:rFonts w:asciiTheme="minorHAnsi" w:hAnsiTheme="minorHAnsi" w:cstheme="minorHAnsi"/>
                <w:color w:val="000000" w:themeColor="text1"/>
              </w:rPr>
            </w:pPr>
          </w:p>
          <w:p w14:paraId="042FDD08"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We are creating the Key Plans and Tiles based on circulation created by the furniture and equipment needs of the proposed Tenants and adhering to European Lighting Standards and German Circulation Requirements.</w:t>
            </w:r>
          </w:p>
          <w:p w14:paraId="3B3F1FDF"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7FB68F0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The Tiles are made up of "blocks" of Key Plans that set the possible locations of the Demising Walls and also represent the Climate Zones when it comes to the Building Services.</w:t>
            </w:r>
          </w:p>
          <w:p w14:paraId="199A7B74"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567EDEB1"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Below is our methodology for generating a sample Key Plan – in this case for the Private Office – Small (PO-1).</w:t>
            </w:r>
          </w:p>
          <w:p w14:paraId="5C32061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061F84E2" w14:textId="77777777" w:rsidR="00143586" w:rsidRPr="001701A1" w:rsidRDefault="00143586" w:rsidP="00143586">
            <w:pPr>
              <w:tabs>
                <w:tab w:val="left" w:pos="733"/>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We start by putting a dot in the middle of a blank page.</w:t>
            </w:r>
          </w:p>
          <w:p w14:paraId="02398941"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74532A19" w14:textId="77777777" w:rsidR="00143586" w:rsidRPr="001701A1" w:rsidRDefault="00143586" w:rsidP="00143586">
            <w:pPr>
              <w:rPr>
                <w:rFonts w:cstheme="minorHAnsi"/>
              </w:rPr>
            </w:pPr>
            <w:r w:rsidRPr="001701A1">
              <w:rPr>
                <w:rFonts w:cstheme="minorHAnsi"/>
              </w:rPr>
              <w:t>We want to use real SKUs from the manufacturers of the furniture when laying out the Key Plans and Tiles, along with realistic layouts that reflect how Tenants would actually arrange the furniture for themselves. Then check for accessibility and the ability to flow through the building using a wheelchair, and then confirm we meet the German Circulation Requirements.</w:t>
            </w:r>
          </w:p>
          <w:p w14:paraId="3582F6B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rPr>
            </w:pPr>
          </w:p>
          <w:p w14:paraId="7C3FE88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For the furniture, we would like to use the SKUs from Steelcase and Midway to ensure we are using furniture that we can actually buy.</w:t>
            </w:r>
          </w:p>
          <w:p w14:paraId="3AC779C6"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119783C3"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b/>
                <w:bCs/>
                <w:color w:val="000000" w:themeColor="text1"/>
              </w:rPr>
            </w:pPr>
            <w:r w:rsidRPr="001701A1">
              <w:rPr>
                <w:rFonts w:cstheme="minorHAnsi"/>
                <w:b/>
                <w:bCs/>
                <w:color w:val="000000" w:themeColor="text1"/>
              </w:rPr>
              <w:t>Office Furniture</w:t>
            </w:r>
          </w:p>
          <w:p w14:paraId="7CA699B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b/>
                <w:bCs/>
              </w:rPr>
            </w:pPr>
            <w:r w:rsidRPr="001701A1">
              <w:rPr>
                <w:rFonts w:cstheme="minorHAnsi"/>
                <w:b/>
                <w:bCs/>
                <w:color w:val="000000" w:themeColor="text1"/>
              </w:rPr>
              <w:t>Steelcase:</w:t>
            </w:r>
          </w:p>
          <w:p w14:paraId="1E64056E"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Style w:val="Hyperlink"/>
                <w:rFonts w:eastAsia="DEJAVU SANS" w:cstheme="minorHAnsi"/>
              </w:rPr>
            </w:pPr>
            <w:hyperlink r:id="rId5">
              <w:r w:rsidRPr="001701A1">
                <w:rPr>
                  <w:rStyle w:val="Hyperlink"/>
                  <w:rFonts w:eastAsia="DEJAVU SANS" w:cstheme="minorHAnsi"/>
                </w:rPr>
                <w:t>https://www.steelcase.com/</w:t>
              </w:r>
            </w:hyperlink>
          </w:p>
          <w:p w14:paraId="7E3121D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3DECA0AE"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b/>
                <w:bCs/>
                <w:color w:val="000000" w:themeColor="text1"/>
              </w:rPr>
            </w:pPr>
            <w:r w:rsidRPr="001701A1">
              <w:rPr>
                <w:rFonts w:cstheme="minorHAnsi"/>
                <w:b/>
                <w:bCs/>
                <w:color w:val="000000" w:themeColor="text1"/>
              </w:rPr>
              <w:t>Medical – Dentist Furniture</w:t>
            </w:r>
          </w:p>
          <w:p w14:paraId="39DD100C"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b/>
                <w:bCs/>
                <w:color w:val="000000" w:themeColor="text1"/>
              </w:rPr>
            </w:pPr>
            <w:r w:rsidRPr="001701A1">
              <w:rPr>
                <w:rFonts w:cstheme="minorHAnsi"/>
                <w:b/>
                <w:bCs/>
                <w:color w:val="000000" w:themeColor="text1"/>
              </w:rPr>
              <w:t>Midmark:</w:t>
            </w:r>
          </w:p>
          <w:p w14:paraId="70BD7838"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hyperlink r:id="rId6">
              <w:r w:rsidRPr="001701A1">
                <w:rPr>
                  <w:rStyle w:val="Hyperlink"/>
                  <w:rFonts w:eastAsia="DEJAVU SANS" w:cstheme="minorHAnsi"/>
                </w:rPr>
                <w:t>https://www.midmark.com/</w:t>
              </w:r>
            </w:hyperlink>
          </w:p>
          <w:p w14:paraId="2FB9F0B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0B542D0B"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b/>
                <w:bCs/>
                <w:color w:val="000000" w:themeColor="text1"/>
              </w:rPr>
            </w:pPr>
            <w:r w:rsidRPr="001701A1">
              <w:rPr>
                <w:rFonts w:cstheme="minorHAnsi"/>
                <w:b/>
                <w:bCs/>
                <w:color w:val="000000" w:themeColor="text1"/>
              </w:rPr>
              <w:t>Laboratory Furniture</w:t>
            </w:r>
          </w:p>
          <w:p w14:paraId="3750B7F1"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b/>
                <w:bCs/>
                <w:color w:val="000000" w:themeColor="text1"/>
              </w:rPr>
            </w:pPr>
            <w:r w:rsidRPr="001701A1">
              <w:rPr>
                <w:rFonts w:cstheme="minorHAnsi"/>
                <w:b/>
                <w:bCs/>
                <w:color w:val="000000" w:themeColor="text1"/>
              </w:rPr>
              <w:t>Lab Furniture and Fume Hoods, Inc.</w:t>
            </w:r>
          </w:p>
          <w:p w14:paraId="2EAD7431"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hyperlink r:id="rId7">
              <w:r w:rsidRPr="001701A1">
                <w:rPr>
                  <w:rStyle w:val="Hyperlink"/>
                  <w:rFonts w:eastAsia="DEJAVU SANS" w:cstheme="minorHAnsi"/>
                </w:rPr>
                <w:t>https://labfurnitureandfumehoods.com/</w:t>
              </w:r>
            </w:hyperlink>
          </w:p>
          <w:p w14:paraId="4F4F34E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2CAD1EC4"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b/>
                <w:bCs/>
                <w:color w:val="000000" w:themeColor="text1"/>
              </w:rPr>
            </w:pPr>
            <w:proofErr w:type="spellStart"/>
            <w:r w:rsidRPr="001701A1">
              <w:rPr>
                <w:rFonts w:cstheme="minorHAnsi"/>
                <w:b/>
                <w:bCs/>
                <w:color w:val="000000" w:themeColor="text1"/>
              </w:rPr>
              <w:t>Treston</w:t>
            </w:r>
            <w:proofErr w:type="spellEnd"/>
          </w:p>
          <w:p w14:paraId="08821C6C"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hyperlink r:id="rId8">
              <w:r w:rsidRPr="001701A1">
                <w:rPr>
                  <w:rStyle w:val="Hyperlink"/>
                  <w:rFonts w:eastAsia="DEJAVU SANS" w:cstheme="minorHAnsi"/>
                </w:rPr>
                <w:t>https://www.treston.us/laboratory-furniture/lab-tables</w:t>
              </w:r>
            </w:hyperlink>
          </w:p>
          <w:p w14:paraId="02891F33"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617E9156"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b/>
                <w:bCs/>
                <w:color w:val="000000" w:themeColor="text1"/>
              </w:rPr>
            </w:pPr>
            <w:r w:rsidRPr="001701A1">
              <w:rPr>
                <w:rFonts w:cstheme="minorHAnsi"/>
                <w:b/>
                <w:bCs/>
                <w:color w:val="000000" w:themeColor="text1"/>
              </w:rPr>
              <w:t>Academic – TBD</w:t>
            </w:r>
          </w:p>
          <w:p w14:paraId="4F9A77B8"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b/>
                <w:bCs/>
                <w:color w:val="000000" w:themeColor="text1"/>
              </w:rPr>
            </w:pPr>
          </w:p>
          <w:p w14:paraId="73EFB8C3"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b/>
                <w:bCs/>
                <w:color w:val="000000" w:themeColor="text1"/>
              </w:rPr>
            </w:pPr>
            <w:r w:rsidRPr="001701A1">
              <w:rPr>
                <w:rFonts w:cstheme="minorHAnsi"/>
                <w:b/>
                <w:bCs/>
                <w:color w:val="000000" w:themeColor="text1"/>
              </w:rPr>
              <w:t>Civic Furniture</w:t>
            </w:r>
          </w:p>
          <w:p w14:paraId="4E9018C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b/>
                <w:bCs/>
                <w:color w:val="000000" w:themeColor="text1"/>
              </w:rPr>
            </w:pPr>
            <w:proofErr w:type="spellStart"/>
            <w:r w:rsidRPr="001701A1">
              <w:rPr>
                <w:rFonts w:cstheme="minorHAnsi"/>
                <w:b/>
                <w:bCs/>
                <w:color w:val="000000" w:themeColor="text1"/>
              </w:rPr>
              <w:t>Agati</w:t>
            </w:r>
            <w:proofErr w:type="spellEnd"/>
            <w:r w:rsidRPr="001701A1">
              <w:rPr>
                <w:rFonts w:cstheme="minorHAnsi"/>
                <w:b/>
                <w:bCs/>
                <w:color w:val="000000" w:themeColor="text1"/>
              </w:rPr>
              <w:t>:</w:t>
            </w:r>
          </w:p>
          <w:p w14:paraId="0912B78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hyperlink r:id="rId9">
              <w:r w:rsidRPr="001701A1">
                <w:rPr>
                  <w:rStyle w:val="Hyperlink"/>
                  <w:rFonts w:eastAsia="DEJAVU SANS" w:cstheme="minorHAnsi"/>
                </w:rPr>
                <w:t>https://www.agati.com/space-types/courtroom_furniture/</w:t>
              </w:r>
            </w:hyperlink>
          </w:p>
          <w:p w14:paraId="2E1667FE"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Style w:val="Hyperlink"/>
                <w:rFonts w:eastAsia="Arial" w:cstheme="minorHAnsi"/>
              </w:rPr>
            </w:pPr>
          </w:p>
          <w:p w14:paraId="2CA0417C"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Furniture requirements:</w:t>
            </w:r>
          </w:p>
          <w:p w14:paraId="1AFCED18"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b/>
                <w:bCs/>
              </w:rPr>
            </w:pPr>
            <w:r w:rsidRPr="001701A1">
              <w:rPr>
                <w:rFonts w:cstheme="minorHAnsi"/>
                <w:b/>
                <w:bCs/>
                <w:color w:val="000000" w:themeColor="text1"/>
              </w:rPr>
              <w:t>Private Office – Small (PO-1)</w:t>
            </w:r>
          </w:p>
          <w:p w14:paraId="74206A49" w14:textId="77777777" w:rsidR="00143586" w:rsidRPr="001701A1" w:rsidRDefault="00143586" w:rsidP="00143586">
            <w:pPr>
              <w:pStyle w:val="ListParagraph"/>
              <w:numPr>
                <w:ilvl w:val="1"/>
                <w:numId w:val="2"/>
              </w:numPr>
              <w:tabs>
                <w:tab w:val="left" w:pos="733"/>
                <w:tab w:val="left" w:pos="1120"/>
                <w:tab w:val="left" w:pos="1680"/>
                <w:tab w:val="left" w:pos="2240"/>
                <w:tab w:val="left" w:pos="2800"/>
                <w:tab w:val="left" w:pos="3360"/>
                <w:tab w:val="left" w:pos="3920"/>
                <w:tab w:val="left" w:pos="4480"/>
                <w:tab w:val="left" w:pos="5040"/>
                <w:tab w:val="left" w:pos="5600"/>
                <w:tab w:val="left" w:pos="6160"/>
                <w:tab w:val="left" w:pos="6720"/>
              </w:tabs>
              <w:ind w:left="727" w:right="-55" w:hanging="283"/>
              <w:rPr>
                <w:rFonts w:asciiTheme="minorHAnsi" w:hAnsiTheme="minorHAnsi" w:cstheme="minorHAnsi"/>
                <w:color w:val="000000" w:themeColor="text1"/>
              </w:rPr>
            </w:pPr>
            <w:r w:rsidRPr="001701A1">
              <w:rPr>
                <w:rFonts w:asciiTheme="minorHAnsi" w:hAnsiTheme="minorHAnsi" w:cstheme="minorHAnsi"/>
                <w:color w:val="000000" w:themeColor="text1"/>
              </w:rPr>
              <w:t>1 x desk and chair</w:t>
            </w:r>
          </w:p>
          <w:p w14:paraId="1A9A780B" w14:textId="77777777" w:rsidR="00143586" w:rsidRPr="001701A1" w:rsidRDefault="00143586" w:rsidP="00143586">
            <w:pPr>
              <w:pStyle w:val="ListParagraph"/>
              <w:numPr>
                <w:ilvl w:val="1"/>
                <w:numId w:val="2"/>
              </w:numPr>
              <w:tabs>
                <w:tab w:val="left" w:pos="1120"/>
                <w:tab w:val="left" w:pos="1159"/>
                <w:tab w:val="left" w:pos="1680"/>
                <w:tab w:val="left" w:pos="2240"/>
                <w:tab w:val="left" w:pos="2800"/>
                <w:tab w:val="left" w:pos="3360"/>
                <w:tab w:val="left" w:pos="3920"/>
                <w:tab w:val="left" w:pos="4480"/>
                <w:tab w:val="left" w:pos="5040"/>
                <w:tab w:val="left" w:pos="5600"/>
                <w:tab w:val="left" w:pos="6160"/>
                <w:tab w:val="left" w:pos="6720"/>
              </w:tabs>
              <w:ind w:left="727" w:right="-55" w:hanging="283"/>
              <w:rPr>
                <w:rFonts w:asciiTheme="minorHAnsi" w:hAnsiTheme="minorHAnsi" w:cstheme="minorHAnsi"/>
                <w:color w:val="000000" w:themeColor="text1"/>
              </w:rPr>
            </w:pPr>
            <w:r w:rsidRPr="001701A1">
              <w:rPr>
                <w:rFonts w:asciiTheme="minorHAnsi" w:hAnsiTheme="minorHAnsi" w:cstheme="minorHAnsi"/>
                <w:color w:val="000000" w:themeColor="text1"/>
              </w:rPr>
              <w:t>1 x 3-person round table</w:t>
            </w:r>
          </w:p>
          <w:p w14:paraId="32FC0BD9" w14:textId="77777777" w:rsidR="00143586" w:rsidRPr="001701A1" w:rsidRDefault="00143586" w:rsidP="00143586">
            <w:pPr>
              <w:pStyle w:val="ListParagraph"/>
              <w:numPr>
                <w:ilvl w:val="1"/>
                <w:numId w:val="2"/>
              </w:numPr>
              <w:tabs>
                <w:tab w:val="left" w:pos="1120"/>
                <w:tab w:val="left" w:pos="1159"/>
                <w:tab w:val="left" w:pos="1680"/>
                <w:tab w:val="left" w:pos="2240"/>
                <w:tab w:val="left" w:pos="2800"/>
                <w:tab w:val="left" w:pos="3360"/>
                <w:tab w:val="left" w:pos="3920"/>
                <w:tab w:val="left" w:pos="4480"/>
                <w:tab w:val="left" w:pos="5040"/>
                <w:tab w:val="left" w:pos="5600"/>
                <w:tab w:val="left" w:pos="6160"/>
                <w:tab w:val="left" w:pos="6720"/>
              </w:tabs>
              <w:ind w:left="727" w:right="-55" w:hanging="283"/>
              <w:rPr>
                <w:rFonts w:asciiTheme="minorHAnsi" w:hAnsiTheme="minorHAnsi" w:cstheme="minorHAnsi"/>
                <w:color w:val="000000" w:themeColor="text1"/>
              </w:rPr>
            </w:pPr>
            <w:r w:rsidRPr="001701A1">
              <w:rPr>
                <w:rFonts w:asciiTheme="minorHAnsi" w:hAnsiTheme="minorHAnsi" w:cstheme="minorHAnsi"/>
                <w:color w:val="000000" w:themeColor="text1"/>
              </w:rPr>
              <w:lastRenderedPageBreak/>
              <w:t>1 x filing cabinet</w:t>
            </w:r>
          </w:p>
          <w:p w14:paraId="0A5F531C" w14:textId="77777777" w:rsidR="00143586" w:rsidRPr="001701A1" w:rsidRDefault="00143586" w:rsidP="00143586">
            <w:pPr>
              <w:pStyle w:val="ListParagraph"/>
              <w:numPr>
                <w:ilvl w:val="1"/>
                <w:numId w:val="2"/>
              </w:numPr>
              <w:tabs>
                <w:tab w:val="left" w:pos="1120"/>
                <w:tab w:val="left" w:pos="1159"/>
                <w:tab w:val="left" w:pos="1680"/>
                <w:tab w:val="left" w:pos="2240"/>
                <w:tab w:val="left" w:pos="2800"/>
                <w:tab w:val="left" w:pos="3360"/>
                <w:tab w:val="left" w:pos="3920"/>
                <w:tab w:val="left" w:pos="4480"/>
                <w:tab w:val="left" w:pos="5040"/>
                <w:tab w:val="left" w:pos="5600"/>
                <w:tab w:val="left" w:pos="6160"/>
                <w:tab w:val="left" w:pos="6720"/>
              </w:tabs>
              <w:ind w:left="727" w:right="-55" w:hanging="283"/>
              <w:rPr>
                <w:rFonts w:asciiTheme="minorHAnsi" w:hAnsiTheme="minorHAnsi" w:cstheme="minorHAnsi"/>
                <w:color w:val="000000" w:themeColor="text1"/>
              </w:rPr>
            </w:pPr>
            <w:r w:rsidRPr="001701A1">
              <w:rPr>
                <w:rFonts w:asciiTheme="minorHAnsi" w:hAnsiTheme="minorHAnsi" w:cstheme="minorHAnsi"/>
                <w:color w:val="000000" w:themeColor="text1"/>
              </w:rPr>
              <w:t>1 x credenza</w:t>
            </w:r>
          </w:p>
          <w:p w14:paraId="06041365" w14:textId="77777777" w:rsidR="00143586" w:rsidRPr="001701A1" w:rsidRDefault="00143586" w:rsidP="00143586">
            <w:pPr>
              <w:pStyle w:val="ListParagraph"/>
              <w:numPr>
                <w:ilvl w:val="1"/>
                <w:numId w:val="2"/>
              </w:numPr>
              <w:tabs>
                <w:tab w:val="left" w:pos="1120"/>
                <w:tab w:val="left" w:pos="1159"/>
                <w:tab w:val="left" w:pos="1680"/>
                <w:tab w:val="left" w:pos="2240"/>
                <w:tab w:val="left" w:pos="2800"/>
                <w:tab w:val="left" w:pos="3360"/>
                <w:tab w:val="left" w:pos="3920"/>
                <w:tab w:val="left" w:pos="4480"/>
                <w:tab w:val="left" w:pos="5040"/>
                <w:tab w:val="left" w:pos="5600"/>
                <w:tab w:val="left" w:pos="6160"/>
                <w:tab w:val="left" w:pos="6720"/>
              </w:tabs>
              <w:ind w:left="727" w:right="-55" w:hanging="283"/>
              <w:rPr>
                <w:rFonts w:asciiTheme="minorHAnsi" w:hAnsiTheme="minorHAnsi" w:cstheme="minorHAnsi"/>
                <w:color w:val="000000" w:themeColor="text1"/>
              </w:rPr>
            </w:pPr>
            <w:r w:rsidRPr="001701A1">
              <w:rPr>
                <w:rFonts w:asciiTheme="minorHAnsi" w:hAnsiTheme="minorHAnsi" w:cstheme="minorHAnsi"/>
                <w:color w:val="000000" w:themeColor="text1"/>
              </w:rPr>
              <w:t>1 x bookshelf</w:t>
            </w:r>
          </w:p>
          <w:p w14:paraId="6568C256" w14:textId="77777777" w:rsidR="00143586" w:rsidRPr="001701A1" w:rsidRDefault="00143586" w:rsidP="00143586">
            <w:pPr>
              <w:pStyle w:val="ListParagraph"/>
              <w:numPr>
                <w:ilvl w:val="1"/>
                <w:numId w:val="2"/>
              </w:numPr>
              <w:tabs>
                <w:tab w:val="left" w:pos="1120"/>
                <w:tab w:val="left" w:pos="1159"/>
                <w:tab w:val="left" w:pos="1680"/>
                <w:tab w:val="left" w:pos="2240"/>
                <w:tab w:val="left" w:pos="2800"/>
                <w:tab w:val="left" w:pos="3360"/>
                <w:tab w:val="left" w:pos="3920"/>
                <w:tab w:val="left" w:pos="4480"/>
                <w:tab w:val="left" w:pos="5040"/>
                <w:tab w:val="left" w:pos="5600"/>
                <w:tab w:val="left" w:pos="6160"/>
                <w:tab w:val="left" w:pos="6720"/>
              </w:tabs>
              <w:ind w:left="727" w:right="-55" w:hanging="283"/>
              <w:rPr>
                <w:rFonts w:asciiTheme="minorHAnsi" w:hAnsiTheme="minorHAnsi" w:cstheme="minorHAnsi"/>
                <w:color w:val="000000" w:themeColor="text1"/>
              </w:rPr>
            </w:pPr>
            <w:r w:rsidRPr="001701A1">
              <w:rPr>
                <w:rFonts w:asciiTheme="minorHAnsi" w:hAnsiTheme="minorHAnsi" w:cstheme="minorHAnsi"/>
                <w:color w:val="000000" w:themeColor="text1"/>
              </w:rPr>
              <w:t>1 x coat rack</w:t>
            </w:r>
          </w:p>
          <w:p w14:paraId="7EF4435E"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7BC95D1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We will then begin laying out the furniture objects around the dot in the middle of the blank page.</w:t>
            </w:r>
          </w:p>
          <w:p w14:paraId="77052394"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1B32D81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Then we are going to move the furniture around the dot in order to achieve the German Circulation Law, along with the European Lighting Standard.</w:t>
            </w:r>
          </w:p>
          <w:p w14:paraId="0898661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5991264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Next, we are also going to make sure there is sufficient width, so that even on our smallest Key Plan, PO-1, the Tenant receives sufficient Façade Frontage to have a really comfortable space.</w:t>
            </w:r>
          </w:p>
          <w:p w14:paraId="3075FB76"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393CA1E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roofErr w:type="gramStart"/>
            <w:r w:rsidRPr="001701A1">
              <w:rPr>
                <w:rFonts w:cstheme="minorHAnsi"/>
                <w:color w:val="000000" w:themeColor="text1"/>
              </w:rPr>
              <w:t>Finally</w:t>
            </w:r>
            <w:proofErr w:type="gramEnd"/>
            <w:r w:rsidRPr="001701A1">
              <w:rPr>
                <w:rFonts w:cstheme="minorHAnsi"/>
                <w:color w:val="000000" w:themeColor="text1"/>
              </w:rPr>
              <w:t xml:space="preserve"> we put a box around all of that and allow the computer to calculate the area of the box – giving us the square footage for a leasehold that complies with the highest standards, should that Tenant want to obtain WELL Certification within their leasehold or should we want to use these Prototypes in order to carry forward the Rollout Program across any Development Site throughout North America and Europe.</w:t>
            </w:r>
          </w:p>
          <w:p w14:paraId="661BF20F"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59220CCE"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If we were to do that for the Private Office – Medium (PO-2), we would complete the same procedure but add a second desk, chair and credenza. The rest of the furniture would stay the same.</w:t>
            </w:r>
          </w:p>
          <w:p w14:paraId="0A520F2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091B4C18"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 xml:space="preserve">Once we have a collection of sample Key Plans, we can summarize them using a table and begin to analyze the Building Width </w:t>
            </w:r>
            <w:r w:rsidRPr="001701A1">
              <w:rPr>
                <w:rFonts w:cstheme="minorHAnsi"/>
              </w:rPr>
              <w:t>Calculator</w:t>
            </w:r>
            <w:r w:rsidRPr="001701A1">
              <w:rPr>
                <w:rFonts w:cstheme="minorHAnsi"/>
                <w:color w:val="000000" w:themeColor="text1"/>
              </w:rPr>
              <w:t xml:space="preserve"> based on the dimensions required to satisfy the sample Key Plans by creating three zones across the Floor Plates:</w:t>
            </w:r>
          </w:p>
          <w:p w14:paraId="7742E5CB"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rPr>
            </w:pPr>
          </w:p>
          <w:p w14:paraId="5C769BF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b/>
                <w:bCs/>
              </w:rPr>
            </w:pPr>
            <w:r w:rsidRPr="001701A1">
              <w:rPr>
                <w:rFonts w:cstheme="minorHAnsi"/>
                <w:b/>
                <w:bCs/>
                <w:color w:val="000000" w:themeColor="text1"/>
              </w:rPr>
              <w:t>Zone 1 – Habitat:</w:t>
            </w:r>
          </w:p>
          <w:p w14:paraId="4D4A89C8"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rPr>
            </w:pPr>
            <w:r w:rsidRPr="001701A1">
              <w:rPr>
                <w:rFonts w:cstheme="minorHAnsi"/>
                <w:color w:val="000000" w:themeColor="text1"/>
              </w:rPr>
              <w:t>First, we draw a dotted line 6 metres from the perimeter as all the desks and/or workstations need to be in this Zone 1 – Habitat.</w:t>
            </w:r>
          </w:p>
          <w:p w14:paraId="3F948DD4"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cstheme="minorHAnsi"/>
                <w:color w:val="000000" w:themeColor="text1"/>
              </w:rPr>
            </w:pPr>
          </w:p>
          <w:p w14:paraId="4111E57E"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b/>
                <w:bCs/>
                <w:color w:val="000000" w:themeColor="text1"/>
              </w:rPr>
            </w:pPr>
            <w:r w:rsidRPr="001701A1">
              <w:rPr>
                <w:rFonts w:cstheme="minorHAnsi"/>
                <w:b/>
                <w:bCs/>
                <w:color w:val="000000" w:themeColor="text1"/>
              </w:rPr>
              <w:t>Zone 2 – Magazine:</w:t>
            </w:r>
          </w:p>
          <w:p w14:paraId="669DE6B1"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rPr>
            </w:pPr>
            <w:r w:rsidRPr="001701A1">
              <w:rPr>
                <w:rFonts w:cstheme="minorHAnsi"/>
                <w:color w:val="000000" w:themeColor="text1"/>
              </w:rPr>
              <w:t>Second, we create space for storage outside of the Zone 1 – Habitat.</w:t>
            </w:r>
          </w:p>
          <w:p w14:paraId="52A7FEEC" w14:textId="77777777" w:rsidR="00143586" w:rsidRPr="001701A1" w:rsidRDefault="00143586" w:rsidP="00143586">
            <w:pPr>
              <w:ind w:right="-55"/>
              <w:rPr>
                <w:rFonts w:cstheme="minorHAnsi"/>
              </w:rPr>
            </w:pPr>
          </w:p>
          <w:p w14:paraId="11EB8FC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55"/>
              <w:rPr>
                <w:rFonts w:cstheme="minorHAnsi"/>
                <w:color w:val="000000" w:themeColor="text1"/>
              </w:rPr>
            </w:pPr>
            <w:r w:rsidRPr="001701A1">
              <w:rPr>
                <w:rFonts w:cstheme="minorHAnsi"/>
                <w:color w:val="000000" w:themeColor="text1"/>
              </w:rPr>
              <w:t>Currently, we don't know the depth of the Zone 2 – Magazine. We need the Key Plans to find this out. The advantage of this zone is the ability to reduce the length of the building while still accommodating the Tenants' overall square footage needs and the requirement that desks be 6 metres from the windows.</w:t>
            </w:r>
          </w:p>
          <w:p w14:paraId="14F7C2A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55"/>
              <w:rPr>
                <w:rFonts w:cstheme="minorHAnsi"/>
                <w:color w:val="000000" w:themeColor="text1"/>
              </w:rPr>
            </w:pPr>
          </w:p>
          <w:p w14:paraId="7FF32FB8"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55"/>
              <w:rPr>
                <w:rFonts w:cstheme="minorHAnsi"/>
                <w:color w:val="000000" w:themeColor="text1"/>
              </w:rPr>
            </w:pPr>
            <w:r w:rsidRPr="001701A1">
              <w:rPr>
                <w:rFonts w:cstheme="minorHAnsi"/>
                <w:color w:val="000000" w:themeColor="text1"/>
              </w:rPr>
              <w:t xml:space="preserve">Without the Zone 2 – Magazine, we might end up with an overly long, slender rectangle, in which we lose the proper circulation. </w:t>
            </w:r>
            <w:r w:rsidRPr="001701A1">
              <w:rPr>
                <w:rFonts w:cstheme="minorHAnsi"/>
                <w:color w:val="000000" w:themeColor="text1"/>
              </w:rPr>
              <w:lastRenderedPageBreak/>
              <w:t>This zone may be 1 metre deep or it may be 3-4 metres deep. Only the Key Plans will tell us.</w:t>
            </w:r>
          </w:p>
          <w:p w14:paraId="2F7AA8BF"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55"/>
              <w:rPr>
                <w:rFonts w:cstheme="minorHAnsi"/>
                <w:color w:val="000000" w:themeColor="text1"/>
              </w:rPr>
            </w:pPr>
          </w:p>
          <w:p w14:paraId="0FA86774"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b/>
                <w:bCs/>
                <w:color w:val="000000" w:themeColor="text1"/>
              </w:rPr>
            </w:pPr>
            <w:r w:rsidRPr="001701A1">
              <w:rPr>
                <w:rFonts w:cstheme="minorHAnsi"/>
                <w:b/>
                <w:bCs/>
                <w:color w:val="000000" w:themeColor="text1"/>
              </w:rPr>
              <w:t>Zone 3 – Corridor:</w:t>
            </w:r>
          </w:p>
          <w:p w14:paraId="4A958C3B"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55"/>
              <w:rPr>
                <w:rFonts w:cstheme="minorHAnsi"/>
                <w:color w:val="000000" w:themeColor="text1"/>
              </w:rPr>
            </w:pPr>
            <w:r w:rsidRPr="001701A1">
              <w:rPr>
                <w:rFonts w:cstheme="minorHAnsi"/>
                <w:color w:val="000000" w:themeColor="text1"/>
              </w:rPr>
              <w:t>Working from the Zone 1 – Habitat and Zone 2 – Magazine, we will have the Zone 3 – Corridor. We would like there to be some research completed as to "what makes for great corridors" in order to be able to determine the width of this Zone 3 – Corridor. It may be 3 metres, but to find out we are suggesting creating a Corridor Key Plan.</w:t>
            </w:r>
          </w:p>
          <w:p w14:paraId="66318B06"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55"/>
              <w:rPr>
                <w:rFonts w:cstheme="minorHAnsi"/>
                <w:color w:val="000000" w:themeColor="text1"/>
              </w:rPr>
            </w:pPr>
          </w:p>
          <w:p w14:paraId="15AF4BFC"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55"/>
              <w:rPr>
                <w:rFonts w:cstheme="minorHAnsi"/>
                <w:color w:val="000000" w:themeColor="text1"/>
              </w:rPr>
            </w:pPr>
            <w:r w:rsidRPr="001701A1">
              <w:rPr>
                <w:rFonts w:cstheme="minorHAnsi"/>
                <w:color w:val="000000" w:themeColor="text1"/>
              </w:rPr>
              <w:t>The Zone 1 – Habitat and Zone 2 – Magazine will be a mirror image on each side of the Zone 3 – Corridor.</w:t>
            </w:r>
          </w:p>
          <w:p w14:paraId="0102BE1E"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55"/>
              <w:rPr>
                <w:rFonts w:cstheme="minorHAnsi"/>
                <w:b/>
                <w:bCs/>
                <w:color w:val="000000" w:themeColor="text1"/>
              </w:rPr>
            </w:pPr>
          </w:p>
          <w:p w14:paraId="614447E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Please see the Building Width Calculator.</w:t>
            </w:r>
          </w:p>
          <w:p w14:paraId="138691C8"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2C935B1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The important part is that the system is not modular. The Private Office – Medium (PO-2) is not going to be double the Private Office – Small (PO-1) so, therefore, the square footage per person becomes a moot point.</w:t>
            </w:r>
          </w:p>
          <w:p w14:paraId="2C19FBA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7BD863B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What matters is that an individual renting a Private Office – Small (PO-1) is just as comfortable as two people with a Private Office – Medium (PO-2) with all the furniture and proper layout accounted for.</w:t>
            </w:r>
          </w:p>
          <w:p w14:paraId="3776AE8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408"/>
              <w:rPr>
                <w:rFonts w:cstheme="minorHAnsi"/>
                <w:color w:val="000000" w:themeColor="text1"/>
              </w:rPr>
            </w:pPr>
          </w:p>
          <w:p w14:paraId="5F12A133"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PO-1 may have to be 300-400 square feet to allow for the proper width and Façade Frontage and PO-2 may only need to be ~100 square feet larger to accommodate the second person.</w:t>
            </w:r>
          </w:p>
          <w:p w14:paraId="68BEFCC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01F4B45E"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The square footage is variable based on furniture arrangements, circulation and Façade Frontage – the key is in delivering quality space to the Tenants.</w:t>
            </w:r>
          </w:p>
          <w:p w14:paraId="23B82B9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6B6D884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The rent for Private Offices (maybe even the Professional Offices) is going to be fixed pricing. There will be small, medium and large offices at three different prices. The Private Office Tenants will not have their Common Area Costs broken out. They could have a “licencing agreement” with the building rather than a Lease Agreement. The Tenants taking the Professional Offices could potentially need a Lease Agreement for their financial arrangements.</w:t>
            </w:r>
          </w:p>
          <w:p w14:paraId="64126B74" w14:textId="77777777" w:rsidR="00143586" w:rsidRPr="001701A1" w:rsidRDefault="00143586" w:rsidP="00143586">
            <w:pPr>
              <w:rPr>
                <w:rFonts w:cstheme="minorHAnsi"/>
              </w:rPr>
            </w:pPr>
          </w:p>
          <w:p w14:paraId="31B122A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The Private Office – Small (PO-1) may be a slightly better deal when converted to rent per square foot as compared to the Private Office – Medium (PO-2) or Private Offices – Large (PO-3) but that is no problem, let them all rent the Private Office – Small (PO-1). Tenants ultimately lease space based on their needs. The Building IDs will be issued per desk with the Private Offices, maybe for the Professional Offices as well.</w:t>
            </w:r>
          </w:p>
          <w:p w14:paraId="738A13A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408"/>
              <w:rPr>
                <w:rFonts w:cstheme="minorHAnsi"/>
                <w:color w:val="FF0000"/>
              </w:rPr>
            </w:pPr>
          </w:p>
          <w:p w14:paraId="073BAB6A" w14:textId="13213BCC"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4472C4" w:themeColor="accent1"/>
              </w:rPr>
            </w:pPr>
            <w:r w:rsidRPr="001701A1">
              <w:rPr>
                <w:rFonts w:cstheme="minorHAnsi"/>
                <w:color w:val="000000" w:themeColor="text1"/>
              </w:rPr>
              <w:t>It is so much easier to lease "great" space rather than "cheap" space.</w:t>
            </w:r>
          </w:p>
        </w:tc>
      </w:tr>
      <w:tr w:rsidR="00143586" w:rsidRPr="001701A1" w14:paraId="1B903670" w14:textId="77777777" w:rsidTr="00986C81">
        <w:trPr>
          <w:trHeight w:val="267"/>
        </w:trPr>
        <w:tc>
          <w:tcPr>
            <w:tcW w:w="1231" w:type="dxa"/>
            <w:shd w:val="clear" w:color="auto" w:fill="auto"/>
          </w:tcPr>
          <w:p w14:paraId="10BA4A2D" w14:textId="377286F9"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lastRenderedPageBreak/>
              <w:t>14</w:t>
            </w:r>
          </w:p>
        </w:tc>
        <w:tc>
          <w:tcPr>
            <w:tcW w:w="1542" w:type="dxa"/>
            <w:shd w:val="clear" w:color="auto" w:fill="auto"/>
          </w:tcPr>
          <w:p w14:paraId="55BC60DD" w14:textId="3FB0DDC4"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Floor Plates</w:t>
            </w:r>
          </w:p>
        </w:tc>
        <w:tc>
          <w:tcPr>
            <w:tcW w:w="1978" w:type="dxa"/>
            <w:shd w:val="clear" w:color="auto" w:fill="auto"/>
          </w:tcPr>
          <w:p w14:paraId="36DCD7D3" w14:textId="7F3883D6"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Main stair connects to exterior introduces light</w:t>
            </w:r>
          </w:p>
        </w:tc>
        <w:tc>
          <w:tcPr>
            <w:tcW w:w="5987" w:type="dxa"/>
            <w:shd w:val="clear" w:color="auto" w:fill="auto"/>
          </w:tcPr>
          <w:p w14:paraId="3626AE91"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Absolutely — the Service Stairwell and the Decorative Stairwell will terminate in the Lobby Atrium. The Service Stairwell should have access to Natural Light in relation to being a part of the Offset Pulled Back Core. With the Decorative Stairwell being directly in the Lobby Atrium, it should be provided Natural Light by the Façade Frontage of the Building Entrance elevated over 2-Floors.</w:t>
            </w:r>
          </w:p>
          <w:p w14:paraId="0503B40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7A1EA26B"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FF0000"/>
              </w:rPr>
            </w:pPr>
            <w:r w:rsidRPr="001701A1">
              <w:rPr>
                <w:rFonts w:cstheme="minorHAnsi"/>
                <w:color w:val="FF0000"/>
              </w:rPr>
              <w:t>OFFSET PULLED BACK CORE</w:t>
            </w:r>
          </w:p>
          <w:p w14:paraId="0449EB5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Offset Pulled Back Core is the requirement that the</w:t>
            </w:r>
            <w:r w:rsidRPr="001701A1">
              <w:rPr>
                <w:rFonts w:cstheme="minorHAnsi"/>
                <w:color w:val="4472C4" w:themeColor="accent1"/>
              </w:rPr>
              <w:t xml:space="preserve"> </w:t>
            </w:r>
            <w:r w:rsidRPr="001701A1">
              <w:rPr>
                <w:rFonts w:cstheme="minorHAnsi"/>
                <w:color w:val="000000" w:themeColor="text1"/>
              </w:rPr>
              <w:t>Key Plans and Tiles need to work around as it relates to an efficient Lobby Atrium and the Corridors.</w:t>
            </w:r>
          </w:p>
          <w:p w14:paraId="22D5536D"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6CEE3DA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The Building Core needs to be its own Tile made up of a set of Key Plans related to Tiles for the Loading and Recycling, Lobby Atrium and the Building Core Services for the individual floors.</w:t>
            </w:r>
          </w:p>
          <w:p w14:paraId="0ABF632B"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4472C4" w:themeColor="accent1"/>
              </w:rPr>
            </w:pPr>
          </w:p>
          <w:p w14:paraId="6B4C3113" w14:textId="77777777" w:rsidR="00143586" w:rsidRPr="001701A1" w:rsidRDefault="00143586" w:rsidP="00143586">
            <w:pPr>
              <w:rPr>
                <w:rFonts w:cstheme="minorHAnsi"/>
              </w:rPr>
            </w:pPr>
            <w:r w:rsidRPr="001701A1">
              <w:rPr>
                <w:rFonts w:cstheme="minorHAnsi"/>
              </w:rPr>
              <w:t>We need to be clear in that we do not feel that Center Core or offset Center Core is the ideal fit for the type of Mix-of-Uses buildings we are proposing for the Regional Markets.</w:t>
            </w:r>
          </w:p>
          <w:p w14:paraId="6503988A" w14:textId="77777777" w:rsidR="00143586" w:rsidRPr="001701A1" w:rsidRDefault="00143586" w:rsidP="00143586">
            <w:pPr>
              <w:rPr>
                <w:rFonts w:cstheme="minorHAnsi"/>
              </w:rPr>
            </w:pPr>
          </w:p>
          <w:p w14:paraId="55FFE30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While a Center Core or offset Center Core have their place, what we want is to have flexibility in breaking up the Floor Plates into several leaseholds for smaller Tenants – the ability to mix larger and smaller Tenants throughout the building.</w:t>
            </w:r>
          </w:p>
          <w:p w14:paraId="54B5C89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5CDDB13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In our case, following the Building Width Calculator, there is no difference in the amount of Natural Light penetrating the Offset Pulled Back Core vs. using a Center Core design – the rectangular Floor Plates we are proposing seem to work very well at accommodating Natural Light.</w:t>
            </w:r>
          </w:p>
          <w:p w14:paraId="3FE4225C"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2E06F0AD"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The use of a Center Core or offset Center Core makes leasing to the smaller Tenants a nightmare. Using rectangular Floor Plates provides a solution to breaking up the Floor Plates with the ability to put in place a long Corridor running down the length to the core. This allows easy access to the smaller leaseholds without having to have Corridors within the Tenant’s leaseholds in order to navigate back to the Building Core.</w:t>
            </w:r>
          </w:p>
          <w:p w14:paraId="5B4BDABD"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08135FD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Having Internal Corridors for access inside the leaseholds, as opposed to outside, really hurts the efficiencies within the spaces, which are the efficiencies that we as the landlord are promoting to the Tenants – they would not be thrilled paying the full rate for the corridors in their space, which they can't use for anything else.</w:t>
            </w:r>
          </w:p>
          <w:p w14:paraId="6A50E3D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3C41B168"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These Internal Corridors related to accessing the Building Core from the leaseholds are also not as appealing for smaller offices, such as Professional Office – Medical and Private Office Tenants, as it is simply not as inviting for Users entering their space to have to walk through a jagged hallway to get into the office.</w:t>
            </w:r>
          </w:p>
          <w:p w14:paraId="3F3FB7C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0A7919D8"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lastRenderedPageBreak/>
              <w:t>N.B – We are not referring to Internal Corridors within the leaseholds for circulation within the space.</w:t>
            </w:r>
          </w:p>
          <w:p w14:paraId="62E125D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7274C586"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We see this all the time going into Class-B and Class-C buildings that were once Class-A Buildings, had single, and ½ floor Tenants and the Center Core worked fine. Now after these larger Tenants moved to the new Class-A Buildings only smaller Tenants are interested in the space. All of the smaller leaseholds require jagged Internal corridors in order to access the Center Core. This makes us question whether the Center Core is the cause of the Adaptive Reuse problems found in today’s office market. If the Center Cores work so well, how can we be in this position with so many office properties as they age and are unable to be reused efficiently?</w:t>
            </w:r>
          </w:p>
          <w:p w14:paraId="04CA968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rPr>
                <w:rFonts w:cstheme="minorHAnsi"/>
                <w:color w:val="000000" w:themeColor="text1"/>
              </w:rPr>
            </w:pPr>
          </w:p>
          <w:p w14:paraId="6AFD5B6F"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Our goal is to have the occupational efficiencies within the leaseholds to be 100% rather than the building efficiencies to be 100% – this means we put the Tenants and Users first and the developer second.</w:t>
            </w:r>
          </w:p>
          <w:p w14:paraId="14A9997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4971A361"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We want to showcase the Offset Pulled Back Core as a mechanism for Adaptive Reuse, allowing for proper conversion to residential or vertical warehousing.</w:t>
            </w:r>
          </w:p>
          <w:p w14:paraId="279593B6"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We need to be really careful in making sure we are thinking at a scale, and in terms of the logic, associated with an approximate 20,000 SF Floor Plate in Regional Markets.</w:t>
            </w:r>
          </w:p>
          <w:p w14:paraId="30506DEE"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189621E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We can't get caught in Regional Markets with scales and dimensions that belong to the Metro Market and their Central Business Districts (CBD) and were simply "shrink" down in order to make a smaller building – our goal is to design a smaller building from the beginning.</w:t>
            </w:r>
          </w:p>
          <w:p w14:paraId="529E3CC1"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1B8DA2A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4538"/>
                <w:tab w:val="left" w:pos="5506"/>
                <w:tab w:val="left" w:pos="5600"/>
                <w:tab w:val="left" w:pos="6720"/>
              </w:tabs>
              <w:rPr>
                <w:rFonts w:cstheme="minorHAnsi"/>
                <w:color w:val="000000" w:themeColor="text1"/>
              </w:rPr>
            </w:pPr>
            <w:r w:rsidRPr="001701A1">
              <w:rPr>
                <w:rFonts w:cstheme="minorHAnsi"/>
                <w:color w:val="000000" w:themeColor="text1"/>
              </w:rPr>
              <w:t>The form of the buildings, the Floor Plates, has a big impact. No one is talking about tearing down buildings built before WWII. Something went wrong after that point. Buildings started being built on the wrong templates with the wrong Pattern Language, using the language of engineering rather than architecture.</w:t>
            </w:r>
          </w:p>
          <w:p w14:paraId="515095D0" w14:textId="23A6127A"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FF0000"/>
              </w:rPr>
            </w:pPr>
            <w:hyperlink r:id="rId10">
              <w:r w:rsidRPr="001701A1">
                <w:rPr>
                  <w:rStyle w:val="Hyperlink"/>
                  <w:rFonts w:eastAsia="DEJAVU SANS" w:cstheme="minorHAnsi"/>
                </w:rPr>
                <w:t>https://en.wikipedia.org/wiki/A_Pattern_Language</w:t>
              </w:r>
            </w:hyperlink>
          </w:p>
        </w:tc>
      </w:tr>
      <w:tr w:rsidR="00143586" w:rsidRPr="001701A1" w14:paraId="4C7A23A7" w14:textId="77777777" w:rsidTr="00986C81">
        <w:trPr>
          <w:trHeight w:val="267"/>
        </w:trPr>
        <w:tc>
          <w:tcPr>
            <w:tcW w:w="1231" w:type="dxa"/>
            <w:shd w:val="clear" w:color="auto" w:fill="auto"/>
          </w:tcPr>
          <w:p w14:paraId="5E13EB9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542" w:type="dxa"/>
            <w:shd w:val="clear" w:color="auto" w:fill="auto"/>
          </w:tcPr>
          <w:p w14:paraId="3D41F42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978" w:type="dxa"/>
            <w:shd w:val="clear" w:color="auto" w:fill="auto"/>
          </w:tcPr>
          <w:p w14:paraId="264005B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5987" w:type="dxa"/>
            <w:shd w:val="clear" w:color="auto" w:fill="auto"/>
          </w:tcPr>
          <w:p w14:paraId="7ED1CF1D"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rPr>
                <w:rFonts w:cstheme="minorHAnsi"/>
                <w:color w:val="FF0000"/>
              </w:rPr>
            </w:pPr>
            <w:r w:rsidRPr="001701A1">
              <w:rPr>
                <w:rFonts w:cstheme="minorHAnsi"/>
                <w:color w:val="FF0000"/>
              </w:rPr>
              <w:t>NATURAL LIGHTING</w:t>
            </w:r>
          </w:p>
          <w:p w14:paraId="52037FD3"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51"/>
              <w:rPr>
                <w:rFonts w:cstheme="minorHAnsi"/>
                <w:color w:val="000000" w:themeColor="text1"/>
              </w:rPr>
            </w:pPr>
            <w:r w:rsidRPr="001701A1">
              <w:rPr>
                <w:rFonts w:cstheme="minorHAnsi"/>
                <w:color w:val="000000" w:themeColor="text1"/>
              </w:rPr>
              <w:t>We are using the Building Width Calculator along with the Key Plans and Tiles in order to incorporate the European Lighting Standard and German Circulation Law Requirements as a base for our Floor Plates.</w:t>
            </w:r>
          </w:p>
          <w:p w14:paraId="6B4B97E4"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4E0F08A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51"/>
              <w:rPr>
                <w:rFonts w:cstheme="minorHAnsi"/>
                <w:color w:val="000000" w:themeColor="text1"/>
              </w:rPr>
            </w:pPr>
            <w:r w:rsidRPr="001701A1">
              <w:rPr>
                <w:rFonts w:cstheme="minorHAnsi"/>
                <w:color w:val="000000" w:themeColor="text1"/>
              </w:rPr>
              <w:t>The Qualified Investment of our partnerships requires land situated on or adjacent to the Power Centres. The surrounding buildings of the Power Centres are at most two or three stories tall, so there will never be an issue with shading from surrounding buildings. Also, our buildings will always be set back with respect to parking.</w:t>
            </w:r>
          </w:p>
          <w:p w14:paraId="31CBCE34"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72B26B11"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lastRenderedPageBreak/>
              <w:t>Several Collaborators have brought up the addition of a courtyard, however, because of the building setbacks, due to the nature of the Development Sites and the use of the Building Width Calculator along with the Key Plans and Tiles to set the width of the buildings, we see little advantage to the development of a courtyard in order assist the provision of Natural Light. Under our conditions, we should be able to provide the same effect without the courtyard and its associated costs.</w:t>
            </w:r>
          </w:p>
          <w:p w14:paraId="41C264A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599B85A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With this in mind, we believe there is no need for courtyards as a mechanism for allowing natural light to penetrate the buildings. They add to the construction costs by increasing the number of walls required and also increasing the chances of leaks and mold. Due to the scale of our projects and the small size the courtyards would be, we are certain they would not be a sincere design.</w:t>
            </w:r>
          </w:p>
          <w:p w14:paraId="3E621EBF"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55425423"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100"/>
              <w:rPr>
                <w:rFonts w:cstheme="minorHAnsi"/>
                <w:color w:val="000000" w:themeColor="text1"/>
              </w:rPr>
            </w:pPr>
            <w:r w:rsidRPr="001701A1">
              <w:rPr>
                <w:rFonts w:cstheme="minorHAnsi"/>
                <w:color w:val="000000" w:themeColor="text1"/>
              </w:rPr>
              <w:t>The Key Plans and Tiles not only determine the dimensions and shapes of the Floor Plates, along with the positioning of the core, but also, allow us to ensure that the efficiency and circulation within the leaseholds are correct. Correct circulation means meeting the German Circulation Law Requirements and the European Lighting Standards, even if the building efficiency, net leasable over gross buildable, as a whole is less.</w:t>
            </w:r>
          </w:p>
          <w:p w14:paraId="6CA298E1"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100"/>
              <w:rPr>
                <w:rFonts w:cstheme="minorHAnsi"/>
                <w:color w:val="000000" w:themeColor="text1"/>
              </w:rPr>
            </w:pPr>
          </w:p>
          <w:p w14:paraId="34CFEB9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100"/>
              <w:rPr>
                <w:rFonts w:cstheme="minorHAnsi"/>
                <w:color w:val="000000" w:themeColor="text1"/>
              </w:rPr>
            </w:pPr>
            <w:r w:rsidRPr="001701A1">
              <w:rPr>
                <w:rFonts w:cstheme="minorHAnsi"/>
                <w:color w:val="000000" w:themeColor="text1"/>
              </w:rPr>
              <w:t>We have seen some great designs where the Lobby Atrium does go right through, front to back; we are just not sure we can make the economics work.</w:t>
            </w:r>
          </w:p>
          <w:p w14:paraId="0126E70A" w14:textId="278E09CD"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hyperlink r:id="rId11">
              <w:r w:rsidRPr="001701A1">
                <w:rPr>
                  <w:rStyle w:val="Hyperlink"/>
                  <w:rFonts w:eastAsia="DEJAVU SANS" w:cstheme="minorHAnsi"/>
                  <w:shd w:val="clear" w:color="auto" w:fill="FFFFFF"/>
                </w:rPr>
                <w:t>https://www.leclercqassocies.fr/en/projects/-139</w:t>
              </w:r>
            </w:hyperlink>
          </w:p>
        </w:tc>
      </w:tr>
      <w:tr w:rsidR="00143586" w:rsidRPr="001701A1" w14:paraId="6DA0F12B" w14:textId="77777777" w:rsidTr="00986C81">
        <w:trPr>
          <w:trHeight w:val="267"/>
        </w:trPr>
        <w:tc>
          <w:tcPr>
            <w:tcW w:w="1231" w:type="dxa"/>
            <w:shd w:val="clear" w:color="auto" w:fill="auto"/>
          </w:tcPr>
          <w:p w14:paraId="60FD00CD"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542" w:type="dxa"/>
            <w:shd w:val="clear" w:color="auto" w:fill="auto"/>
          </w:tcPr>
          <w:p w14:paraId="6514ADA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978" w:type="dxa"/>
            <w:shd w:val="clear" w:color="auto" w:fill="auto"/>
          </w:tcPr>
          <w:p w14:paraId="6557098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5987" w:type="dxa"/>
            <w:shd w:val="clear" w:color="auto" w:fill="auto"/>
          </w:tcPr>
          <w:p w14:paraId="096A800B"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FF0000"/>
              </w:rPr>
            </w:pPr>
            <w:r w:rsidRPr="001701A1">
              <w:rPr>
                <w:rFonts w:cstheme="minorHAnsi"/>
                <w:color w:val="FF0000"/>
              </w:rPr>
              <w:t>GLAZING RATIOS WITH REGARD TO THE FAÇADE DESIGN</w:t>
            </w:r>
          </w:p>
          <w:p w14:paraId="55BEE66F"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We need to be so careful with the ratio of glazing with regard to the Façade Design — please see the Building Width Calculator.</w:t>
            </w:r>
          </w:p>
          <w:p w14:paraId="179B124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331830F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 xml:space="preserve">The ratio of glazing needs to be evaluated in concert with the ability for </w:t>
            </w:r>
            <w:r w:rsidRPr="001701A1">
              <w:rPr>
                <w:rFonts w:cstheme="minorHAnsi"/>
              </w:rPr>
              <w:t xml:space="preserve">Natural Light </w:t>
            </w:r>
            <w:r w:rsidRPr="001701A1">
              <w:rPr>
                <w:rFonts w:cstheme="minorHAnsi"/>
                <w:color w:val="000000" w:themeColor="text1"/>
              </w:rPr>
              <w:t>to penetrate the building. This could vary drastically based on the multiple Development Sites and the orientation of the individual Façade Design.</w:t>
            </w:r>
          </w:p>
          <w:p w14:paraId="421B360B"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571577C7" w14:textId="28F51452"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rPr>
                <w:rFonts w:cstheme="minorHAnsi"/>
                <w:color w:val="FF0000"/>
              </w:rPr>
            </w:pPr>
            <w:r w:rsidRPr="001701A1">
              <w:rPr>
                <w:rFonts w:cstheme="minorHAnsi"/>
                <w:color w:val="000000" w:themeColor="text1"/>
              </w:rPr>
              <w:t xml:space="preserve">Because we have the Key Plans and Tiles, we can easily model any proposed Façade Design and its ratio of glazing in order to consider its effect on the </w:t>
            </w:r>
            <w:r w:rsidRPr="001701A1">
              <w:rPr>
                <w:rFonts w:cstheme="minorHAnsi"/>
              </w:rPr>
              <w:t xml:space="preserve">Natural Light </w:t>
            </w:r>
            <w:r w:rsidRPr="001701A1">
              <w:rPr>
                <w:rFonts w:cstheme="minorHAnsi"/>
                <w:color w:val="000000" w:themeColor="text1"/>
              </w:rPr>
              <w:t>within the buildings. We cannot simply use a placeholder ratio as many factors will come into play at each of the Development Sites.</w:t>
            </w:r>
          </w:p>
        </w:tc>
      </w:tr>
      <w:tr w:rsidR="00143586" w:rsidRPr="001701A1" w14:paraId="18B95993" w14:textId="77777777" w:rsidTr="00986C81">
        <w:trPr>
          <w:trHeight w:val="267"/>
        </w:trPr>
        <w:tc>
          <w:tcPr>
            <w:tcW w:w="1231" w:type="dxa"/>
            <w:shd w:val="clear" w:color="auto" w:fill="auto"/>
          </w:tcPr>
          <w:p w14:paraId="7CEA8B0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542" w:type="dxa"/>
            <w:shd w:val="clear" w:color="auto" w:fill="auto"/>
          </w:tcPr>
          <w:p w14:paraId="4CE37E8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978" w:type="dxa"/>
            <w:shd w:val="clear" w:color="auto" w:fill="auto"/>
          </w:tcPr>
          <w:p w14:paraId="4E79E0E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5987" w:type="dxa"/>
            <w:shd w:val="clear" w:color="auto" w:fill="auto"/>
          </w:tcPr>
          <w:p w14:paraId="717A4B2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rPr>
                <w:rFonts w:cstheme="minorHAnsi"/>
                <w:color w:val="000000" w:themeColor="text1"/>
              </w:rPr>
            </w:pPr>
            <w:r w:rsidRPr="001701A1">
              <w:rPr>
                <w:rFonts w:cstheme="minorHAnsi"/>
                <w:color w:val="000000" w:themeColor="text1"/>
              </w:rPr>
              <w:t>We agree. It is critical that we balance the ceiling heights with the amount of Natural Light we require and the general height restrictions of the Development Sites.</w:t>
            </w:r>
          </w:p>
          <w:p w14:paraId="7BA147E4"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rPr>
                <w:rFonts w:cstheme="minorHAnsi"/>
                <w:color w:val="000000" w:themeColor="text1"/>
              </w:rPr>
            </w:pPr>
          </w:p>
          <w:p w14:paraId="754FEF6F"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rPr>
                <w:rFonts w:cstheme="minorHAnsi"/>
                <w:color w:val="000000" w:themeColor="text1"/>
              </w:rPr>
            </w:pPr>
            <w:r w:rsidRPr="001701A1">
              <w:rPr>
                <w:rFonts w:cstheme="minorHAnsi"/>
                <w:color w:val="000000" w:themeColor="text1"/>
              </w:rPr>
              <w:t>Here, having the Key Plans and Tiles is a huge advantage in analyzing the ceiling heights in conjunction with the Building Width Calculator based on the handful of generic Use Cases that we have laid out.</w:t>
            </w:r>
          </w:p>
          <w:p w14:paraId="16A16E0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rPr>
                <w:rFonts w:cstheme="minorHAnsi"/>
                <w:color w:val="000000" w:themeColor="text1"/>
              </w:rPr>
            </w:pPr>
          </w:p>
          <w:p w14:paraId="4A071AB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rPr>
                <w:rFonts w:cstheme="minorHAnsi"/>
                <w:color w:val="000000" w:themeColor="text1"/>
              </w:rPr>
            </w:pPr>
            <w:r w:rsidRPr="001701A1">
              <w:rPr>
                <w:rFonts w:cstheme="minorHAnsi"/>
                <w:color w:val="000000" w:themeColor="text1"/>
              </w:rPr>
              <w:lastRenderedPageBreak/>
              <w:t>We would argue that the Building Width Calculator is the main mechanism in providing for Natural Light and can greatly affect the ceiling heights required.</w:t>
            </w:r>
          </w:p>
          <w:p w14:paraId="34B4D76E"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FF0000"/>
              </w:rPr>
            </w:pPr>
          </w:p>
        </w:tc>
      </w:tr>
      <w:tr w:rsidR="00143586" w:rsidRPr="001701A1" w14:paraId="1671CED3" w14:textId="77777777" w:rsidTr="00986C81">
        <w:trPr>
          <w:trHeight w:val="267"/>
        </w:trPr>
        <w:tc>
          <w:tcPr>
            <w:tcW w:w="1231" w:type="dxa"/>
            <w:shd w:val="clear" w:color="auto" w:fill="auto"/>
          </w:tcPr>
          <w:p w14:paraId="4F2F476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542" w:type="dxa"/>
            <w:shd w:val="clear" w:color="auto" w:fill="auto"/>
          </w:tcPr>
          <w:p w14:paraId="63D20384"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978" w:type="dxa"/>
            <w:shd w:val="clear" w:color="auto" w:fill="auto"/>
          </w:tcPr>
          <w:p w14:paraId="0ADDD066"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5987" w:type="dxa"/>
            <w:shd w:val="clear" w:color="auto" w:fill="auto"/>
          </w:tcPr>
          <w:p w14:paraId="27181F7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FF0000"/>
              </w:rPr>
            </w:pPr>
            <w:r w:rsidRPr="001701A1">
              <w:rPr>
                <w:rFonts w:cstheme="minorHAnsi"/>
                <w:color w:val="FF0000"/>
              </w:rPr>
              <w:t>NATURAL LIGHT — HEIGHT DICTATES DEPTH</w:t>
            </w:r>
          </w:p>
          <w:p w14:paraId="637ADAA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We need to forgo any interpretation of the ceiling heights until after we complete the Key Plans and Tiles, along with the Floor Plates. With these in hand, we can then determine the optimum ceiling heights, as the regulations will be codified within the plans and we can then take a look at the depth of Natural Light provided by various ceiling heights. We would also have the necessary Building Services established to further analyse for optimum height as well.</w:t>
            </w:r>
          </w:p>
          <w:p w14:paraId="7B23707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199E74B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Our preference for an Offset Pulled Back Core provides the optimal penetration of Natural Light while allowing for breaking up the Floor Plates for smaller Tenants.</w:t>
            </w:r>
          </w:p>
          <w:p w14:paraId="6EF0C1D5" w14:textId="77777777" w:rsidR="00143586" w:rsidRPr="001701A1" w:rsidRDefault="00143586" w:rsidP="00143586">
            <w:pPr>
              <w:rPr>
                <w:rFonts w:cstheme="minorHAnsi"/>
              </w:rPr>
            </w:pPr>
          </w:p>
          <w:p w14:paraId="25490669" w14:textId="77777777" w:rsidR="00143586" w:rsidRPr="001701A1" w:rsidRDefault="00143586" w:rsidP="00143586">
            <w:pPr>
              <w:rPr>
                <w:rFonts w:cstheme="minorHAnsi"/>
              </w:rPr>
            </w:pPr>
            <w:r w:rsidRPr="001701A1">
              <w:rPr>
                <w:rFonts w:cstheme="minorHAnsi"/>
              </w:rPr>
              <w:t>By starting with Key Plans and Tiles and then the Building Width Calculator to determine the Floor Plate dimensions, we can then adjust the ceiling height to give the greatest possible Natural Light or go back and adjust the Floor Plate dimensions by way of the Building Width Calculator and Key Plans and Tiles in reverse to really take everything into account.</w:t>
            </w:r>
          </w:p>
          <w:p w14:paraId="7D87B1B3" w14:textId="77777777" w:rsidR="00143586" w:rsidRPr="001701A1" w:rsidRDefault="00143586" w:rsidP="00143586">
            <w:pPr>
              <w:rPr>
                <w:rFonts w:cstheme="minorHAnsi"/>
              </w:rPr>
            </w:pPr>
          </w:p>
          <w:p w14:paraId="7A908CAD" w14:textId="59B90BC6"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rPr>
                <w:rFonts w:cstheme="minorHAnsi"/>
                <w:color w:val="000000" w:themeColor="text1"/>
              </w:rPr>
            </w:pPr>
            <w:r w:rsidRPr="001701A1">
              <w:rPr>
                <w:rFonts w:cstheme="minorHAnsi"/>
              </w:rPr>
              <w:t>We might find out that 3-4 metres is the answer for the floor-to-floor height, but we need to ensure that we work out all the calculations from the Key Plans and the Building Width Calculator as proof – the Key Plans and Tiles, along with the Building Width Calculator will become our central marketing pieces for leasing.</w:t>
            </w:r>
          </w:p>
        </w:tc>
      </w:tr>
      <w:tr w:rsidR="00143586" w:rsidRPr="001701A1" w14:paraId="7E00445A" w14:textId="77777777" w:rsidTr="00986C81">
        <w:trPr>
          <w:trHeight w:val="267"/>
        </w:trPr>
        <w:tc>
          <w:tcPr>
            <w:tcW w:w="1231" w:type="dxa"/>
            <w:shd w:val="clear" w:color="auto" w:fill="auto"/>
          </w:tcPr>
          <w:p w14:paraId="0C6A7544"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542" w:type="dxa"/>
            <w:shd w:val="clear" w:color="auto" w:fill="auto"/>
          </w:tcPr>
          <w:p w14:paraId="6B2164B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978" w:type="dxa"/>
            <w:shd w:val="clear" w:color="auto" w:fill="auto"/>
          </w:tcPr>
          <w:p w14:paraId="7B222828"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5987" w:type="dxa"/>
            <w:shd w:val="clear" w:color="auto" w:fill="auto"/>
          </w:tcPr>
          <w:p w14:paraId="6B4B3EE8"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We need to be a little bit careful in that it is not necessarily the case that the sizing of the Mail Room can be truly based on the occupancy rather than simply what “fits” in the lobby. Having the Key Plans and Tiles gives us a huge advantage for modelling the space requirements of the Lobby Atrium, Building Manager Office and Mail Room. Unlike the Tenant Lounge, we cannot really add multiple of these spaces in the same building.</w:t>
            </w:r>
          </w:p>
          <w:p w14:paraId="40B94131"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4472C4" w:themeColor="accent1"/>
              </w:rPr>
            </w:pPr>
          </w:p>
          <w:p w14:paraId="1E06D8D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FF0000"/>
              </w:rPr>
            </w:pPr>
            <w:r w:rsidRPr="001701A1">
              <w:rPr>
                <w:rFonts w:cstheme="minorHAnsi"/>
                <w:color w:val="FF0000"/>
              </w:rPr>
              <w:t>ADJUSTING KEY PLANS FOR SUBURBAN OFFICE</w:t>
            </w:r>
          </w:p>
          <w:p w14:paraId="07B929A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FF0000"/>
              </w:rPr>
            </w:pPr>
            <w:r w:rsidRPr="001701A1">
              <w:rPr>
                <w:rFonts w:cstheme="minorHAnsi"/>
                <w:color w:val="FF0000"/>
              </w:rPr>
              <w:t>SAME KEY PLANS — DIFFERENT TILES</w:t>
            </w:r>
          </w:p>
          <w:p w14:paraId="658020C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The Fixed Floor Plate for the Professional Centres may be larger than the Fixed Floor Plate for the Suburban Offices – as the buildings grows taller it requires more slender lines.</w:t>
            </w:r>
          </w:p>
          <w:p w14:paraId="7F76006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6CF968C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If the Professional Centres were built beside the Suburban Offices (as with the Campus Design) we would want the Professional Centres to be short and stubby and the Suburban Offices to be tall and slender.</w:t>
            </w:r>
          </w:p>
          <w:p w14:paraId="37353E2F"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109F6B3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 xml:space="preserve">We can’t say what the square footage is going to be without contemplating the Key Plans and Tiles, along with the Building </w:t>
            </w:r>
            <w:r w:rsidRPr="001701A1">
              <w:rPr>
                <w:rFonts w:cstheme="minorHAnsi"/>
                <w:color w:val="000000" w:themeColor="text1"/>
              </w:rPr>
              <w:lastRenderedPageBreak/>
              <w:t>Width Calculator in order to determine the proper length and width.</w:t>
            </w:r>
          </w:p>
          <w:p w14:paraId="4EE0E42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249DE82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We would like to see the Professional Centres come in around 23,000 SF to 25,000 SF and the Suburban Offices come in around 20,000 SF to 23,000 SF.</w:t>
            </w:r>
          </w:p>
          <w:p w14:paraId="58E062FB"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4472C4" w:themeColor="accent1"/>
              </w:rPr>
            </w:pPr>
          </w:p>
          <w:p w14:paraId="33421B3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Another reason the Professional Centres should be a little bit bigger is to optimize site coverage – the shorter building versus the extra number of floors you get by going taller with the Suburban Offices.</w:t>
            </w:r>
          </w:p>
          <w:p w14:paraId="0A1AD344"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422799B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In both cases, the Floor Plates need to be fixed for Design For Assembly and the Buying Program over the 10-15-year Rollout Program.</w:t>
            </w:r>
          </w:p>
          <w:p w14:paraId="0440DC4C"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475008C8"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Both the Professional Centres and the Suburban Offices need their Building Core to be both offset and pulled back to form a part of the Façade Design.</w:t>
            </w:r>
          </w:p>
          <w:p w14:paraId="646DAAD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5E3FA6D6"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We simply don't see how you can get the same number of arrangements with a Center Core, as you can with the Offset Pulled Back Core.</w:t>
            </w:r>
          </w:p>
          <w:p w14:paraId="4AF04A71"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7F649DB3"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It is not to say we disagree with the overall building efficiency provided by a Center Core design, or the ease with which it provides for the penetration of Natural Light.</w:t>
            </w:r>
          </w:p>
          <w:p w14:paraId="5202D543"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51BC4148"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We just don't feel that it is the right choice with the understanding of what drives the Economic Model when leasing on or adjacent to the Power Centres in the Regional Markets.</w:t>
            </w:r>
          </w:p>
          <w:p w14:paraId="3E214E1C"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1EBE51AE"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The Woodfine Buildings will always be set back from the frontage, surrounded by acres of parking and, therefore, we never have to deal with issues of shading or other problems related to Natural Light reaching the buildings. We get to pick the dimensions of the Floor Plates rather than have them dictated to us by Development Site constraints – if our Prototypes do not fit, we move on and analyze the next potential site.</w:t>
            </w:r>
          </w:p>
          <w:p w14:paraId="06503AF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4EF28C1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The different sizes between the Professional Centres and the Suburban Offices should be related to their “length” and not “width” in order to respect the functionality contained in the Key Plans and Tiles. Maybe the Professional Centres will need to be somewhat wider, as they will be lower, for aesthetics.</w:t>
            </w:r>
          </w:p>
          <w:p w14:paraId="49F4317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381A21B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Both the Professional Centres and the Suburban Offices are going to have the same Key Plans. What should be different are the Tiles.</w:t>
            </w:r>
          </w:p>
          <w:p w14:paraId="5D8BEC2D"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5BF068DE"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 xml:space="preserve">NB – It may be that the Professional Centres and Suburban Offices do simply have the same Floor Plates. It would be better </w:t>
            </w:r>
            <w:r w:rsidRPr="001701A1">
              <w:rPr>
                <w:rFonts w:cstheme="minorHAnsi"/>
                <w:color w:val="000000" w:themeColor="text1"/>
              </w:rPr>
              <w:lastRenderedPageBreak/>
              <w:t>for the Buying Program if the Floor Plates were the same, but we do want to hold ourselves to the highest aesthetics possible.</w:t>
            </w:r>
          </w:p>
          <w:p w14:paraId="30F3E36B"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4472C4" w:themeColor="accent1"/>
              </w:rPr>
            </w:pPr>
          </w:p>
          <w:p w14:paraId="17684063"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To accommodate the extra elevator and occupants for the Suburban Offices, we would need to adjust the Key Plans for the Building Core, Loading and Recycling, Lobby Atrium, Building Manager, Mail Room, etc., and would be required to reduce the availability of the Main Floor Retail for lease or make the Main Floor Plate larger than that of the Professional Centres.</w:t>
            </w:r>
          </w:p>
          <w:p w14:paraId="157AD881"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24D08BBB"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The Test Sites outline the siting and footprints of the Prototypes for both the Suburban Offices and Professional Centres. In some cases, the site will require both a Suburban Office and a Professional Centre, allowing for more of the campus-style planning.</w:t>
            </w:r>
          </w:p>
          <w:p w14:paraId="6F8D479E"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1A016B91"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With the campus style planning it is important to remember that the Unit of Mobility is the Private Automobile in the Regional Market, therefore, we don’t want to push the Woodfine Buildings together at the center (or on the side) of the Development Sites. The key to the Regional Markets is having great circulation and easy access for Private Automobiles.</w:t>
            </w:r>
          </w:p>
          <w:p w14:paraId="4388543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6012D6AE"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 xml:space="preserve">The Economic Models for both Retail Select and Tech Industrial are really not outstanding when built as stand-alone projects without either a Professional Centre or Suburban Office as the land associated with the Power Centres has become too expensive for the standalone development of individual Tech Industrial or Retail Select buildings at the </w:t>
            </w:r>
            <w:proofErr w:type="gramStart"/>
            <w:r w:rsidRPr="001701A1">
              <w:rPr>
                <w:rFonts w:cstheme="minorHAnsi"/>
                <w:color w:val="000000" w:themeColor="text1"/>
              </w:rPr>
              <w:t>scale</w:t>
            </w:r>
            <w:proofErr w:type="gramEnd"/>
            <w:r w:rsidRPr="001701A1">
              <w:rPr>
                <w:rFonts w:cstheme="minorHAnsi"/>
                <w:color w:val="000000" w:themeColor="text1"/>
              </w:rPr>
              <w:t xml:space="preserve"> we propose for them. We are selecting land at established Power Centres where the traffic is already in place. These lands can cost up to 50% more than the land across the street which is not part of the Power Centre. In order to make these land prices work we need to build vertically.</w:t>
            </w:r>
          </w:p>
          <w:p w14:paraId="4DC2CD3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4547A86C"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Also, the owners of these lands have no interest in selling land to a competitor to develop more retail (Retail Select and Tech Industrial) and poaching their existing Tenants as their leases come up with the allure of nice new buildings—it is much easier for us to apply for relaxations of the maximum height restrictions at our Development Sites in order to build out an office component than compete with the present retailers.</w:t>
            </w:r>
          </w:p>
          <w:p w14:paraId="6915113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6842975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However, this does not mean we would not build out the Retail Select and/or Tech Industrial on their own if we could find the right selections of remnant lands, but these pieces are much harder to find at the right price while maintaining the Quantified Investment requirement of the Limited Partnership Agreements.</w:t>
            </w:r>
          </w:p>
          <w:p w14:paraId="5DB3CF9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562F096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lastRenderedPageBreak/>
              <w:t>In the case of Retail Select, it works best when developing our own Campus with all four Development Classes of the Woodfine Buildings present.</w:t>
            </w:r>
          </w:p>
          <w:p w14:paraId="658792F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1D1D3D6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Tech Industrial has a better chance of being built out as a stand-alone development as these buildings can be built on the fringes of the Power Centres. In many cases, there is existing industrial type zoning off to the side, adjacent to the Power Centres and these corresponding land prices are lower.</w:t>
            </w:r>
          </w:p>
          <w:p w14:paraId="05C9A36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686B78A5" w14:textId="238ECAD0"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FF0000"/>
              </w:rPr>
            </w:pPr>
            <w:r w:rsidRPr="001701A1">
              <w:rPr>
                <w:rFonts w:cstheme="minorHAnsi"/>
                <w:color w:val="000000" w:themeColor="text1"/>
              </w:rPr>
              <w:t>The Key Plans and Tiles related to the “Amenities” and the “building core” will certainly need to be somewhat different in scale for the Prototypes of the Professional Centres and Suburban Offices. For example, the Mail Room has to be larger for the Suburban Office.</w:t>
            </w:r>
          </w:p>
        </w:tc>
      </w:tr>
      <w:tr w:rsidR="00143586" w:rsidRPr="001701A1" w14:paraId="79BD90AC" w14:textId="77777777" w:rsidTr="00986C81">
        <w:trPr>
          <w:trHeight w:val="267"/>
        </w:trPr>
        <w:tc>
          <w:tcPr>
            <w:tcW w:w="1231" w:type="dxa"/>
            <w:shd w:val="clear" w:color="auto" w:fill="auto"/>
          </w:tcPr>
          <w:p w14:paraId="42CB362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542" w:type="dxa"/>
            <w:shd w:val="clear" w:color="auto" w:fill="auto"/>
          </w:tcPr>
          <w:p w14:paraId="08E9C81F"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978" w:type="dxa"/>
            <w:shd w:val="clear" w:color="auto" w:fill="auto"/>
          </w:tcPr>
          <w:p w14:paraId="0BAEFF18"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5987" w:type="dxa"/>
            <w:shd w:val="clear" w:color="auto" w:fill="auto"/>
          </w:tcPr>
          <w:p w14:paraId="28C0331C"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FF0000"/>
              </w:rPr>
            </w:pPr>
            <w:r w:rsidRPr="001701A1">
              <w:rPr>
                <w:rFonts w:cstheme="minorHAnsi"/>
                <w:color w:val="FF0000"/>
              </w:rPr>
              <w:t>CIRCULAR ECONOMY — MATERIAL SELECTION</w:t>
            </w:r>
          </w:p>
          <w:p w14:paraId="70756F44" w14:textId="77777777" w:rsidR="00143586" w:rsidRPr="001701A1" w:rsidRDefault="00143586" w:rsidP="00143586">
            <w:pPr>
              <w:rPr>
                <w:rFonts w:cstheme="minorHAnsi"/>
                <w:color w:val="000000" w:themeColor="text1"/>
              </w:rPr>
            </w:pPr>
            <w:r w:rsidRPr="001701A1">
              <w:rPr>
                <w:rFonts w:cstheme="minorHAnsi"/>
                <w:color w:val="000000" w:themeColor="text1"/>
              </w:rPr>
              <w:t>The Key Plans and Tiles are key to the Adaptive Use (Reuse) of the Tech Industrial and Retail Select buildings. These are smaller buildings which should have no trouble adapting to other uses. The Floor Plates and their accompanying Building Width Calculators are critical in this regard, along with the Ceiling Heights.</w:t>
            </w:r>
          </w:p>
          <w:p w14:paraId="643A8973" w14:textId="77777777" w:rsidR="00143586" w:rsidRPr="001701A1" w:rsidRDefault="00143586" w:rsidP="00143586">
            <w:pPr>
              <w:rPr>
                <w:rFonts w:cstheme="minorHAnsi"/>
                <w:color w:val="000000" w:themeColor="text1"/>
              </w:rPr>
            </w:pPr>
          </w:p>
          <w:p w14:paraId="34B7E375" w14:textId="77777777" w:rsidR="00143586" w:rsidRPr="001701A1" w:rsidRDefault="00143586" w:rsidP="00143586">
            <w:pPr>
              <w:rPr>
                <w:rFonts w:cstheme="minorHAnsi"/>
                <w:color w:val="000000" w:themeColor="text1"/>
              </w:rPr>
            </w:pPr>
            <w:r w:rsidRPr="001701A1">
              <w:rPr>
                <w:rFonts w:cstheme="minorHAnsi"/>
                <w:color w:val="000000" w:themeColor="text1"/>
              </w:rPr>
              <w:t>Everything should be recyclable, available for Urban Mining, in terms of the buildings needing to be decommissioned, but we should not attempt to predict the future Use Cases for our materials and make changes to our designs to match.</w:t>
            </w:r>
          </w:p>
          <w:p w14:paraId="0D9DE1D0" w14:textId="77777777" w:rsidR="00143586" w:rsidRPr="001701A1" w:rsidRDefault="00143586" w:rsidP="00143586">
            <w:pPr>
              <w:rPr>
                <w:rFonts w:cstheme="minorHAnsi"/>
                <w:color w:val="000000" w:themeColor="text1"/>
              </w:rPr>
            </w:pPr>
          </w:p>
          <w:p w14:paraId="7CECA806" w14:textId="77777777" w:rsidR="00143586" w:rsidRPr="001701A1" w:rsidRDefault="00143586" w:rsidP="00143586">
            <w:pPr>
              <w:rPr>
                <w:rFonts w:cstheme="minorHAnsi"/>
                <w:color w:val="000000" w:themeColor="text1"/>
              </w:rPr>
            </w:pPr>
            <w:r w:rsidRPr="001701A1">
              <w:rPr>
                <w:rFonts w:cstheme="minorHAnsi"/>
                <w:color w:val="000000" w:themeColor="text1"/>
              </w:rPr>
              <w:t>Much is currently being said of systems for "materials passports," to which we agree, but instead would like to focus our attention on a Materials Database as our reference throughout – we feel that “materials passport” may be a misnomer.</w:t>
            </w:r>
          </w:p>
          <w:p w14:paraId="1DF6E89D" w14:textId="77777777" w:rsidR="00143586" w:rsidRPr="001701A1" w:rsidRDefault="00143586" w:rsidP="00143586">
            <w:pPr>
              <w:rPr>
                <w:rFonts w:cstheme="minorHAnsi"/>
                <w:color w:val="000000" w:themeColor="text1"/>
              </w:rPr>
            </w:pPr>
          </w:p>
          <w:p w14:paraId="2446A162" w14:textId="77777777" w:rsidR="00143586" w:rsidRPr="001701A1" w:rsidRDefault="00143586" w:rsidP="00143586">
            <w:pPr>
              <w:rPr>
                <w:rFonts w:cstheme="minorHAnsi"/>
                <w:color w:val="000000" w:themeColor="text1"/>
              </w:rPr>
            </w:pPr>
            <w:r w:rsidRPr="001701A1">
              <w:rPr>
                <w:rFonts w:cstheme="minorHAnsi"/>
                <w:color w:val="000000" w:themeColor="text1"/>
              </w:rPr>
              <w:t xml:space="preserve">In the case of “material passports” we are unclear if these systems really do solve the problem of making sure these materials are tested for strength and any other issues before they can be recommissioned. The word "passport" seems to suggest unconditional approval. </w:t>
            </w:r>
          </w:p>
          <w:p w14:paraId="44A9F7FB" w14:textId="77777777" w:rsidR="00143586" w:rsidRPr="001701A1"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rPr>
                <w:rFonts w:cstheme="minorHAnsi"/>
                <w:color w:val="000000" w:themeColor="text1"/>
              </w:rPr>
            </w:pPr>
          </w:p>
          <w:p w14:paraId="479B27AF" w14:textId="77777777" w:rsidR="00143586" w:rsidRPr="001701A1"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rPr>
                <w:rFonts w:cstheme="minorHAnsi"/>
                <w:color w:val="000000" w:themeColor="text1"/>
              </w:rPr>
            </w:pPr>
            <w:r w:rsidRPr="001701A1">
              <w:rPr>
                <w:rFonts w:cstheme="minorHAnsi"/>
                <w:color w:val="000000" w:themeColor="text1"/>
              </w:rPr>
              <w:t>Besides supporting the Circular Economy by way of a Materials Database for each building, we would like to leverage these databases alongside Urban Mining when possible.</w:t>
            </w:r>
          </w:p>
          <w:p w14:paraId="264E33B3"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strike/>
                <w:color w:val="FF0000"/>
              </w:rPr>
            </w:pPr>
          </w:p>
          <w:p w14:paraId="21222CAD"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We would like to take the approach that, although the Woodfine Buildings should contemplate for decommissioning at some point, the Adaptive Use (Reuse) rather than “reuse” is the driving force to extending the life cycle of the buildings far, far into the future. The idea is that the Key Plans and Tiles, combined with the Building Width Calculator, can produce a Floor Plate that can be brought back to life time and time again.</w:t>
            </w:r>
          </w:p>
          <w:p w14:paraId="3718A9BD"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537CE72D" w14:textId="483476AD"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lastRenderedPageBreak/>
              <w:t>Though things change and markets shift, a plan for decommissioning the Woodfine Buildings, making them available to Urban Mining, should be a part of our specifications when building these buildings in the first place – the idea should be one of the “living will”.</w:t>
            </w:r>
          </w:p>
        </w:tc>
      </w:tr>
      <w:tr w:rsidR="00143586" w:rsidRPr="001701A1" w14:paraId="4F93D7DE" w14:textId="77777777" w:rsidTr="00986C81">
        <w:trPr>
          <w:trHeight w:val="267"/>
        </w:trPr>
        <w:tc>
          <w:tcPr>
            <w:tcW w:w="1231" w:type="dxa"/>
            <w:shd w:val="clear" w:color="auto" w:fill="auto"/>
          </w:tcPr>
          <w:p w14:paraId="76DF17FF"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542" w:type="dxa"/>
            <w:shd w:val="clear" w:color="auto" w:fill="auto"/>
          </w:tcPr>
          <w:p w14:paraId="67A88673"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978" w:type="dxa"/>
            <w:shd w:val="clear" w:color="auto" w:fill="auto"/>
          </w:tcPr>
          <w:p w14:paraId="473ACA8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5987" w:type="dxa"/>
            <w:shd w:val="clear" w:color="auto" w:fill="auto"/>
          </w:tcPr>
          <w:p w14:paraId="67345BCE"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FF0000"/>
              </w:rPr>
              <w:t>EUROPEAN LIGHTING REQUIREMENT</w:t>
            </w:r>
          </w:p>
          <w:p w14:paraId="5EB2E10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We are suggesting the use of the European Lighting Requirement. This means that all people working in the building have their workstations within 6.0 metres of a window, in our case the building Façade Frontage. We should not get this confused with providing 6 metres of Natural Light.</w:t>
            </w:r>
          </w:p>
          <w:p w14:paraId="0F6E9DD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21A8DBC1"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66032E83"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For clarity, if a workstation was less than six metres away from a window, and for some reason, the Natural Light only fell to within 4 metres of the desk, we would be OK under the European Lighting Requirement.</w:t>
            </w:r>
          </w:p>
          <w:p w14:paraId="231C48A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0F1C328C"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The 6 metres is a constraint on the furniture layouts and their distance to the Façade Frontage. It is not based on the Natural Light falling onto the Floor Plates to a minimum distance of 6.0 metres.</w:t>
            </w:r>
          </w:p>
          <w:p w14:paraId="47CBCC5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706B419B"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Tenants may choose to put the workstations within their leaseholds without using European Lighting Requirements. However, we are attempting to provide a building design that maximizes the number of workstations that do comply, for the most efficient use of space and less amount of strain on the Production Curve – why build more, if the additional space does not comply, or may not comply, with future regulations.</w:t>
            </w:r>
          </w:p>
          <w:p w14:paraId="5DC0B7E4"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455B84E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It would be great if we could bring the Natural Light beyond 6.0 metres, even if the workstations could not be allocated to this area. We see this between the Zone 1 – Habitat and the Zone 2 – Magazine outlined on the Building Width Calculator.</w:t>
            </w:r>
          </w:p>
          <w:p w14:paraId="6306CBBD"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16C2FD7C"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We would encourage suggestions to pull the Natural Light beyond the Zone 1 – Habitat and into the Zone 2 – Magazine without using an atrium or courtyard.</w:t>
            </w:r>
          </w:p>
          <w:p w14:paraId="5183402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33403A2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Another question is the ability to allow for Natural Light in the Corridors, if not the Corridors perhaps in the Elevator Lobbies on each floor.</w:t>
            </w:r>
          </w:p>
          <w:p w14:paraId="420305C4"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0900FAC3"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We would also add that the Users of the Tenants also have direct access to Natural Light, though it may be at distances greater than the 6.0 metres required for workstations of the Tenants, in areas such as waiting rooms, auditorium seating, civic galleries, Corridors, Tenant Lounge, the Lobby Atrium, etc.</w:t>
            </w:r>
          </w:p>
          <w:p w14:paraId="05A0B40E"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01282CD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FF0000"/>
              </w:rPr>
            </w:pPr>
            <w:r w:rsidRPr="001701A1">
              <w:rPr>
                <w:rFonts w:cstheme="minorHAnsi"/>
                <w:color w:val="FF0000"/>
              </w:rPr>
              <w:t>DESKS VERSUS SQUARE FOOTAGE</w:t>
            </w:r>
          </w:p>
          <w:p w14:paraId="7D4C1C7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lastRenderedPageBreak/>
              <w:t>The questions related to leasing the office component are one of occupancy rather than square footage – how many desks can fit?</w:t>
            </w:r>
          </w:p>
          <w:p w14:paraId="6BEC4F6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63AF0FE3"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It is more and more the case that we lease “desks” rather than square footage.</w:t>
            </w:r>
          </w:p>
          <w:p w14:paraId="4E015FD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25C695EC"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The time-old calculations of appropriately 150 SF per person divided into the total Net Leasable are starting to show strain with the implementation of updated building codes, national regulations and certification programs, which are all forward-thinking on wellness and sustainability.</w:t>
            </w:r>
          </w:p>
          <w:p w14:paraId="4E7237E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0ED7897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If we set the Private Office – Small (P01) at 150 SF, proper furniture with the new calculation simply does not fit – using Steelcase and the German Circulation Law our test Key Plan shows this number coming in much higher.</w:t>
            </w:r>
          </w:p>
          <w:p w14:paraId="7DC146F6"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7ACC361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FF0000"/>
              </w:rPr>
            </w:pPr>
            <w:r w:rsidRPr="001701A1">
              <w:rPr>
                <w:rFonts w:cstheme="minorHAnsi"/>
                <w:color w:val="FF0000"/>
              </w:rPr>
              <w:t>ONE BUILDING ID, ONE DESK</w:t>
            </w:r>
          </w:p>
          <w:p w14:paraId="0742F6D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We would like to maintain, which may or may not be possible, that in order for a Tenant to receive a Building ID, they have a “desk” allocated to them somewhere in the building.</w:t>
            </w:r>
          </w:p>
          <w:p w14:paraId="2F03F5F6"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45FFBB21"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Of course, there would be issues if we were to lease to a Tenant whose business was a co-working establishment.</w:t>
            </w:r>
          </w:p>
          <w:p w14:paraId="7EBAB5E1"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5BE0713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One “desk” would now need to represent 2, 3, 4, or even more Building IDs. Leasing to a Tenant looking to operate a co-working space is certainly not off the table but does not seem to advance of our Economic Model and would have an effect on the wear and tear on the building.</w:t>
            </w:r>
          </w:p>
          <w:p w14:paraId="4C64748B"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44D7D45C"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One floor of co-working potentially ruins the community for the rest of the Tenants. With co-working leaseholds, there would be the possibility of people loitering throughout the building, making calls, hanging out, and diluting the circulation of the building.</w:t>
            </w:r>
          </w:p>
          <w:p w14:paraId="26FA9B6D"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77295B71"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This is the point of allowing for the Private Offices. This may be where we draw the line with regard to co-working.</w:t>
            </w:r>
          </w:p>
          <w:p w14:paraId="08A5FCC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62DE57F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Also, if a Tenant were to lease a Full Floor for the provision of co-working as their business, the Users of the co-working establishment would not be granted access to the Tenant Lounge, solely the employees of that Tenant.</w:t>
            </w:r>
          </w:p>
          <w:p w14:paraId="06E0C4F8"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77F120B4"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It would seem that we should control the potential maximum number of Users related to co-working businesses taking the leasehold. The idea would be to restrict the number of Users (memberships) to something like 1:3 workstations per person, as outlined on our Key Plans.</w:t>
            </w:r>
          </w:p>
          <w:p w14:paraId="7880859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3577CA2C" w14:textId="7591B06B"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FF0000"/>
              </w:rPr>
            </w:pPr>
            <w:r w:rsidRPr="001701A1">
              <w:rPr>
                <w:rFonts w:cstheme="minorHAnsi"/>
                <w:color w:val="000000" w:themeColor="text1"/>
              </w:rPr>
              <w:lastRenderedPageBreak/>
              <w:t xml:space="preserve">Not that co-working has no place in the building, but care should be taken as to maintaining the integrity of the overall quality being offered to the other Tenants of the building and that any co-working space may not be allowed to provide memberships </w:t>
            </w:r>
            <w:r w:rsidRPr="001701A1">
              <w:rPr>
                <w:rFonts w:cstheme="minorHAnsi"/>
                <w:i/>
                <w:iCs/>
                <w:color w:val="000000" w:themeColor="text1"/>
              </w:rPr>
              <w:t>ad infinitum</w:t>
            </w:r>
            <w:r w:rsidRPr="001701A1">
              <w:rPr>
                <w:rFonts w:cstheme="minorHAnsi"/>
                <w:color w:val="000000" w:themeColor="text1"/>
              </w:rPr>
              <w:t>, resulting in an unlimited number of Users coming in and out of the building.</w:t>
            </w:r>
          </w:p>
        </w:tc>
      </w:tr>
      <w:tr w:rsidR="00143586" w:rsidRPr="001701A1" w14:paraId="6E4B81B8" w14:textId="77777777" w:rsidTr="00986C81">
        <w:trPr>
          <w:trHeight w:val="267"/>
        </w:trPr>
        <w:tc>
          <w:tcPr>
            <w:tcW w:w="1231" w:type="dxa"/>
            <w:shd w:val="clear" w:color="auto" w:fill="auto"/>
          </w:tcPr>
          <w:p w14:paraId="72B7902F"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542" w:type="dxa"/>
            <w:shd w:val="clear" w:color="auto" w:fill="auto"/>
          </w:tcPr>
          <w:p w14:paraId="07233FC8"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978" w:type="dxa"/>
            <w:shd w:val="clear" w:color="auto" w:fill="auto"/>
          </w:tcPr>
          <w:p w14:paraId="6E5293ED"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5987" w:type="dxa"/>
            <w:shd w:val="clear" w:color="auto" w:fill="auto"/>
          </w:tcPr>
          <w:p w14:paraId="650A338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60"/>
              <w:rPr>
                <w:rFonts w:cstheme="minorHAnsi"/>
                <w:color w:val="000000" w:themeColor="text1"/>
              </w:rPr>
            </w:pPr>
            <w:r w:rsidRPr="001701A1">
              <w:rPr>
                <w:rFonts w:cstheme="minorHAnsi"/>
                <w:color w:val="000000" w:themeColor="text1"/>
              </w:rPr>
              <w:t>We agree. The idea is to leave as much space as possible for access to the Main Line Services as part of the Corridors – even if the Corridors are internal to a Tenant’s leasehold. We need to develop a Key Plan that represents the Corridor Main Line Services by themselves, rather than including the demising walls and such that make up the “Corridor”. It may be best that we require Tenants taking Corporate Office leaseholds to use our Key Plan for their Main Line Services even if they are taking 1/8-Floor, 1/4-Floor, 1/2 Floor, 3/4 Floor. Should a Tenant want to install their own version of the Main Line Services, they would need to be taking the Full Floor.</w:t>
            </w:r>
          </w:p>
          <w:p w14:paraId="53682526"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570"/>
              <w:rPr>
                <w:rFonts w:cstheme="minorHAnsi"/>
                <w:color w:val="4472C4" w:themeColor="accent1"/>
              </w:rPr>
            </w:pPr>
          </w:p>
          <w:p w14:paraId="5D6611D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 xml:space="preserve">Below is specialty laboratory design firm, HERA/Crime Lab Design: </w:t>
            </w:r>
            <w:hyperlink r:id="rId12">
              <w:r w:rsidRPr="001701A1">
                <w:rPr>
                  <w:rStyle w:val="Hyperlink"/>
                  <w:rFonts w:eastAsiaTheme="majorEastAsia" w:cstheme="minorHAnsi"/>
                </w:rPr>
                <w:t>https://herainc.com/</w:t>
              </w:r>
            </w:hyperlink>
          </w:p>
          <w:p w14:paraId="2FC79304" w14:textId="77777777" w:rsidR="00143586" w:rsidRPr="001701A1" w:rsidRDefault="00143586" w:rsidP="00143586">
            <w:pPr>
              <w:rPr>
                <w:rFonts w:cstheme="minorHAnsi"/>
              </w:rPr>
            </w:pPr>
          </w:p>
          <w:p w14:paraId="165FCA7C"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As part of the ceiling, in addition to the floor-to-ceiling height, we need to include a 1/2 or full 1 foot dedicated space for the services. This space will not be included as part of the Tenant's space. This would be in addition to the height allocated to the leasehold for natural lighting and Façade Frontage.</w:t>
            </w:r>
          </w:p>
          <w:p w14:paraId="73E7BC34"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1C2C09D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It has been suggested that this is the real solution to delivering a truly “flexible” Floor Plate which could service the Key Plans and Tiles, allowing adaptation for all the changing “sinks and drains” that go along with the Laboratory and Medical tenancies, and some office improvements as well.</w:t>
            </w:r>
          </w:p>
          <w:p w14:paraId="6081FC6E"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75BDEFCF"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b/>
                <w:bCs/>
                <w:color w:val="000000" w:themeColor="text1"/>
              </w:rPr>
            </w:pPr>
            <w:r w:rsidRPr="001701A1">
              <w:rPr>
                <w:rFonts w:cstheme="minorHAnsi"/>
                <w:color w:val="000000" w:themeColor="text1"/>
              </w:rPr>
              <w:t>The extra 1/2 or 1 foot dedicated space provides room to work when you need to redirect the services. Having this space truly allows for the servicing to be redirected easily in the future.</w:t>
            </w:r>
          </w:p>
          <w:p w14:paraId="12A5CEF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7E01897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570"/>
              <w:rPr>
                <w:rFonts w:cstheme="minorHAnsi"/>
                <w:color w:val="000000" w:themeColor="text1"/>
              </w:rPr>
            </w:pPr>
            <w:r w:rsidRPr="001701A1">
              <w:rPr>
                <w:rFonts w:cstheme="minorHAnsi"/>
                <w:color w:val="000000" w:themeColor="text1"/>
              </w:rPr>
              <w:t>The extra 1/2 or 1 foot also allows for the correct slope of the stubs to be achieved with ease.</w:t>
            </w:r>
          </w:p>
          <w:p w14:paraId="1C03426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570"/>
              <w:rPr>
                <w:rFonts w:cstheme="minorHAnsi"/>
                <w:color w:val="000000" w:themeColor="text1"/>
              </w:rPr>
            </w:pPr>
          </w:p>
          <w:p w14:paraId="4416DDF4"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 xml:space="preserve">Several Building Service Collaborators have suggested that adding an extra 1/2 foot to the ceiling height, dedicated to Building Services, is what makes breaking up the leaseholds for smaller Tenants easy to deal with. </w:t>
            </w:r>
          </w:p>
          <w:p w14:paraId="3C4DBB7F"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0D1ED985" w14:textId="77777777" w:rsidR="00143586"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At the same time, this might re-claim some of the space needed to be taken away when lowering the ceiling heights around the Elevator Lobbies and Corridors.</w:t>
            </w:r>
          </w:p>
          <w:p w14:paraId="738B89BF" w14:textId="77777777" w:rsidR="00143586"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4B305AB3" w14:textId="77777777" w:rsidR="00143586" w:rsidRPr="00631466" w:rsidRDefault="00143586" w:rsidP="00143586">
            <w:pPr>
              <w:rPr>
                <w:rFonts w:cstheme="minorHAnsi"/>
                <w:highlight w:val="yellow"/>
              </w:rPr>
            </w:pPr>
            <w:r w:rsidRPr="00631466">
              <w:rPr>
                <w:rFonts w:cstheme="minorHAnsi"/>
                <w:highlight w:val="yellow"/>
              </w:rPr>
              <w:t xml:space="preserve">We agree – we need to get the specification clear and correct on the acoustics (and vibration) as it is a big problem for medical diagnostic leaseholds. </w:t>
            </w:r>
          </w:p>
          <w:p w14:paraId="191457AD" w14:textId="77777777" w:rsidR="00143586"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3C7448BC"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993E4F">
              <w:rPr>
                <w:rFonts w:cstheme="minorHAnsi"/>
                <w:color w:val="000000" w:themeColor="text1"/>
                <w:highlight w:val="yellow"/>
              </w:rPr>
              <w:lastRenderedPageBreak/>
              <w:t>Because medical centres are one of our co-locations it would be detrimental if we did not include the laboratory requirements as part of the base building requirements for Tech Industrial, Professional Centres and Suburban Office.</w:t>
            </w:r>
          </w:p>
          <w:p w14:paraId="541739AD" w14:textId="77777777" w:rsidR="00143586"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highlight w:val="yellow"/>
              </w:rPr>
            </w:pPr>
          </w:p>
          <w:p w14:paraId="1A0C7279" w14:textId="77777777" w:rsidR="00143586"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highlight w:val="yellow"/>
              </w:rPr>
            </w:pPr>
            <w:r w:rsidRPr="00631466">
              <w:rPr>
                <w:rFonts w:cstheme="minorHAnsi"/>
                <w:highlight w:val="yellow"/>
              </w:rPr>
              <w:t>The acoustics is also the biggest letdown in the co-working spaces where we rent our offices.</w:t>
            </w:r>
          </w:p>
          <w:p w14:paraId="6A905084"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highlight w:val="yellow"/>
              </w:rPr>
            </w:pPr>
          </w:p>
          <w:p w14:paraId="3D6DB983"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We need to build out our Corridors ~20% larger than most, as the Corridors in our building should be a Signature Features.</w:t>
            </w:r>
          </w:p>
          <w:p w14:paraId="35729D1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09019F01"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Some Building Service Collaborates have said the Building Services should run down the area dedicated to the Corridors, regardless if the Corridors end up being put in place or not, depending on the leasing.</w:t>
            </w:r>
          </w:p>
          <w:p w14:paraId="1E3D9174"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7101D4BE" w14:textId="3B01C96F"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FF0000"/>
              </w:rPr>
            </w:pPr>
            <w:r w:rsidRPr="001701A1">
              <w:rPr>
                <w:rFonts w:cstheme="minorHAnsi"/>
                <w:color w:val="000000" w:themeColor="text1"/>
              </w:rPr>
              <w:t>Others have suggested the Building Services should run down the Magazine as described in the Building Width Calculator, which is beyond the 6-meter maximum depth allowance for seating under the European Lighting Standard. This, however, would require two sets of Main Line Services, one for each side of the Floor, which may not be cost effective.</w:t>
            </w:r>
          </w:p>
        </w:tc>
      </w:tr>
      <w:tr w:rsidR="00143586" w:rsidRPr="001701A1" w14:paraId="6D9B9412" w14:textId="77777777" w:rsidTr="00986C81">
        <w:trPr>
          <w:trHeight w:val="267"/>
        </w:trPr>
        <w:tc>
          <w:tcPr>
            <w:tcW w:w="1231" w:type="dxa"/>
            <w:shd w:val="clear" w:color="auto" w:fill="auto"/>
          </w:tcPr>
          <w:p w14:paraId="015B19B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542" w:type="dxa"/>
            <w:shd w:val="clear" w:color="auto" w:fill="auto"/>
          </w:tcPr>
          <w:p w14:paraId="1EF5E66F"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978" w:type="dxa"/>
            <w:shd w:val="clear" w:color="auto" w:fill="auto"/>
          </w:tcPr>
          <w:p w14:paraId="5A95F436"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5987" w:type="dxa"/>
            <w:shd w:val="clear" w:color="auto" w:fill="auto"/>
          </w:tcPr>
          <w:p w14:paraId="048C612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FF0000"/>
              </w:rPr>
            </w:pPr>
            <w:r w:rsidRPr="001701A1">
              <w:rPr>
                <w:rFonts w:cstheme="minorHAnsi"/>
                <w:color w:val="FF0000"/>
              </w:rPr>
              <w:t>ELEVATOR CONFIGURATIONS</w:t>
            </w:r>
          </w:p>
          <w:p w14:paraId="18784E0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Yes, we agree – we need to get the elevator configurations just right.</w:t>
            </w:r>
          </w:p>
          <w:p w14:paraId="5A55CD6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28B62CCF"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37"/>
              <w:rPr>
                <w:rFonts w:cstheme="minorHAnsi"/>
                <w:color w:val="000000" w:themeColor="text1"/>
              </w:rPr>
            </w:pPr>
            <w:r w:rsidRPr="001701A1">
              <w:rPr>
                <w:rFonts w:cstheme="minorHAnsi"/>
                <w:color w:val="000000" w:themeColor="text1"/>
              </w:rPr>
              <w:t>The two main points of feedback so far from Design Collaborators with regards to the residential and warehouse overlays are Over-providing of the Building Core Elevators and taking into consideration the residential layouts in regard to the Building Width Calculator.</w:t>
            </w:r>
          </w:p>
          <w:p w14:paraId="6FE1B7BF"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4152FD38"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37"/>
              <w:rPr>
                <w:rFonts w:cstheme="minorHAnsi"/>
                <w:color w:val="4472C4" w:themeColor="accent1"/>
              </w:rPr>
            </w:pPr>
            <w:r w:rsidRPr="001701A1">
              <w:rPr>
                <w:rFonts w:cstheme="minorHAnsi"/>
                <w:color w:val="000000" w:themeColor="text1"/>
              </w:rPr>
              <w:t>Probably not so much an issue with residential, but it would be really good to know that we can handle weight and sizing with regard to a warehouse as an Adaptive Use.</w:t>
            </w:r>
          </w:p>
          <w:p w14:paraId="27C9174D"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37"/>
              <w:rPr>
                <w:rFonts w:cstheme="minorHAnsi"/>
                <w:color w:val="000000" w:themeColor="text1"/>
              </w:rPr>
            </w:pPr>
          </w:p>
          <w:p w14:paraId="688FA32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37"/>
              <w:rPr>
                <w:rFonts w:cstheme="minorHAnsi"/>
                <w:color w:val="000000" w:themeColor="text1"/>
              </w:rPr>
            </w:pPr>
            <w:r w:rsidRPr="001701A1">
              <w:rPr>
                <w:rFonts w:cstheme="minorHAnsi"/>
                <w:color w:val="000000" w:themeColor="text1"/>
              </w:rPr>
              <w:t>By developing a few overlays for both warehouse and residential on the Floor Plates for the office components, we should be able to gauge how far we can go with any Over-providing, along with any adjustments to the Building Core and Building Width Calculator. These overlays for warehouse and residential are of little interest to prospective Tenants but have already verbally been of interest to a few of the Development Officers we have spoken with. They are also somewhat of interest to the Financial Community in the sense of apperception that Climate Neutral and the Production Curve are being taken into account. These overlays will also assist with the</w:t>
            </w:r>
            <w:r w:rsidRPr="001701A1">
              <w:rPr>
                <w:rFonts w:cstheme="minorHAnsi"/>
                <w:color w:val="4472C4" w:themeColor="accent1"/>
              </w:rPr>
              <w:t xml:space="preserve"> </w:t>
            </w:r>
            <w:r w:rsidRPr="001701A1">
              <w:rPr>
                <w:rFonts w:cstheme="minorHAnsi"/>
                <w:color w:val="000000" w:themeColor="text1"/>
              </w:rPr>
              <w:t>appraisals of the Development Sites, in determining the projected Terminal Capitalization with regard to the discounted cash flows.</w:t>
            </w:r>
          </w:p>
          <w:p w14:paraId="697352F4"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37"/>
              <w:rPr>
                <w:rFonts w:cstheme="minorHAnsi"/>
                <w:color w:val="000000" w:themeColor="text1"/>
              </w:rPr>
            </w:pPr>
          </w:p>
          <w:p w14:paraId="08424C89" w14:textId="77777777" w:rsidR="00143586" w:rsidRPr="001701A1" w:rsidRDefault="00143586" w:rsidP="00143586">
            <w:pPr>
              <w:rPr>
                <w:rFonts w:cstheme="minorHAnsi"/>
                <w:color w:val="000000" w:themeColor="text1"/>
              </w:rPr>
            </w:pPr>
            <w:r w:rsidRPr="001701A1">
              <w:rPr>
                <w:rFonts w:cstheme="minorHAnsi"/>
                <w:color w:val="000000" w:themeColor="text1"/>
              </w:rPr>
              <w:t xml:space="preserve">Since we will be using Floor Plates, that were based on the Key Plans and Tiles we developed from our multiple Use Cases – Private Office, Business, Medical, Academic, Laboratory, Civic, </w:t>
            </w:r>
            <w:r w:rsidRPr="001701A1">
              <w:rPr>
                <w:rFonts w:cstheme="minorHAnsi"/>
                <w:color w:val="000000" w:themeColor="text1"/>
              </w:rPr>
              <w:lastRenderedPageBreak/>
              <w:t>we should not need to create separate Key Plans and Tiles for any residential or warehouse as they must “nest” within the current Key Plans and Tiles that we are proposing. Instead, we can generate a few layouts of the overall Floor Plates for the Adaptive Use (Reuse).</w:t>
            </w:r>
          </w:p>
          <w:p w14:paraId="727EDAD7" w14:textId="77777777" w:rsidR="00143586" w:rsidRPr="001701A1" w:rsidRDefault="00143586" w:rsidP="00143586">
            <w:pPr>
              <w:rPr>
                <w:rFonts w:cstheme="minorHAnsi"/>
                <w:color w:val="000000" w:themeColor="text1"/>
                <w:shd w:val="clear" w:color="auto" w:fill="FFFFFF"/>
              </w:rPr>
            </w:pPr>
          </w:p>
          <w:p w14:paraId="079E575B"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Adding the Over-providing for the residential and warehouse overlays will increase the Capital Cost, there is no question about that, but we believe these costs can be substantially mitigated through Design For Assembly, the Rollout Program, the Buying Program and national pricing.</w:t>
            </w:r>
          </w:p>
          <w:p w14:paraId="6089EB3D"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2612714F"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It does not mean, for example, that we provide Elevator Cabs that could handle the warehouse overlay, simply the Building Core and Building Core Elevators are designed with the flexibility to allow for the Adaptive Use (Reuse) proposed with the residential and warehouse overlays. In the case of the residential overlay, we may have already covered the adjustment by adding the extra Elevator Cab to the Base Building for the office components – 3 Elevator Cabs for Professional Centres and 4 Elevator Cabs for Suburban Office.</w:t>
            </w:r>
          </w:p>
          <w:p w14:paraId="2C9197A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45C69053" w14:textId="6872AA3E"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60"/>
              <w:rPr>
                <w:rFonts w:cstheme="minorHAnsi"/>
                <w:color w:val="000000" w:themeColor="text1"/>
              </w:rPr>
            </w:pPr>
            <w:r w:rsidRPr="001701A1">
              <w:rPr>
                <w:rFonts w:cstheme="minorHAnsi"/>
                <w:color w:val="000000" w:themeColor="text1"/>
              </w:rPr>
              <w:t xml:space="preserve">Maybe for the Adaptive Use (Reuse) related to the warehouse overlay, two of the Building Core Elevators can be combined to provide for a larger </w:t>
            </w:r>
            <w:hyperlink r:id="rId13" w:tgtFrame="_blank">
              <w:r w:rsidRPr="001701A1">
                <w:rPr>
                  <w:rFonts w:cstheme="minorHAnsi"/>
                  <w:color w:val="000000" w:themeColor="text1"/>
                </w:rPr>
                <w:t>Freight </w:t>
              </w:r>
            </w:hyperlink>
            <w:r w:rsidRPr="001701A1">
              <w:rPr>
                <w:rFonts w:cstheme="minorHAnsi"/>
                <w:color w:val="000000" w:themeColor="text1"/>
              </w:rPr>
              <w:t>Elevator, leaving the other elevators for more traditional operations.</w:t>
            </w:r>
          </w:p>
        </w:tc>
      </w:tr>
      <w:tr w:rsidR="00143586" w:rsidRPr="001701A1" w14:paraId="33182947" w14:textId="77777777" w:rsidTr="00986C81">
        <w:trPr>
          <w:trHeight w:val="267"/>
        </w:trPr>
        <w:tc>
          <w:tcPr>
            <w:tcW w:w="1231" w:type="dxa"/>
            <w:shd w:val="clear" w:color="auto" w:fill="auto"/>
          </w:tcPr>
          <w:p w14:paraId="19BCDC9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542" w:type="dxa"/>
            <w:shd w:val="clear" w:color="auto" w:fill="auto"/>
          </w:tcPr>
          <w:p w14:paraId="7D6684B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978" w:type="dxa"/>
            <w:shd w:val="clear" w:color="auto" w:fill="auto"/>
          </w:tcPr>
          <w:p w14:paraId="60FE126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5987" w:type="dxa"/>
            <w:shd w:val="clear" w:color="auto" w:fill="auto"/>
          </w:tcPr>
          <w:p w14:paraId="350F7863"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107"/>
              <w:rPr>
                <w:rFonts w:cstheme="minorHAnsi"/>
                <w:color w:val="000000" w:themeColor="text1"/>
              </w:rPr>
            </w:pPr>
            <w:r w:rsidRPr="001701A1">
              <w:rPr>
                <w:rFonts w:cstheme="minorHAnsi"/>
                <w:color w:val="000000" w:themeColor="text1"/>
              </w:rPr>
              <w:t>We somewhat disagree that the entire structural load would be cantilevered to the Building Core, whereas we envision there would be a structural grid arranged with posts and beams.</w:t>
            </w:r>
          </w:p>
          <w:p w14:paraId="2D8A49E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107"/>
              <w:rPr>
                <w:rFonts w:cstheme="minorHAnsi"/>
                <w:color w:val="000000" w:themeColor="text1"/>
              </w:rPr>
            </w:pPr>
          </w:p>
          <w:p w14:paraId="2D41F7E3"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107"/>
              <w:rPr>
                <w:rFonts w:cstheme="minorHAnsi"/>
                <w:color w:val="000000" w:themeColor="text1"/>
              </w:rPr>
            </w:pPr>
            <w:r w:rsidRPr="001701A1">
              <w:rPr>
                <w:rFonts w:cstheme="minorHAnsi"/>
                <w:color w:val="000000" w:themeColor="text1"/>
              </w:rPr>
              <w:t xml:space="preserve">Hopefully, the posts and beams align with the Tiles in order to allow smaller Tenants to enjoy column-free leaseholds at the dimensions of the Tiles. </w:t>
            </w:r>
          </w:p>
          <w:p w14:paraId="56CF988E"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107"/>
              <w:rPr>
                <w:rFonts w:cstheme="minorHAnsi"/>
                <w:color w:val="000000" w:themeColor="text1"/>
              </w:rPr>
            </w:pPr>
            <w:r w:rsidRPr="001701A1">
              <w:rPr>
                <w:rFonts w:cstheme="minorHAnsi"/>
                <w:color w:val="000000" w:themeColor="text1"/>
              </w:rPr>
              <w:t>The size of a Tile we arrive at therefore becomes the size of the smallest Corporate Office.</w:t>
            </w:r>
          </w:p>
          <w:p w14:paraId="751C584C"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570"/>
              <w:rPr>
                <w:rFonts w:cstheme="minorHAnsi"/>
                <w:color w:val="000000" w:themeColor="text1"/>
              </w:rPr>
            </w:pPr>
          </w:p>
          <w:p w14:paraId="5B745E3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FF0000"/>
              </w:rPr>
            </w:pPr>
            <w:r w:rsidRPr="001701A1">
              <w:rPr>
                <w:rFonts w:cstheme="minorHAnsi"/>
                <w:color w:val="FF0000"/>
              </w:rPr>
              <w:t>COLUMN FREE</w:t>
            </w:r>
          </w:p>
          <w:p w14:paraId="1A4F082C"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We have had several discussions with multiple Collaborators to date, both building design and Structural, and it seems that any discussion with regards to “column free” layouts always seem to then lead to alterations to what we are proposing with the Building Width Calculator and/or require the Façade Frontage to be treated as a structural component of the buildings – both of which we strongly disagree.</w:t>
            </w:r>
          </w:p>
          <w:p w14:paraId="64F94F8E"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4B6DF70B"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4472C4" w:themeColor="accent1"/>
              </w:rPr>
            </w:pPr>
            <w:r w:rsidRPr="001701A1">
              <w:rPr>
                <w:rFonts w:cstheme="minorHAnsi"/>
                <w:color w:val="000000" w:themeColor="text1"/>
              </w:rPr>
              <w:t>The approach we take to “column free” is to first layout the Key Plans and Tiles, overlay the Building Services, then</w:t>
            </w:r>
            <w:r w:rsidRPr="001701A1">
              <w:rPr>
                <w:rFonts w:cstheme="minorHAnsi"/>
                <w:color w:val="4472C4" w:themeColor="accent1"/>
              </w:rPr>
              <w:t xml:space="preserve"> </w:t>
            </w:r>
            <w:r w:rsidRPr="001701A1">
              <w:rPr>
                <w:rFonts w:cstheme="minorHAnsi"/>
                <w:color w:val="000000" w:themeColor="text1"/>
              </w:rPr>
              <w:t>we develop a rough draft to present to the Structural Collaborators to determine which engineering systems provide the closest fit to the Leasing Plan we are striving to achieve.</w:t>
            </w:r>
          </w:p>
          <w:p w14:paraId="54AB2F8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b/>
                <w:bCs/>
                <w:color w:val="4472C4" w:themeColor="accent1"/>
              </w:rPr>
            </w:pPr>
          </w:p>
          <w:p w14:paraId="464AE8F1"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 xml:space="preserve">The Key Plans and Tiles are going to be used to discover where to best place the columns – this will determine the grid. Maybe </w:t>
            </w:r>
            <w:r w:rsidRPr="001701A1">
              <w:rPr>
                <w:rFonts w:cstheme="minorHAnsi"/>
                <w:color w:val="000000" w:themeColor="text1"/>
              </w:rPr>
              <w:lastRenderedPageBreak/>
              <w:t>the Key Plans and Tiles will show that if we offset a few columns, like off to the sides of the elevator, the rest of the columns fall into place perfectly.</w:t>
            </w:r>
          </w:p>
          <w:p w14:paraId="42D74768"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57DB432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We do envision Full Floor Tenancies and will need to keep in mind, if someone takes a Full Floor, there will be columns throughout their leaseholds. However, we need to account for 70% of the time that the Floor Plates are going to be broken up into smaller leaseholds, when working in the Regional Markets.</w:t>
            </w:r>
          </w:p>
          <w:p w14:paraId="11AC68B2"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p>
          <w:p w14:paraId="1E391E4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FF0000"/>
              </w:rPr>
            </w:pPr>
            <w:r w:rsidRPr="001701A1">
              <w:rPr>
                <w:rFonts w:cstheme="minorHAnsi"/>
                <w:color w:val="FF0000"/>
              </w:rPr>
              <w:t>COLUMNS VERSUS HEIGHT</w:t>
            </w:r>
          </w:p>
          <w:p w14:paraId="104A4FD3"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Many of the Collaborators have been commenting on the sizing of columns at the base of the building versus its height.</w:t>
            </w:r>
          </w:p>
          <w:p w14:paraId="0DE50B93"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26F9C98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000000" w:themeColor="text1"/>
              </w:rPr>
            </w:pPr>
            <w:r w:rsidRPr="001701A1">
              <w:rPr>
                <w:rFonts w:cstheme="minorHAnsi"/>
                <w:color w:val="000000" w:themeColor="text1"/>
              </w:rPr>
              <w:t>It seems from our discussions to date; 3-5 Floors for the Professional Centers and 6-9 Floor for the Suburban Office would always keep us 1-Floor under the break point in the building codes for taller buildings. More discussion is need here.</w:t>
            </w:r>
          </w:p>
          <w:p w14:paraId="57B58361"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697E0EAE"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4538"/>
                <w:tab w:val="left" w:pos="5506"/>
                <w:tab w:val="left" w:pos="5600"/>
                <w:tab w:val="left" w:pos="6720"/>
              </w:tabs>
              <w:rPr>
                <w:rFonts w:cstheme="minorHAnsi"/>
                <w:color w:val="000000" w:themeColor="text1"/>
              </w:rPr>
            </w:pPr>
            <w:r w:rsidRPr="001701A1">
              <w:rPr>
                <w:rFonts w:cstheme="minorHAnsi"/>
                <w:color w:val="000000" w:themeColor="text1"/>
              </w:rPr>
              <w:t>For us to approve a Development Site, it needs to either fit the Prototype of a Professional Centre at 3-5 floors, or a Suburban Office at 6-9 floors.</w:t>
            </w:r>
          </w:p>
          <w:p w14:paraId="24061F60" w14:textId="77777777" w:rsidR="00143586" w:rsidRPr="001701A1" w:rsidRDefault="00143586" w:rsidP="00143586">
            <w:pPr>
              <w:rPr>
                <w:rFonts w:cstheme="minorHAnsi"/>
              </w:rPr>
            </w:pPr>
          </w:p>
          <w:p w14:paraId="19EE6A83"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The number of floors for Professional Centres and/or Suburban Offices is wholly determined by the parking dynamics of the site.</w:t>
            </w:r>
          </w:p>
          <w:p w14:paraId="6A78E5C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3B12DF8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 xml:space="preserve">NB – There may be a second Prototype for the Suburban Office if the variance in number of floors is too large – Suburban Office 6-9 Floors and Suburban Office 10-12-Floors. However, when working out the Parking Lots for the Test Sites and several other Development Sites in the Site Selection Pipeline to date, we have not been able to generate the need for more than 9 floors of Suburban Office when the 4:1 Parking Ratio, a maximum 1.5 floors of Underground Parking and a maximum 75-meter walk distance from the furthest parking stall were applied. </w:t>
            </w:r>
            <w:proofErr w:type="spellStart"/>
            <w:r w:rsidRPr="001701A1">
              <w:rPr>
                <w:rFonts w:cstheme="minorHAnsi"/>
                <w:color w:val="000000" w:themeColor="text1"/>
              </w:rPr>
              <w:t>Todate</w:t>
            </w:r>
            <w:proofErr w:type="spellEnd"/>
            <w:r w:rsidRPr="001701A1">
              <w:rPr>
                <w:rFonts w:cstheme="minorHAnsi"/>
                <w:color w:val="000000" w:themeColor="text1"/>
              </w:rPr>
              <w:t>, this geometry seems to cap the Suburban Office at 9-Floors.</w:t>
            </w:r>
          </w:p>
          <w:p w14:paraId="5E1508C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67FF1EAC"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This is something we would like to continue testing and perhaps we should change the definition of the Suburban Office in our Limited Partnership Agreement.</w:t>
            </w:r>
          </w:p>
          <w:p w14:paraId="41489EE6"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1A04C568"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r w:rsidRPr="001701A1">
              <w:rPr>
                <w:rFonts w:cstheme="minorHAnsi"/>
                <w:color w:val="000000" w:themeColor="text1"/>
              </w:rPr>
              <w:t>The Structural Collaborators have suggested that 3-Floors in Professional Centres and 6-Floors in Suburban Office works. Obviously, the big issues in discussions were at what point do we need to add an extra elevator, more columns and thicker walls to go higher?</w:t>
            </w:r>
          </w:p>
          <w:p w14:paraId="4415F72E"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p w14:paraId="19B875BB" w14:textId="77777777" w:rsidR="00143586" w:rsidRPr="001701A1" w:rsidRDefault="00143586" w:rsidP="00143586">
            <w:pPr>
              <w:rPr>
                <w:rFonts w:cstheme="minorHAnsi"/>
                <w:color w:val="000000" w:themeColor="text1"/>
              </w:rPr>
            </w:pPr>
            <w:r w:rsidRPr="001701A1">
              <w:rPr>
                <w:rFonts w:cstheme="minorHAnsi"/>
                <w:color w:val="000000" w:themeColor="text1"/>
              </w:rPr>
              <w:t>Feedback from the Structural Collaborators to date:</w:t>
            </w:r>
          </w:p>
          <w:p w14:paraId="54894E7D" w14:textId="77777777" w:rsidR="00143586" w:rsidRPr="001701A1" w:rsidRDefault="00143586" w:rsidP="00143586">
            <w:pPr>
              <w:rPr>
                <w:rFonts w:cstheme="minorHAnsi"/>
                <w:color w:val="000000" w:themeColor="text1"/>
              </w:rPr>
            </w:pPr>
          </w:p>
          <w:p w14:paraId="3294FD28" w14:textId="77777777" w:rsidR="00143586" w:rsidRPr="001701A1" w:rsidRDefault="00143586" w:rsidP="00143586">
            <w:pPr>
              <w:pStyle w:val="ListParagraph"/>
              <w:numPr>
                <w:ilvl w:val="0"/>
                <w:numId w:val="4"/>
              </w:numPr>
              <w:suppressAutoHyphens w:val="0"/>
              <w:ind w:left="351" w:hanging="142"/>
              <w:rPr>
                <w:rFonts w:asciiTheme="minorHAnsi" w:hAnsiTheme="minorHAnsi" w:cstheme="minorHAnsi"/>
                <w:color w:val="000000" w:themeColor="text1"/>
              </w:rPr>
            </w:pPr>
            <w:r w:rsidRPr="001701A1">
              <w:rPr>
                <w:rFonts w:asciiTheme="minorHAnsi" w:hAnsiTheme="minorHAnsi" w:cstheme="minorHAnsi"/>
                <w:color w:val="000000" w:themeColor="text1"/>
              </w:rPr>
              <w:t>Extra columns in the lower floors and then less as you go up. The Prototype is designed for the maximum height.</w:t>
            </w:r>
          </w:p>
          <w:p w14:paraId="18C0C904" w14:textId="77777777" w:rsidR="00143586" w:rsidRPr="001701A1" w:rsidRDefault="00143586" w:rsidP="00143586">
            <w:pPr>
              <w:ind w:left="351" w:hanging="142"/>
              <w:rPr>
                <w:rFonts w:cstheme="minorHAnsi"/>
                <w:color w:val="000000" w:themeColor="text1"/>
              </w:rPr>
            </w:pPr>
          </w:p>
          <w:p w14:paraId="36EC5DFE" w14:textId="77777777" w:rsidR="00143586" w:rsidRPr="001701A1" w:rsidRDefault="00143586" w:rsidP="00143586">
            <w:pPr>
              <w:pStyle w:val="ListParagraph"/>
              <w:numPr>
                <w:ilvl w:val="0"/>
                <w:numId w:val="4"/>
              </w:numPr>
              <w:suppressAutoHyphens w:val="0"/>
              <w:ind w:left="351" w:hanging="142"/>
              <w:rPr>
                <w:rFonts w:asciiTheme="minorHAnsi" w:hAnsiTheme="minorHAnsi" w:cstheme="minorHAnsi"/>
                <w:color w:val="000000" w:themeColor="text1"/>
              </w:rPr>
            </w:pPr>
            <w:r w:rsidRPr="001701A1">
              <w:rPr>
                <w:rFonts w:asciiTheme="minorHAnsi" w:hAnsiTheme="minorHAnsi" w:cstheme="minorHAnsi"/>
                <w:color w:val="000000" w:themeColor="text1"/>
              </w:rPr>
              <w:t>If you need to go all the way up, to maximum height, you need to put in all the columns; as you remove floors from the Prototype, you take columns out from the bottom.</w:t>
            </w:r>
          </w:p>
          <w:p w14:paraId="24DEB450" w14:textId="77777777" w:rsidR="00143586" w:rsidRPr="001701A1" w:rsidRDefault="00143586" w:rsidP="00143586">
            <w:pPr>
              <w:rPr>
                <w:rFonts w:cstheme="minorHAnsi"/>
                <w:color w:val="000000" w:themeColor="text1"/>
              </w:rPr>
            </w:pPr>
          </w:p>
          <w:p w14:paraId="0E14128B" w14:textId="0EB82F24"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37"/>
              <w:rPr>
                <w:rFonts w:cstheme="minorHAnsi"/>
                <w:color w:val="FF0000"/>
              </w:rPr>
            </w:pPr>
            <w:r w:rsidRPr="001701A1">
              <w:rPr>
                <w:rFonts w:cstheme="minorHAnsi"/>
                <w:color w:val="000000" w:themeColor="text1"/>
              </w:rPr>
              <w:t>In each case the Floor Plates are fixed, based on our Key Plans and Tiles, the consensus from Design Collaborators, and our Buying Program.</w:t>
            </w:r>
          </w:p>
        </w:tc>
      </w:tr>
      <w:tr w:rsidR="00143586" w:rsidRPr="001701A1" w14:paraId="676FB8B3" w14:textId="77777777" w:rsidTr="00986C81">
        <w:trPr>
          <w:trHeight w:val="267"/>
        </w:trPr>
        <w:tc>
          <w:tcPr>
            <w:tcW w:w="1231" w:type="dxa"/>
            <w:shd w:val="clear" w:color="auto" w:fill="auto"/>
          </w:tcPr>
          <w:p w14:paraId="1277188D"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542" w:type="dxa"/>
            <w:shd w:val="clear" w:color="auto" w:fill="auto"/>
          </w:tcPr>
          <w:p w14:paraId="7DF5A08D"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978" w:type="dxa"/>
            <w:shd w:val="clear" w:color="auto" w:fill="auto"/>
          </w:tcPr>
          <w:p w14:paraId="531D3E6D"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5987" w:type="dxa"/>
            <w:shd w:val="clear" w:color="auto" w:fill="auto"/>
          </w:tcPr>
          <w:p w14:paraId="09A4245F" w14:textId="77777777" w:rsidR="00143586" w:rsidRPr="0044405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408"/>
              <w:rPr>
                <w:rFonts w:ascii="Calibri" w:hAnsi="Calibri" w:cs="Calibri"/>
                <w:color w:val="000000" w:themeColor="text1"/>
                <w:highlight w:val="yellow"/>
              </w:rPr>
            </w:pPr>
            <w:r w:rsidRPr="0044405F">
              <w:rPr>
                <w:rFonts w:ascii="Calibri" w:hAnsi="Calibri" w:cs="Calibri"/>
                <w:color w:val="000000" w:themeColor="text1"/>
                <w:highlight w:val="yellow"/>
              </w:rPr>
              <w:t>Due to the Rollout and Buying Programs and allowing the Prototypes to act as the canvas for Design Collaborators at each of the local Development Sites the Design Collaborators can implement their own Façade and Interior Designs.</w:t>
            </w:r>
          </w:p>
          <w:p w14:paraId="7913F54C" w14:textId="77777777" w:rsidR="00143586" w:rsidRPr="0044405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408"/>
              <w:rPr>
                <w:rFonts w:ascii="Calibri" w:hAnsi="Calibri" w:cs="Calibri"/>
                <w:color w:val="000000" w:themeColor="text1"/>
                <w:highlight w:val="yellow"/>
              </w:rPr>
            </w:pPr>
          </w:p>
          <w:p w14:paraId="0DB66BEF" w14:textId="77777777" w:rsidR="00143586" w:rsidRDefault="00143586" w:rsidP="00143586">
            <w:pPr>
              <w:rPr>
                <w:rFonts w:ascii="Calibri" w:hAnsi="Calibri" w:cs="Calibri"/>
                <w:highlight w:val="yellow"/>
              </w:rPr>
            </w:pPr>
            <w:r w:rsidRPr="0044405F">
              <w:rPr>
                <w:rFonts w:ascii="Calibri" w:hAnsi="Calibri" w:cs="Calibri"/>
                <w:highlight w:val="yellow"/>
              </w:rPr>
              <w:t>We are not building out the leaseholds for the Tenants and make no assumption on how they would like to lay out their space. Our focus is on providing Tenants with the demising and services that allow for high efficiency within their leaseholds and the ability to build out any arrangements they may want.</w:t>
            </w:r>
          </w:p>
          <w:p w14:paraId="2A57651A" w14:textId="77777777" w:rsidR="00143586" w:rsidRPr="0044405F" w:rsidRDefault="00143586" w:rsidP="00143586">
            <w:pPr>
              <w:rPr>
                <w:rFonts w:ascii="Calibri" w:hAnsi="Calibri" w:cs="Calibri"/>
                <w:highlight w:val="yellow"/>
              </w:rPr>
            </w:pPr>
          </w:p>
          <w:p w14:paraId="75CE4F8A" w14:textId="77777777" w:rsidR="00143586" w:rsidRPr="0044405F" w:rsidRDefault="00143586" w:rsidP="00143586">
            <w:pPr>
              <w:rPr>
                <w:rFonts w:ascii="Calibri" w:hAnsi="Calibri" w:cs="Calibri"/>
                <w:highlight w:val="yellow"/>
              </w:rPr>
            </w:pPr>
            <w:r w:rsidRPr="0044405F">
              <w:rPr>
                <w:rFonts w:ascii="Calibri" w:hAnsi="Calibri" w:cs="Calibri"/>
                <w:highlight w:val="yellow"/>
              </w:rPr>
              <w:t>We do not see the centre Building Core as a good fit for the type of Mix-of-Use buildings we are proposing for the Secondary Markets.</w:t>
            </w:r>
          </w:p>
          <w:p w14:paraId="06CE4AB6" w14:textId="77777777" w:rsidR="00143586" w:rsidRPr="0044405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408"/>
              <w:rPr>
                <w:rFonts w:ascii="Calibri" w:hAnsi="Calibri" w:cs="Calibri"/>
                <w:color w:val="FF0000"/>
                <w:highlight w:val="yellow"/>
              </w:rPr>
            </w:pPr>
          </w:p>
          <w:p w14:paraId="3314D90C" w14:textId="77777777" w:rsidR="00143586" w:rsidRPr="0044405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Calibri"/>
                <w:color w:val="000000" w:themeColor="text1"/>
                <w:highlight w:val="yellow"/>
              </w:rPr>
            </w:pPr>
            <w:r w:rsidRPr="0044405F">
              <w:rPr>
                <w:rFonts w:ascii="Calibri" w:hAnsi="Calibri" w:cs="Calibri"/>
                <w:color w:val="000000" w:themeColor="text1"/>
                <w:highlight w:val="yellow"/>
              </w:rPr>
              <w:t>The center core has its place, but what we want is to have flexibility in breaking up the Floor Plates into several leaseholds for smaller Tenants – the ability to mix larger and smaller Tenants throughout the building.</w:t>
            </w:r>
          </w:p>
          <w:p w14:paraId="41D76C4A" w14:textId="77777777" w:rsidR="00143586" w:rsidRPr="0044405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Calibri"/>
                <w:color w:val="000000" w:themeColor="text1"/>
                <w:highlight w:val="yellow"/>
              </w:rPr>
            </w:pPr>
          </w:p>
          <w:p w14:paraId="00621EF0" w14:textId="77777777" w:rsidR="00143586" w:rsidRPr="0044405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Calibri"/>
                <w:color w:val="000000" w:themeColor="text1"/>
                <w:highlight w:val="yellow"/>
              </w:rPr>
            </w:pPr>
            <w:r w:rsidRPr="0044405F">
              <w:rPr>
                <w:rFonts w:ascii="Calibri" w:hAnsi="Calibri" w:cs="Calibri"/>
                <w:color w:val="000000" w:themeColor="text1"/>
                <w:highlight w:val="yellow"/>
              </w:rPr>
              <w:t>In our case, following the Building Width Calculator, there is no difference in the amount of natural light penetrating the Offset Pulled Back Building Core vs. using a center core design. The rectangular Floor Plates we are proposing seem to work very well at accommodating natural light.</w:t>
            </w:r>
          </w:p>
          <w:p w14:paraId="4F499EAD" w14:textId="77777777" w:rsidR="00143586" w:rsidRPr="0044405F" w:rsidRDefault="00143586" w:rsidP="00143586">
            <w:pPr>
              <w:rPr>
                <w:rFonts w:ascii="Calibri" w:hAnsi="Calibri" w:cs="Calibri"/>
                <w:highlight w:val="yellow"/>
              </w:rPr>
            </w:pPr>
          </w:p>
          <w:p w14:paraId="5659233F" w14:textId="77777777" w:rsidR="00143586" w:rsidRPr="0044405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Calibri"/>
                <w:color w:val="000000" w:themeColor="text1"/>
                <w:highlight w:val="yellow"/>
              </w:rPr>
            </w:pPr>
            <w:r w:rsidRPr="0044405F">
              <w:rPr>
                <w:rFonts w:ascii="Calibri" w:hAnsi="Calibri" w:cs="Calibri"/>
                <w:color w:val="000000" w:themeColor="text1"/>
                <w:highlight w:val="yellow"/>
              </w:rPr>
              <w:t>Our buildings are always going to be set back, surrounded by the Parking Lot, so we will never have any issues with shading from other buildings. This simply isn’t an issue when building on or adjacent to the Power Centres. If this did become an issue, we should pass on purchasing these Development sites.</w:t>
            </w:r>
          </w:p>
          <w:p w14:paraId="34AA0C4B" w14:textId="77777777" w:rsidR="00143586" w:rsidRPr="0044405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Calibri"/>
                <w:color w:val="000000" w:themeColor="text1"/>
                <w:highlight w:val="yellow"/>
              </w:rPr>
            </w:pPr>
          </w:p>
          <w:p w14:paraId="7AA65C01" w14:textId="77777777" w:rsidR="00143586" w:rsidRPr="0044405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Calibri"/>
                <w:color w:val="000000" w:themeColor="text1"/>
                <w:highlight w:val="yellow"/>
              </w:rPr>
            </w:pPr>
            <w:r w:rsidRPr="0044405F">
              <w:rPr>
                <w:rFonts w:ascii="Calibri" w:hAnsi="Calibri" w:cs="Calibri"/>
                <w:color w:val="000000" w:themeColor="text1"/>
                <w:highlight w:val="yellow"/>
              </w:rPr>
              <w:t>The center Building Core makes leasing to the smaller Tenants a nightmare. Using the rectangular Floor Plates provides a solution to breaking up the Floor Plates with the ability to put in place a long corridor running the length to the core. This allows easy access to the smaller leaseholds without having to have corridors within the Tenant’s leaseholds in order to navigate back to the center.</w:t>
            </w:r>
          </w:p>
          <w:p w14:paraId="5B248C7F" w14:textId="77777777" w:rsidR="00143586" w:rsidRPr="0044405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Calibri"/>
                <w:color w:val="000000" w:themeColor="text1"/>
                <w:highlight w:val="yellow"/>
              </w:rPr>
            </w:pPr>
          </w:p>
          <w:p w14:paraId="242EC0FA" w14:textId="77777777" w:rsidR="00143586" w:rsidRPr="0044405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Calibri"/>
                <w:color w:val="000000" w:themeColor="text1"/>
                <w:highlight w:val="yellow"/>
              </w:rPr>
            </w:pPr>
            <w:r w:rsidRPr="0044405F">
              <w:rPr>
                <w:rFonts w:ascii="Calibri" w:hAnsi="Calibri" w:cs="Calibri"/>
                <w:color w:val="000000" w:themeColor="text1"/>
                <w:highlight w:val="yellow"/>
              </w:rPr>
              <w:t xml:space="preserve">Having the corridors inside the leaseholds, as opposed to outside, really hurts the efficiencies within the spaces, which are the efficiencies that we as the landlord are actually renting to </w:t>
            </w:r>
            <w:r w:rsidRPr="0044405F">
              <w:rPr>
                <w:rFonts w:ascii="Calibri" w:hAnsi="Calibri" w:cs="Calibri"/>
                <w:color w:val="000000" w:themeColor="text1"/>
                <w:highlight w:val="yellow"/>
              </w:rPr>
              <w:lastRenderedPageBreak/>
              <w:t>the Tenants. They will not be thrilled to be paying the full rate for the corridors in their space that they can't use for anything.</w:t>
            </w:r>
          </w:p>
          <w:p w14:paraId="30ADEC52" w14:textId="77777777" w:rsidR="00143586" w:rsidRPr="0044405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Calibri"/>
                <w:color w:val="000000" w:themeColor="text1"/>
                <w:highlight w:val="yellow"/>
              </w:rPr>
            </w:pPr>
          </w:p>
          <w:p w14:paraId="1B4FD3CB" w14:textId="77777777" w:rsidR="00143586" w:rsidRPr="0044405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Calibri"/>
                <w:color w:val="000000" w:themeColor="text1"/>
                <w:highlight w:val="yellow"/>
              </w:rPr>
            </w:pPr>
            <w:r w:rsidRPr="0044405F">
              <w:rPr>
                <w:rFonts w:ascii="Calibri" w:hAnsi="Calibri" w:cs="Calibri"/>
                <w:color w:val="000000" w:themeColor="text1"/>
                <w:highlight w:val="yellow"/>
              </w:rPr>
              <w:t>These corridors within the leaseholds are also not as appealing for smaller offices, such as Professional Office – Medical and Private Office Tenants, as it is simply not as inviting for Users entering their space to have to walk through a jagged hallway to get into the office.</w:t>
            </w:r>
          </w:p>
          <w:p w14:paraId="607CC998" w14:textId="77777777" w:rsidR="00143586" w:rsidRPr="0044405F" w:rsidRDefault="00143586" w:rsidP="00143586">
            <w:pPr>
              <w:rPr>
                <w:rFonts w:ascii="Calibri" w:hAnsi="Calibri" w:cs="Calibri"/>
                <w:highlight w:val="yellow"/>
              </w:rPr>
            </w:pPr>
          </w:p>
          <w:p w14:paraId="2E4EA490" w14:textId="77777777" w:rsidR="00143586" w:rsidRPr="0044405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Calibri"/>
                <w:color w:val="000000" w:themeColor="text1"/>
                <w:highlight w:val="yellow"/>
              </w:rPr>
            </w:pPr>
            <w:r w:rsidRPr="0044405F">
              <w:rPr>
                <w:rFonts w:ascii="Calibri" w:hAnsi="Calibri" w:cs="Calibri"/>
                <w:color w:val="000000" w:themeColor="text1"/>
                <w:highlight w:val="yellow"/>
              </w:rPr>
              <w:t>We see this all the time going into Class-B and Class-C buildings that were once Class-A buildings, had single and ½ floor Tenants and the center Building Core worked fine. Now these larger Tenants moved to a new Class-A Building and only smaller Tenants are interested in the space. All of the smaller leaseholds require jagged corridors to access the center Building Core. This makes us question whether the center Building Core is the cause of the Adaptive Reuse problems found in today’s office market. If the center Building Cores work so well, how can we be in this position with so many office properties, as they age, unable to be reused efficiently?</w:t>
            </w:r>
          </w:p>
          <w:p w14:paraId="1A0BE1B6" w14:textId="77777777" w:rsidR="00143586" w:rsidRPr="0044405F"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rPr>
                <w:rFonts w:ascii="Calibri" w:hAnsi="Calibri" w:cs="Calibri"/>
                <w:color w:val="000000" w:themeColor="text1"/>
                <w:highlight w:val="yellow"/>
              </w:rPr>
            </w:pPr>
          </w:p>
          <w:p w14:paraId="54DEBBD6" w14:textId="77777777" w:rsidR="00143586" w:rsidRPr="0044405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408"/>
              <w:rPr>
                <w:rFonts w:ascii="Calibri" w:hAnsi="Calibri" w:cs="Calibri"/>
                <w:color w:val="000000" w:themeColor="text1"/>
                <w:highlight w:val="yellow"/>
              </w:rPr>
            </w:pPr>
            <w:r w:rsidRPr="0044405F">
              <w:rPr>
                <w:rFonts w:ascii="Calibri" w:hAnsi="Calibri" w:cs="Calibri"/>
                <w:color w:val="000000" w:themeColor="text1"/>
                <w:highlight w:val="yellow"/>
              </w:rPr>
              <w:t>Our goal is to have the occupational efficiencies within the leaseholds to be 100% rather than the building efficiencies to be 100%. This means we put the Tenants and Users first and the developer second.</w:t>
            </w:r>
          </w:p>
          <w:p w14:paraId="7FD8EDD6" w14:textId="77777777" w:rsidR="00143586" w:rsidRPr="0044405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408"/>
              <w:rPr>
                <w:rFonts w:ascii="Calibri" w:hAnsi="Calibri" w:cs="Calibri"/>
                <w:color w:val="000000" w:themeColor="text1"/>
                <w:highlight w:val="yellow"/>
              </w:rPr>
            </w:pPr>
          </w:p>
          <w:p w14:paraId="40291690" w14:textId="77777777" w:rsidR="00143586" w:rsidRPr="0044405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Calibri"/>
                <w:color w:val="000000" w:themeColor="text1"/>
                <w:highlight w:val="yellow"/>
              </w:rPr>
            </w:pPr>
            <w:r w:rsidRPr="0044405F">
              <w:rPr>
                <w:rFonts w:ascii="Calibri" w:hAnsi="Calibri" w:cs="Calibri"/>
                <w:color w:val="000000" w:themeColor="text1"/>
                <w:highlight w:val="yellow"/>
              </w:rPr>
              <w:t>We want to showcase the Offset Pulled Back Building Core as a mechanism for Adaptive Reuse, allowing for proper conversion to residential or vertical warehousing.</w:t>
            </w:r>
          </w:p>
          <w:p w14:paraId="03537AD7" w14:textId="77777777" w:rsidR="00143586" w:rsidRPr="0044405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Calibri"/>
                <w:color w:val="000000" w:themeColor="text1"/>
                <w:highlight w:val="yellow"/>
              </w:rPr>
            </w:pPr>
          </w:p>
          <w:p w14:paraId="349C4C7E" w14:textId="77777777" w:rsidR="00143586" w:rsidRPr="0044405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Calibri"/>
                <w:color w:val="000000" w:themeColor="text1"/>
                <w:highlight w:val="yellow"/>
              </w:rPr>
            </w:pPr>
            <w:r w:rsidRPr="0044405F">
              <w:rPr>
                <w:rFonts w:ascii="Calibri" w:hAnsi="Calibri" w:cs="Calibri"/>
                <w:color w:val="000000" w:themeColor="text1"/>
                <w:highlight w:val="yellow"/>
              </w:rPr>
              <w:t>We need to be really careful in making sure we are thinking at a scale, and in terms of the logic, associated with a +20,000 SF Floor Plate in Secondary Markets.</w:t>
            </w:r>
          </w:p>
          <w:p w14:paraId="23F0C985" w14:textId="6B2F5511"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s>
              <w:ind w:right="-107"/>
              <w:rPr>
                <w:rFonts w:cstheme="minorHAnsi"/>
                <w:color w:val="000000" w:themeColor="text1"/>
              </w:rPr>
            </w:pPr>
            <w:r w:rsidRPr="0044405F">
              <w:rPr>
                <w:rFonts w:ascii="Calibri" w:hAnsi="Calibri" w:cs="Calibri"/>
                <w:color w:val="000000" w:themeColor="text1"/>
                <w:highlight w:val="yellow"/>
              </w:rPr>
              <w:t>We can't get caught in Secondary Markets with scales and dimensions that belong in the Primary Market simply "shrunk" down to make a smaller building. Our goal is to design a smaller building from the beginning.</w:t>
            </w:r>
          </w:p>
        </w:tc>
      </w:tr>
      <w:tr w:rsidR="00143586" w:rsidRPr="001701A1" w14:paraId="4E066D07" w14:textId="77777777" w:rsidTr="00986C81">
        <w:trPr>
          <w:trHeight w:val="267"/>
        </w:trPr>
        <w:tc>
          <w:tcPr>
            <w:tcW w:w="1231" w:type="dxa"/>
            <w:shd w:val="clear" w:color="auto" w:fill="auto"/>
          </w:tcPr>
          <w:p w14:paraId="1ED71105"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542" w:type="dxa"/>
            <w:shd w:val="clear" w:color="auto" w:fill="auto"/>
          </w:tcPr>
          <w:p w14:paraId="3BB4B4F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978" w:type="dxa"/>
            <w:shd w:val="clear" w:color="auto" w:fill="auto"/>
          </w:tcPr>
          <w:p w14:paraId="1E8F8B3A"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5987" w:type="dxa"/>
            <w:shd w:val="clear" w:color="auto" w:fill="auto"/>
          </w:tcPr>
          <w:p w14:paraId="4479AB77" w14:textId="77777777" w:rsidR="00143586" w:rsidRPr="00993E4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themeColor="text1"/>
                <w:highlight w:val="yellow"/>
              </w:rPr>
            </w:pPr>
            <w:r w:rsidRPr="00993E4F">
              <w:rPr>
                <w:rFonts w:cstheme="minorHAnsi"/>
                <w:color w:val="000000" w:themeColor="text1"/>
                <w:highlight w:val="yellow"/>
              </w:rPr>
              <w:t>We cannot say what the square footage is going to be without contemplating the Key Plans and Tiles, along with the Building Width Calculator, in order to determine the proper length and width of the Floor Plates.</w:t>
            </w:r>
          </w:p>
          <w:p w14:paraId="0AB3D890" w14:textId="77777777" w:rsidR="00143586" w:rsidRPr="00993E4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themeColor="text1"/>
                <w:highlight w:val="yellow"/>
              </w:rPr>
            </w:pPr>
          </w:p>
          <w:p w14:paraId="3087C81B" w14:textId="77777777" w:rsidR="00143586" w:rsidRPr="00993E4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themeColor="text1"/>
                <w:highlight w:val="yellow"/>
              </w:rPr>
            </w:pPr>
            <w:r w:rsidRPr="00993E4F">
              <w:rPr>
                <w:rFonts w:cstheme="minorHAnsi"/>
                <w:color w:val="000000" w:themeColor="text1"/>
                <w:highlight w:val="yellow"/>
              </w:rPr>
              <w:t>We would like to see the Professional Centres come in around 23,000 SF to 25,000 SF and the Suburban Office come in around 20,000 SF to 23,000 SF.</w:t>
            </w:r>
          </w:p>
          <w:p w14:paraId="64148BB3" w14:textId="77777777" w:rsidR="00143586" w:rsidRPr="00993E4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themeColor="text1"/>
                <w:highlight w:val="yellow"/>
              </w:rPr>
            </w:pPr>
          </w:p>
          <w:p w14:paraId="03402E58" w14:textId="77777777" w:rsidR="00143586" w:rsidRPr="00993E4F"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autoSpaceDE w:val="0"/>
              <w:autoSpaceDN w:val="0"/>
              <w:adjustRightInd w:val="0"/>
              <w:rPr>
                <w:rFonts w:cstheme="minorHAnsi"/>
                <w:color w:val="000000" w:themeColor="text1"/>
                <w:highlight w:val="yellow"/>
              </w:rPr>
            </w:pPr>
            <w:r w:rsidRPr="00993E4F">
              <w:rPr>
                <w:rFonts w:cstheme="minorHAnsi"/>
                <w:color w:val="000000" w:themeColor="text1"/>
                <w:highlight w:val="yellow"/>
              </w:rPr>
              <w:t>One requirement is to keep the Floor Plates relatively small in the Secondary Markets so that National Tenants can take their own floor without having to take on too much space.</w:t>
            </w:r>
          </w:p>
          <w:p w14:paraId="503E910D" w14:textId="77777777" w:rsidR="00143586" w:rsidRPr="00993E4F"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autoSpaceDE w:val="0"/>
              <w:autoSpaceDN w:val="0"/>
              <w:adjustRightInd w:val="0"/>
              <w:rPr>
                <w:rFonts w:cstheme="minorHAnsi"/>
                <w:color w:val="000000" w:themeColor="text1"/>
                <w:highlight w:val="yellow"/>
              </w:rPr>
            </w:pPr>
          </w:p>
          <w:p w14:paraId="0B4F8A94" w14:textId="77777777" w:rsidR="00143586" w:rsidRPr="00993E4F"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autoSpaceDE w:val="0"/>
              <w:autoSpaceDN w:val="0"/>
              <w:adjustRightInd w:val="0"/>
              <w:rPr>
                <w:rFonts w:cstheme="minorHAnsi"/>
                <w:color w:val="000000" w:themeColor="text1"/>
                <w:highlight w:val="yellow"/>
              </w:rPr>
            </w:pPr>
            <w:r w:rsidRPr="00993E4F">
              <w:rPr>
                <w:rFonts w:cstheme="minorHAnsi"/>
                <w:color w:val="000000" w:themeColor="text1"/>
                <w:highlight w:val="yellow"/>
              </w:rPr>
              <w:t xml:space="preserve">With the planning we can accomplish due to our Development Sites, there is no reason that the width chosen should go </w:t>
            </w:r>
            <w:r w:rsidRPr="00993E4F">
              <w:rPr>
                <w:rFonts w:cstheme="minorHAnsi"/>
                <w:color w:val="000000" w:themeColor="text1"/>
                <w:highlight w:val="yellow"/>
              </w:rPr>
              <w:lastRenderedPageBreak/>
              <w:t>beyond what works best for allowing the natural light to penetrate to the core.</w:t>
            </w:r>
          </w:p>
          <w:p w14:paraId="0583F4A2" w14:textId="77777777" w:rsidR="00143586" w:rsidRPr="00993E4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themeColor="text1"/>
                <w:highlight w:val="yellow"/>
              </w:rPr>
            </w:pPr>
          </w:p>
          <w:p w14:paraId="324CAC6A" w14:textId="77777777" w:rsidR="00143586" w:rsidRPr="00993E4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themeColor="text1"/>
                <w:highlight w:val="yellow"/>
              </w:rPr>
            </w:pPr>
            <w:r w:rsidRPr="00993E4F">
              <w:rPr>
                <w:rFonts w:cstheme="minorHAnsi"/>
                <w:color w:val="000000" w:themeColor="text1"/>
                <w:highlight w:val="yellow"/>
              </w:rPr>
              <w:t>Another reason the Professional Centres should be a little bit bigger is to optimize site coverage for the shorter building versus the extra number of floors you get by going taller with the Suburban Office.</w:t>
            </w:r>
          </w:p>
          <w:p w14:paraId="427F35E0" w14:textId="77777777" w:rsidR="00143586" w:rsidRPr="00993E4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themeColor="text1"/>
                <w:highlight w:val="yellow"/>
              </w:rPr>
            </w:pPr>
          </w:p>
          <w:p w14:paraId="2542A446" w14:textId="77777777" w:rsidR="00143586" w:rsidRPr="00993E4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themeColor="text1"/>
                <w:highlight w:val="yellow"/>
              </w:rPr>
            </w:pPr>
            <w:r w:rsidRPr="00993E4F">
              <w:rPr>
                <w:rFonts w:cstheme="minorHAnsi"/>
                <w:color w:val="000000" w:themeColor="text1"/>
                <w:highlight w:val="yellow"/>
              </w:rPr>
              <w:t>In both cases, the Floor Plates need to be fixed for Design for Assembly and the Buying Program over the next 10 to 15 year Rollout Program.</w:t>
            </w:r>
          </w:p>
          <w:p w14:paraId="08A4D95D" w14:textId="77777777" w:rsidR="00143586" w:rsidRPr="00993E4F"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autoSpaceDE w:val="0"/>
              <w:autoSpaceDN w:val="0"/>
              <w:adjustRightInd w:val="0"/>
              <w:rPr>
                <w:rFonts w:cstheme="minorHAnsi"/>
                <w:color w:val="000000" w:themeColor="text1"/>
                <w:highlight w:val="yellow"/>
              </w:rPr>
            </w:pPr>
          </w:p>
          <w:p w14:paraId="373386A6" w14:textId="77777777" w:rsidR="00143586" w:rsidRPr="00993E4F" w:rsidRDefault="00143586" w:rsidP="00143586">
            <w:pPr>
              <w:tabs>
                <w:tab w:val="left" w:pos="560"/>
                <w:tab w:val="left" w:pos="1120"/>
                <w:tab w:val="left" w:pos="1680"/>
                <w:tab w:val="left" w:pos="2240"/>
                <w:tab w:val="left" w:pos="2800"/>
                <w:tab w:val="left" w:pos="3360"/>
                <w:tab w:val="left" w:pos="3920"/>
                <w:tab w:val="left" w:pos="4480"/>
                <w:tab w:val="left" w:pos="4538"/>
                <w:tab w:val="left" w:pos="5506"/>
                <w:tab w:val="left" w:pos="5600"/>
                <w:tab w:val="left" w:pos="6720"/>
              </w:tabs>
              <w:autoSpaceDE w:val="0"/>
              <w:autoSpaceDN w:val="0"/>
              <w:adjustRightInd w:val="0"/>
              <w:rPr>
                <w:rFonts w:cstheme="minorHAnsi"/>
                <w:color w:val="000000" w:themeColor="text1"/>
                <w:highlight w:val="yellow"/>
              </w:rPr>
            </w:pPr>
            <w:r w:rsidRPr="00993E4F">
              <w:rPr>
                <w:rFonts w:cstheme="minorHAnsi"/>
                <w:color w:val="000000" w:themeColor="text1"/>
                <w:highlight w:val="yellow"/>
              </w:rPr>
              <w:t>This is the whole point of generating and working with the Key Plans and Tiles along with the Building Width Calculator. These are the mechanisms we would like to work through in order to achieve "optimization" at the Prototype level in regard to the Floor Plates.</w:t>
            </w:r>
          </w:p>
          <w:p w14:paraId="4EC15B2E" w14:textId="77777777" w:rsidR="00143586" w:rsidRPr="00993E4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themeColor="text1"/>
                <w:highlight w:val="yellow"/>
              </w:rPr>
            </w:pPr>
          </w:p>
          <w:p w14:paraId="6AD3DB7C" w14:textId="77777777" w:rsidR="00143586" w:rsidRPr="00993E4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themeColor="text1"/>
                <w:highlight w:val="yellow"/>
              </w:rPr>
            </w:pPr>
            <w:r w:rsidRPr="00993E4F">
              <w:rPr>
                <w:rFonts w:cstheme="minorHAnsi"/>
                <w:color w:val="000000" w:themeColor="text1"/>
                <w:highlight w:val="yellow"/>
              </w:rPr>
              <w:t>Our goal is for the Prototype to qualify for the European Lighting Standard where no desk can be 6 metres away from the window in the Habitat Zone.</w:t>
            </w:r>
          </w:p>
          <w:p w14:paraId="5C9813D7" w14:textId="77777777" w:rsidR="00143586" w:rsidRPr="00993E4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themeColor="text1"/>
                <w:highlight w:val="yellow"/>
              </w:rPr>
            </w:pPr>
          </w:p>
          <w:p w14:paraId="513DF93E" w14:textId="77777777" w:rsidR="00143586" w:rsidRPr="00993E4F"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autoSpaceDE w:val="0"/>
              <w:autoSpaceDN w:val="0"/>
              <w:adjustRightInd w:val="0"/>
              <w:rPr>
                <w:rFonts w:cstheme="minorHAnsi"/>
                <w:color w:val="000000" w:themeColor="text1"/>
                <w:highlight w:val="yellow"/>
              </w:rPr>
            </w:pPr>
            <w:r w:rsidRPr="00993E4F">
              <w:rPr>
                <w:rFonts w:cstheme="minorHAnsi"/>
                <w:color w:val="000000" w:themeColor="text1"/>
                <w:highlight w:val="yellow"/>
              </w:rPr>
              <w:t>See the Building Width Calculator attached.</w:t>
            </w:r>
          </w:p>
          <w:p w14:paraId="518FAD11" w14:textId="77777777" w:rsidR="00143586" w:rsidRPr="00993E4F"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autoSpaceDE w:val="0"/>
              <w:autoSpaceDN w:val="0"/>
              <w:adjustRightInd w:val="0"/>
              <w:rPr>
                <w:rFonts w:cstheme="minorHAnsi"/>
                <w:color w:val="000000" w:themeColor="text1"/>
                <w:highlight w:val="yellow"/>
              </w:rPr>
            </w:pPr>
          </w:p>
          <w:p w14:paraId="0FEF5473" w14:textId="77777777" w:rsidR="00143586"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autoSpaceDE w:val="0"/>
              <w:autoSpaceDN w:val="0"/>
              <w:adjustRightInd w:val="0"/>
              <w:rPr>
                <w:rFonts w:cstheme="minorHAnsi"/>
                <w:color w:val="000000" w:themeColor="text1"/>
                <w:highlight w:val="yellow"/>
              </w:rPr>
            </w:pPr>
            <w:r w:rsidRPr="00993E4F">
              <w:rPr>
                <w:rFonts w:cstheme="minorHAnsi"/>
                <w:color w:val="000000" w:themeColor="text1"/>
                <w:highlight w:val="yellow"/>
              </w:rPr>
              <w:t xml:space="preserve">Assuming we get the </w:t>
            </w:r>
            <w:proofErr w:type="gramStart"/>
            <w:r w:rsidRPr="00993E4F">
              <w:rPr>
                <w:rFonts w:cstheme="minorHAnsi"/>
                <w:color w:val="000000" w:themeColor="text1"/>
                <w:highlight w:val="yellow"/>
              </w:rPr>
              <w:t>building</w:t>
            </w:r>
            <w:proofErr w:type="gramEnd"/>
            <w:r w:rsidRPr="00993E4F">
              <w:rPr>
                <w:rFonts w:cstheme="minorHAnsi"/>
                <w:color w:val="000000" w:themeColor="text1"/>
                <w:highlight w:val="yellow"/>
              </w:rPr>
              <w:t xml:space="preserve"> width correct, and with the correct Floor Plate dimensions provided by the Building Width Calculator, we actually foresee there being more efficient leaseholds than having a center core and being trapped with the space around an outside ring, not being able to come across through the center of the building.</w:t>
            </w:r>
          </w:p>
          <w:p w14:paraId="6B876923" w14:textId="77777777" w:rsidR="00143586" w:rsidRPr="00993E4F"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autoSpaceDE w:val="0"/>
              <w:autoSpaceDN w:val="0"/>
              <w:adjustRightInd w:val="0"/>
              <w:rPr>
                <w:rFonts w:cstheme="minorHAnsi"/>
                <w:color w:val="000000" w:themeColor="text1"/>
                <w:highlight w:val="yellow"/>
              </w:rPr>
            </w:pPr>
          </w:p>
          <w:p w14:paraId="44D947BF" w14:textId="77777777" w:rsidR="00143586" w:rsidRPr="00993E4F"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autoSpaceDE w:val="0"/>
              <w:autoSpaceDN w:val="0"/>
              <w:adjustRightInd w:val="0"/>
              <w:rPr>
                <w:rFonts w:cstheme="minorHAnsi"/>
                <w:color w:val="000000" w:themeColor="text1"/>
                <w:highlight w:val="yellow"/>
              </w:rPr>
            </w:pPr>
          </w:p>
          <w:p w14:paraId="5EA230BE" w14:textId="77777777" w:rsidR="00143586" w:rsidRPr="00993E4F"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autoSpaceDE w:val="0"/>
              <w:autoSpaceDN w:val="0"/>
              <w:adjustRightInd w:val="0"/>
              <w:rPr>
                <w:rFonts w:cstheme="minorHAnsi"/>
                <w:color w:val="FF0000"/>
                <w:highlight w:val="yellow"/>
              </w:rPr>
            </w:pPr>
            <w:r w:rsidRPr="00993E4F">
              <w:rPr>
                <w:rFonts w:cstheme="minorHAnsi"/>
                <w:color w:val="FF0000"/>
                <w:highlight w:val="yellow"/>
              </w:rPr>
              <w:t>RELATIVE DEEPNESS OF FLOOR</w:t>
            </w:r>
          </w:p>
          <w:p w14:paraId="03DCF096" w14:textId="0F34D85F" w:rsidR="00143586" w:rsidRPr="0044405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408"/>
              <w:rPr>
                <w:rFonts w:ascii="Calibri" w:hAnsi="Calibri" w:cs="Calibri"/>
                <w:color w:val="000000" w:themeColor="text1"/>
                <w:highlight w:val="yellow"/>
              </w:rPr>
            </w:pPr>
            <w:r w:rsidRPr="00993E4F">
              <w:rPr>
                <w:rFonts w:cstheme="minorHAnsi"/>
                <w:color w:val="000000" w:themeColor="text1"/>
                <w:highlight w:val="yellow"/>
              </w:rPr>
              <w:t>We absolutely need to complete the Key Plans and Tiles alongside the Building Width Calculator in order to get the correct depth of the Floor Plates and then we can adjust the ceiling height backwards to affect the natural light.</w:t>
            </w:r>
          </w:p>
        </w:tc>
      </w:tr>
      <w:tr w:rsidR="00143586" w:rsidRPr="001701A1" w14:paraId="5C3DEF07" w14:textId="77777777" w:rsidTr="00986C81">
        <w:trPr>
          <w:trHeight w:val="267"/>
        </w:trPr>
        <w:tc>
          <w:tcPr>
            <w:tcW w:w="1231" w:type="dxa"/>
            <w:shd w:val="clear" w:color="auto" w:fill="auto"/>
          </w:tcPr>
          <w:p w14:paraId="6A29A9C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542" w:type="dxa"/>
            <w:shd w:val="clear" w:color="auto" w:fill="auto"/>
          </w:tcPr>
          <w:p w14:paraId="5B620C28"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978" w:type="dxa"/>
            <w:shd w:val="clear" w:color="auto" w:fill="auto"/>
          </w:tcPr>
          <w:p w14:paraId="5B793977"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5987" w:type="dxa"/>
            <w:shd w:val="clear" w:color="auto" w:fill="auto"/>
          </w:tcPr>
          <w:p w14:paraId="1FCD0997" w14:textId="77777777" w:rsidR="00143586" w:rsidRPr="00631466"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rPr>
                <w:rFonts w:cstheme="minorHAnsi"/>
                <w:color w:val="000000" w:themeColor="text1"/>
                <w:highlight w:val="yellow"/>
              </w:rPr>
            </w:pPr>
            <w:r w:rsidRPr="00631466">
              <w:rPr>
                <w:rFonts w:cstheme="minorHAnsi"/>
                <w:color w:val="000000" w:themeColor="text1"/>
                <w:highlight w:val="yellow"/>
              </w:rPr>
              <w:t>We agree — it is a good idea to keep the columns set in from the Façade in order to accommodate a variety of designs by the Design Collaborators.</w:t>
            </w:r>
          </w:p>
          <w:p w14:paraId="17F5B62E" w14:textId="77777777" w:rsidR="00143586" w:rsidRPr="00631466"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rPr>
                <w:rFonts w:cstheme="minorHAnsi"/>
                <w:color w:val="000000" w:themeColor="text1"/>
                <w:highlight w:val="yellow"/>
              </w:rPr>
            </w:pPr>
          </w:p>
          <w:p w14:paraId="485AD1C3" w14:textId="77777777" w:rsidR="00143586" w:rsidRPr="00631466"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rPr>
                <w:rFonts w:cstheme="minorHAnsi"/>
                <w:color w:val="000000" w:themeColor="text1"/>
                <w:highlight w:val="yellow"/>
              </w:rPr>
            </w:pPr>
            <w:r w:rsidRPr="00631466">
              <w:rPr>
                <w:rFonts w:cstheme="minorHAnsi"/>
                <w:color w:val="000000" w:themeColor="text1"/>
                <w:highlight w:val="yellow"/>
              </w:rPr>
              <w:t>We need to complete the Key Plans and Tiles first in order to apply the columns based on the leasing plan and the potential demising.</w:t>
            </w:r>
          </w:p>
          <w:p w14:paraId="5F2DF184" w14:textId="77777777" w:rsidR="00143586" w:rsidRPr="00631466"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rPr>
                <w:rFonts w:cstheme="minorHAnsi"/>
                <w:color w:val="000000" w:themeColor="text1"/>
                <w:highlight w:val="yellow"/>
              </w:rPr>
            </w:pPr>
          </w:p>
          <w:p w14:paraId="00974054" w14:textId="77777777" w:rsidR="00143586" w:rsidRPr="00631466"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rPr>
                <w:rFonts w:cstheme="minorHAnsi"/>
                <w:color w:val="000000" w:themeColor="text1"/>
                <w:highlight w:val="yellow"/>
              </w:rPr>
            </w:pPr>
            <w:r w:rsidRPr="00631466">
              <w:rPr>
                <w:rFonts w:cstheme="minorHAnsi"/>
                <w:color w:val="000000" w:themeColor="text1"/>
                <w:highlight w:val="yellow"/>
              </w:rPr>
              <w:t>We just need to be a little careful — we need to distinguish between the Key Plans and Tiles for building the Floor Plate and separately for the Tenants laying out their leaseholds, as both need to be taken into account.</w:t>
            </w:r>
          </w:p>
          <w:p w14:paraId="458B9528" w14:textId="77777777" w:rsidR="00143586" w:rsidRPr="00631466"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rPr>
                <w:rFonts w:cstheme="minorHAnsi"/>
                <w:color w:val="000000" w:themeColor="text1"/>
                <w:highlight w:val="yellow"/>
              </w:rPr>
            </w:pPr>
          </w:p>
          <w:p w14:paraId="16E5F3AE" w14:textId="77777777" w:rsidR="00143586" w:rsidRPr="00631466"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rPr>
                <w:rFonts w:cstheme="minorHAnsi"/>
                <w:color w:val="000000" w:themeColor="text1"/>
                <w:highlight w:val="yellow"/>
              </w:rPr>
            </w:pPr>
            <w:r w:rsidRPr="00631466">
              <w:rPr>
                <w:rFonts w:cstheme="minorHAnsi"/>
                <w:color w:val="000000" w:themeColor="text1"/>
                <w:highlight w:val="yellow"/>
              </w:rPr>
              <w:t xml:space="preserve">Our focus with the Key Plans and Tiles is to show realistic furniture arrangements with samples from a manufacturer, Steelcase for example, which shows the window mullion </w:t>
            </w:r>
            <w:r w:rsidRPr="00631466">
              <w:rPr>
                <w:rFonts w:cstheme="minorHAnsi"/>
                <w:color w:val="000000" w:themeColor="text1"/>
                <w:highlight w:val="yellow"/>
              </w:rPr>
              <w:lastRenderedPageBreak/>
              <w:t>needed, the accessibility, and the number of people/desks per office type.</w:t>
            </w:r>
          </w:p>
          <w:p w14:paraId="0EC2187B" w14:textId="77777777" w:rsidR="00143586" w:rsidRPr="00631466"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rPr>
                <w:rFonts w:cstheme="minorHAnsi"/>
                <w:color w:val="000000" w:themeColor="text1"/>
                <w:highlight w:val="yellow"/>
              </w:rPr>
            </w:pPr>
          </w:p>
          <w:p w14:paraId="4731D7FC" w14:textId="77777777" w:rsidR="00143586" w:rsidRPr="00631466"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rPr>
                <w:rFonts w:cstheme="minorHAnsi"/>
                <w:color w:val="000000" w:themeColor="text1"/>
                <w:highlight w:val="yellow"/>
              </w:rPr>
            </w:pPr>
            <w:r w:rsidRPr="00631466">
              <w:rPr>
                <w:rFonts w:cstheme="minorHAnsi"/>
                <w:color w:val="000000" w:themeColor="text1"/>
                <w:highlight w:val="yellow"/>
              </w:rPr>
              <w:t>As Tenants take larger leaseholds, they will have more freedom to lay out their space as they wish.</w:t>
            </w:r>
          </w:p>
          <w:p w14:paraId="5E37CC51" w14:textId="77777777" w:rsidR="00143586" w:rsidRPr="00631466"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rPr>
                <w:rFonts w:cstheme="minorHAnsi"/>
                <w:color w:val="000000" w:themeColor="text1"/>
                <w:highlight w:val="yellow"/>
              </w:rPr>
            </w:pPr>
          </w:p>
          <w:p w14:paraId="1DA61D3D" w14:textId="77777777" w:rsidR="00143586" w:rsidRPr="00631466"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rPr>
                <w:rFonts w:cstheme="minorHAnsi"/>
                <w:color w:val="000000" w:themeColor="text1"/>
                <w:highlight w:val="yellow"/>
              </w:rPr>
            </w:pPr>
            <w:r w:rsidRPr="00631466">
              <w:rPr>
                <w:rFonts w:cstheme="minorHAnsi"/>
                <w:color w:val="000000" w:themeColor="text1"/>
                <w:highlight w:val="yellow"/>
              </w:rPr>
              <w:t>The goal we have with the Key Plans and Tiles is to create a base for fantastic overlays by the Building Services Collaborators and then the Structural Collaborators, allowing for the proper Climate Zones and minimum, properly placed columns and a proper assessment of wood vs. steel vs. concrete structures based on the leasing plan.</w:t>
            </w:r>
          </w:p>
          <w:p w14:paraId="08BC7086" w14:textId="77777777" w:rsidR="00143586" w:rsidRPr="00631466"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rPr>
                <w:rFonts w:cstheme="minorHAnsi"/>
                <w:color w:val="000000" w:themeColor="text1"/>
                <w:highlight w:val="yellow"/>
              </w:rPr>
            </w:pPr>
          </w:p>
          <w:p w14:paraId="40358378" w14:textId="77777777" w:rsidR="00143586" w:rsidRPr="00631466"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rPr>
                <w:rFonts w:cstheme="minorHAnsi"/>
                <w:color w:val="000000" w:themeColor="text1"/>
                <w:highlight w:val="yellow"/>
              </w:rPr>
            </w:pPr>
            <w:r w:rsidRPr="00631466">
              <w:rPr>
                <w:rFonts w:cstheme="minorHAnsi"/>
                <w:color w:val="000000" w:themeColor="text1"/>
                <w:highlight w:val="yellow"/>
              </w:rPr>
              <w:t xml:space="preserve">The Key Plans and Tiles will also provide the budget if we want to build out a leasehold on spec as a show suite for leasing. On the first round, the goal is to layout furniture and the doors and show circulation and accessibility. Over time, we will iterate the Prototype by iterating the Key Plans and Tiles. </w:t>
            </w:r>
          </w:p>
          <w:p w14:paraId="600174AC" w14:textId="77777777" w:rsidR="00143586" w:rsidRPr="00631466"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rPr>
                <w:rFonts w:cstheme="minorHAnsi"/>
                <w:color w:val="000000" w:themeColor="text1"/>
                <w:highlight w:val="yellow"/>
              </w:rPr>
            </w:pPr>
            <w:r w:rsidRPr="00631466">
              <w:rPr>
                <w:rFonts w:cstheme="minorHAnsi"/>
                <w:color w:val="000000" w:themeColor="text1"/>
                <w:highlight w:val="yellow"/>
              </w:rPr>
              <w:t xml:space="preserve"> </w:t>
            </w:r>
          </w:p>
          <w:p w14:paraId="32E5E1C5" w14:textId="77777777" w:rsidR="00143586" w:rsidRPr="00C00655"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rPr>
                <w:rFonts w:cstheme="minorHAnsi"/>
                <w:b/>
                <w:bCs/>
                <w:color w:val="000000" w:themeColor="text1"/>
                <w:highlight w:val="cyan"/>
              </w:rPr>
            </w:pPr>
            <w:r w:rsidRPr="00C00655">
              <w:rPr>
                <w:rFonts w:cstheme="minorHAnsi"/>
                <w:b/>
                <w:bCs/>
                <w:color w:val="000000" w:themeColor="text1"/>
                <w:highlight w:val="cyan"/>
              </w:rPr>
              <w:t>Key Plans and Tiles for Leasing Plan –</w:t>
            </w:r>
          </w:p>
          <w:p w14:paraId="38132300" w14:textId="77777777" w:rsidR="00143586" w:rsidRPr="00C00655" w:rsidRDefault="00143586" w:rsidP="00143586">
            <w:pPr>
              <w:rPr>
                <w:rFonts w:cstheme="minorHAnsi"/>
                <w:highlight w:val="cyan"/>
              </w:rPr>
            </w:pPr>
            <w:r w:rsidRPr="00C00655">
              <w:rPr>
                <w:rFonts w:cstheme="minorHAnsi"/>
                <w:highlight w:val="cyan"/>
              </w:rPr>
              <w:t>Woodfine Buildings are known to national and local leasing agents for its ability to provide best-in-class leaseholds for both small, medium and large Tenants. We would like our Campus Design to be complimented on the correct way of achieving "Mix-of-Use" centres for the Secondary Markets where the Unit of Mobility is the Car due to the lack of, if any, rapid transit system.</w:t>
            </w:r>
          </w:p>
          <w:p w14:paraId="51328812" w14:textId="77777777" w:rsidR="00143586" w:rsidRPr="00C00655"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rPr>
                <w:rFonts w:cstheme="minorHAnsi"/>
                <w:color w:val="000000" w:themeColor="text1"/>
                <w:highlight w:val="cyan"/>
              </w:rPr>
            </w:pPr>
          </w:p>
          <w:p w14:paraId="1A9B08E9" w14:textId="77777777" w:rsidR="00143586" w:rsidRPr="00C00655"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rPr>
                <w:rFonts w:cstheme="minorHAnsi"/>
                <w:b/>
                <w:bCs/>
                <w:color w:val="000000" w:themeColor="text1"/>
                <w:highlight w:val="cyan"/>
              </w:rPr>
            </w:pPr>
            <w:r w:rsidRPr="00C00655">
              <w:rPr>
                <w:rFonts w:cstheme="minorHAnsi"/>
                <w:b/>
                <w:bCs/>
                <w:color w:val="000000" w:themeColor="text1"/>
                <w:highlight w:val="cyan"/>
              </w:rPr>
              <w:t>Key Plans and Tiles for Floor Plates –</w:t>
            </w:r>
          </w:p>
          <w:p w14:paraId="48B19B7A" w14:textId="77777777" w:rsidR="00143586" w:rsidRPr="00C00655" w:rsidRDefault="00143586" w:rsidP="00143586">
            <w:pPr>
              <w:rPr>
                <w:rFonts w:cstheme="minorHAnsi"/>
                <w:highlight w:val="cyan"/>
              </w:rPr>
            </w:pPr>
            <w:r w:rsidRPr="00C00655">
              <w:rPr>
                <w:rFonts w:cstheme="minorHAnsi"/>
                <w:highlight w:val="cyan"/>
              </w:rPr>
              <w:t>First, we need to complete the Key Plans and Tiles and Building Width Calculator, as this will give us our ceiling heights and Floor Plate dimensions.</w:t>
            </w:r>
          </w:p>
          <w:p w14:paraId="60A66013" w14:textId="77777777" w:rsidR="00143586" w:rsidRPr="00631466" w:rsidRDefault="00143586" w:rsidP="00143586">
            <w:pPr>
              <w:rPr>
                <w:rFonts w:cstheme="minorHAnsi"/>
                <w:highlight w:val="yellow"/>
              </w:rPr>
            </w:pPr>
          </w:p>
          <w:p w14:paraId="69C0A10D" w14:textId="77777777" w:rsidR="00143586" w:rsidRPr="00631466"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highlight w:val="yellow"/>
              </w:rPr>
            </w:pPr>
            <w:r w:rsidRPr="00631466">
              <w:rPr>
                <w:rFonts w:cstheme="minorHAnsi"/>
                <w:color w:val="000000" w:themeColor="text1"/>
                <w:highlight w:val="yellow"/>
              </w:rPr>
              <w:t>We assume that pretty much all the sample buildings we sent are not on any standardized grid mainly because we have asked every Collaborator to date about the structural grids they use, and the answers are all over the map.</w:t>
            </w:r>
          </w:p>
          <w:p w14:paraId="1DEF5BFF" w14:textId="77777777" w:rsidR="00143586" w:rsidRPr="00631466"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rPr>
                <w:rFonts w:cstheme="minorHAnsi"/>
                <w:color w:val="000000" w:themeColor="text1"/>
                <w:highlight w:val="yellow"/>
              </w:rPr>
            </w:pPr>
          </w:p>
          <w:p w14:paraId="02A90B2D" w14:textId="77777777" w:rsidR="00143586" w:rsidRPr="00631466"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highlight w:val="yellow"/>
              </w:rPr>
            </w:pPr>
            <w:r w:rsidRPr="00631466">
              <w:rPr>
                <w:rFonts w:cstheme="minorHAnsi"/>
                <w:color w:val="000000" w:themeColor="text1"/>
                <w:highlight w:val="yellow"/>
              </w:rPr>
              <w:t>We are proposing that we complete the Key Plans and Tiles first and then determine the best grid sizing to use. The grid selection may require us to go back and adjust the sizes of the Key Plans and/or the Tiles, which is the whole point.</w:t>
            </w:r>
          </w:p>
          <w:p w14:paraId="2A1E600B" w14:textId="77777777" w:rsidR="00143586" w:rsidRPr="00631466"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highlight w:val="yellow"/>
              </w:rPr>
            </w:pPr>
          </w:p>
          <w:p w14:paraId="6A573D4B" w14:textId="77777777" w:rsidR="00143586" w:rsidRPr="00631466"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highlight w:val="yellow"/>
              </w:rPr>
            </w:pPr>
            <w:r w:rsidRPr="00631466">
              <w:rPr>
                <w:rFonts w:cstheme="minorHAnsi"/>
                <w:color w:val="000000" w:themeColor="text1"/>
                <w:highlight w:val="yellow"/>
              </w:rPr>
              <w:t>Because we are doing a Rollout Program across multiple Development Sites, and with our accompanying Buying Program, we will create cost efficiencies enabling us to order the size we want based on the Key Plans and Tiles.</w:t>
            </w:r>
          </w:p>
          <w:p w14:paraId="2FD7590A" w14:textId="77777777" w:rsidR="00143586" w:rsidRPr="00631466"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highlight w:val="yellow"/>
              </w:rPr>
            </w:pPr>
          </w:p>
          <w:p w14:paraId="549E6963" w14:textId="737F9298" w:rsidR="00143586" w:rsidRPr="00993E4F"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color w:val="000000" w:themeColor="text1"/>
                <w:highlight w:val="yellow"/>
              </w:rPr>
            </w:pPr>
            <w:r w:rsidRPr="00631466">
              <w:rPr>
                <w:rFonts w:cstheme="minorHAnsi"/>
                <w:color w:val="000000" w:themeColor="text1"/>
                <w:highlight w:val="yellow"/>
              </w:rPr>
              <w:t>If it works out that a 4-metre floor-to-floor is the best solution for dealing with the Key Plans and Tiles, along with the Building Width Calculator, then we will go with a 4-metre floor-to-floor – but we can’t presuppose that.</w:t>
            </w:r>
          </w:p>
        </w:tc>
      </w:tr>
      <w:tr w:rsidR="00143586" w:rsidRPr="001701A1" w14:paraId="4427481D" w14:textId="77777777" w:rsidTr="00986C81">
        <w:trPr>
          <w:trHeight w:val="267"/>
        </w:trPr>
        <w:tc>
          <w:tcPr>
            <w:tcW w:w="1231" w:type="dxa"/>
            <w:shd w:val="clear" w:color="auto" w:fill="auto"/>
          </w:tcPr>
          <w:p w14:paraId="3215ED70"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542" w:type="dxa"/>
            <w:shd w:val="clear" w:color="auto" w:fill="auto"/>
          </w:tcPr>
          <w:p w14:paraId="0E42A7E6"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1978" w:type="dxa"/>
            <w:shd w:val="clear" w:color="auto" w:fill="auto"/>
          </w:tcPr>
          <w:p w14:paraId="2E2FDD99" w14:textId="77777777" w:rsidR="00143586" w:rsidRPr="001701A1" w:rsidRDefault="00143586" w:rsidP="001435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cstheme="minorHAnsi"/>
                <w:color w:val="000000" w:themeColor="text1"/>
              </w:rPr>
            </w:pPr>
          </w:p>
        </w:tc>
        <w:tc>
          <w:tcPr>
            <w:tcW w:w="5987" w:type="dxa"/>
            <w:shd w:val="clear" w:color="auto" w:fill="auto"/>
          </w:tcPr>
          <w:p w14:paraId="7D551583" w14:textId="77777777" w:rsidR="00143586" w:rsidRPr="00631466" w:rsidRDefault="00143586" w:rsidP="00143586">
            <w:pPr>
              <w:tabs>
                <w:tab w:val="left" w:pos="560"/>
                <w:tab w:val="left" w:pos="1120"/>
                <w:tab w:val="left" w:pos="1680"/>
                <w:tab w:val="left" w:pos="2240"/>
                <w:tab w:val="left" w:pos="2800"/>
                <w:tab w:val="left" w:pos="3360"/>
                <w:tab w:val="left" w:pos="3920"/>
                <w:tab w:val="left" w:pos="4419"/>
                <w:tab w:val="left" w:pos="5040"/>
                <w:tab w:val="left" w:pos="5600"/>
                <w:tab w:val="left" w:pos="6160"/>
                <w:tab w:val="left" w:pos="6720"/>
              </w:tabs>
              <w:rPr>
                <w:rFonts w:cstheme="minorHAnsi"/>
                <w:color w:val="000000" w:themeColor="text1"/>
                <w:highlight w:val="yellow"/>
              </w:rPr>
            </w:pPr>
          </w:p>
        </w:tc>
      </w:tr>
    </w:tbl>
    <w:p w14:paraId="1B389457" w14:textId="77777777" w:rsidR="00640C3F" w:rsidRDefault="00143586"/>
    <w:sectPr w:rsidR="00640C3F" w:rsidSect="00A27E01">
      <w:pgSz w:w="12240" w:h="15840"/>
      <w:pgMar w:top="720" w:right="720" w:bottom="720" w:left="720" w:header="709" w:footer="709"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JAVU SANS">
    <w:panose1 w:val="020B0604020202020204"/>
    <w:charset w:val="00"/>
    <w:family w:val="swiss"/>
    <w:pitch w:val="variable"/>
    <w:sig w:usb0="E7002EFF" w:usb1="D200FDFF" w:usb2="0A24602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B15F8C"/>
    <w:multiLevelType w:val="hybridMultilevel"/>
    <w:tmpl w:val="9FF28E76"/>
    <w:lvl w:ilvl="0" w:tplc="4F96ADE0">
      <w:start w:val="1"/>
      <w:numFmt w:val="bullet"/>
      <w:lvlText w:val=""/>
      <w:lvlJc w:val="left"/>
      <w:pPr>
        <w:ind w:left="720" w:hanging="360"/>
      </w:pPr>
      <w:rPr>
        <w:rFonts w:ascii="Symbol" w:hAnsi="Symbol" w:hint="default"/>
      </w:rPr>
    </w:lvl>
    <w:lvl w:ilvl="1" w:tplc="F962E5E0" w:tentative="1">
      <w:start w:val="1"/>
      <w:numFmt w:val="bullet"/>
      <w:lvlText w:val="o"/>
      <w:lvlJc w:val="left"/>
      <w:pPr>
        <w:ind w:left="1440" w:hanging="360"/>
      </w:pPr>
      <w:rPr>
        <w:rFonts w:ascii="Courier New" w:hAnsi="Courier New" w:hint="default"/>
      </w:rPr>
    </w:lvl>
    <w:lvl w:ilvl="2" w:tplc="5AB2F66C" w:tentative="1">
      <w:start w:val="1"/>
      <w:numFmt w:val="bullet"/>
      <w:lvlText w:val=""/>
      <w:lvlJc w:val="left"/>
      <w:pPr>
        <w:ind w:left="2160" w:hanging="360"/>
      </w:pPr>
      <w:rPr>
        <w:rFonts w:ascii="Wingdings" w:hAnsi="Wingdings" w:hint="default"/>
      </w:rPr>
    </w:lvl>
    <w:lvl w:ilvl="3" w:tplc="32D0D1C0" w:tentative="1">
      <w:start w:val="1"/>
      <w:numFmt w:val="bullet"/>
      <w:lvlText w:val=""/>
      <w:lvlJc w:val="left"/>
      <w:pPr>
        <w:ind w:left="2880" w:hanging="360"/>
      </w:pPr>
      <w:rPr>
        <w:rFonts w:ascii="Symbol" w:hAnsi="Symbol" w:hint="default"/>
      </w:rPr>
    </w:lvl>
    <w:lvl w:ilvl="4" w:tplc="43AEF9BA" w:tentative="1">
      <w:start w:val="1"/>
      <w:numFmt w:val="bullet"/>
      <w:lvlText w:val="o"/>
      <w:lvlJc w:val="left"/>
      <w:pPr>
        <w:ind w:left="3600" w:hanging="360"/>
      </w:pPr>
      <w:rPr>
        <w:rFonts w:ascii="Courier New" w:hAnsi="Courier New" w:hint="default"/>
      </w:rPr>
    </w:lvl>
    <w:lvl w:ilvl="5" w:tplc="EEC485A4" w:tentative="1">
      <w:start w:val="1"/>
      <w:numFmt w:val="bullet"/>
      <w:lvlText w:val=""/>
      <w:lvlJc w:val="left"/>
      <w:pPr>
        <w:ind w:left="4320" w:hanging="360"/>
      </w:pPr>
      <w:rPr>
        <w:rFonts w:ascii="Wingdings" w:hAnsi="Wingdings" w:hint="default"/>
      </w:rPr>
    </w:lvl>
    <w:lvl w:ilvl="6" w:tplc="7D2A39EA" w:tentative="1">
      <w:start w:val="1"/>
      <w:numFmt w:val="bullet"/>
      <w:lvlText w:val=""/>
      <w:lvlJc w:val="left"/>
      <w:pPr>
        <w:ind w:left="5040" w:hanging="360"/>
      </w:pPr>
      <w:rPr>
        <w:rFonts w:ascii="Symbol" w:hAnsi="Symbol" w:hint="default"/>
      </w:rPr>
    </w:lvl>
    <w:lvl w:ilvl="7" w:tplc="1CD09C60" w:tentative="1">
      <w:start w:val="1"/>
      <w:numFmt w:val="bullet"/>
      <w:lvlText w:val="o"/>
      <w:lvlJc w:val="left"/>
      <w:pPr>
        <w:ind w:left="5760" w:hanging="360"/>
      </w:pPr>
      <w:rPr>
        <w:rFonts w:ascii="Courier New" w:hAnsi="Courier New" w:hint="default"/>
      </w:rPr>
    </w:lvl>
    <w:lvl w:ilvl="8" w:tplc="B93CA80E" w:tentative="1">
      <w:start w:val="1"/>
      <w:numFmt w:val="bullet"/>
      <w:lvlText w:val=""/>
      <w:lvlJc w:val="left"/>
      <w:pPr>
        <w:ind w:left="6480" w:hanging="360"/>
      </w:pPr>
      <w:rPr>
        <w:rFonts w:ascii="Wingdings" w:hAnsi="Wingdings" w:hint="default"/>
      </w:rPr>
    </w:lvl>
  </w:abstractNum>
  <w:abstractNum w:abstractNumId="1" w15:restartNumberingAfterBreak="0">
    <w:nsid w:val="1BFC370D"/>
    <w:multiLevelType w:val="multilevel"/>
    <w:tmpl w:val="388CAB9E"/>
    <w:lvl w:ilvl="0">
      <w:start w:val="1"/>
      <w:numFmt w:val="bullet"/>
      <w:lvlText w:val="–"/>
      <w:lvlJc w:val="left"/>
      <w:pPr>
        <w:tabs>
          <w:tab w:val="num" w:pos="0"/>
        </w:tabs>
        <w:ind w:left="2020" w:hanging="360"/>
      </w:pPr>
      <w:rPr>
        <w:rFonts w:ascii="Courier New" w:hAnsi="Courier New" w:cs="Courier New" w:hint="default"/>
      </w:rPr>
    </w:lvl>
    <w:lvl w:ilvl="1">
      <w:start w:val="1"/>
      <w:numFmt w:val="bullet"/>
      <w:lvlText w:val="–"/>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68D75521"/>
    <w:multiLevelType w:val="multilevel"/>
    <w:tmpl w:val="4006B20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770D02A2"/>
    <w:multiLevelType w:val="multilevel"/>
    <w:tmpl w:val="5D9A48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mirrorMargins/>
  <w:proofState w:spelling="clean" w:grammar="clean"/>
  <w:defaultTabStop w:val="720"/>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586"/>
    <w:rsid w:val="00001DAF"/>
    <w:rsid w:val="0000785A"/>
    <w:rsid w:val="00007A42"/>
    <w:rsid w:val="00010088"/>
    <w:rsid w:val="0001081C"/>
    <w:rsid w:val="000121DC"/>
    <w:rsid w:val="000125AF"/>
    <w:rsid w:val="00013462"/>
    <w:rsid w:val="00014484"/>
    <w:rsid w:val="000145FE"/>
    <w:rsid w:val="0001739C"/>
    <w:rsid w:val="000224CD"/>
    <w:rsid w:val="00022A39"/>
    <w:rsid w:val="00023B6A"/>
    <w:rsid w:val="00025AA2"/>
    <w:rsid w:val="000262DB"/>
    <w:rsid w:val="000315AE"/>
    <w:rsid w:val="00033EE4"/>
    <w:rsid w:val="00037B2B"/>
    <w:rsid w:val="00040090"/>
    <w:rsid w:val="000404D9"/>
    <w:rsid w:val="00043512"/>
    <w:rsid w:val="00043E4E"/>
    <w:rsid w:val="00044607"/>
    <w:rsid w:val="000446DE"/>
    <w:rsid w:val="000507E0"/>
    <w:rsid w:val="000515C3"/>
    <w:rsid w:val="000515E8"/>
    <w:rsid w:val="0005394C"/>
    <w:rsid w:val="00054F84"/>
    <w:rsid w:val="00054FB5"/>
    <w:rsid w:val="0005540D"/>
    <w:rsid w:val="00055CCD"/>
    <w:rsid w:val="00057565"/>
    <w:rsid w:val="00061BA4"/>
    <w:rsid w:val="0006619D"/>
    <w:rsid w:val="000671F1"/>
    <w:rsid w:val="00070802"/>
    <w:rsid w:val="000712A9"/>
    <w:rsid w:val="0007253F"/>
    <w:rsid w:val="0007288E"/>
    <w:rsid w:val="000739BB"/>
    <w:rsid w:val="00075DD8"/>
    <w:rsid w:val="0007672B"/>
    <w:rsid w:val="00081C32"/>
    <w:rsid w:val="00083302"/>
    <w:rsid w:val="000841DA"/>
    <w:rsid w:val="00084C3A"/>
    <w:rsid w:val="00090213"/>
    <w:rsid w:val="00090671"/>
    <w:rsid w:val="00092084"/>
    <w:rsid w:val="00093985"/>
    <w:rsid w:val="000946BC"/>
    <w:rsid w:val="00096F26"/>
    <w:rsid w:val="000A2A82"/>
    <w:rsid w:val="000A30E2"/>
    <w:rsid w:val="000A5DF9"/>
    <w:rsid w:val="000A6AF1"/>
    <w:rsid w:val="000B37F7"/>
    <w:rsid w:val="000B3836"/>
    <w:rsid w:val="000B3E34"/>
    <w:rsid w:val="000B4BA3"/>
    <w:rsid w:val="000B4C2C"/>
    <w:rsid w:val="000B5E06"/>
    <w:rsid w:val="000B6ADD"/>
    <w:rsid w:val="000B7AE9"/>
    <w:rsid w:val="000C31AA"/>
    <w:rsid w:val="000C3FC7"/>
    <w:rsid w:val="000C54C0"/>
    <w:rsid w:val="000D2E0A"/>
    <w:rsid w:val="000D32A5"/>
    <w:rsid w:val="000D4AC3"/>
    <w:rsid w:val="000D4CAE"/>
    <w:rsid w:val="000D4CDE"/>
    <w:rsid w:val="000D5845"/>
    <w:rsid w:val="000D5BA6"/>
    <w:rsid w:val="000D616F"/>
    <w:rsid w:val="000D74C5"/>
    <w:rsid w:val="000D7714"/>
    <w:rsid w:val="000E088D"/>
    <w:rsid w:val="000E0E75"/>
    <w:rsid w:val="000E199D"/>
    <w:rsid w:val="000E1D68"/>
    <w:rsid w:val="000E2A24"/>
    <w:rsid w:val="000E3209"/>
    <w:rsid w:val="000E4482"/>
    <w:rsid w:val="000E4706"/>
    <w:rsid w:val="000E739E"/>
    <w:rsid w:val="000F1472"/>
    <w:rsid w:val="000F37EB"/>
    <w:rsid w:val="000F6DB3"/>
    <w:rsid w:val="000F7B5A"/>
    <w:rsid w:val="00101CFB"/>
    <w:rsid w:val="00102AA1"/>
    <w:rsid w:val="00103485"/>
    <w:rsid w:val="0010377F"/>
    <w:rsid w:val="00104A60"/>
    <w:rsid w:val="0010566B"/>
    <w:rsid w:val="0010586F"/>
    <w:rsid w:val="00106522"/>
    <w:rsid w:val="001066BC"/>
    <w:rsid w:val="0010690F"/>
    <w:rsid w:val="0011014A"/>
    <w:rsid w:val="00110839"/>
    <w:rsid w:val="00110AE2"/>
    <w:rsid w:val="00112963"/>
    <w:rsid w:val="00112B0D"/>
    <w:rsid w:val="00116A3C"/>
    <w:rsid w:val="0012238A"/>
    <w:rsid w:val="001227F3"/>
    <w:rsid w:val="00122A1D"/>
    <w:rsid w:val="00125110"/>
    <w:rsid w:val="0012512B"/>
    <w:rsid w:val="00126388"/>
    <w:rsid w:val="00131E61"/>
    <w:rsid w:val="00134161"/>
    <w:rsid w:val="00134394"/>
    <w:rsid w:val="001344C3"/>
    <w:rsid w:val="00134A5D"/>
    <w:rsid w:val="001354A2"/>
    <w:rsid w:val="001365B9"/>
    <w:rsid w:val="001367CA"/>
    <w:rsid w:val="001379BA"/>
    <w:rsid w:val="00142718"/>
    <w:rsid w:val="00142AEC"/>
    <w:rsid w:val="001432E4"/>
    <w:rsid w:val="00143586"/>
    <w:rsid w:val="00143926"/>
    <w:rsid w:val="00143AA3"/>
    <w:rsid w:val="00144709"/>
    <w:rsid w:val="00145583"/>
    <w:rsid w:val="00145A0D"/>
    <w:rsid w:val="00146422"/>
    <w:rsid w:val="00147325"/>
    <w:rsid w:val="0015077B"/>
    <w:rsid w:val="001508CC"/>
    <w:rsid w:val="0015146A"/>
    <w:rsid w:val="0015234A"/>
    <w:rsid w:val="0015255F"/>
    <w:rsid w:val="00153CBE"/>
    <w:rsid w:val="001547C4"/>
    <w:rsid w:val="00154AF5"/>
    <w:rsid w:val="001550E9"/>
    <w:rsid w:val="001565CA"/>
    <w:rsid w:val="001573FF"/>
    <w:rsid w:val="00163097"/>
    <w:rsid w:val="00163D50"/>
    <w:rsid w:val="00166485"/>
    <w:rsid w:val="00166FBD"/>
    <w:rsid w:val="00167DA4"/>
    <w:rsid w:val="00171A8E"/>
    <w:rsid w:val="0017294B"/>
    <w:rsid w:val="00172A5D"/>
    <w:rsid w:val="00174ECC"/>
    <w:rsid w:val="001774C1"/>
    <w:rsid w:val="0017763A"/>
    <w:rsid w:val="00177A93"/>
    <w:rsid w:val="0018269C"/>
    <w:rsid w:val="00183F0E"/>
    <w:rsid w:val="001841AD"/>
    <w:rsid w:val="001860BD"/>
    <w:rsid w:val="0018623C"/>
    <w:rsid w:val="0019131C"/>
    <w:rsid w:val="00191E1D"/>
    <w:rsid w:val="00191EAC"/>
    <w:rsid w:val="001947F1"/>
    <w:rsid w:val="0019513A"/>
    <w:rsid w:val="00195B8A"/>
    <w:rsid w:val="001979CD"/>
    <w:rsid w:val="001A01FC"/>
    <w:rsid w:val="001A04A2"/>
    <w:rsid w:val="001A29D0"/>
    <w:rsid w:val="001A2C05"/>
    <w:rsid w:val="001A33C9"/>
    <w:rsid w:val="001A3DE9"/>
    <w:rsid w:val="001A57CC"/>
    <w:rsid w:val="001A5F65"/>
    <w:rsid w:val="001A6E89"/>
    <w:rsid w:val="001A7E2F"/>
    <w:rsid w:val="001B01DA"/>
    <w:rsid w:val="001B0E85"/>
    <w:rsid w:val="001B18F2"/>
    <w:rsid w:val="001B2D36"/>
    <w:rsid w:val="001B43B3"/>
    <w:rsid w:val="001B5B31"/>
    <w:rsid w:val="001B75A7"/>
    <w:rsid w:val="001B7BC8"/>
    <w:rsid w:val="001C3A7A"/>
    <w:rsid w:val="001C3EF2"/>
    <w:rsid w:val="001C41B4"/>
    <w:rsid w:val="001C4322"/>
    <w:rsid w:val="001C5E41"/>
    <w:rsid w:val="001D47E9"/>
    <w:rsid w:val="001D4BF3"/>
    <w:rsid w:val="001D635E"/>
    <w:rsid w:val="001D6BC0"/>
    <w:rsid w:val="001E2A0F"/>
    <w:rsid w:val="001F16DB"/>
    <w:rsid w:val="001F1C46"/>
    <w:rsid w:val="001F250F"/>
    <w:rsid w:val="001F4162"/>
    <w:rsid w:val="001F427F"/>
    <w:rsid w:val="001F5047"/>
    <w:rsid w:val="001F6B83"/>
    <w:rsid w:val="001F6C0E"/>
    <w:rsid w:val="001F7C40"/>
    <w:rsid w:val="0020246C"/>
    <w:rsid w:val="00203CE9"/>
    <w:rsid w:val="00206187"/>
    <w:rsid w:val="002104C6"/>
    <w:rsid w:val="0021098F"/>
    <w:rsid w:val="00210BB1"/>
    <w:rsid w:val="0021186C"/>
    <w:rsid w:val="00212F6E"/>
    <w:rsid w:val="00215F3B"/>
    <w:rsid w:val="00217A5D"/>
    <w:rsid w:val="0022020D"/>
    <w:rsid w:val="0022039F"/>
    <w:rsid w:val="00221CA2"/>
    <w:rsid w:val="00222B73"/>
    <w:rsid w:val="00226485"/>
    <w:rsid w:val="00230FEE"/>
    <w:rsid w:val="00231A9B"/>
    <w:rsid w:val="00232847"/>
    <w:rsid w:val="00237FC7"/>
    <w:rsid w:val="00240400"/>
    <w:rsid w:val="00241F50"/>
    <w:rsid w:val="002436B3"/>
    <w:rsid w:val="002447AC"/>
    <w:rsid w:val="00245876"/>
    <w:rsid w:val="002464E1"/>
    <w:rsid w:val="0024681F"/>
    <w:rsid w:val="00247334"/>
    <w:rsid w:val="002479C8"/>
    <w:rsid w:val="00247A29"/>
    <w:rsid w:val="00247D96"/>
    <w:rsid w:val="002508A4"/>
    <w:rsid w:val="002576E4"/>
    <w:rsid w:val="00257AFC"/>
    <w:rsid w:val="00260CC2"/>
    <w:rsid w:val="002614A1"/>
    <w:rsid w:val="00262780"/>
    <w:rsid w:val="00262BD0"/>
    <w:rsid w:val="002642B0"/>
    <w:rsid w:val="00264527"/>
    <w:rsid w:val="0026475A"/>
    <w:rsid w:val="002649DB"/>
    <w:rsid w:val="00264F44"/>
    <w:rsid w:val="002720B4"/>
    <w:rsid w:val="002729EB"/>
    <w:rsid w:val="00276F5B"/>
    <w:rsid w:val="00277256"/>
    <w:rsid w:val="00277837"/>
    <w:rsid w:val="00281552"/>
    <w:rsid w:val="00281557"/>
    <w:rsid w:val="00282D2F"/>
    <w:rsid w:val="00284E34"/>
    <w:rsid w:val="00285FCF"/>
    <w:rsid w:val="002861B9"/>
    <w:rsid w:val="0028628F"/>
    <w:rsid w:val="00286A06"/>
    <w:rsid w:val="00286A1F"/>
    <w:rsid w:val="002879E2"/>
    <w:rsid w:val="00290004"/>
    <w:rsid w:val="0029045E"/>
    <w:rsid w:val="00291BF0"/>
    <w:rsid w:val="00292CCC"/>
    <w:rsid w:val="00292ED0"/>
    <w:rsid w:val="002935C6"/>
    <w:rsid w:val="00294A7C"/>
    <w:rsid w:val="002960FA"/>
    <w:rsid w:val="0029685F"/>
    <w:rsid w:val="00296C0D"/>
    <w:rsid w:val="00297FB0"/>
    <w:rsid w:val="002A0280"/>
    <w:rsid w:val="002A0D48"/>
    <w:rsid w:val="002A33E6"/>
    <w:rsid w:val="002A3747"/>
    <w:rsid w:val="002A39AC"/>
    <w:rsid w:val="002A43CA"/>
    <w:rsid w:val="002A692E"/>
    <w:rsid w:val="002B1667"/>
    <w:rsid w:val="002B16CB"/>
    <w:rsid w:val="002B2507"/>
    <w:rsid w:val="002B2636"/>
    <w:rsid w:val="002B2BB9"/>
    <w:rsid w:val="002B32BE"/>
    <w:rsid w:val="002B546D"/>
    <w:rsid w:val="002B6CF2"/>
    <w:rsid w:val="002B70D4"/>
    <w:rsid w:val="002B7E0A"/>
    <w:rsid w:val="002B7E9F"/>
    <w:rsid w:val="002C0F1C"/>
    <w:rsid w:val="002C1675"/>
    <w:rsid w:val="002C1698"/>
    <w:rsid w:val="002C368E"/>
    <w:rsid w:val="002C3BEC"/>
    <w:rsid w:val="002C3C3F"/>
    <w:rsid w:val="002C4985"/>
    <w:rsid w:val="002C6E3B"/>
    <w:rsid w:val="002C71A4"/>
    <w:rsid w:val="002C7813"/>
    <w:rsid w:val="002C7E20"/>
    <w:rsid w:val="002C7E89"/>
    <w:rsid w:val="002D058B"/>
    <w:rsid w:val="002D1055"/>
    <w:rsid w:val="002D23EB"/>
    <w:rsid w:val="002D31AA"/>
    <w:rsid w:val="002D5CB7"/>
    <w:rsid w:val="002D5E95"/>
    <w:rsid w:val="002D624F"/>
    <w:rsid w:val="002D681F"/>
    <w:rsid w:val="002D726C"/>
    <w:rsid w:val="002D7F3D"/>
    <w:rsid w:val="002D7F99"/>
    <w:rsid w:val="002E18A1"/>
    <w:rsid w:val="002E1BF7"/>
    <w:rsid w:val="002E2C20"/>
    <w:rsid w:val="002E5746"/>
    <w:rsid w:val="002F0944"/>
    <w:rsid w:val="002F1350"/>
    <w:rsid w:val="002F1396"/>
    <w:rsid w:val="002F1F3F"/>
    <w:rsid w:val="002F1FC4"/>
    <w:rsid w:val="002F35D7"/>
    <w:rsid w:val="002F3732"/>
    <w:rsid w:val="002F3B59"/>
    <w:rsid w:val="002F454C"/>
    <w:rsid w:val="002F47C8"/>
    <w:rsid w:val="002F4D24"/>
    <w:rsid w:val="002F7388"/>
    <w:rsid w:val="00300372"/>
    <w:rsid w:val="00301317"/>
    <w:rsid w:val="003016C9"/>
    <w:rsid w:val="00304296"/>
    <w:rsid w:val="003075E9"/>
    <w:rsid w:val="003110F6"/>
    <w:rsid w:val="0031196B"/>
    <w:rsid w:val="00312F79"/>
    <w:rsid w:val="00313D1E"/>
    <w:rsid w:val="00315392"/>
    <w:rsid w:val="00317176"/>
    <w:rsid w:val="003203C9"/>
    <w:rsid w:val="003218C3"/>
    <w:rsid w:val="00323750"/>
    <w:rsid w:val="003240B9"/>
    <w:rsid w:val="0032486B"/>
    <w:rsid w:val="00325C8F"/>
    <w:rsid w:val="003272C4"/>
    <w:rsid w:val="003275B1"/>
    <w:rsid w:val="003278C0"/>
    <w:rsid w:val="003334E9"/>
    <w:rsid w:val="00333F3D"/>
    <w:rsid w:val="00334CF3"/>
    <w:rsid w:val="00336F2C"/>
    <w:rsid w:val="00337CB4"/>
    <w:rsid w:val="00340E4F"/>
    <w:rsid w:val="0034103B"/>
    <w:rsid w:val="00341857"/>
    <w:rsid w:val="003423AD"/>
    <w:rsid w:val="003425ED"/>
    <w:rsid w:val="003428D8"/>
    <w:rsid w:val="0034394B"/>
    <w:rsid w:val="00343AA2"/>
    <w:rsid w:val="003462B4"/>
    <w:rsid w:val="003471E2"/>
    <w:rsid w:val="003473BC"/>
    <w:rsid w:val="0035147D"/>
    <w:rsid w:val="00351C8F"/>
    <w:rsid w:val="003573E3"/>
    <w:rsid w:val="00360A6E"/>
    <w:rsid w:val="00360AD3"/>
    <w:rsid w:val="00360B46"/>
    <w:rsid w:val="00360D24"/>
    <w:rsid w:val="003629B8"/>
    <w:rsid w:val="00364FFD"/>
    <w:rsid w:val="0036558E"/>
    <w:rsid w:val="00366BA6"/>
    <w:rsid w:val="003724C2"/>
    <w:rsid w:val="003732EE"/>
    <w:rsid w:val="003739BE"/>
    <w:rsid w:val="0037404A"/>
    <w:rsid w:val="003769E3"/>
    <w:rsid w:val="00376E0D"/>
    <w:rsid w:val="00380F8C"/>
    <w:rsid w:val="00381078"/>
    <w:rsid w:val="00381C7F"/>
    <w:rsid w:val="00382B97"/>
    <w:rsid w:val="0038497F"/>
    <w:rsid w:val="0038656E"/>
    <w:rsid w:val="003905F9"/>
    <w:rsid w:val="0039063B"/>
    <w:rsid w:val="00391C66"/>
    <w:rsid w:val="00392368"/>
    <w:rsid w:val="00392AAE"/>
    <w:rsid w:val="003942D5"/>
    <w:rsid w:val="0039462B"/>
    <w:rsid w:val="003A1915"/>
    <w:rsid w:val="003A1972"/>
    <w:rsid w:val="003A21AC"/>
    <w:rsid w:val="003A2855"/>
    <w:rsid w:val="003A47C1"/>
    <w:rsid w:val="003A4C7B"/>
    <w:rsid w:val="003A4DDE"/>
    <w:rsid w:val="003A578D"/>
    <w:rsid w:val="003A725B"/>
    <w:rsid w:val="003B123C"/>
    <w:rsid w:val="003B18F1"/>
    <w:rsid w:val="003B1CF5"/>
    <w:rsid w:val="003B23C5"/>
    <w:rsid w:val="003B754B"/>
    <w:rsid w:val="003B7BD9"/>
    <w:rsid w:val="003C1685"/>
    <w:rsid w:val="003C20ED"/>
    <w:rsid w:val="003C42F5"/>
    <w:rsid w:val="003C4D31"/>
    <w:rsid w:val="003C4F90"/>
    <w:rsid w:val="003C5A94"/>
    <w:rsid w:val="003C5B8F"/>
    <w:rsid w:val="003C7B3B"/>
    <w:rsid w:val="003C7D76"/>
    <w:rsid w:val="003D0D49"/>
    <w:rsid w:val="003D0EA6"/>
    <w:rsid w:val="003D54D0"/>
    <w:rsid w:val="003D6F62"/>
    <w:rsid w:val="003E0016"/>
    <w:rsid w:val="003E3054"/>
    <w:rsid w:val="003E614A"/>
    <w:rsid w:val="003E6215"/>
    <w:rsid w:val="003E63F8"/>
    <w:rsid w:val="003E6AAB"/>
    <w:rsid w:val="003F053E"/>
    <w:rsid w:val="003F23B6"/>
    <w:rsid w:val="003F4073"/>
    <w:rsid w:val="003F499D"/>
    <w:rsid w:val="003F591B"/>
    <w:rsid w:val="003F7211"/>
    <w:rsid w:val="00400945"/>
    <w:rsid w:val="00401852"/>
    <w:rsid w:val="00402B8D"/>
    <w:rsid w:val="00403E62"/>
    <w:rsid w:val="004045F4"/>
    <w:rsid w:val="00406897"/>
    <w:rsid w:val="00406AA5"/>
    <w:rsid w:val="004075CA"/>
    <w:rsid w:val="00407C97"/>
    <w:rsid w:val="00407D73"/>
    <w:rsid w:val="00407FB8"/>
    <w:rsid w:val="004110B1"/>
    <w:rsid w:val="00412332"/>
    <w:rsid w:val="0041286E"/>
    <w:rsid w:val="00413BA5"/>
    <w:rsid w:val="004159F3"/>
    <w:rsid w:val="00417B88"/>
    <w:rsid w:val="00421FBD"/>
    <w:rsid w:val="0042495B"/>
    <w:rsid w:val="00424E4E"/>
    <w:rsid w:val="0042598C"/>
    <w:rsid w:val="004263BD"/>
    <w:rsid w:val="00427174"/>
    <w:rsid w:val="0042776B"/>
    <w:rsid w:val="0043116D"/>
    <w:rsid w:val="004313C0"/>
    <w:rsid w:val="00431983"/>
    <w:rsid w:val="0043257F"/>
    <w:rsid w:val="004329DF"/>
    <w:rsid w:val="00433CAB"/>
    <w:rsid w:val="00435121"/>
    <w:rsid w:val="004352D1"/>
    <w:rsid w:val="00435BB7"/>
    <w:rsid w:val="004365C5"/>
    <w:rsid w:val="00436B87"/>
    <w:rsid w:val="004375ED"/>
    <w:rsid w:val="00441086"/>
    <w:rsid w:val="00441788"/>
    <w:rsid w:val="00442848"/>
    <w:rsid w:val="00444546"/>
    <w:rsid w:val="004461B7"/>
    <w:rsid w:val="00447E7D"/>
    <w:rsid w:val="0045087F"/>
    <w:rsid w:val="004512ED"/>
    <w:rsid w:val="00452B30"/>
    <w:rsid w:val="0045350F"/>
    <w:rsid w:val="00453F03"/>
    <w:rsid w:val="004545A2"/>
    <w:rsid w:val="00460B39"/>
    <w:rsid w:val="004610A6"/>
    <w:rsid w:val="004628B5"/>
    <w:rsid w:val="00462A2E"/>
    <w:rsid w:val="00462F77"/>
    <w:rsid w:val="00464050"/>
    <w:rsid w:val="00465762"/>
    <w:rsid w:val="00467854"/>
    <w:rsid w:val="004716FA"/>
    <w:rsid w:val="00471DD5"/>
    <w:rsid w:val="00471DD6"/>
    <w:rsid w:val="004744C1"/>
    <w:rsid w:val="00475787"/>
    <w:rsid w:val="0047593F"/>
    <w:rsid w:val="0047695A"/>
    <w:rsid w:val="00477C39"/>
    <w:rsid w:val="0048017C"/>
    <w:rsid w:val="00480AE3"/>
    <w:rsid w:val="00481953"/>
    <w:rsid w:val="00481E37"/>
    <w:rsid w:val="00481F1B"/>
    <w:rsid w:val="004833E9"/>
    <w:rsid w:val="00484051"/>
    <w:rsid w:val="00484169"/>
    <w:rsid w:val="004876EC"/>
    <w:rsid w:val="00490447"/>
    <w:rsid w:val="00490CEE"/>
    <w:rsid w:val="00491EF2"/>
    <w:rsid w:val="0049356A"/>
    <w:rsid w:val="004936AD"/>
    <w:rsid w:val="00495DC1"/>
    <w:rsid w:val="00497C92"/>
    <w:rsid w:val="004A4A39"/>
    <w:rsid w:val="004A4B5B"/>
    <w:rsid w:val="004A4D4E"/>
    <w:rsid w:val="004A512F"/>
    <w:rsid w:val="004A62FA"/>
    <w:rsid w:val="004B0460"/>
    <w:rsid w:val="004B0E76"/>
    <w:rsid w:val="004B22EC"/>
    <w:rsid w:val="004B24E5"/>
    <w:rsid w:val="004B4178"/>
    <w:rsid w:val="004B49E2"/>
    <w:rsid w:val="004B5707"/>
    <w:rsid w:val="004B7F3D"/>
    <w:rsid w:val="004C050D"/>
    <w:rsid w:val="004C18A4"/>
    <w:rsid w:val="004C3CB1"/>
    <w:rsid w:val="004C3E59"/>
    <w:rsid w:val="004C4068"/>
    <w:rsid w:val="004C4842"/>
    <w:rsid w:val="004D0B52"/>
    <w:rsid w:val="004D0FE7"/>
    <w:rsid w:val="004D1074"/>
    <w:rsid w:val="004D1358"/>
    <w:rsid w:val="004D3076"/>
    <w:rsid w:val="004D5617"/>
    <w:rsid w:val="004D565F"/>
    <w:rsid w:val="004D7863"/>
    <w:rsid w:val="004D7E63"/>
    <w:rsid w:val="004E2787"/>
    <w:rsid w:val="004E36C1"/>
    <w:rsid w:val="004E60F5"/>
    <w:rsid w:val="004F073B"/>
    <w:rsid w:val="004F1F05"/>
    <w:rsid w:val="004F24CF"/>
    <w:rsid w:val="004F2BC5"/>
    <w:rsid w:val="004F2F8C"/>
    <w:rsid w:val="004F41E5"/>
    <w:rsid w:val="004F6C98"/>
    <w:rsid w:val="004F7B57"/>
    <w:rsid w:val="004F7E8B"/>
    <w:rsid w:val="00501598"/>
    <w:rsid w:val="0050350C"/>
    <w:rsid w:val="00503CAB"/>
    <w:rsid w:val="00505806"/>
    <w:rsid w:val="0050581D"/>
    <w:rsid w:val="005058EC"/>
    <w:rsid w:val="005064BF"/>
    <w:rsid w:val="00511DDB"/>
    <w:rsid w:val="00511EDD"/>
    <w:rsid w:val="00513B4C"/>
    <w:rsid w:val="00514058"/>
    <w:rsid w:val="005158A6"/>
    <w:rsid w:val="0051591F"/>
    <w:rsid w:val="00516748"/>
    <w:rsid w:val="00516B72"/>
    <w:rsid w:val="005172BD"/>
    <w:rsid w:val="00521789"/>
    <w:rsid w:val="00523393"/>
    <w:rsid w:val="00524C1D"/>
    <w:rsid w:val="00526659"/>
    <w:rsid w:val="00533E88"/>
    <w:rsid w:val="005347D3"/>
    <w:rsid w:val="005348B0"/>
    <w:rsid w:val="00540C50"/>
    <w:rsid w:val="005429DD"/>
    <w:rsid w:val="00543758"/>
    <w:rsid w:val="0054448D"/>
    <w:rsid w:val="00546534"/>
    <w:rsid w:val="00546944"/>
    <w:rsid w:val="00546AFB"/>
    <w:rsid w:val="00547276"/>
    <w:rsid w:val="005505E4"/>
    <w:rsid w:val="00550BFE"/>
    <w:rsid w:val="00551CF0"/>
    <w:rsid w:val="00551ECB"/>
    <w:rsid w:val="005527DB"/>
    <w:rsid w:val="0055487F"/>
    <w:rsid w:val="00555246"/>
    <w:rsid w:val="00560569"/>
    <w:rsid w:val="0056378F"/>
    <w:rsid w:val="00564548"/>
    <w:rsid w:val="00564F63"/>
    <w:rsid w:val="005663FA"/>
    <w:rsid w:val="005751C9"/>
    <w:rsid w:val="0057619D"/>
    <w:rsid w:val="00580268"/>
    <w:rsid w:val="00580BDA"/>
    <w:rsid w:val="00580FCC"/>
    <w:rsid w:val="0058214D"/>
    <w:rsid w:val="005850D5"/>
    <w:rsid w:val="00585D7F"/>
    <w:rsid w:val="00586BCB"/>
    <w:rsid w:val="005906E0"/>
    <w:rsid w:val="00592C5C"/>
    <w:rsid w:val="00593213"/>
    <w:rsid w:val="00594D56"/>
    <w:rsid w:val="005A1251"/>
    <w:rsid w:val="005A2A4D"/>
    <w:rsid w:val="005A2B7C"/>
    <w:rsid w:val="005A3016"/>
    <w:rsid w:val="005A4D6A"/>
    <w:rsid w:val="005A6610"/>
    <w:rsid w:val="005A7318"/>
    <w:rsid w:val="005A74A5"/>
    <w:rsid w:val="005B1A65"/>
    <w:rsid w:val="005B2C40"/>
    <w:rsid w:val="005B47AE"/>
    <w:rsid w:val="005B4EC0"/>
    <w:rsid w:val="005B5091"/>
    <w:rsid w:val="005B56BB"/>
    <w:rsid w:val="005B609C"/>
    <w:rsid w:val="005B755E"/>
    <w:rsid w:val="005C0025"/>
    <w:rsid w:val="005C05C5"/>
    <w:rsid w:val="005C1C0C"/>
    <w:rsid w:val="005C1CA0"/>
    <w:rsid w:val="005C2511"/>
    <w:rsid w:val="005C4518"/>
    <w:rsid w:val="005C5BD9"/>
    <w:rsid w:val="005C6896"/>
    <w:rsid w:val="005D043A"/>
    <w:rsid w:val="005D40BE"/>
    <w:rsid w:val="005D5323"/>
    <w:rsid w:val="005D547D"/>
    <w:rsid w:val="005D5736"/>
    <w:rsid w:val="005E0B3C"/>
    <w:rsid w:val="005E17F3"/>
    <w:rsid w:val="005E1F26"/>
    <w:rsid w:val="005E55E2"/>
    <w:rsid w:val="005E7315"/>
    <w:rsid w:val="005F2521"/>
    <w:rsid w:val="005F2FC4"/>
    <w:rsid w:val="005F3D17"/>
    <w:rsid w:val="005F5AF4"/>
    <w:rsid w:val="005F6A98"/>
    <w:rsid w:val="005F716D"/>
    <w:rsid w:val="005F78E0"/>
    <w:rsid w:val="00601536"/>
    <w:rsid w:val="00602F52"/>
    <w:rsid w:val="00603D44"/>
    <w:rsid w:val="0060490F"/>
    <w:rsid w:val="00605666"/>
    <w:rsid w:val="006062C8"/>
    <w:rsid w:val="00606DF0"/>
    <w:rsid w:val="006074C8"/>
    <w:rsid w:val="0061023F"/>
    <w:rsid w:val="006115B1"/>
    <w:rsid w:val="006153A1"/>
    <w:rsid w:val="0061586F"/>
    <w:rsid w:val="00617AD6"/>
    <w:rsid w:val="00621F93"/>
    <w:rsid w:val="00622A3F"/>
    <w:rsid w:val="00625CFC"/>
    <w:rsid w:val="006263CB"/>
    <w:rsid w:val="00626973"/>
    <w:rsid w:val="00626984"/>
    <w:rsid w:val="006277FF"/>
    <w:rsid w:val="006304DA"/>
    <w:rsid w:val="006307A0"/>
    <w:rsid w:val="006358BD"/>
    <w:rsid w:val="006370C4"/>
    <w:rsid w:val="00637336"/>
    <w:rsid w:val="00640A61"/>
    <w:rsid w:val="00641B54"/>
    <w:rsid w:val="00642F00"/>
    <w:rsid w:val="00646091"/>
    <w:rsid w:val="006478B8"/>
    <w:rsid w:val="00647E83"/>
    <w:rsid w:val="0065040E"/>
    <w:rsid w:val="0065332A"/>
    <w:rsid w:val="00654E37"/>
    <w:rsid w:val="00660C13"/>
    <w:rsid w:val="00662273"/>
    <w:rsid w:val="006642D4"/>
    <w:rsid w:val="00665BB5"/>
    <w:rsid w:val="006727EB"/>
    <w:rsid w:val="00675E8F"/>
    <w:rsid w:val="006766DF"/>
    <w:rsid w:val="00677717"/>
    <w:rsid w:val="00681639"/>
    <w:rsid w:val="0068220E"/>
    <w:rsid w:val="0068332B"/>
    <w:rsid w:val="00683B4E"/>
    <w:rsid w:val="0068444A"/>
    <w:rsid w:val="00684DC5"/>
    <w:rsid w:val="006863A9"/>
    <w:rsid w:val="00686CFC"/>
    <w:rsid w:val="00687A0F"/>
    <w:rsid w:val="00687B18"/>
    <w:rsid w:val="006902AD"/>
    <w:rsid w:val="006954E1"/>
    <w:rsid w:val="0069602D"/>
    <w:rsid w:val="00697A57"/>
    <w:rsid w:val="006A0EBE"/>
    <w:rsid w:val="006A220E"/>
    <w:rsid w:val="006A2309"/>
    <w:rsid w:val="006A24D8"/>
    <w:rsid w:val="006A2BA9"/>
    <w:rsid w:val="006A2D91"/>
    <w:rsid w:val="006A5B9D"/>
    <w:rsid w:val="006A62CB"/>
    <w:rsid w:val="006A6CFD"/>
    <w:rsid w:val="006B10F6"/>
    <w:rsid w:val="006B510A"/>
    <w:rsid w:val="006B599D"/>
    <w:rsid w:val="006B5CDA"/>
    <w:rsid w:val="006B722C"/>
    <w:rsid w:val="006B73DD"/>
    <w:rsid w:val="006C01F3"/>
    <w:rsid w:val="006C0C1A"/>
    <w:rsid w:val="006C3E3C"/>
    <w:rsid w:val="006D0E6B"/>
    <w:rsid w:val="006D1778"/>
    <w:rsid w:val="006D4496"/>
    <w:rsid w:val="006D4BCE"/>
    <w:rsid w:val="006D6CD3"/>
    <w:rsid w:val="006D6DF7"/>
    <w:rsid w:val="006D7ACE"/>
    <w:rsid w:val="006E2BCF"/>
    <w:rsid w:val="006E3432"/>
    <w:rsid w:val="006E3505"/>
    <w:rsid w:val="006E4C6F"/>
    <w:rsid w:val="006E5528"/>
    <w:rsid w:val="006E573C"/>
    <w:rsid w:val="006E7FC0"/>
    <w:rsid w:val="006E7FCD"/>
    <w:rsid w:val="006F08E4"/>
    <w:rsid w:val="006F0DF9"/>
    <w:rsid w:val="006F138A"/>
    <w:rsid w:val="006F29C4"/>
    <w:rsid w:val="006F4914"/>
    <w:rsid w:val="006F507C"/>
    <w:rsid w:val="006F69A4"/>
    <w:rsid w:val="006F6D3A"/>
    <w:rsid w:val="006F716A"/>
    <w:rsid w:val="007010D8"/>
    <w:rsid w:val="00701114"/>
    <w:rsid w:val="00703C07"/>
    <w:rsid w:val="00704A14"/>
    <w:rsid w:val="00705E51"/>
    <w:rsid w:val="0071194E"/>
    <w:rsid w:val="00711C6B"/>
    <w:rsid w:val="007149AF"/>
    <w:rsid w:val="00715266"/>
    <w:rsid w:val="00715E98"/>
    <w:rsid w:val="00720566"/>
    <w:rsid w:val="0072222E"/>
    <w:rsid w:val="00725567"/>
    <w:rsid w:val="0072575B"/>
    <w:rsid w:val="007275FD"/>
    <w:rsid w:val="00730463"/>
    <w:rsid w:val="00730EBE"/>
    <w:rsid w:val="007343B5"/>
    <w:rsid w:val="00736075"/>
    <w:rsid w:val="00736723"/>
    <w:rsid w:val="00737299"/>
    <w:rsid w:val="00741C98"/>
    <w:rsid w:val="007430C6"/>
    <w:rsid w:val="00745185"/>
    <w:rsid w:val="00746795"/>
    <w:rsid w:val="00750AFE"/>
    <w:rsid w:val="007544BB"/>
    <w:rsid w:val="007547CA"/>
    <w:rsid w:val="0075572C"/>
    <w:rsid w:val="007565F3"/>
    <w:rsid w:val="00760AA5"/>
    <w:rsid w:val="007611DA"/>
    <w:rsid w:val="0076240A"/>
    <w:rsid w:val="00762F2B"/>
    <w:rsid w:val="007666D8"/>
    <w:rsid w:val="0076691A"/>
    <w:rsid w:val="007705BF"/>
    <w:rsid w:val="00772D45"/>
    <w:rsid w:val="007730ED"/>
    <w:rsid w:val="007747D8"/>
    <w:rsid w:val="00775CD5"/>
    <w:rsid w:val="00776059"/>
    <w:rsid w:val="007822EA"/>
    <w:rsid w:val="00782A7A"/>
    <w:rsid w:val="00782B96"/>
    <w:rsid w:val="0078308C"/>
    <w:rsid w:val="00783B37"/>
    <w:rsid w:val="007840B7"/>
    <w:rsid w:val="00784694"/>
    <w:rsid w:val="00787CE3"/>
    <w:rsid w:val="00792444"/>
    <w:rsid w:val="0079271F"/>
    <w:rsid w:val="00794D8D"/>
    <w:rsid w:val="00797DA2"/>
    <w:rsid w:val="007A0B11"/>
    <w:rsid w:val="007A1152"/>
    <w:rsid w:val="007A14A9"/>
    <w:rsid w:val="007A1AB7"/>
    <w:rsid w:val="007A22B7"/>
    <w:rsid w:val="007A2F58"/>
    <w:rsid w:val="007A53F9"/>
    <w:rsid w:val="007A5BCA"/>
    <w:rsid w:val="007A680C"/>
    <w:rsid w:val="007A7803"/>
    <w:rsid w:val="007B092B"/>
    <w:rsid w:val="007B0D9C"/>
    <w:rsid w:val="007B1960"/>
    <w:rsid w:val="007B1D35"/>
    <w:rsid w:val="007B2C0D"/>
    <w:rsid w:val="007B3CB3"/>
    <w:rsid w:val="007B7C19"/>
    <w:rsid w:val="007C2620"/>
    <w:rsid w:val="007C2E63"/>
    <w:rsid w:val="007C2E81"/>
    <w:rsid w:val="007C4A36"/>
    <w:rsid w:val="007C4A96"/>
    <w:rsid w:val="007C70C4"/>
    <w:rsid w:val="007C72BC"/>
    <w:rsid w:val="007D1090"/>
    <w:rsid w:val="007D15B5"/>
    <w:rsid w:val="007D26E7"/>
    <w:rsid w:val="007E1680"/>
    <w:rsid w:val="007E2787"/>
    <w:rsid w:val="007E3A33"/>
    <w:rsid w:val="007E5BD6"/>
    <w:rsid w:val="007E5CB7"/>
    <w:rsid w:val="007E5ED4"/>
    <w:rsid w:val="007E64FD"/>
    <w:rsid w:val="007E79CA"/>
    <w:rsid w:val="007F1709"/>
    <w:rsid w:val="007F44F0"/>
    <w:rsid w:val="007F4F26"/>
    <w:rsid w:val="007F5CB1"/>
    <w:rsid w:val="007F65A5"/>
    <w:rsid w:val="007F7299"/>
    <w:rsid w:val="00801128"/>
    <w:rsid w:val="00801EA3"/>
    <w:rsid w:val="00801EE1"/>
    <w:rsid w:val="00802FFA"/>
    <w:rsid w:val="0080529D"/>
    <w:rsid w:val="00805358"/>
    <w:rsid w:val="00806B6C"/>
    <w:rsid w:val="00810738"/>
    <w:rsid w:val="0081227E"/>
    <w:rsid w:val="008137E2"/>
    <w:rsid w:val="00813B85"/>
    <w:rsid w:val="00814C1A"/>
    <w:rsid w:val="0081535C"/>
    <w:rsid w:val="008174BD"/>
    <w:rsid w:val="008204EC"/>
    <w:rsid w:val="00820824"/>
    <w:rsid w:val="0082138E"/>
    <w:rsid w:val="008242AB"/>
    <w:rsid w:val="00824463"/>
    <w:rsid w:val="00824670"/>
    <w:rsid w:val="00825C78"/>
    <w:rsid w:val="00827626"/>
    <w:rsid w:val="00827BBB"/>
    <w:rsid w:val="0083159F"/>
    <w:rsid w:val="008315BD"/>
    <w:rsid w:val="00834F60"/>
    <w:rsid w:val="008359F6"/>
    <w:rsid w:val="00836291"/>
    <w:rsid w:val="008369B6"/>
    <w:rsid w:val="00837C7C"/>
    <w:rsid w:val="00841E7F"/>
    <w:rsid w:val="00843AE8"/>
    <w:rsid w:val="00844451"/>
    <w:rsid w:val="0084466B"/>
    <w:rsid w:val="00844744"/>
    <w:rsid w:val="00847256"/>
    <w:rsid w:val="00847D02"/>
    <w:rsid w:val="008524CA"/>
    <w:rsid w:val="008525EE"/>
    <w:rsid w:val="0085272B"/>
    <w:rsid w:val="00855F7E"/>
    <w:rsid w:val="00857671"/>
    <w:rsid w:val="00860FB1"/>
    <w:rsid w:val="008632F1"/>
    <w:rsid w:val="0086444E"/>
    <w:rsid w:val="00865457"/>
    <w:rsid w:val="00865F84"/>
    <w:rsid w:val="00866073"/>
    <w:rsid w:val="00866991"/>
    <w:rsid w:val="00866C7E"/>
    <w:rsid w:val="00866CC2"/>
    <w:rsid w:val="00867BE4"/>
    <w:rsid w:val="00871329"/>
    <w:rsid w:val="00872509"/>
    <w:rsid w:val="0087449F"/>
    <w:rsid w:val="008750D5"/>
    <w:rsid w:val="0087691E"/>
    <w:rsid w:val="008771D4"/>
    <w:rsid w:val="00881740"/>
    <w:rsid w:val="00882372"/>
    <w:rsid w:val="008823DE"/>
    <w:rsid w:val="00883245"/>
    <w:rsid w:val="0088525C"/>
    <w:rsid w:val="00885FE7"/>
    <w:rsid w:val="00886612"/>
    <w:rsid w:val="008900A1"/>
    <w:rsid w:val="008906DF"/>
    <w:rsid w:val="008908AD"/>
    <w:rsid w:val="0089385D"/>
    <w:rsid w:val="00895401"/>
    <w:rsid w:val="00895448"/>
    <w:rsid w:val="0089591A"/>
    <w:rsid w:val="00895F5C"/>
    <w:rsid w:val="0089606D"/>
    <w:rsid w:val="008964B9"/>
    <w:rsid w:val="00897BEC"/>
    <w:rsid w:val="00897FBB"/>
    <w:rsid w:val="008A1015"/>
    <w:rsid w:val="008A2EEF"/>
    <w:rsid w:val="008A30B0"/>
    <w:rsid w:val="008A4494"/>
    <w:rsid w:val="008A4FDB"/>
    <w:rsid w:val="008A513C"/>
    <w:rsid w:val="008A5AA0"/>
    <w:rsid w:val="008A5F30"/>
    <w:rsid w:val="008A74AD"/>
    <w:rsid w:val="008B0577"/>
    <w:rsid w:val="008B2BCC"/>
    <w:rsid w:val="008B59DD"/>
    <w:rsid w:val="008B6C9B"/>
    <w:rsid w:val="008C0213"/>
    <w:rsid w:val="008C149D"/>
    <w:rsid w:val="008C2C97"/>
    <w:rsid w:val="008C44D2"/>
    <w:rsid w:val="008C49FB"/>
    <w:rsid w:val="008C6C63"/>
    <w:rsid w:val="008C7031"/>
    <w:rsid w:val="008D02F2"/>
    <w:rsid w:val="008D5B65"/>
    <w:rsid w:val="008D7FCD"/>
    <w:rsid w:val="008E1814"/>
    <w:rsid w:val="008E24C8"/>
    <w:rsid w:val="008E28C5"/>
    <w:rsid w:val="008E3474"/>
    <w:rsid w:val="008E4060"/>
    <w:rsid w:val="008E73FB"/>
    <w:rsid w:val="008E7E6A"/>
    <w:rsid w:val="008F0078"/>
    <w:rsid w:val="008F3E4C"/>
    <w:rsid w:val="008F497E"/>
    <w:rsid w:val="008F5102"/>
    <w:rsid w:val="008F5404"/>
    <w:rsid w:val="008F5845"/>
    <w:rsid w:val="008F6A85"/>
    <w:rsid w:val="00900CD4"/>
    <w:rsid w:val="00901924"/>
    <w:rsid w:val="0090286A"/>
    <w:rsid w:val="009042E9"/>
    <w:rsid w:val="00904A9F"/>
    <w:rsid w:val="009078D0"/>
    <w:rsid w:val="00910694"/>
    <w:rsid w:val="0091325F"/>
    <w:rsid w:val="00913B3A"/>
    <w:rsid w:val="00914242"/>
    <w:rsid w:val="00914829"/>
    <w:rsid w:val="009152B7"/>
    <w:rsid w:val="009175DA"/>
    <w:rsid w:val="00923080"/>
    <w:rsid w:val="0092435B"/>
    <w:rsid w:val="0092659E"/>
    <w:rsid w:val="009275ED"/>
    <w:rsid w:val="0093180D"/>
    <w:rsid w:val="009350FA"/>
    <w:rsid w:val="0093526A"/>
    <w:rsid w:val="0093540B"/>
    <w:rsid w:val="0093565C"/>
    <w:rsid w:val="00935B34"/>
    <w:rsid w:val="009364ED"/>
    <w:rsid w:val="00936FC1"/>
    <w:rsid w:val="00937E3B"/>
    <w:rsid w:val="0094038F"/>
    <w:rsid w:val="00943BAF"/>
    <w:rsid w:val="00945FAB"/>
    <w:rsid w:val="00946007"/>
    <w:rsid w:val="00947029"/>
    <w:rsid w:val="00947FF9"/>
    <w:rsid w:val="00950281"/>
    <w:rsid w:val="00950544"/>
    <w:rsid w:val="0095073E"/>
    <w:rsid w:val="0095203B"/>
    <w:rsid w:val="00952249"/>
    <w:rsid w:val="00957D50"/>
    <w:rsid w:val="00960946"/>
    <w:rsid w:val="00960D67"/>
    <w:rsid w:val="009614EF"/>
    <w:rsid w:val="00962061"/>
    <w:rsid w:val="00963B20"/>
    <w:rsid w:val="00965079"/>
    <w:rsid w:val="0096560A"/>
    <w:rsid w:val="009706AD"/>
    <w:rsid w:val="00971789"/>
    <w:rsid w:val="00972000"/>
    <w:rsid w:val="00973240"/>
    <w:rsid w:val="00973EEE"/>
    <w:rsid w:val="009754F5"/>
    <w:rsid w:val="009779AC"/>
    <w:rsid w:val="00980B86"/>
    <w:rsid w:val="00981888"/>
    <w:rsid w:val="0098304A"/>
    <w:rsid w:val="00983A46"/>
    <w:rsid w:val="00984ADA"/>
    <w:rsid w:val="009869EE"/>
    <w:rsid w:val="0099283C"/>
    <w:rsid w:val="00992E98"/>
    <w:rsid w:val="009934B7"/>
    <w:rsid w:val="00995E2E"/>
    <w:rsid w:val="0099638E"/>
    <w:rsid w:val="0099732E"/>
    <w:rsid w:val="009A1153"/>
    <w:rsid w:val="009A2A8F"/>
    <w:rsid w:val="009A2EFD"/>
    <w:rsid w:val="009A507E"/>
    <w:rsid w:val="009A6174"/>
    <w:rsid w:val="009A71AD"/>
    <w:rsid w:val="009B3B25"/>
    <w:rsid w:val="009B63FB"/>
    <w:rsid w:val="009B67CE"/>
    <w:rsid w:val="009B69D6"/>
    <w:rsid w:val="009B7CB2"/>
    <w:rsid w:val="009C0132"/>
    <w:rsid w:val="009C559D"/>
    <w:rsid w:val="009C6CE2"/>
    <w:rsid w:val="009D4DE6"/>
    <w:rsid w:val="009E1355"/>
    <w:rsid w:val="009E2316"/>
    <w:rsid w:val="009E2B54"/>
    <w:rsid w:val="009E2BBD"/>
    <w:rsid w:val="009E3BF5"/>
    <w:rsid w:val="009E57F7"/>
    <w:rsid w:val="009E5A55"/>
    <w:rsid w:val="009E6378"/>
    <w:rsid w:val="009E7A8D"/>
    <w:rsid w:val="009F0A7D"/>
    <w:rsid w:val="009F1D57"/>
    <w:rsid w:val="009F1ED1"/>
    <w:rsid w:val="009F218E"/>
    <w:rsid w:val="009F2545"/>
    <w:rsid w:val="009F59CA"/>
    <w:rsid w:val="009F7488"/>
    <w:rsid w:val="00A03FC4"/>
    <w:rsid w:val="00A04040"/>
    <w:rsid w:val="00A04B97"/>
    <w:rsid w:val="00A1174E"/>
    <w:rsid w:val="00A11DC4"/>
    <w:rsid w:val="00A13321"/>
    <w:rsid w:val="00A16540"/>
    <w:rsid w:val="00A17702"/>
    <w:rsid w:val="00A2062E"/>
    <w:rsid w:val="00A209BA"/>
    <w:rsid w:val="00A218E9"/>
    <w:rsid w:val="00A24122"/>
    <w:rsid w:val="00A25C66"/>
    <w:rsid w:val="00A25CC7"/>
    <w:rsid w:val="00A25E90"/>
    <w:rsid w:val="00A27E01"/>
    <w:rsid w:val="00A30398"/>
    <w:rsid w:val="00A3154F"/>
    <w:rsid w:val="00A3210B"/>
    <w:rsid w:val="00A3393F"/>
    <w:rsid w:val="00A352C0"/>
    <w:rsid w:val="00A35FCC"/>
    <w:rsid w:val="00A40272"/>
    <w:rsid w:val="00A40A86"/>
    <w:rsid w:val="00A43411"/>
    <w:rsid w:val="00A435CE"/>
    <w:rsid w:val="00A44176"/>
    <w:rsid w:val="00A45884"/>
    <w:rsid w:val="00A4592F"/>
    <w:rsid w:val="00A46752"/>
    <w:rsid w:val="00A47C26"/>
    <w:rsid w:val="00A47ED7"/>
    <w:rsid w:val="00A52E90"/>
    <w:rsid w:val="00A572F6"/>
    <w:rsid w:val="00A63931"/>
    <w:rsid w:val="00A63C04"/>
    <w:rsid w:val="00A63F77"/>
    <w:rsid w:val="00A653BA"/>
    <w:rsid w:val="00A7029F"/>
    <w:rsid w:val="00A70DBE"/>
    <w:rsid w:val="00A7315A"/>
    <w:rsid w:val="00A73D0B"/>
    <w:rsid w:val="00A73E8A"/>
    <w:rsid w:val="00A753B5"/>
    <w:rsid w:val="00A75E04"/>
    <w:rsid w:val="00A77961"/>
    <w:rsid w:val="00A77B1A"/>
    <w:rsid w:val="00A81404"/>
    <w:rsid w:val="00A81801"/>
    <w:rsid w:val="00A82359"/>
    <w:rsid w:val="00A8630B"/>
    <w:rsid w:val="00A91316"/>
    <w:rsid w:val="00A9302E"/>
    <w:rsid w:val="00A93D94"/>
    <w:rsid w:val="00A94111"/>
    <w:rsid w:val="00A95928"/>
    <w:rsid w:val="00A965F8"/>
    <w:rsid w:val="00AA038E"/>
    <w:rsid w:val="00AA3089"/>
    <w:rsid w:val="00AA3B85"/>
    <w:rsid w:val="00AA483A"/>
    <w:rsid w:val="00AA6EA6"/>
    <w:rsid w:val="00AB04D8"/>
    <w:rsid w:val="00AB1CD4"/>
    <w:rsid w:val="00AB22D3"/>
    <w:rsid w:val="00AB2CC2"/>
    <w:rsid w:val="00AB2D05"/>
    <w:rsid w:val="00AB327A"/>
    <w:rsid w:val="00AB3FB4"/>
    <w:rsid w:val="00AB4582"/>
    <w:rsid w:val="00AB4643"/>
    <w:rsid w:val="00AB4973"/>
    <w:rsid w:val="00AB5ED4"/>
    <w:rsid w:val="00AB789B"/>
    <w:rsid w:val="00AB7E9D"/>
    <w:rsid w:val="00AC29E2"/>
    <w:rsid w:val="00AC443B"/>
    <w:rsid w:val="00AC54EB"/>
    <w:rsid w:val="00AC56B5"/>
    <w:rsid w:val="00AC610D"/>
    <w:rsid w:val="00AD3B73"/>
    <w:rsid w:val="00AD7CEE"/>
    <w:rsid w:val="00AE0730"/>
    <w:rsid w:val="00AE39D8"/>
    <w:rsid w:val="00AE4DC5"/>
    <w:rsid w:val="00AE52EC"/>
    <w:rsid w:val="00AE5922"/>
    <w:rsid w:val="00AE7264"/>
    <w:rsid w:val="00AF2978"/>
    <w:rsid w:val="00AF47CC"/>
    <w:rsid w:val="00AF4B6E"/>
    <w:rsid w:val="00AF532A"/>
    <w:rsid w:val="00AF72ED"/>
    <w:rsid w:val="00B00774"/>
    <w:rsid w:val="00B00FA2"/>
    <w:rsid w:val="00B013F6"/>
    <w:rsid w:val="00B01E79"/>
    <w:rsid w:val="00B03030"/>
    <w:rsid w:val="00B0444D"/>
    <w:rsid w:val="00B04561"/>
    <w:rsid w:val="00B05409"/>
    <w:rsid w:val="00B062D8"/>
    <w:rsid w:val="00B0678E"/>
    <w:rsid w:val="00B07993"/>
    <w:rsid w:val="00B07B4C"/>
    <w:rsid w:val="00B10D19"/>
    <w:rsid w:val="00B1317A"/>
    <w:rsid w:val="00B13C04"/>
    <w:rsid w:val="00B13C83"/>
    <w:rsid w:val="00B14020"/>
    <w:rsid w:val="00B15BED"/>
    <w:rsid w:val="00B16755"/>
    <w:rsid w:val="00B16CB2"/>
    <w:rsid w:val="00B16F92"/>
    <w:rsid w:val="00B17610"/>
    <w:rsid w:val="00B17CAE"/>
    <w:rsid w:val="00B23539"/>
    <w:rsid w:val="00B23C66"/>
    <w:rsid w:val="00B247F8"/>
    <w:rsid w:val="00B24A8E"/>
    <w:rsid w:val="00B24C56"/>
    <w:rsid w:val="00B251C4"/>
    <w:rsid w:val="00B26441"/>
    <w:rsid w:val="00B30182"/>
    <w:rsid w:val="00B30C9E"/>
    <w:rsid w:val="00B315A5"/>
    <w:rsid w:val="00B3450B"/>
    <w:rsid w:val="00B36E49"/>
    <w:rsid w:val="00B37051"/>
    <w:rsid w:val="00B37BE6"/>
    <w:rsid w:val="00B409A8"/>
    <w:rsid w:val="00B40B31"/>
    <w:rsid w:val="00B41604"/>
    <w:rsid w:val="00B41D96"/>
    <w:rsid w:val="00B434F7"/>
    <w:rsid w:val="00B438BA"/>
    <w:rsid w:val="00B44E9B"/>
    <w:rsid w:val="00B44F1A"/>
    <w:rsid w:val="00B469D4"/>
    <w:rsid w:val="00B50F53"/>
    <w:rsid w:val="00B51C3A"/>
    <w:rsid w:val="00B51DB1"/>
    <w:rsid w:val="00B52C8E"/>
    <w:rsid w:val="00B53053"/>
    <w:rsid w:val="00B54A96"/>
    <w:rsid w:val="00B54B80"/>
    <w:rsid w:val="00B54FEA"/>
    <w:rsid w:val="00B5638D"/>
    <w:rsid w:val="00B569B3"/>
    <w:rsid w:val="00B5767C"/>
    <w:rsid w:val="00B602D8"/>
    <w:rsid w:val="00B648D3"/>
    <w:rsid w:val="00B65D0C"/>
    <w:rsid w:val="00B663B3"/>
    <w:rsid w:val="00B66589"/>
    <w:rsid w:val="00B675A6"/>
    <w:rsid w:val="00B67669"/>
    <w:rsid w:val="00B700B6"/>
    <w:rsid w:val="00B70172"/>
    <w:rsid w:val="00B70D6E"/>
    <w:rsid w:val="00B72F23"/>
    <w:rsid w:val="00B76E36"/>
    <w:rsid w:val="00B77FAE"/>
    <w:rsid w:val="00B80283"/>
    <w:rsid w:val="00B80770"/>
    <w:rsid w:val="00B811DF"/>
    <w:rsid w:val="00B82202"/>
    <w:rsid w:val="00B83466"/>
    <w:rsid w:val="00B85D5F"/>
    <w:rsid w:val="00B87685"/>
    <w:rsid w:val="00B93BA5"/>
    <w:rsid w:val="00B93CE7"/>
    <w:rsid w:val="00B9506F"/>
    <w:rsid w:val="00B96C0D"/>
    <w:rsid w:val="00B97662"/>
    <w:rsid w:val="00B9766E"/>
    <w:rsid w:val="00BA046D"/>
    <w:rsid w:val="00BA09D7"/>
    <w:rsid w:val="00BA722B"/>
    <w:rsid w:val="00BA7933"/>
    <w:rsid w:val="00BB0A38"/>
    <w:rsid w:val="00BB285A"/>
    <w:rsid w:val="00BB4EE7"/>
    <w:rsid w:val="00BB4F7D"/>
    <w:rsid w:val="00BB6F46"/>
    <w:rsid w:val="00BC110D"/>
    <w:rsid w:val="00BC17D6"/>
    <w:rsid w:val="00BC3374"/>
    <w:rsid w:val="00BC3B7A"/>
    <w:rsid w:val="00BC4E21"/>
    <w:rsid w:val="00BC5152"/>
    <w:rsid w:val="00BC52D8"/>
    <w:rsid w:val="00BC6DD6"/>
    <w:rsid w:val="00BD1682"/>
    <w:rsid w:val="00BE037B"/>
    <w:rsid w:val="00BE180F"/>
    <w:rsid w:val="00BE1C9D"/>
    <w:rsid w:val="00BF0412"/>
    <w:rsid w:val="00BF1049"/>
    <w:rsid w:val="00BF2A19"/>
    <w:rsid w:val="00BF3233"/>
    <w:rsid w:val="00BF73D5"/>
    <w:rsid w:val="00C01E4B"/>
    <w:rsid w:val="00C05930"/>
    <w:rsid w:val="00C05D0A"/>
    <w:rsid w:val="00C110F2"/>
    <w:rsid w:val="00C12FD0"/>
    <w:rsid w:val="00C1521F"/>
    <w:rsid w:val="00C17D68"/>
    <w:rsid w:val="00C17DE9"/>
    <w:rsid w:val="00C20C80"/>
    <w:rsid w:val="00C2128E"/>
    <w:rsid w:val="00C21531"/>
    <w:rsid w:val="00C24A75"/>
    <w:rsid w:val="00C27C9E"/>
    <w:rsid w:val="00C302A2"/>
    <w:rsid w:val="00C3307F"/>
    <w:rsid w:val="00C336F7"/>
    <w:rsid w:val="00C351F6"/>
    <w:rsid w:val="00C35762"/>
    <w:rsid w:val="00C358CE"/>
    <w:rsid w:val="00C37B60"/>
    <w:rsid w:val="00C4167D"/>
    <w:rsid w:val="00C41B96"/>
    <w:rsid w:val="00C4367D"/>
    <w:rsid w:val="00C5089D"/>
    <w:rsid w:val="00C51447"/>
    <w:rsid w:val="00C51F4F"/>
    <w:rsid w:val="00C5423C"/>
    <w:rsid w:val="00C5512C"/>
    <w:rsid w:val="00C556C9"/>
    <w:rsid w:val="00C566DF"/>
    <w:rsid w:val="00C56FCC"/>
    <w:rsid w:val="00C6169B"/>
    <w:rsid w:val="00C61A7D"/>
    <w:rsid w:val="00C62626"/>
    <w:rsid w:val="00C62646"/>
    <w:rsid w:val="00C63431"/>
    <w:rsid w:val="00C66737"/>
    <w:rsid w:val="00C66BD6"/>
    <w:rsid w:val="00C720F2"/>
    <w:rsid w:val="00C7331C"/>
    <w:rsid w:val="00C750A9"/>
    <w:rsid w:val="00C75F58"/>
    <w:rsid w:val="00C80534"/>
    <w:rsid w:val="00C82993"/>
    <w:rsid w:val="00C84358"/>
    <w:rsid w:val="00C845A2"/>
    <w:rsid w:val="00C84BE3"/>
    <w:rsid w:val="00C8535A"/>
    <w:rsid w:val="00C85382"/>
    <w:rsid w:val="00C86578"/>
    <w:rsid w:val="00C86725"/>
    <w:rsid w:val="00C900AD"/>
    <w:rsid w:val="00C92A21"/>
    <w:rsid w:val="00C951D8"/>
    <w:rsid w:val="00C95DA2"/>
    <w:rsid w:val="00C96BDA"/>
    <w:rsid w:val="00CA11B4"/>
    <w:rsid w:val="00CA4A35"/>
    <w:rsid w:val="00CA761C"/>
    <w:rsid w:val="00CB0113"/>
    <w:rsid w:val="00CB04C8"/>
    <w:rsid w:val="00CB05FE"/>
    <w:rsid w:val="00CB0B2E"/>
    <w:rsid w:val="00CB1123"/>
    <w:rsid w:val="00CB12EA"/>
    <w:rsid w:val="00CB14B5"/>
    <w:rsid w:val="00CB2127"/>
    <w:rsid w:val="00CB25FE"/>
    <w:rsid w:val="00CB2625"/>
    <w:rsid w:val="00CB34A6"/>
    <w:rsid w:val="00CB405B"/>
    <w:rsid w:val="00CB5340"/>
    <w:rsid w:val="00CB54DB"/>
    <w:rsid w:val="00CB66A6"/>
    <w:rsid w:val="00CB6CC2"/>
    <w:rsid w:val="00CB79A9"/>
    <w:rsid w:val="00CC1CCE"/>
    <w:rsid w:val="00CC37C2"/>
    <w:rsid w:val="00CC72F6"/>
    <w:rsid w:val="00CC7BE1"/>
    <w:rsid w:val="00CD0315"/>
    <w:rsid w:val="00CD0645"/>
    <w:rsid w:val="00CD0BDE"/>
    <w:rsid w:val="00CD2ACC"/>
    <w:rsid w:val="00CD2E33"/>
    <w:rsid w:val="00CD3398"/>
    <w:rsid w:val="00CD4728"/>
    <w:rsid w:val="00CD5682"/>
    <w:rsid w:val="00CD59B2"/>
    <w:rsid w:val="00CD5E5E"/>
    <w:rsid w:val="00CD6062"/>
    <w:rsid w:val="00CD7311"/>
    <w:rsid w:val="00CD762E"/>
    <w:rsid w:val="00CD798A"/>
    <w:rsid w:val="00CE0219"/>
    <w:rsid w:val="00CE1F8E"/>
    <w:rsid w:val="00CE2C77"/>
    <w:rsid w:val="00CE46AD"/>
    <w:rsid w:val="00CE6C58"/>
    <w:rsid w:val="00CE6DC6"/>
    <w:rsid w:val="00CE71B7"/>
    <w:rsid w:val="00CF18EB"/>
    <w:rsid w:val="00CF39E8"/>
    <w:rsid w:val="00CF45FA"/>
    <w:rsid w:val="00CF4E12"/>
    <w:rsid w:val="00CF6AD7"/>
    <w:rsid w:val="00D00027"/>
    <w:rsid w:val="00D01A75"/>
    <w:rsid w:val="00D01F3F"/>
    <w:rsid w:val="00D01F76"/>
    <w:rsid w:val="00D029FF"/>
    <w:rsid w:val="00D0344F"/>
    <w:rsid w:val="00D0389A"/>
    <w:rsid w:val="00D04AE7"/>
    <w:rsid w:val="00D065DF"/>
    <w:rsid w:val="00D11200"/>
    <w:rsid w:val="00D12982"/>
    <w:rsid w:val="00D129C9"/>
    <w:rsid w:val="00D13DE4"/>
    <w:rsid w:val="00D14D2A"/>
    <w:rsid w:val="00D172F8"/>
    <w:rsid w:val="00D17EB0"/>
    <w:rsid w:val="00D208C6"/>
    <w:rsid w:val="00D238F1"/>
    <w:rsid w:val="00D24465"/>
    <w:rsid w:val="00D24FD7"/>
    <w:rsid w:val="00D25AE9"/>
    <w:rsid w:val="00D27D32"/>
    <w:rsid w:val="00D30761"/>
    <w:rsid w:val="00D314A1"/>
    <w:rsid w:val="00D318DB"/>
    <w:rsid w:val="00D31CD1"/>
    <w:rsid w:val="00D31FE8"/>
    <w:rsid w:val="00D32328"/>
    <w:rsid w:val="00D331E5"/>
    <w:rsid w:val="00D40762"/>
    <w:rsid w:val="00D40C47"/>
    <w:rsid w:val="00D418E0"/>
    <w:rsid w:val="00D41C74"/>
    <w:rsid w:val="00D42AD0"/>
    <w:rsid w:val="00D437D0"/>
    <w:rsid w:val="00D43E4C"/>
    <w:rsid w:val="00D446E1"/>
    <w:rsid w:val="00D45459"/>
    <w:rsid w:val="00D45CB6"/>
    <w:rsid w:val="00D4604B"/>
    <w:rsid w:val="00D50C2E"/>
    <w:rsid w:val="00D5402D"/>
    <w:rsid w:val="00D54DC3"/>
    <w:rsid w:val="00D6009A"/>
    <w:rsid w:val="00D624F5"/>
    <w:rsid w:val="00D625F4"/>
    <w:rsid w:val="00D62C3A"/>
    <w:rsid w:val="00D63666"/>
    <w:rsid w:val="00D6643B"/>
    <w:rsid w:val="00D66937"/>
    <w:rsid w:val="00D6729F"/>
    <w:rsid w:val="00D701FE"/>
    <w:rsid w:val="00D70509"/>
    <w:rsid w:val="00D70FD5"/>
    <w:rsid w:val="00D7217D"/>
    <w:rsid w:val="00D727C0"/>
    <w:rsid w:val="00D73453"/>
    <w:rsid w:val="00D74515"/>
    <w:rsid w:val="00D745DC"/>
    <w:rsid w:val="00D75D63"/>
    <w:rsid w:val="00D76C8B"/>
    <w:rsid w:val="00D76E34"/>
    <w:rsid w:val="00D808C3"/>
    <w:rsid w:val="00D8645C"/>
    <w:rsid w:val="00D86998"/>
    <w:rsid w:val="00D872D1"/>
    <w:rsid w:val="00D8761F"/>
    <w:rsid w:val="00D900C9"/>
    <w:rsid w:val="00D90E34"/>
    <w:rsid w:val="00D920A1"/>
    <w:rsid w:val="00D926D6"/>
    <w:rsid w:val="00D927B6"/>
    <w:rsid w:val="00D937B3"/>
    <w:rsid w:val="00D93859"/>
    <w:rsid w:val="00D9560C"/>
    <w:rsid w:val="00D9626E"/>
    <w:rsid w:val="00D9751E"/>
    <w:rsid w:val="00DA0067"/>
    <w:rsid w:val="00DA0FC8"/>
    <w:rsid w:val="00DA2BDA"/>
    <w:rsid w:val="00DA2BE7"/>
    <w:rsid w:val="00DA398D"/>
    <w:rsid w:val="00DA3D13"/>
    <w:rsid w:val="00DA686C"/>
    <w:rsid w:val="00DA6B21"/>
    <w:rsid w:val="00DB23ED"/>
    <w:rsid w:val="00DB31F3"/>
    <w:rsid w:val="00DB3355"/>
    <w:rsid w:val="00DB3DD3"/>
    <w:rsid w:val="00DB4E67"/>
    <w:rsid w:val="00DB5386"/>
    <w:rsid w:val="00DB5819"/>
    <w:rsid w:val="00DB7369"/>
    <w:rsid w:val="00DC0974"/>
    <w:rsid w:val="00DC0BBD"/>
    <w:rsid w:val="00DC0E82"/>
    <w:rsid w:val="00DC1756"/>
    <w:rsid w:val="00DC1E30"/>
    <w:rsid w:val="00DC217B"/>
    <w:rsid w:val="00DC2CD9"/>
    <w:rsid w:val="00DC3276"/>
    <w:rsid w:val="00DC3EE1"/>
    <w:rsid w:val="00DC4649"/>
    <w:rsid w:val="00DC55AB"/>
    <w:rsid w:val="00DC754E"/>
    <w:rsid w:val="00DC77B9"/>
    <w:rsid w:val="00DD09DB"/>
    <w:rsid w:val="00DD2181"/>
    <w:rsid w:val="00DD4850"/>
    <w:rsid w:val="00DD4EED"/>
    <w:rsid w:val="00DD58A6"/>
    <w:rsid w:val="00DD6780"/>
    <w:rsid w:val="00DD7699"/>
    <w:rsid w:val="00DE01A4"/>
    <w:rsid w:val="00DE0863"/>
    <w:rsid w:val="00DE0D87"/>
    <w:rsid w:val="00DE3417"/>
    <w:rsid w:val="00DE3F5D"/>
    <w:rsid w:val="00DE430B"/>
    <w:rsid w:val="00DE6C2B"/>
    <w:rsid w:val="00DE76CB"/>
    <w:rsid w:val="00DF1702"/>
    <w:rsid w:val="00DF190B"/>
    <w:rsid w:val="00DF5D12"/>
    <w:rsid w:val="00DF637F"/>
    <w:rsid w:val="00DF6B5E"/>
    <w:rsid w:val="00DF7F70"/>
    <w:rsid w:val="00E00195"/>
    <w:rsid w:val="00E0276C"/>
    <w:rsid w:val="00E04F84"/>
    <w:rsid w:val="00E05993"/>
    <w:rsid w:val="00E05A73"/>
    <w:rsid w:val="00E05B1C"/>
    <w:rsid w:val="00E06FF5"/>
    <w:rsid w:val="00E076D2"/>
    <w:rsid w:val="00E1392A"/>
    <w:rsid w:val="00E14001"/>
    <w:rsid w:val="00E1413D"/>
    <w:rsid w:val="00E14269"/>
    <w:rsid w:val="00E14796"/>
    <w:rsid w:val="00E148DC"/>
    <w:rsid w:val="00E166BE"/>
    <w:rsid w:val="00E16BFB"/>
    <w:rsid w:val="00E20E2B"/>
    <w:rsid w:val="00E21990"/>
    <w:rsid w:val="00E21ADE"/>
    <w:rsid w:val="00E22F33"/>
    <w:rsid w:val="00E2378E"/>
    <w:rsid w:val="00E25172"/>
    <w:rsid w:val="00E27E09"/>
    <w:rsid w:val="00E30EA7"/>
    <w:rsid w:val="00E32427"/>
    <w:rsid w:val="00E34445"/>
    <w:rsid w:val="00E345BD"/>
    <w:rsid w:val="00E35FC5"/>
    <w:rsid w:val="00E36CC5"/>
    <w:rsid w:val="00E37AF4"/>
    <w:rsid w:val="00E37F84"/>
    <w:rsid w:val="00E40CB7"/>
    <w:rsid w:val="00E410E1"/>
    <w:rsid w:val="00E412CA"/>
    <w:rsid w:val="00E42179"/>
    <w:rsid w:val="00E4347C"/>
    <w:rsid w:val="00E44E82"/>
    <w:rsid w:val="00E4668D"/>
    <w:rsid w:val="00E467F6"/>
    <w:rsid w:val="00E478C1"/>
    <w:rsid w:val="00E50A3F"/>
    <w:rsid w:val="00E50BA8"/>
    <w:rsid w:val="00E5759B"/>
    <w:rsid w:val="00E600D0"/>
    <w:rsid w:val="00E602C8"/>
    <w:rsid w:val="00E638C0"/>
    <w:rsid w:val="00E646C5"/>
    <w:rsid w:val="00E65B1D"/>
    <w:rsid w:val="00E65B99"/>
    <w:rsid w:val="00E66567"/>
    <w:rsid w:val="00E66EF5"/>
    <w:rsid w:val="00E67E9B"/>
    <w:rsid w:val="00E70AB6"/>
    <w:rsid w:val="00E713F1"/>
    <w:rsid w:val="00E71C1C"/>
    <w:rsid w:val="00E71EA2"/>
    <w:rsid w:val="00E721CD"/>
    <w:rsid w:val="00E729FD"/>
    <w:rsid w:val="00E73B27"/>
    <w:rsid w:val="00E73BA0"/>
    <w:rsid w:val="00E743A5"/>
    <w:rsid w:val="00E74AD1"/>
    <w:rsid w:val="00E74E53"/>
    <w:rsid w:val="00E824FE"/>
    <w:rsid w:val="00E8266C"/>
    <w:rsid w:val="00E8273E"/>
    <w:rsid w:val="00E82BB5"/>
    <w:rsid w:val="00E87492"/>
    <w:rsid w:val="00E91E72"/>
    <w:rsid w:val="00E929A9"/>
    <w:rsid w:val="00E93BB8"/>
    <w:rsid w:val="00E954D1"/>
    <w:rsid w:val="00E965A9"/>
    <w:rsid w:val="00E97015"/>
    <w:rsid w:val="00EA1360"/>
    <w:rsid w:val="00EA23DF"/>
    <w:rsid w:val="00EA28FB"/>
    <w:rsid w:val="00EA292A"/>
    <w:rsid w:val="00EA2C1F"/>
    <w:rsid w:val="00EA3249"/>
    <w:rsid w:val="00EA3730"/>
    <w:rsid w:val="00EA3E5E"/>
    <w:rsid w:val="00EA51FD"/>
    <w:rsid w:val="00EA5480"/>
    <w:rsid w:val="00EA643D"/>
    <w:rsid w:val="00EA67CE"/>
    <w:rsid w:val="00EB06D9"/>
    <w:rsid w:val="00EB13D5"/>
    <w:rsid w:val="00EB2EB1"/>
    <w:rsid w:val="00EB30AB"/>
    <w:rsid w:val="00EB4075"/>
    <w:rsid w:val="00EB52A0"/>
    <w:rsid w:val="00EB5AE9"/>
    <w:rsid w:val="00EB64FB"/>
    <w:rsid w:val="00EB6920"/>
    <w:rsid w:val="00EB730D"/>
    <w:rsid w:val="00EC0353"/>
    <w:rsid w:val="00EC36FE"/>
    <w:rsid w:val="00EC4743"/>
    <w:rsid w:val="00EC513F"/>
    <w:rsid w:val="00EC51DF"/>
    <w:rsid w:val="00EC7A3A"/>
    <w:rsid w:val="00EC7FAA"/>
    <w:rsid w:val="00ED0130"/>
    <w:rsid w:val="00ED3426"/>
    <w:rsid w:val="00ED4FB2"/>
    <w:rsid w:val="00ED52AF"/>
    <w:rsid w:val="00EE5492"/>
    <w:rsid w:val="00EE5FFB"/>
    <w:rsid w:val="00EE6500"/>
    <w:rsid w:val="00EE7FB8"/>
    <w:rsid w:val="00EF0CE8"/>
    <w:rsid w:val="00EF1C11"/>
    <w:rsid w:val="00EF1E66"/>
    <w:rsid w:val="00EF4EF1"/>
    <w:rsid w:val="00EF5DF7"/>
    <w:rsid w:val="00F0031C"/>
    <w:rsid w:val="00F0107D"/>
    <w:rsid w:val="00F019C2"/>
    <w:rsid w:val="00F0372F"/>
    <w:rsid w:val="00F06D1E"/>
    <w:rsid w:val="00F077F5"/>
    <w:rsid w:val="00F10A00"/>
    <w:rsid w:val="00F11865"/>
    <w:rsid w:val="00F11DBB"/>
    <w:rsid w:val="00F12C8E"/>
    <w:rsid w:val="00F12D94"/>
    <w:rsid w:val="00F13186"/>
    <w:rsid w:val="00F13E09"/>
    <w:rsid w:val="00F143CE"/>
    <w:rsid w:val="00F14657"/>
    <w:rsid w:val="00F14B70"/>
    <w:rsid w:val="00F15BE9"/>
    <w:rsid w:val="00F21987"/>
    <w:rsid w:val="00F24373"/>
    <w:rsid w:val="00F26CCA"/>
    <w:rsid w:val="00F27E68"/>
    <w:rsid w:val="00F306FE"/>
    <w:rsid w:val="00F31C1F"/>
    <w:rsid w:val="00F3428F"/>
    <w:rsid w:val="00F3498A"/>
    <w:rsid w:val="00F34AB3"/>
    <w:rsid w:val="00F35A61"/>
    <w:rsid w:val="00F35DFF"/>
    <w:rsid w:val="00F3785F"/>
    <w:rsid w:val="00F37A26"/>
    <w:rsid w:val="00F42CB8"/>
    <w:rsid w:val="00F4456B"/>
    <w:rsid w:val="00F456FB"/>
    <w:rsid w:val="00F464A1"/>
    <w:rsid w:val="00F51943"/>
    <w:rsid w:val="00F527E8"/>
    <w:rsid w:val="00F541D3"/>
    <w:rsid w:val="00F5493E"/>
    <w:rsid w:val="00F55A16"/>
    <w:rsid w:val="00F57970"/>
    <w:rsid w:val="00F64AA4"/>
    <w:rsid w:val="00F6522C"/>
    <w:rsid w:val="00F6678F"/>
    <w:rsid w:val="00F668E8"/>
    <w:rsid w:val="00F67E3A"/>
    <w:rsid w:val="00F7043E"/>
    <w:rsid w:val="00F753A3"/>
    <w:rsid w:val="00F774EB"/>
    <w:rsid w:val="00F828CE"/>
    <w:rsid w:val="00F90086"/>
    <w:rsid w:val="00F91C14"/>
    <w:rsid w:val="00F94715"/>
    <w:rsid w:val="00F961E2"/>
    <w:rsid w:val="00F97419"/>
    <w:rsid w:val="00FA0360"/>
    <w:rsid w:val="00FA1916"/>
    <w:rsid w:val="00FA2043"/>
    <w:rsid w:val="00FA493C"/>
    <w:rsid w:val="00FB16A6"/>
    <w:rsid w:val="00FB1F05"/>
    <w:rsid w:val="00FB4E34"/>
    <w:rsid w:val="00FB5184"/>
    <w:rsid w:val="00FB63ED"/>
    <w:rsid w:val="00FC1A2C"/>
    <w:rsid w:val="00FC290C"/>
    <w:rsid w:val="00FD307A"/>
    <w:rsid w:val="00FD49CE"/>
    <w:rsid w:val="00FD72DD"/>
    <w:rsid w:val="00FD7313"/>
    <w:rsid w:val="00FE165F"/>
    <w:rsid w:val="00FE1762"/>
    <w:rsid w:val="00FE3FAC"/>
    <w:rsid w:val="00FE49F5"/>
    <w:rsid w:val="00FE588F"/>
    <w:rsid w:val="00FF0810"/>
    <w:rsid w:val="00FF3752"/>
    <w:rsid w:val="00FF3B2D"/>
    <w:rsid w:val="00FF3B88"/>
    <w:rsid w:val="00FF3E33"/>
    <w:rsid w:val="00FF42A7"/>
    <w:rsid w:val="00FF5BA6"/>
    <w:rsid w:val="00FF5E5D"/>
    <w:rsid w:val="00FF5F6D"/>
    <w:rsid w:val="00FF694C"/>
    <w:rsid w:val="00FF7F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9526FD4"/>
  <w15:chartTrackingRefBased/>
  <w15:docId w15:val="{2482C3FD-5278-8B44-BF63-7505ABFB1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3586"/>
    <w:rPr>
      <w:color w:val="0563C1" w:themeColor="hyperlink"/>
      <w:u w:val="single"/>
    </w:rPr>
  </w:style>
  <w:style w:type="character" w:customStyle="1" w:styleId="markdlfup2q13">
    <w:name w:val="markdlfup2q13"/>
    <w:basedOn w:val="DefaultParagraphFont"/>
    <w:qFormat/>
    <w:rsid w:val="00143586"/>
  </w:style>
  <w:style w:type="table" w:styleId="TableGrid">
    <w:name w:val="Table Grid"/>
    <w:basedOn w:val="TableNormal"/>
    <w:uiPriority w:val="39"/>
    <w:rsid w:val="00143586"/>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43586"/>
    <w:pPr>
      <w:suppressAutoHyphens/>
      <w:ind w:left="720"/>
      <w:contextualSpacing/>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eston.us/laboratory-furniture/lab-tables" TargetMode="External"/><Relationship Id="rId13" Type="http://schemas.openxmlformats.org/officeDocument/2006/relationships/hyperlink" Target="https://www.google.com/search?client=ubuntu-chr&amp;sca_esv=3cee1893cc017301&amp;cs=0&amp;q=Freight+Elevators&amp;sa=X&amp;ved=2ahUKEwiCk6H_-8uOAxUx6ckDHRaMC04QxccNegQIEBAB&amp;mstk=AUtExfBIatBrlBj8NHMQqrSXe6s2U5kv-Ne2Xb2EoDbBIHkuYWsqFAexAl_P9DQPjvf5wjsVQ4HZFq-94vYPNjpZ8RPsgss8y9FjBqRAUzyqC7algsgEGUDM_t4kSZLBxf0my_Q&amp;csui=3" TargetMode="External"/><Relationship Id="rId3" Type="http://schemas.openxmlformats.org/officeDocument/2006/relationships/settings" Target="settings.xml"/><Relationship Id="rId7" Type="http://schemas.openxmlformats.org/officeDocument/2006/relationships/hyperlink" Target="https://labfurnitureandfumehoods.com/" TargetMode="External"/><Relationship Id="rId12" Type="http://schemas.openxmlformats.org/officeDocument/2006/relationships/hyperlink" Target="https://herainc.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idmark.com/" TargetMode="External"/><Relationship Id="rId11" Type="http://schemas.openxmlformats.org/officeDocument/2006/relationships/hyperlink" Target="https://www.leclercqassocies.fr/en/projects/-139" TargetMode="External"/><Relationship Id="rId5" Type="http://schemas.openxmlformats.org/officeDocument/2006/relationships/hyperlink" Target="https://www.steelcase.com/" TargetMode="External"/><Relationship Id="rId15" Type="http://schemas.openxmlformats.org/officeDocument/2006/relationships/theme" Target="theme/theme1.xml"/><Relationship Id="rId10" Type="http://schemas.openxmlformats.org/officeDocument/2006/relationships/hyperlink" Target="https://en.wikipedia.org/wiki/A_Pattern_Language" TargetMode="External"/><Relationship Id="rId4" Type="http://schemas.openxmlformats.org/officeDocument/2006/relationships/webSettings" Target="webSettings.xml"/><Relationship Id="rId9" Type="http://schemas.openxmlformats.org/officeDocument/2006/relationships/hyperlink" Target="https://www.agati.com/space-types/courtroom_furnitur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7381</Words>
  <Characters>42075</Characters>
  <Application>Microsoft Office Word</Application>
  <DocSecurity>0</DocSecurity>
  <Lines>350</Lines>
  <Paragraphs>98</Paragraphs>
  <ScaleCrop>false</ScaleCrop>
  <Company/>
  <LinksUpToDate>false</LinksUpToDate>
  <CharactersWithSpaces>49358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M. Woodfine</dc:creator>
  <cp:keywords/>
  <dc:description/>
  <cp:lastModifiedBy>Jennifer M. Woodfine</cp:lastModifiedBy>
  <cp:revision>1</cp:revision>
  <dcterms:created xsi:type="dcterms:W3CDTF">2026-05-16T16:22:00Z</dcterms:created>
  <dcterms:modified xsi:type="dcterms:W3CDTF">2026-05-16T16:31:00Z</dcterms:modified>
</cp:coreProperties>
</file>