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6F" w:rsidRDefault="009A286F" w:rsidP="009A286F"/>
    <w:tbl>
      <w:tblPr>
        <w:tblW w:w="13680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970"/>
        <w:gridCol w:w="4680"/>
        <w:gridCol w:w="2160"/>
        <w:gridCol w:w="2520"/>
      </w:tblGrid>
      <w:tr w:rsidR="004B49C9" w:rsidTr="004B49C9">
        <w:trPr>
          <w:jc w:val="center"/>
        </w:trPr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4B49C9" w:rsidRDefault="004B49C9" w:rsidP="004B49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Officer reference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</w:tcPr>
          <w:p w:rsidR="004B49C9" w:rsidRDefault="004B49C9" w:rsidP="004B49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Cash flows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</w:tcPr>
          <w:p w:rsidR="004B49C9" w:rsidRDefault="004B49C9" w:rsidP="004B49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WACC definition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</w:tcPr>
          <w:p w:rsidR="004B49C9" w:rsidRDefault="004B49C9" w:rsidP="004B49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TN reference: perpetual debt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</w:tcPr>
          <w:p w:rsidR="004B49C9" w:rsidRDefault="004B49C9" w:rsidP="004B49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TN reference: proportional debt</w:t>
            </w:r>
          </w:p>
        </w:tc>
      </w:tr>
      <w:tr w:rsidR="004B49C9" w:rsidTr="004B49C9">
        <w:trPr>
          <w:jc w:val="center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101A3D" w:rsidP="004B4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1-τ</m:t>
                    </m:r>
                  </m:e>
                </m:d>
              </m:oMath>
            </m:oMathPara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WACC=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1-γ</m:t>
                            </m:r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1-τ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w:r>
              <w:t>TN4 Eq 7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</w:p>
        </w:tc>
      </w:tr>
      <w:tr w:rsidR="004B49C9" w:rsidTr="004B49C9">
        <w:trPr>
          <w:jc w:val="center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101A3D" w:rsidP="004B4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1-γ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WACC=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1-γ</m:t>
                        </m:r>
                      </m:e>
                    </m:d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726219" w:rsidP="004B49C9">
            <w:pPr>
              <w:jc w:val="center"/>
            </w:pPr>
            <w:r>
              <w:t>TN6 Eq</w:t>
            </w:r>
            <w:r w:rsidR="00DB6BC5">
              <w:t xml:space="preserve"> 4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700A02" w:rsidP="004B49C9">
            <w:pPr>
              <w:jc w:val="center"/>
            </w:pPr>
            <w:r>
              <w:t>TN5 Eq 8</w:t>
            </w:r>
          </w:p>
        </w:tc>
      </w:tr>
      <w:tr w:rsidR="004B49C9" w:rsidTr="004B49C9">
        <w:trPr>
          <w:jc w:val="center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101A3D" w:rsidP="00101A3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1-γ</m:t>
                    </m:r>
                  </m:e>
                </m:d>
              </m:oMath>
            </m:oMathPara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WACC=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w:r>
              <w:t>TN4 Eq 9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AF6895" w:rsidP="004B49C9">
            <w:pPr>
              <w:jc w:val="center"/>
            </w:pPr>
            <w:r>
              <w:t>TN6 Eq 6</w:t>
            </w:r>
          </w:p>
        </w:tc>
      </w:tr>
      <w:tr w:rsidR="004B49C9" w:rsidTr="004B49C9">
        <w:trPr>
          <w:jc w:val="center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w:r>
              <w:t>4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700A02" w:rsidP="00700A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1-τ</m:t>
                    </m:r>
                  </m:e>
                </m:d>
                <m:r>
                  <w:rPr>
                    <w:rFonts w:ascii="Cambria Math" w:hAnsi="Cambria Math"/>
                  </w:rPr>
                  <m:t>+γτ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4B49C9" w:rsidP="004B4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WACC=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1-τ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726219" w:rsidP="004B49C9">
            <w:pPr>
              <w:jc w:val="center"/>
            </w:pPr>
            <w:r>
              <w:t>TN6 Eq</w:t>
            </w:r>
            <w:r w:rsidR="002E4796">
              <w:t xml:space="preserve"> </w:t>
            </w:r>
            <w:r w:rsidR="00DB6BC5">
              <w:t>2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9C9" w:rsidRDefault="0094088A" w:rsidP="004B49C9">
            <w:pPr>
              <w:jc w:val="center"/>
            </w:pPr>
            <w:r>
              <w:t>TN6 Eq 8</w:t>
            </w:r>
          </w:p>
        </w:tc>
      </w:tr>
    </w:tbl>
    <w:p w:rsidR="00B31A2F" w:rsidRDefault="00B31A2F">
      <w:bookmarkStart w:id="0" w:name="_GoBack"/>
      <w:bookmarkEnd w:id="0"/>
    </w:p>
    <w:sectPr w:rsidR="00B31A2F" w:rsidSect="00332F6B">
      <w:headerReference w:type="default" r:id="rId8"/>
      <w:footerReference w:type="default" r:id="rId9"/>
      <w:pgSz w:w="16838" w:h="11906" w:orient="landscape" w:code="9"/>
      <w:pgMar w:top="1440" w:right="288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E3A" w:rsidRDefault="00943E3A">
      <w:r>
        <w:separator/>
      </w:r>
    </w:p>
  </w:endnote>
  <w:endnote w:type="continuationSeparator" w:id="0">
    <w:p w:rsidR="00943E3A" w:rsidRDefault="0094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DDA" w:rsidRDefault="006C7DDA">
    <w:pPr>
      <w:pStyle w:val="Footer"/>
      <w:pBdr>
        <w:top w:val="single" w:sz="2" w:space="1" w:color="auto"/>
      </w:pBdr>
      <w:jc w:val="center"/>
    </w:pP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332F6B"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332F6B"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E3A" w:rsidRDefault="00943E3A">
      <w:r>
        <w:separator/>
      </w:r>
    </w:p>
  </w:footnote>
  <w:footnote w:type="continuationSeparator" w:id="0">
    <w:p w:rsidR="00943E3A" w:rsidRDefault="00943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DDA" w:rsidRDefault="006C7DDA">
    <w:pPr>
      <w:rPr>
        <w:smallCaps/>
        <w:sz w:val="20"/>
        <w:szCs w:val="32"/>
      </w:rPr>
    </w:pPr>
    <w:r>
      <w:rPr>
        <w:smallCaps/>
        <w:sz w:val="20"/>
        <w:szCs w:val="32"/>
      </w:rPr>
      <w:t>Corporate Finance Teaching Note</w:t>
    </w:r>
  </w:p>
  <w:p w:rsidR="006C7DDA" w:rsidRDefault="00332F6B">
    <w:pPr>
      <w:pStyle w:val="Header"/>
      <w:pBdr>
        <w:bottom w:val="single" w:sz="2" w:space="1" w:color="auto"/>
      </w:pBdr>
    </w:pPr>
    <w:r>
      <w:rPr>
        <w:smallCaps/>
      </w:rPr>
      <w:t>Officer (1994) WACC Definitions</w:t>
    </w:r>
  </w:p>
  <w:p w:rsidR="006C7DDA" w:rsidRDefault="006C7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8A16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6AEF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D65D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0AC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42863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A28C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4D2D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92CC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B6A7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8602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B50840"/>
    <w:multiLevelType w:val="hybridMultilevel"/>
    <w:tmpl w:val="8FBA4D68"/>
    <w:lvl w:ilvl="0" w:tplc="056C76AE">
      <w:start w:val="1"/>
      <w:numFmt w:val="bullet"/>
      <w:pStyle w:val="bullet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858DA"/>
    <w:multiLevelType w:val="hybridMultilevel"/>
    <w:tmpl w:val="D8BE928C"/>
    <w:lvl w:ilvl="0" w:tplc="98A2130E">
      <w:start w:val="1"/>
      <w:numFmt w:val="bullet"/>
      <w:pStyle w:val="aim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A416D"/>
    <w:multiLevelType w:val="hybridMultilevel"/>
    <w:tmpl w:val="5C4C286C"/>
    <w:lvl w:ilvl="0" w:tplc="3312C0D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781CD6"/>
    <w:multiLevelType w:val="hybridMultilevel"/>
    <w:tmpl w:val="FDE60DA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E7A0B"/>
    <w:multiLevelType w:val="hybridMultilevel"/>
    <w:tmpl w:val="CF100FF2"/>
    <w:lvl w:ilvl="0" w:tplc="BDC6D604">
      <w:start w:val="1"/>
      <w:numFmt w:val="decimal"/>
      <w:pStyle w:val="numberedlist"/>
      <w:lvlText w:val="%1."/>
      <w:lvlJc w:val="left"/>
      <w:pPr>
        <w:tabs>
          <w:tab w:val="num" w:pos="1077"/>
        </w:tabs>
        <w:ind w:left="717" w:hanging="360"/>
      </w:pPr>
      <w:rPr>
        <w:rFonts w:ascii="Tahoma" w:hAnsi="Tahoma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9"/>
  </w:num>
  <w:num w:numId="5">
    <w:abstractNumId w:val="9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5"/>
  </w:num>
  <w:num w:numId="11">
    <w:abstractNumId w:val="5"/>
  </w:num>
  <w:num w:numId="12">
    <w:abstractNumId w:val="4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0"/>
  </w:num>
  <w:num w:numId="22">
    <w:abstractNumId w:val="0"/>
  </w:num>
  <w:num w:numId="23">
    <w:abstractNumId w:val="14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66"/>
    <w:rsid w:val="00012727"/>
    <w:rsid w:val="00012E10"/>
    <w:rsid w:val="0002627B"/>
    <w:rsid w:val="000C473B"/>
    <w:rsid w:val="00101A3D"/>
    <w:rsid w:val="00110EE7"/>
    <w:rsid w:val="001334B7"/>
    <w:rsid w:val="00180CBF"/>
    <w:rsid w:val="001E2BF3"/>
    <w:rsid w:val="001F0067"/>
    <w:rsid w:val="00201732"/>
    <w:rsid w:val="002D51DE"/>
    <w:rsid w:val="002E4796"/>
    <w:rsid w:val="003052DA"/>
    <w:rsid w:val="00332F6B"/>
    <w:rsid w:val="003639EF"/>
    <w:rsid w:val="003B192D"/>
    <w:rsid w:val="004333C1"/>
    <w:rsid w:val="0045049A"/>
    <w:rsid w:val="004937E6"/>
    <w:rsid w:val="004A3A91"/>
    <w:rsid w:val="004B49C9"/>
    <w:rsid w:val="00543D41"/>
    <w:rsid w:val="00573F7D"/>
    <w:rsid w:val="006856B7"/>
    <w:rsid w:val="006B6496"/>
    <w:rsid w:val="006C7DDA"/>
    <w:rsid w:val="00700A02"/>
    <w:rsid w:val="00726219"/>
    <w:rsid w:val="00792DA3"/>
    <w:rsid w:val="007C54AA"/>
    <w:rsid w:val="007F555B"/>
    <w:rsid w:val="00833569"/>
    <w:rsid w:val="00840945"/>
    <w:rsid w:val="00844966"/>
    <w:rsid w:val="00854F49"/>
    <w:rsid w:val="00874547"/>
    <w:rsid w:val="008B64AA"/>
    <w:rsid w:val="009112C7"/>
    <w:rsid w:val="0094088A"/>
    <w:rsid w:val="00943E3A"/>
    <w:rsid w:val="0097320B"/>
    <w:rsid w:val="00981C20"/>
    <w:rsid w:val="009A286F"/>
    <w:rsid w:val="009C0AAC"/>
    <w:rsid w:val="00A27732"/>
    <w:rsid w:val="00A27B61"/>
    <w:rsid w:val="00A81B6F"/>
    <w:rsid w:val="00AF6895"/>
    <w:rsid w:val="00B31A2F"/>
    <w:rsid w:val="00B35A0A"/>
    <w:rsid w:val="00B8312B"/>
    <w:rsid w:val="00BA47F8"/>
    <w:rsid w:val="00BE486E"/>
    <w:rsid w:val="00C077EA"/>
    <w:rsid w:val="00D3181B"/>
    <w:rsid w:val="00D32178"/>
    <w:rsid w:val="00DB6BC5"/>
    <w:rsid w:val="00DE13D7"/>
    <w:rsid w:val="00E15FC4"/>
    <w:rsid w:val="00E20E2C"/>
    <w:rsid w:val="00E77A35"/>
    <w:rsid w:val="00F072A8"/>
    <w:rsid w:val="00F5247F"/>
    <w:rsid w:val="00FE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A1934"/>
  <w15:docId w15:val="{490E5653-C6EB-4B63-BAB8-8248867D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ercompleting">
    <w:name w:val="aftercompleting"/>
    <w:basedOn w:val="PlainText"/>
    <w:next w:val="ListBullet5"/>
    <w:rPr>
      <w:rFonts w:ascii="Tahoma" w:hAnsi="Tahoma"/>
      <w:lang w:val="en-GB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ListBullet5">
    <w:name w:val="List Bullet 5"/>
    <w:basedOn w:val="Normal"/>
    <w:autoRedefine/>
    <w:pPr>
      <w:numPr>
        <w:numId w:val="12"/>
      </w:numPr>
    </w:pPr>
    <w:rPr>
      <w:sz w:val="20"/>
      <w:lang w:val="en-GB"/>
    </w:rPr>
  </w:style>
  <w:style w:type="paragraph" w:customStyle="1" w:styleId="aims">
    <w:name w:val="aims"/>
    <w:basedOn w:val="ListBullet5"/>
    <w:pPr>
      <w:numPr>
        <w:numId w:val="2"/>
      </w:numPr>
    </w:pPr>
    <w:rPr>
      <w:rFonts w:ascii="Tahoma" w:hAnsi="Tahoma"/>
    </w:rPr>
  </w:style>
  <w:style w:type="paragraph" w:styleId="BlockText">
    <w:name w:val="Block Text"/>
    <w:basedOn w:val="Normal"/>
    <w:pPr>
      <w:spacing w:after="120"/>
      <w:ind w:left="1440" w:right="1440"/>
    </w:pPr>
    <w:rPr>
      <w:sz w:val="20"/>
      <w:lang w:val="en-GB"/>
    </w:rPr>
  </w:style>
  <w:style w:type="paragraph" w:styleId="BodyText">
    <w:name w:val="Body Text"/>
    <w:basedOn w:val="Normal"/>
    <w:rPr>
      <w:lang w:val="en-GB"/>
    </w:rPr>
  </w:style>
  <w:style w:type="paragraph" w:styleId="BodyText2">
    <w:name w:val="Body Text 2"/>
    <w:basedOn w:val="Normal"/>
    <w:rPr>
      <w:lang w:val="en-GB"/>
    </w:rPr>
  </w:style>
  <w:style w:type="paragraph" w:styleId="BodyText3">
    <w:name w:val="Body Text 3"/>
    <w:basedOn w:val="Normal"/>
    <w:pPr>
      <w:spacing w:after="120"/>
    </w:pPr>
    <w:rPr>
      <w:sz w:val="16"/>
      <w:szCs w:val="16"/>
      <w:lang w:val="en-GB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0"/>
    </w:rPr>
  </w:style>
  <w:style w:type="paragraph" w:styleId="BodyTextIndent">
    <w:name w:val="Body Text Indent"/>
    <w:basedOn w:val="Normal"/>
    <w:pPr>
      <w:spacing w:after="120"/>
      <w:ind w:left="283"/>
    </w:pPr>
    <w:rPr>
      <w:sz w:val="20"/>
      <w:lang w:val="en-GB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  <w:rPr>
      <w:sz w:val="20"/>
      <w:lang w:val="en-GB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  <w:lang w:val="en-GB"/>
    </w:rPr>
  </w:style>
  <w:style w:type="paragraph" w:customStyle="1" w:styleId="bulletedlist">
    <w:name w:val="bulletedlist"/>
    <w:basedOn w:val="ListBullet5"/>
    <w:pPr>
      <w:numPr>
        <w:numId w:val="3"/>
      </w:numPr>
    </w:pPr>
    <w:rPr>
      <w:rFonts w:ascii="Tahoma" w:hAnsi="Tahoma"/>
      <w:i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lang w:val="en-GB"/>
    </w:rPr>
  </w:style>
  <w:style w:type="paragraph" w:styleId="Closing">
    <w:name w:val="Closing"/>
    <w:basedOn w:val="Normal"/>
    <w:pPr>
      <w:ind w:left="4252"/>
    </w:pPr>
    <w:rPr>
      <w:sz w:val="20"/>
      <w:lang w:val="en-GB"/>
    </w:rPr>
  </w:style>
  <w:style w:type="paragraph" w:styleId="CommentText">
    <w:name w:val="annotation text"/>
    <w:basedOn w:val="Normal"/>
    <w:semiHidden/>
    <w:rPr>
      <w:sz w:val="20"/>
      <w:lang w:val="en-GB"/>
    </w:rPr>
  </w:style>
  <w:style w:type="paragraph" w:styleId="Date">
    <w:name w:val="Date"/>
    <w:basedOn w:val="Normal"/>
    <w:next w:val="Normal"/>
    <w:rPr>
      <w:sz w:val="20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lang w:val="en-GB"/>
    </w:rPr>
  </w:style>
  <w:style w:type="paragraph" w:styleId="E-mailSignature">
    <w:name w:val="E-mail Signature"/>
    <w:basedOn w:val="Normal"/>
    <w:rPr>
      <w:sz w:val="20"/>
      <w:lang w:val="en-GB"/>
    </w:rPr>
  </w:style>
  <w:style w:type="paragraph" w:styleId="EndnoteText">
    <w:name w:val="endnote text"/>
    <w:basedOn w:val="Normal"/>
    <w:semiHidden/>
    <w:rPr>
      <w:sz w:val="20"/>
      <w:lang w:val="en-GB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en-GB"/>
    </w:rPr>
  </w:style>
  <w:style w:type="paragraph" w:styleId="EnvelopeReturn">
    <w:name w:val="envelope return"/>
    <w:basedOn w:val="Normal"/>
    <w:rPr>
      <w:rFonts w:ascii="Arial" w:hAnsi="Arial" w:cs="Arial"/>
      <w:sz w:val="20"/>
      <w:lang w:val="en-GB"/>
    </w:rPr>
  </w:style>
  <w:style w:type="paragraph" w:customStyle="1" w:styleId="equation">
    <w:name w:val="equation"/>
    <w:next w:val="Normal"/>
    <w:pPr>
      <w:jc w:val="center"/>
    </w:pPr>
    <w:rPr>
      <w:rFonts w:ascii="Tahoma" w:hAnsi="Tahoma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lang w:val="en-GB"/>
    </w:rPr>
  </w:style>
  <w:style w:type="paragraph" w:styleId="FootnoteText">
    <w:name w:val="footnote text"/>
    <w:basedOn w:val="Normal"/>
    <w:semiHidden/>
    <w:rPr>
      <w:sz w:val="20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lang w:val="en-GB"/>
    </w:rPr>
  </w:style>
  <w:style w:type="paragraph" w:styleId="HTMLAddress">
    <w:name w:val="HTML Address"/>
    <w:basedOn w:val="Normal"/>
    <w:rPr>
      <w:i/>
      <w:iCs/>
      <w:sz w:val="20"/>
      <w:lang w:val="en-GB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lang w:val="en-GB"/>
    </w:rPr>
  </w:style>
  <w:style w:type="paragraph" w:customStyle="1" w:styleId="importantnote">
    <w:name w:val="importantnote"/>
    <w:basedOn w:val="PlainText"/>
    <w:next w:val="Normal"/>
    <w:pPr>
      <w:pBdr>
        <w:top w:val="single" w:sz="4" w:space="1" w:color="000099" w:shadow="1"/>
        <w:left w:val="single" w:sz="4" w:space="4" w:color="000099" w:shadow="1"/>
        <w:bottom w:val="single" w:sz="4" w:space="1" w:color="000099" w:shadow="1"/>
        <w:right w:val="single" w:sz="4" w:space="4" w:color="000099" w:shadow="1"/>
      </w:pBdr>
      <w:ind w:left="567" w:right="567"/>
      <w:jc w:val="center"/>
    </w:pPr>
    <w:rPr>
      <w:rFonts w:ascii="Tahoma" w:hAnsi="Tahoma"/>
      <w:b/>
      <w:iCs/>
      <w:color w:val="000099"/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  <w:rPr>
      <w:sz w:val="20"/>
      <w:lang w:val="en-GB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20"/>
      <w:lang w:val="en-GB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20"/>
      <w:lang w:val="en-GB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sz w:val="20"/>
      <w:lang w:val="en-GB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sz w:val="20"/>
      <w:lang w:val="en-GB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sz w:val="20"/>
      <w:lang w:val="en-GB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sz w:val="20"/>
      <w:lang w:val="en-GB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sz w:val="20"/>
      <w:lang w:val="en-GB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sz w:val="20"/>
      <w:lang w:val="en-GB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  <w:sz w:val="20"/>
      <w:lang w:val="en-GB"/>
    </w:rPr>
  </w:style>
  <w:style w:type="paragraph" w:customStyle="1" w:styleId="learningobjectives">
    <w:name w:val="learningobjectives"/>
    <w:basedOn w:val="PlainText"/>
    <w:next w:val="aftercompleting"/>
    <w:rPr>
      <w:rFonts w:ascii="Tahoma" w:hAnsi="Tahoma"/>
      <w:b/>
      <w:color w:val="000099"/>
      <w:sz w:val="32"/>
      <w:lang w:val="en-GB"/>
    </w:rPr>
  </w:style>
  <w:style w:type="paragraph" w:styleId="List">
    <w:name w:val="List"/>
    <w:basedOn w:val="Normal"/>
    <w:pPr>
      <w:ind w:left="283" w:hanging="283"/>
    </w:pPr>
    <w:rPr>
      <w:sz w:val="20"/>
      <w:lang w:val="en-GB"/>
    </w:rPr>
  </w:style>
  <w:style w:type="paragraph" w:styleId="List2">
    <w:name w:val="List 2"/>
    <w:basedOn w:val="Normal"/>
    <w:pPr>
      <w:ind w:left="566" w:hanging="283"/>
    </w:pPr>
    <w:rPr>
      <w:sz w:val="20"/>
      <w:lang w:val="en-GB"/>
    </w:rPr>
  </w:style>
  <w:style w:type="paragraph" w:styleId="List3">
    <w:name w:val="List 3"/>
    <w:basedOn w:val="Normal"/>
    <w:pPr>
      <w:ind w:left="849" w:hanging="283"/>
    </w:pPr>
    <w:rPr>
      <w:sz w:val="20"/>
      <w:lang w:val="en-GB"/>
    </w:rPr>
  </w:style>
  <w:style w:type="paragraph" w:styleId="List4">
    <w:name w:val="List 4"/>
    <w:basedOn w:val="Normal"/>
    <w:pPr>
      <w:ind w:left="1132" w:hanging="283"/>
    </w:pPr>
    <w:rPr>
      <w:sz w:val="20"/>
      <w:lang w:val="en-GB"/>
    </w:rPr>
  </w:style>
  <w:style w:type="paragraph" w:styleId="List5">
    <w:name w:val="List 5"/>
    <w:basedOn w:val="Normal"/>
    <w:pPr>
      <w:ind w:left="1415" w:hanging="283"/>
    </w:pPr>
    <w:rPr>
      <w:sz w:val="20"/>
      <w:lang w:val="en-GB"/>
    </w:rPr>
  </w:style>
  <w:style w:type="paragraph" w:styleId="ListBullet">
    <w:name w:val="List Bullet"/>
    <w:basedOn w:val="Normal"/>
    <w:autoRedefine/>
    <w:pPr>
      <w:numPr>
        <w:numId w:val="5"/>
      </w:numPr>
    </w:pPr>
    <w:rPr>
      <w:sz w:val="20"/>
      <w:lang w:val="en-GB"/>
    </w:rPr>
  </w:style>
  <w:style w:type="paragraph" w:styleId="ListBullet2">
    <w:name w:val="List Bullet 2"/>
    <w:basedOn w:val="Normal"/>
    <w:autoRedefine/>
    <w:pPr>
      <w:numPr>
        <w:numId w:val="7"/>
      </w:numPr>
    </w:pPr>
    <w:rPr>
      <w:sz w:val="20"/>
      <w:lang w:val="en-GB"/>
    </w:rPr>
  </w:style>
  <w:style w:type="paragraph" w:styleId="ListBullet3">
    <w:name w:val="List Bullet 3"/>
    <w:basedOn w:val="Normal"/>
    <w:autoRedefine/>
    <w:pPr>
      <w:numPr>
        <w:numId w:val="9"/>
      </w:numPr>
    </w:pPr>
    <w:rPr>
      <w:sz w:val="20"/>
      <w:lang w:val="en-GB"/>
    </w:rPr>
  </w:style>
  <w:style w:type="paragraph" w:styleId="ListBullet4">
    <w:name w:val="List Bullet 4"/>
    <w:basedOn w:val="Normal"/>
    <w:autoRedefine/>
    <w:pPr>
      <w:numPr>
        <w:numId w:val="11"/>
      </w:numPr>
    </w:pPr>
    <w:rPr>
      <w:sz w:val="20"/>
      <w:lang w:val="en-GB"/>
    </w:rPr>
  </w:style>
  <w:style w:type="paragraph" w:styleId="ListContinue">
    <w:name w:val="List Continue"/>
    <w:basedOn w:val="Normal"/>
    <w:pPr>
      <w:spacing w:after="120"/>
      <w:ind w:left="283"/>
    </w:pPr>
    <w:rPr>
      <w:sz w:val="20"/>
      <w:lang w:val="en-GB"/>
    </w:rPr>
  </w:style>
  <w:style w:type="paragraph" w:styleId="ListContinue2">
    <w:name w:val="List Continue 2"/>
    <w:basedOn w:val="Normal"/>
    <w:pPr>
      <w:spacing w:after="120"/>
      <w:ind w:left="566"/>
    </w:pPr>
    <w:rPr>
      <w:sz w:val="20"/>
      <w:lang w:val="en-GB"/>
    </w:rPr>
  </w:style>
  <w:style w:type="paragraph" w:styleId="ListContinue3">
    <w:name w:val="List Continue 3"/>
    <w:basedOn w:val="Normal"/>
    <w:pPr>
      <w:spacing w:after="120"/>
      <w:ind w:left="849"/>
    </w:pPr>
    <w:rPr>
      <w:sz w:val="20"/>
      <w:lang w:val="en-GB"/>
    </w:rPr>
  </w:style>
  <w:style w:type="paragraph" w:styleId="ListContinue4">
    <w:name w:val="List Continue 4"/>
    <w:basedOn w:val="Normal"/>
    <w:pPr>
      <w:spacing w:after="120"/>
      <w:ind w:left="1132"/>
    </w:pPr>
    <w:rPr>
      <w:sz w:val="20"/>
      <w:lang w:val="en-GB"/>
    </w:rPr>
  </w:style>
  <w:style w:type="paragraph" w:styleId="ListContinue5">
    <w:name w:val="List Continue 5"/>
    <w:basedOn w:val="Normal"/>
    <w:pPr>
      <w:spacing w:after="120"/>
      <w:ind w:left="1415"/>
    </w:pPr>
    <w:rPr>
      <w:sz w:val="20"/>
      <w:lang w:val="en-GB"/>
    </w:rPr>
  </w:style>
  <w:style w:type="paragraph" w:styleId="ListNumber">
    <w:name w:val="List Number"/>
    <w:basedOn w:val="Normal"/>
    <w:pPr>
      <w:numPr>
        <w:numId w:val="14"/>
      </w:numPr>
    </w:pPr>
    <w:rPr>
      <w:sz w:val="20"/>
      <w:lang w:val="en-GB"/>
    </w:rPr>
  </w:style>
  <w:style w:type="paragraph" w:styleId="ListNumber2">
    <w:name w:val="List Number 2"/>
    <w:basedOn w:val="Normal"/>
    <w:pPr>
      <w:numPr>
        <w:numId w:val="16"/>
      </w:numPr>
    </w:pPr>
    <w:rPr>
      <w:sz w:val="20"/>
      <w:lang w:val="en-GB"/>
    </w:rPr>
  </w:style>
  <w:style w:type="paragraph" w:styleId="ListNumber3">
    <w:name w:val="List Number 3"/>
    <w:basedOn w:val="Normal"/>
    <w:pPr>
      <w:numPr>
        <w:numId w:val="18"/>
      </w:numPr>
    </w:pPr>
    <w:rPr>
      <w:sz w:val="20"/>
      <w:lang w:val="en-GB"/>
    </w:rPr>
  </w:style>
  <w:style w:type="paragraph" w:styleId="ListNumber4">
    <w:name w:val="List Number 4"/>
    <w:basedOn w:val="Normal"/>
    <w:pPr>
      <w:numPr>
        <w:numId w:val="20"/>
      </w:numPr>
    </w:pPr>
    <w:rPr>
      <w:sz w:val="20"/>
      <w:lang w:val="en-GB"/>
    </w:rPr>
  </w:style>
  <w:style w:type="paragraph" w:styleId="ListNumber5">
    <w:name w:val="List Number 5"/>
    <w:basedOn w:val="Normal"/>
    <w:pPr>
      <w:numPr>
        <w:numId w:val="22"/>
      </w:numPr>
    </w:pPr>
    <w:rPr>
      <w:sz w:val="20"/>
      <w:lang w:val="en-GB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customStyle="1" w:styleId="maintitle">
    <w:name w:val="maintitle"/>
    <w:basedOn w:val="PlainText"/>
    <w:next w:val="Normal"/>
    <w:pPr>
      <w:pBdr>
        <w:top w:val="single" w:sz="12" w:space="1" w:color="000099"/>
        <w:bottom w:val="single" w:sz="12" w:space="1" w:color="000099"/>
      </w:pBdr>
    </w:pPr>
    <w:rPr>
      <w:rFonts w:ascii="Tahoma" w:hAnsi="Tahoma"/>
      <w:b/>
      <w:color w:val="000099"/>
      <w:sz w:val="52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en-GB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customStyle="1" w:styleId="numberedlist">
    <w:name w:val="numberedlist"/>
    <w:basedOn w:val="ListContinue5"/>
    <w:pPr>
      <w:numPr>
        <w:numId w:val="23"/>
      </w:numPr>
    </w:pPr>
    <w:rPr>
      <w:rFonts w:ascii="Tahoma" w:hAnsi="Tahoma"/>
      <w:sz w:val="24"/>
    </w:rPr>
  </w:style>
  <w:style w:type="paragraph" w:customStyle="1" w:styleId="overview">
    <w:name w:val="overview"/>
    <w:basedOn w:val="PlainText"/>
    <w:next w:val="Normal"/>
    <w:rPr>
      <w:rFonts w:ascii="Tahoma" w:hAnsi="Tahoma"/>
      <w:b/>
      <w:color w:val="000099"/>
      <w:sz w:val="32"/>
    </w:rPr>
  </w:style>
  <w:style w:type="paragraph" w:customStyle="1" w:styleId="overviewaftersection">
    <w:name w:val="overviewaftersection"/>
    <w:basedOn w:val="PlainText"/>
    <w:pPr>
      <w:pBdr>
        <w:top w:val="single" w:sz="8" w:space="1" w:color="000099"/>
        <w:bottom w:val="single" w:sz="8" w:space="1" w:color="000099"/>
      </w:pBdr>
      <w:outlineLvl w:val="0"/>
    </w:pPr>
    <w:rPr>
      <w:rFonts w:ascii="Tahoma" w:hAnsi="Tahoma" w:cs="Tahoma"/>
      <w:b/>
      <w:iCs/>
      <w:color w:val="000099"/>
      <w:sz w:val="28"/>
    </w:rPr>
  </w:style>
  <w:style w:type="character" w:styleId="PageNumber">
    <w:name w:val="page number"/>
    <w:basedOn w:val="DefaultParagraphFont"/>
  </w:style>
  <w:style w:type="paragraph" w:customStyle="1" w:styleId="practicalapplications">
    <w:name w:val="practicalapplications"/>
    <w:basedOn w:val="PlainText"/>
    <w:rPr>
      <w:rFonts w:ascii="Tahoma" w:hAnsi="Tahoma"/>
      <w:b/>
      <w:color w:val="000099"/>
      <w:sz w:val="32"/>
    </w:rPr>
  </w:style>
  <w:style w:type="paragraph" w:styleId="Salutation">
    <w:name w:val="Salutation"/>
    <w:basedOn w:val="Normal"/>
    <w:next w:val="Normal"/>
  </w:style>
  <w:style w:type="paragraph" w:customStyle="1" w:styleId="sectionheading">
    <w:name w:val="sectionheading"/>
    <w:basedOn w:val="PlainText"/>
    <w:next w:val="overview"/>
    <w:pPr>
      <w:pBdr>
        <w:top w:val="single" w:sz="8" w:space="1" w:color="000099"/>
        <w:bottom w:val="single" w:sz="8" w:space="1" w:color="000099"/>
      </w:pBdr>
    </w:pPr>
    <w:rPr>
      <w:rFonts w:ascii="Tahoma" w:hAnsi="Tahoma"/>
      <w:b/>
      <w:color w:val="000099"/>
      <w:sz w:val="36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customStyle="1" w:styleId="text">
    <w:name w:val="text"/>
    <w:basedOn w:val="PlainText"/>
    <w:next w:val="learningobjectives"/>
    <w:autoRedefine/>
    <w:rPr>
      <w:rFonts w:ascii="Tahoma" w:hAnsi="Tahoma" w:cs="Tahoma"/>
      <w:bCs/>
      <w:iCs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itleinsection">
    <w:name w:val="titleinsection"/>
    <w:basedOn w:val="PlainText"/>
    <w:pPr>
      <w:pBdr>
        <w:top w:val="single" w:sz="8" w:space="1" w:color="000099"/>
        <w:bottom w:val="single" w:sz="8" w:space="1" w:color="000099"/>
      </w:pBdr>
      <w:outlineLvl w:val="0"/>
    </w:pPr>
    <w:rPr>
      <w:rFonts w:ascii="Tahoma" w:hAnsi="Tahoma" w:cs="Tahoma"/>
      <w:b/>
      <w:iCs/>
      <w:color w:val="000099"/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otnoteReference">
    <w:name w:val="footnote reference"/>
    <w:semiHidden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A286F"/>
    <w:rPr>
      <w:color w:val="808080"/>
    </w:rPr>
  </w:style>
  <w:style w:type="paragraph" w:styleId="BalloonText">
    <w:name w:val="Balloon Text"/>
    <w:basedOn w:val="Normal"/>
    <w:link w:val="BalloonTextChar"/>
    <w:rsid w:val="009A2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286F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A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DA894-774B-4F16-9588-6212CB3FE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 3502 CORPORATE FINANCE</vt:lpstr>
    </vt:vector>
  </TitlesOfParts>
  <Company>University of Queensland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 3502 CORPORATE FINANCE</dc:title>
  <dc:creator>Deanne Hawkins</dc:creator>
  <cp:lastModifiedBy>Stephen Gray</cp:lastModifiedBy>
  <cp:revision>3</cp:revision>
  <cp:lastPrinted>2008-02-01T03:14:00Z</cp:lastPrinted>
  <dcterms:created xsi:type="dcterms:W3CDTF">2017-02-22T05:38:00Z</dcterms:created>
  <dcterms:modified xsi:type="dcterms:W3CDTF">2017-03-19T07:39:00Z</dcterms:modified>
</cp:coreProperties>
</file>