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98B08" w14:textId="77777777" w:rsidR="0085000B" w:rsidRPr="0085000B" w:rsidRDefault="0085000B" w:rsidP="0085000B">
      <w:r w:rsidRPr="0085000B">
        <w:t>1) Executive Summary</w:t>
      </w:r>
    </w:p>
    <w:p w14:paraId="27D787C7" w14:textId="77777777" w:rsidR="0085000B" w:rsidRPr="0085000B" w:rsidRDefault="0085000B" w:rsidP="0085000B">
      <w:r w:rsidRPr="0085000B">
        <w:t xml:space="preserve">Bottom line: Wollemi’s flagship climate bets are strategically important, impact-rich, and overwhelmingly pre-profit. They are capital-intensive, policy-dependent, and milestone-driven. If </w:t>
      </w:r>
      <w:proofErr w:type="spellStart"/>
      <w:r w:rsidRPr="0085000B">
        <w:t>Kalfresh</w:t>
      </w:r>
      <w:proofErr w:type="spellEnd"/>
      <w:r w:rsidRPr="0085000B">
        <w:t xml:space="preserve"> can evidence nearer-term cash flow and lower policy/scale risk than these assets, negotiating leverage is strong: push for a higher valuation, lighter preferences, and milestone-linked structures.</w:t>
      </w:r>
    </w:p>
    <w:p w14:paraId="128096EA" w14:textId="77777777" w:rsidR="0085000B" w:rsidRPr="0085000B" w:rsidRDefault="0085000B" w:rsidP="0085000B">
      <w:r w:rsidRPr="0085000B">
        <w:t>Cross-cutting portfolio read-through</w:t>
      </w:r>
    </w:p>
    <w:p w14:paraId="6A2A5CA2" w14:textId="77777777" w:rsidR="0085000B" w:rsidRPr="0085000B" w:rsidRDefault="0085000B" w:rsidP="0085000B">
      <w:pPr>
        <w:numPr>
          <w:ilvl w:val="0"/>
          <w:numId w:val="1"/>
        </w:numPr>
      </w:pPr>
      <w:r w:rsidRPr="0085000B">
        <w:t xml:space="preserve">Cash today vs. cash tomorrow: </w:t>
      </w:r>
      <w:proofErr w:type="spellStart"/>
      <w:r w:rsidRPr="0085000B">
        <w:t>Fortera</w:t>
      </w:r>
      <w:proofErr w:type="spellEnd"/>
      <w:r w:rsidRPr="0085000B">
        <w:t>, Samsara, Kanin, and Loam are all pre-scale with 3–5+ year runways to material profitability (asset CODs, first-of-a-kind (FOAK) plants, or verified credit issuances).</w:t>
      </w:r>
    </w:p>
    <w:p w14:paraId="76309395" w14:textId="77777777" w:rsidR="0085000B" w:rsidRPr="0085000B" w:rsidRDefault="0085000B" w:rsidP="0085000B">
      <w:pPr>
        <w:numPr>
          <w:ilvl w:val="0"/>
          <w:numId w:val="1"/>
        </w:numPr>
      </w:pPr>
      <w:r w:rsidRPr="0085000B">
        <w:t>Cost of capital &amp; capex drag: Each thesis requires significant incremental capex and/or development capital to unlock scale (cement decarb modules, enzymatic plants, waste-heat sites, MRV for soil carbon). Rising rates magnify hurdle IRRs.</w:t>
      </w:r>
    </w:p>
    <w:p w14:paraId="409AA813" w14:textId="77777777" w:rsidR="0085000B" w:rsidRPr="0085000B" w:rsidRDefault="0085000B" w:rsidP="0085000B">
      <w:pPr>
        <w:numPr>
          <w:ilvl w:val="0"/>
          <w:numId w:val="1"/>
        </w:numPr>
      </w:pPr>
      <w:r w:rsidRPr="0085000B">
        <w:t>Policy exposure: Revenue visibility is anchored in mandates, credits, procurement, and specifications (Buy Clean / ASTM / ACCU/Safeguard). Policy stability is the single most important non-technical variable.</w:t>
      </w:r>
    </w:p>
    <w:p w14:paraId="082EBEF1" w14:textId="77777777" w:rsidR="0085000B" w:rsidRPr="0085000B" w:rsidRDefault="0085000B" w:rsidP="0085000B">
      <w:pPr>
        <w:numPr>
          <w:ilvl w:val="0"/>
          <w:numId w:val="1"/>
        </w:numPr>
      </w:pPr>
      <w:r w:rsidRPr="0085000B">
        <w:t>Adoption inertia: Conservative buyers (cement, construction, industrials, broadacre farmers) require cost parity and standard-spec acceptance; adoption cycles are long.</w:t>
      </w:r>
    </w:p>
    <w:p w14:paraId="045FD575" w14:textId="77777777" w:rsidR="0085000B" w:rsidRPr="0085000B" w:rsidRDefault="0085000B" w:rsidP="0085000B">
      <w:pPr>
        <w:numPr>
          <w:ilvl w:val="0"/>
          <w:numId w:val="1"/>
        </w:numPr>
      </w:pPr>
      <w:r w:rsidRPr="0085000B">
        <w:t xml:space="preserve">What this means for </w:t>
      </w:r>
      <w:proofErr w:type="spellStart"/>
      <w:r w:rsidRPr="0085000B">
        <w:t>Kalfresh</w:t>
      </w:r>
      <w:proofErr w:type="spellEnd"/>
      <w:r w:rsidRPr="0085000B">
        <w:t>: If you present a de-risked offtake, validated unit economics, and shorter cash cycles, you are the portfolio balancer Wollemi needs. Price the risk you’re absorbing; trade impact alignment for economics.</w:t>
      </w:r>
    </w:p>
    <w:p w14:paraId="6B8C9BEE" w14:textId="77777777" w:rsidR="0085000B" w:rsidRPr="0085000B" w:rsidRDefault="0085000B" w:rsidP="0085000B">
      <w:r w:rsidRPr="0085000B">
        <w:pict w14:anchorId="2937642A">
          <v:rect id="_x0000_i1079" style="width:0;height:1.5pt" o:hralign="center" o:hrstd="t" o:hr="t" fillcolor="#a0a0a0" stroked="f"/>
        </w:pict>
      </w:r>
    </w:p>
    <w:p w14:paraId="0C46DCAB" w14:textId="77777777" w:rsidR="0085000B" w:rsidRPr="0085000B" w:rsidRDefault="0085000B" w:rsidP="0085000B">
      <w:r w:rsidRPr="0085000B">
        <w:t xml:space="preserve">2) Negotiation Posture for </w:t>
      </w:r>
      <w:proofErr w:type="spellStart"/>
      <w:r w:rsidRPr="0085000B">
        <w:t>Kalfresh</w:t>
      </w:r>
      <w:proofErr w:type="spellEnd"/>
      <w:r w:rsidRPr="0085000B">
        <w:t xml:space="preserve"> (with Wollemi)</w:t>
      </w:r>
    </w:p>
    <w:p w14:paraId="158C527B" w14:textId="77777777" w:rsidR="0085000B" w:rsidRPr="0085000B" w:rsidRDefault="0085000B" w:rsidP="0085000B">
      <w:r w:rsidRPr="0085000B">
        <w:t>Ask architecture (anchor high; concede selectively):</w:t>
      </w:r>
    </w:p>
    <w:p w14:paraId="434501AA" w14:textId="77777777" w:rsidR="0085000B" w:rsidRPr="0085000B" w:rsidRDefault="0085000B" w:rsidP="0085000B">
      <w:pPr>
        <w:numPr>
          <w:ilvl w:val="0"/>
          <w:numId w:val="2"/>
        </w:numPr>
      </w:pPr>
      <w:r w:rsidRPr="0085000B">
        <w:t xml:space="preserve">Valuation: Price off </w:t>
      </w:r>
      <w:r w:rsidRPr="0085000B">
        <w:rPr>
          <w:i/>
          <w:iCs/>
        </w:rPr>
        <w:t>near-term profitability</w:t>
      </w:r>
      <w:r w:rsidRPr="0085000B">
        <w:t xml:space="preserve"> and </w:t>
      </w:r>
      <w:r w:rsidRPr="0085000B">
        <w:rPr>
          <w:i/>
          <w:iCs/>
        </w:rPr>
        <w:t>contracted offtake</w:t>
      </w:r>
      <w:r w:rsidRPr="0085000B">
        <w:t xml:space="preserve"> rather than distant optionality. Benchmark against Wollemi’s long-dated, capex-heavy positions.</w:t>
      </w:r>
    </w:p>
    <w:p w14:paraId="495DAD73" w14:textId="77777777" w:rsidR="0085000B" w:rsidRPr="0085000B" w:rsidRDefault="0085000B" w:rsidP="0085000B">
      <w:pPr>
        <w:numPr>
          <w:ilvl w:val="0"/>
          <w:numId w:val="2"/>
        </w:numPr>
      </w:pPr>
      <w:r w:rsidRPr="0085000B">
        <w:t>Structure: Milestone-tranche equity; valuation ratchets tied to bankable events (offtake execution, project NTP/COD, MRV-verified credits, GP%/ha).</w:t>
      </w:r>
    </w:p>
    <w:p w14:paraId="29D3F4B0" w14:textId="77777777" w:rsidR="0085000B" w:rsidRPr="0085000B" w:rsidRDefault="0085000B" w:rsidP="0085000B">
      <w:pPr>
        <w:numPr>
          <w:ilvl w:val="0"/>
          <w:numId w:val="2"/>
        </w:numPr>
      </w:pPr>
      <w:r w:rsidRPr="0085000B">
        <w:t xml:space="preserve">Investor protections: Light liquidation </w:t>
      </w:r>
      <w:proofErr w:type="spellStart"/>
      <w:r w:rsidRPr="0085000B">
        <w:t>prefs</w:t>
      </w:r>
      <w:proofErr w:type="spellEnd"/>
      <w:r w:rsidRPr="0085000B">
        <w:t xml:space="preserve">; cap participating </w:t>
      </w:r>
      <w:proofErr w:type="spellStart"/>
      <w:r w:rsidRPr="0085000B">
        <w:t>prefs</w:t>
      </w:r>
      <w:proofErr w:type="spellEnd"/>
      <w:r w:rsidRPr="0085000B">
        <w:t>; anti-dilution only broad-based; redemption off-limits.</w:t>
      </w:r>
    </w:p>
    <w:p w14:paraId="435ECA98" w14:textId="77777777" w:rsidR="0085000B" w:rsidRPr="0085000B" w:rsidRDefault="0085000B" w:rsidP="0085000B">
      <w:pPr>
        <w:numPr>
          <w:ilvl w:val="0"/>
          <w:numId w:val="2"/>
        </w:numPr>
      </w:pPr>
      <w:r w:rsidRPr="0085000B">
        <w:t>Downside risk-share: Floor pricing (ACCUs), take-or-pay/availability constructs, cost-sharing on MRV or interconnection where relevant.</w:t>
      </w:r>
    </w:p>
    <w:p w14:paraId="268F0E13" w14:textId="77777777" w:rsidR="0085000B" w:rsidRPr="0085000B" w:rsidRDefault="0085000B" w:rsidP="0085000B">
      <w:pPr>
        <w:numPr>
          <w:ilvl w:val="0"/>
          <w:numId w:val="2"/>
        </w:numPr>
      </w:pPr>
      <w:r w:rsidRPr="0085000B">
        <w:lastRenderedPageBreak/>
        <w:t>Upside: Performance warrants for exceeding yield/credit/uptime thresholds; co-brand rights tied to verified outcomes.</w:t>
      </w:r>
    </w:p>
    <w:p w14:paraId="591BB51C" w14:textId="77777777" w:rsidR="0085000B" w:rsidRPr="0085000B" w:rsidRDefault="0085000B" w:rsidP="0085000B">
      <w:pPr>
        <w:numPr>
          <w:ilvl w:val="0"/>
          <w:numId w:val="2"/>
        </w:numPr>
      </w:pPr>
      <w:r w:rsidRPr="0085000B">
        <w:t xml:space="preserve">Control: Board observer (not control); consent rights limited to debt, M&amp;A, </w:t>
      </w:r>
      <w:proofErr w:type="gramStart"/>
      <w:r w:rsidRPr="0085000B">
        <w:t>related-party</w:t>
      </w:r>
      <w:proofErr w:type="gramEnd"/>
      <w:r w:rsidRPr="0085000B">
        <w:t>, not operations.</w:t>
      </w:r>
    </w:p>
    <w:p w14:paraId="16FFD495" w14:textId="77777777" w:rsidR="0085000B" w:rsidRPr="0085000B" w:rsidRDefault="0085000B" w:rsidP="0085000B">
      <w:r w:rsidRPr="0085000B">
        <w:t>Leverage themes (tailored to Wollemi’s portfolio reality):</w:t>
      </w:r>
    </w:p>
    <w:p w14:paraId="6F8B10B2" w14:textId="77777777" w:rsidR="0085000B" w:rsidRPr="0085000B" w:rsidRDefault="0085000B" w:rsidP="0085000B">
      <w:pPr>
        <w:numPr>
          <w:ilvl w:val="0"/>
          <w:numId w:val="3"/>
        </w:numPr>
      </w:pPr>
      <w:r w:rsidRPr="0085000B">
        <w:t xml:space="preserve">Wollemi’s existing assets are future-dated; </w:t>
      </w:r>
      <w:proofErr w:type="spellStart"/>
      <w:r w:rsidRPr="0085000B">
        <w:t>Kalfresh</w:t>
      </w:r>
      <w:proofErr w:type="spellEnd"/>
      <w:r w:rsidRPr="0085000B">
        <w:t xml:space="preserve"> can pull forward portfolio cash yield.</w:t>
      </w:r>
    </w:p>
    <w:p w14:paraId="450C8230" w14:textId="77777777" w:rsidR="0085000B" w:rsidRPr="0085000B" w:rsidRDefault="0085000B" w:rsidP="0085000B">
      <w:pPr>
        <w:numPr>
          <w:ilvl w:val="0"/>
          <w:numId w:val="3"/>
        </w:numPr>
      </w:pPr>
      <w:r w:rsidRPr="0085000B">
        <w:t>Offer impact per dollar sooner (carbon-literate operations, credible offtakes), while highlighting lower execution risk vs FOAK industrial tech.</w:t>
      </w:r>
    </w:p>
    <w:p w14:paraId="0BEB394B" w14:textId="77777777" w:rsidR="0085000B" w:rsidRPr="0085000B" w:rsidRDefault="0085000B" w:rsidP="0085000B">
      <w:pPr>
        <w:numPr>
          <w:ilvl w:val="0"/>
          <w:numId w:val="3"/>
        </w:numPr>
      </w:pPr>
      <w:r w:rsidRPr="0085000B">
        <w:t xml:space="preserve">Trade exclusivity/scale commitments for economics (pricing, </w:t>
      </w:r>
      <w:proofErr w:type="spellStart"/>
      <w:r w:rsidRPr="0085000B">
        <w:t>prefs</w:t>
      </w:r>
      <w:proofErr w:type="spellEnd"/>
      <w:r w:rsidRPr="0085000B">
        <w:t>, floors).</w:t>
      </w:r>
    </w:p>
    <w:p w14:paraId="5A019B28" w14:textId="77777777" w:rsidR="0085000B" w:rsidRPr="0085000B" w:rsidRDefault="0085000B" w:rsidP="0085000B">
      <w:r w:rsidRPr="0085000B">
        <w:pict w14:anchorId="4D0A726E">
          <v:rect id="_x0000_i1080" style="width:0;height:1.5pt" o:hralign="center" o:hrstd="t" o:hr="t" fillcolor="#a0a0a0" stroked="f"/>
        </w:pict>
      </w:r>
    </w:p>
    <w:p w14:paraId="0AAA2E1E" w14:textId="77777777" w:rsidR="0085000B" w:rsidRPr="0085000B" w:rsidRDefault="0085000B" w:rsidP="0085000B">
      <w:r w:rsidRPr="0085000B">
        <w:t>3) Sector Deep Dives &amp; Company Scorecards</w:t>
      </w:r>
    </w:p>
    <w:p w14:paraId="3DB7ED8B" w14:textId="77777777" w:rsidR="0085000B" w:rsidRPr="0085000B" w:rsidRDefault="0085000B" w:rsidP="0085000B">
      <w:r w:rsidRPr="0085000B">
        <w:t>A) Low-/Zero-CO₂ Cement (</w:t>
      </w:r>
      <w:proofErr w:type="spellStart"/>
      <w:r w:rsidRPr="0085000B">
        <w:t>Fortera</w:t>
      </w:r>
      <w:proofErr w:type="spellEnd"/>
      <w:r w:rsidRPr="0085000B">
        <w:t>)</w:t>
      </w:r>
    </w:p>
    <w:p w14:paraId="5420D39F" w14:textId="77777777" w:rsidR="0085000B" w:rsidRPr="0085000B" w:rsidRDefault="0085000B" w:rsidP="0085000B">
      <w:r w:rsidRPr="0085000B">
        <w:t>Industry economics today</w:t>
      </w:r>
    </w:p>
    <w:p w14:paraId="0A636AB5" w14:textId="77777777" w:rsidR="0085000B" w:rsidRPr="0085000B" w:rsidRDefault="0085000B" w:rsidP="0085000B">
      <w:pPr>
        <w:numPr>
          <w:ilvl w:val="0"/>
          <w:numId w:val="4"/>
        </w:numPr>
      </w:pPr>
      <w:r w:rsidRPr="0085000B">
        <w:t>OPC sells on thin margins at US$100–150/t; customers are price-sensitive. “Green premiums” are not durable; cost parity is the bar.</w:t>
      </w:r>
    </w:p>
    <w:p w14:paraId="23016378" w14:textId="77777777" w:rsidR="0085000B" w:rsidRPr="0085000B" w:rsidRDefault="0085000B" w:rsidP="0085000B">
      <w:r w:rsidRPr="0085000B">
        <w:t>Policy tailwinds (California)</w:t>
      </w:r>
    </w:p>
    <w:p w14:paraId="0751B18A" w14:textId="77777777" w:rsidR="0085000B" w:rsidRPr="0085000B" w:rsidRDefault="0085000B" w:rsidP="0085000B">
      <w:pPr>
        <w:numPr>
          <w:ilvl w:val="0"/>
          <w:numId w:val="5"/>
        </w:numPr>
      </w:pPr>
      <w:r w:rsidRPr="0085000B">
        <w:t xml:space="preserve">SB 596: net-zero </w:t>
      </w:r>
      <w:proofErr w:type="gramStart"/>
      <w:r w:rsidRPr="0085000B">
        <w:t>cement</w:t>
      </w:r>
      <w:proofErr w:type="gramEnd"/>
      <w:r w:rsidRPr="0085000B">
        <w:t xml:space="preserve"> by 2045; DOE commitments (~US$700m into CA cement projects) + Caltrans low-carbon specs (US$32m pilots).</w:t>
      </w:r>
    </w:p>
    <w:p w14:paraId="64149E6C" w14:textId="77777777" w:rsidR="0085000B" w:rsidRPr="0085000B" w:rsidRDefault="0085000B" w:rsidP="0085000B">
      <w:pPr>
        <w:numPr>
          <w:ilvl w:val="0"/>
          <w:numId w:val="5"/>
        </w:numPr>
      </w:pPr>
      <w:r w:rsidRPr="0085000B">
        <w:t xml:space="preserve">Implementation gap: PLC penetration &lt;8% in CA vs &gt;90% in some states; spec inertia is real. SB 1073 forward offtakes </w:t>
      </w:r>
      <w:proofErr w:type="gramStart"/>
      <w:r w:rsidRPr="0085000B">
        <w:t>failed—ambition</w:t>
      </w:r>
      <w:proofErr w:type="gramEnd"/>
      <w:r w:rsidRPr="0085000B">
        <w:t xml:space="preserve"> &gt; execution.</w:t>
      </w:r>
    </w:p>
    <w:p w14:paraId="060E8448" w14:textId="77777777" w:rsidR="0085000B" w:rsidRPr="0085000B" w:rsidRDefault="0085000B" w:rsidP="0085000B">
      <w:r w:rsidRPr="0085000B">
        <w:t>Capital intensity &amp; timing</w:t>
      </w:r>
    </w:p>
    <w:p w14:paraId="75F578F9" w14:textId="77777777" w:rsidR="0085000B" w:rsidRPr="0085000B" w:rsidRDefault="0085000B" w:rsidP="0085000B">
      <w:pPr>
        <w:numPr>
          <w:ilvl w:val="0"/>
          <w:numId w:val="6"/>
        </w:numPr>
      </w:pPr>
      <w:r w:rsidRPr="0085000B">
        <w:t>DOE: US$5–20B by 2030, US$60–120B by 2050 required to decarb U.S. cement—long-lead, capex-heavy road.</w:t>
      </w:r>
    </w:p>
    <w:p w14:paraId="652ED8D9" w14:textId="77777777" w:rsidR="0085000B" w:rsidRPr="0085000B" w:rsidRDefault="0085000B" w:rsidP="0085000B">
      <w:pPr>
        <w:numPr>
          <w:ilvl w:val="0"/>
          <w:numId w:val="6"/>
        </w:numPr>
      </w:pPr>
      <w:r w:rsidRPr="0085000B">
        <w:t>Profitability: unlikely near term; grant/procurement bridges needed until NOAK cost curves arrive.</w:t>
      </w:r>
    </w:p>
    <w:p w14:paraId="5141E85A" w14:textId="77777777" w:rsidR="0085000B" w:rsidRPr="0085000B" w:rsidRDefault="0085000B" w:rsidP="0085000B">
      <w:proofErr w:type="spellStart"/>
      <w:r w:rsidRPr="0085000B">
        <w:t>Fortera</w:t>
      </w:r>
      <w:proofErr w:type="spellEnd"/>
      <w:r w:rsidRPr="0085000B">
        <w:t xml:space="preserve"> company snapshot</w:t>
      </w:r>
    </w:p>
    <w:p w14:paraId="687BB7A2" w14:textId="77777777" w:rsidR="0085000B" w:rsidRPr="0085000B" w:rsidRDefault="0085000B" w:rsidP="0085000B">
      <w:pPr>
        <w:numPr>
          <w:ilvl w:val="0"/>
          <w:numId w:val="7"/>
        </w:numPr>
      </w:pPr>
      <w:r w:rsidRPr="0085000B">
        <w:t>Tech: “</w:t>
      </w:r>
      <w:proofErr w:type="spellStart"/>
      <w:r w:rsidRPr="0085000B">
        <w:t>ReCarb</w:t>
      </w:r>
      <w:proofErr w:type="spellEnd"/>
      <w:r w:rsidRPr="0085000B">
        <w:t>” captures kiln CO₂, mineralizes to “</w:t>
      </w:r>
      <w:proofErr w:type="spellStart"/>
      <w:r w:rsidRPr="0085000B">
        <w:t>ReAct</w:t>
      </w:r>
      <w:proofErr w:type="spellEnd"/>
      <w:r w:rsidRPr="0085000B">
        <w:t>” cement; ~70% CO₂ reduction vs OPC; retrofit-friendly (no new kiln).</w:t>
      </w:r>
    </w:p>
    <w:p w14:paraId="6D40B41D" w14:textId="77777777" w:rsidR="0085000B" w:rsidRPr="0085000B" w:rsidRDefault="0085000B" w:rsidP="0085000B">
      <w:pPr>
        <w:numPr>
          <w:ilvl w:val="0"/>
          <w:numId w:val="7"/>
        </w:numPr>
      </w:pPr>
      <w:r w:rsidRPr="0085000B">
        <w:t>Status: Redding, CA pilot ~15k t/yr (2024); ASTM pathway secured; early non-structural pours.</w:t>
      </w:r>
    </w:p>
    <w:p w14:paraId="664ABCCF" w14:textId="77777777" w:rsidR="0085000B" w:rsidRPr="0085000B" w:rsidRDefault="0085000B" w:rsidP="0085000B">
      <w:pPr>
        <w:numPr>
          <w:ilvl w:val="0"/>
          <w:numId w:val="7"/>
        </w:numPr>
      </w:pPr>
      <w:r w:rsidRPr="0085000B">
        <w:lastRenderedPageBreak/>
        <w:t>Scale plan: Commercial modules 0.5–1.0 Mt/yr, US$150–200m capex per site; profitability 3–5+ yrs away contingent on multi-site ramp.</w:t>
      </w:r>
    </w:p>
    <w:p w14:paraId="5C3A5034" w14:textId="77777777" w:rsidR="0085000B" w:rsidRPr="0085000B" w:rsidRDefault="0085000B" w:rsidP="0085000B">
      <w:pPr>
        <w:numPr>
          <w:ilvl w:val="0"/>
          <w:numId w:val="7"/>
        </w:numPr>
      </w:pPr>
      <w:r w:rsidRPr="0085000B">
        <w:t>Funding/Valuation: ~US$140–145m raised, incl. US$85m Series C (Aug-2024) (Khosla, Temasek; strategics Saint-Gobain, Sumitomo, Wollemi). Implied post ≈ US$350m. Headcount ~145.</w:t>
      </w:r>
    </w:p>
    <w:p w14:paraId="4423B029" w14:textId="77777777" w:rsidR="0085000B" w:rsidRPr="0085000B" w:rsidRDefault="0085000B" w:rsidP="0085000B">
      <w:pPr>
        <w:numPr>
          <w:ilvl w:val="0"/>
          <w:numId w:val="7"/>
        </w:numPr>
      </w:pPr>
      <w:r w:rsidRPr="0085000B">
        <w:t>Commercial: 3 global cement MOUs; Graymont 2025 deployment JV; license/partner model.</w:t>
      </w:r>
    </w:p>
    <w:p w14:paraId="2829E37F" w14:textId="77777777" w:rsidR="0085000B" w:rsidRPr="0085000B" w:rsidRDefault="0085000B" w:rsidP="0085000B">
      <w:r w:rsidRPr="0085000B">
        <w:t>Key risks</w:t>
      </w:r>
    </w:p>
    <w:p w14:paraId="6A09475E" w14:textId="77777777" w:rsidR="0085000B" w:rsidRPr="0085000B" w:rsidRDefault="0085000B" w:rsidP="0085000B">
      <w:pPr>
        <w:numPr>
          <w:ilvl w:val="0"/>
          <w:numId w:val="8"/>
        </w:numPr>
      </w:pPr>
      <w:r w:rsidRPr="0085000B">
        <w:t>FOAK→NOAK scale-up (throughput/uptime/quality).</w:t>
      </w:r>
    </w:p>
    <w:p w14:paraId="0103BEE3" w14:textId="77777777" w:rsidR="0085000B" w:rsidRPr="0085000B" w:rsidRDefault="0085000B" w:rsidP="0085000B">
      <w:pPr>
        <w:numPr>
          <w:ilvl w:val="0"/>
          <w:numId w:val="8"/>
        </w:numPr>
      </w:pPr>
      <w:r w:rsidRPr="0085000B">
        <w:t>Adoption/ASTM/specs; cement buyers require parity proven in contracts.</w:t>
      </w:r>
    </w:p>
    <w:p w14:paraId="07BEC6DC" w14:textId="77777777" w:rsidR="0085000B" w:rsidRPr="0085000B" w:rsidRDefault="0085000B" w:rsidP="0085000B">
      <w:pPr>
        <w:numPr>
          <w:ilvl w:val="0"/>
          <w:numId w:val="8"/>
        </w:numPr>
      </w:pPr>
      <w:r w:rsidRPr="0085000B">
        <w:t>Policy dependence (mandates, credits, procurement).</w:t>
      </w:r>
    </w:p>
    <w:p w14:paraId="3CDFA8D6" w14:textId="77777777" w:rsidR="0085000B" w:rsidRPr="0085000B" w:rsidRDefault="0085000B" w:rsidP="0085000B">
      <w:pPr>
        <w:numPr>
          <w:ilvl w:val="0"/>
          <w:numId w:val="8"/>
        </w:numPr>
      </w:pPr>
      <w:r w:rsidRPr="0085000B">
        <w:t>Capex &amp; partner commitment; multi-year development cycles.</w:t>
      </w:r>
    </w:p>
    <w:p w14:paraId="6B5CE096" w14:textId="77777777" w:rsidR="0085000B" w:rsidRPr="0085000B" w:rsidRDefault="0085000B" w:rsidP="0085000B">
      <w:pPr>
        <w:numPr>
          <w:ilvl w:val="0"/>
          <w:numId w:val="8"/>
        </w:numPr>
      </w:pPr>
      <w:r w:rsidRPr="0085000B">
        <w:t>Permitting/supply chain delays.</w:t>
      </w:r>
    </w:p>
    <w:p w14:paraId="6520BD8C" w14:textId="77777777" w:rsidR="0085000B" w:rsidRPr="0085000B" w:rsidRDefault="0085000B" w:rsidP="0085000B">
      <w:r w:rsidRPr="0085000B">
        <w:t>Base/Downside</w:t>
      </w:r>
    </w:p>
    <w:p w14:paraId="341482CB" w14:textId="77777777" w:rsidR="0085000B" w:rsidRPr="0085000B" w:rsidRDefault="0085000B" w:rsidP="0085000B">
      <w:pPr>
        <w:numPr>
          <w:ilvl w:val="0"/>
          <w:numId w:val="9"/>
        </w:numPr>
      </w:pPr>
      <w:r w:rsidRPr="0085000B">
        <w:t>Base: 2–3 sites financed/under EPC by 2026–27; cost parity evidenced; revenue ramps late-decade.</w:t>
      </w:r>
    </w:p>
    <w:p w14:paraId="11EA84E8" w14:textId="77777777" w:rsidR="0085000B" w:rsidRPr="0085000B" w:rsidRDefault="0085000B" w:rsidP="0085000B">
      <w:pPr>
        <w:numPr>
          <w:ilvl w:val="0"/>
          <w:numId w:val="9"/>
        </w:numPr>
      </w:pPr>
      <w:r w:rsidRPr="0085000B">
        <w:t>Downside: FOAK delays + uneven policy support → follow-on equity, valuation compression.</w:t>
      </w:r>
    </w:p>
    <w:p w14:paraId="6CF985FB" w14:textId="77777777" w:rsidR="0085000B" w:rsidRPr="0085000B" w:rsidRDefault="0085000B" w:rsidP="0085000B">
      <w:proofErr w:type="spellStart"/>
      <w:r w:rsidRPr="0085000B">
        <w:t>Kalfresh</w:t>
      </w:r>
      <w:proofErr w:type="spellEnd"/>
      <w:r w:rsidRPr="0085000B">
        <w:t xml:space="preserve"> leverage: If you show faster unit-economics and lower policy risk than green cement, ask for higher price / lighter </w:t>
      </w:r>
      <w:proofErr w:type="spellStart"/>
      <w:r w:rsidRPr="0085000B">
        <w:t>prefs</w:t>
      </w:r>
      <w:proofErr w:type="spellEnd"/>
      <w:r w:rsidRPr="0085000B">
        <w:t xml:space="preserve"> as a risk diversifier in Wollemi’s book.</w:t>
      </w:r>
    </w:p>
    <w:p w14:paraId="3B95D5E3" w14:textId="77777777" w:rsidR="0085000B" w:rsidRPr="0085000B" w:rsidRDefault="0085000B" w:rsidP="0085000B">
      <w:r w:rsidRPr="0085000B">
        <w:pict w14:anchorId="24D4B144">
          <v:rect id="_x0000_i1081" style="width:0;height:1.5pt" o:hralign="center" o:hrstd="t" o:hr="t" fillcolor="#a0a0a0" stroked="f"/>
        </w:pict>
      </w:r>
    </w:p>
    <w:p w14:paraId="7E3B27EC" w14:textId="77777777" w:rsidR="0085000B" w:rsidRPr="0085000B" w:rsidRDefault="0085000B" w:rsidP="0085000B">
      <w:r w:rsidRPr="0085000B">
        <w:t>B) Enzymatic Recycling (Samsara Eco)</w:t>
      </w:r>
    </w:p>
    <w:p w14:paraId="3E778D5C" w14:textId="77777777" w:rsidR="0085000B" w:rsidRPr="0085000B" w:rsidRDefault="0085000B" w:rsidP="0085000B">
      <w:r w:rsidRPr="0085000B">
        <w:t>What it is</w:t>
      </w:r>
    </w:p>
    <w:p w14:paraId="0B76C962" w14:textId="77777777" w:rsidR="0085000B" w:rsidRPr="0085000B" w:rsidRDefault="0085000B" w:rsidP="0085000B">
      <w:pPr>
        <w:numPr>
          <w:ilvl w:val="0"/>
          <w:numId w:val="10"/>
        </w:numPr>
      </w:pPr>
      <w:r w:rsidRPr="0085000B">
        <w:t>Enzymatic depolymerisation of PET/polyesters &amp; certain nylons to virgin-grade monomers; not PE/PP today.</w:t>
      </w:r>
    </w:p>
    <w:p w14:paraId="6718689A" w14:textId="77777777" w:rsidR="0085000B" w:rsidRPr="0085000B" w:rsidRDefault="0085000B" w:rsidP="0085000B">
      <w:r w:rsidRPr="0085000B">
        <w:t>Market &amp; peers</w:t>
      </w:r>
    </w:p>
    <w:p w14:paraId="2E71B809" w14:textId="77777777" w:rsidR="0085000B" w:rsidRPr="0085000B" w:rsidRDefault="0085000B" w:rsidP="0085000B">
      <w:pPr>
        <w:numPr>
          <w:ilvl w:val="0"/>
          <w:numId w:val="11"/>
        </w:numPr>
      </w:pPr>
      <w:r w:rsidRPr="0085000B">
        <w:t>2023 market ~US$45–50m → ~US$130m+ by 2030 (~16–17% CAGR).</w:t>
      </w:r>
    </w:p>
    <w:p w14:paraId="5BADEDCF" w14:textId="77777777" w:rsidR="0085000B" w:rsidRPr="0085000B" w:rsidRDefault="0085000B" w:rsidP="0085000B">
      <w:pPr>
        <w:numPr>
          <w:ilvl w:val="0"/>
          <w:numId w:val="11"/>
        </w:numPr>
      </w:pPr>
      <w:r w:rsidRPr="0085000B">
        <w:t xml:space="preserve">Peers: </w:t>
      </w:r>
      <w:proofErr w:type="spellStart"/>
      <w:r w:rsidRPr="0085000B">
        <w:t>Carbios</w:t>
      </w:r>
      <w:proofErr w:type="spellEnd"/>
      <w:r w:rsidRPr="0085000B">
        <w:t xml:space="preserve"> (FR, PET; ~50 kt/yr plant ~€230m capex, startup slipped 6–9 months), Protein Evolution, DOE BOTTLE.</w:t>
      </w:r>
    </w:p>
    <w:p w14:paraId="3A891569" w14:textId="77777777" w:rsidR="0085000B" w:rsidRPr="0085000B" w:rsidRDefault="0085000B" w:rsidP="0085000B">
      <w:r w:rsidRPr="0085000B">
        <w:t>Tech &amp; economics</w:t>
      </w:r>
    </w:p>
    <w:p w14:paraId="3807369C" w14:textId="77777777" w:rsidR="0085000B" w:rsidRPr="0085000B" w:rsidRDefault="0085000B" w:rsidP="0085000B">
      <w:pPr>
        <w:numPr>
          <w:ilvl w:val="0"/>
          <w:numId w:val="12"/>
        </w:numPr>
      </w:pPr>
      <w:r w:rsidRPr="0085000B">
        <w:lastRenderedPageBreak/>
        <w:t>Viable for PET/nylon; kinetics/enzyme cost &amp; reuse, feedstock sorting, and continuous ops drive COGS.</w:t>
      </w:r>
    </w:p>
    <w:p w14:paraId="07C6D3DE" w14:textId="77777777" w:rsidR="0085000B" w:rsidRPr="0085000B" w:rsidRDefault="0085000B" w:rsidP="0085000B">
      <w:pPr>
        <w:numPr>
          <w:ilvl w:val="0"/>
          <w:numId w:val="12"/>
        </w:numPr>
      </w:pPr>
      <w:r w:rsidRPr="0085000B">
        <w:t>NREL/DOE models suggest recycled PET ~US$1.51/kg vs virgin ~US$1.87/kg (paper economics—needs plant proof).</w:t>
      </w:r>
    </w:p>
    <w:p w14:paraId="71BAB347" w14:textId="77777777" w:rsidR="0085000B" w:rsidRPr="0085000B" w:rsidRDefault="0085000B" w:rsidP="0085000B">
      <w:pPr>
        <w:numPr>
          <w:ilvl w:val="0"/>
          <w:numId w:val="12"/>
        </w:numPr>
      </w:pPr>
      <w:r w:rsidRPr="0085000B">
        <w:t>Capex heavy FOAKs; virgin price weakness squeezes margins absent mandates/premiums.</w:t>
      </w:r>
    </w:p>
    <w:p w14:paraId="227C9D83" w14:textId="77777777" w:rsidR="0085000B" w:rsidRPr="0085000B" w:rsidRDefault="0085000B" w:rsidP="0085000B">
      <w:r w:rsidRPr="0085000B">
        <w:t>Samsara snapshot</w:t>
      </w:r>
    </w:p>
    <w:p w14:paraId="21B361AA" w14:textId="77777777" w:rsidR="0085000B" w:rsidRPr="0085000B" w:rsidRDefault="0085000B" w:rsidP="0085000B">
      <w:pPr>
        <w:numPr>
          <w:ilvl w:val="0"/>
          <w:numId w:val="13"/>
        </w:numPr>
      </w:pPr>
      <w:r w:rsidRPr="0085000B">
        <w:t>Stage: First commercial Jerrabomberra (AU) 2025; pre-meaningful revenue; lululemon 10-yr offtake (fibre).</w:t>
      </w:r>
    </w:p>
    <w:p w14:paraId="79B67DA3" w14:textId="77777777" w:rsidR="0085000B" w:rsidRPr="0085000B" w:rsidRDefault="0085000B" w:rsidP="0085000B">
      <w:pPr>
        <w:numPr>
          <w:ilvl w:val="0"/>
          <w:numId w:val="13"/>
        </w:numPr>
      </w:pPr>
      <w:r w:rsidRPr="0085000B">
        <w:t>Scale plan: SE Asia nylon-6,6 20 kt/yr by ~2028 (slipped from 2026; KBR FEED).</w:t>
      </w:r>
    </w:p>
    <w:p w14:paraId="68FECFF9" w14:textId="77777777" w:rsidR="0085000B" w:rsidRPr="0085000B" w:rsidRDefault="0085000B" w:rsidP="0085000B">
      <w:pPr>
        <w:numPr>
          <w:ilvl w:val="0"/>
          <w:numId w:val="13"/>
        </w:numPr>
      </w:pPr>
      <w:r w:rsidRPr="0085000B">
        <w:t>Funding/holders: A$150m+ raised (A$54m 2022; A$100m 2024 led by Temasek/Main Sequence). Stakes: Main Sequence ~25%, Temasek ~12%, Woolworths ~10%; plus CEFC/Virescent, Wollemi, lululemon, Hitachi Ventures, Titanium, DCVC, Breakthrough Vic, ANU.</w:t>
      </w:r>
    </w:p>
    <w:p w14:paraId="127D63BE" w14:textId="77777777" w:rsidR="0085000B" w:rsidRPr="0085000B" w:rsidRDefault="0085000B" w:rsidP="0085000B">
      <w:pPr>
        <w:numPr>
          <w:ilvl w:val="0"/>
          <w:numId w:val="13"/>
        </w:numPr>
      </w:pPr>
      <w:r w:rsidRPr="0085000B">
        <w:t xml:space="preserve">Economics: Single 20 kt unit at full run-rate </w:t>
      </w:r>
      <w:r w:rsidRPr="0085000B">
        <w:rPr>
          <w:rFonts w:ascii="Cambria Math" w:hAnsi="Cambria Math" w:cs="Cambria Math"/>
        </w:rPr>
        <w:t>⇒</w:t>
      </w:r>
      <w:r w:rsidRPr="0085000B">
        <w:t xml:space="preserve"> A$40–80m/yr revenue; company-level break-even late-2020s/2030s.</w:t>
      </w:r>
    </w:p>
    <w:p w14:paraId="6F683328" w14:textId="77777777" w:rsidR="0085000B" w:rsidRPr="0085000B" w:rsidRDefault="0085000B" w:rsidP="0085000B">
      <w:r w:rsidRPr="0085000B">
        <w:t>Key risks</w:t>
      </w:r>
    </w:p>
    <w:p w14:paraId="0B7F7C25" w14:textId="77777777" w:rsidR="0085000B" w:rsidRPr="0085000B" w:rsidRDefault="0085000B" w:rsidP="0085000B">
      <w:pPr>
        <w:numPr>
          <w:ilvl w:val="0"/>
          <w:numId w:val="14"/>
        </w:numPr>
      </w:pPr>
      <w:r w:rsidRPr="0085000B">
        <w:t>Capital intensity &amp; financing for multi-plant buildout.</w:t>
      </w:r>
    </w:p>
    <w:p w14:paraId="34CA5F99" w14:textId="77777777" w:rsidR="0085000B" w:rsidRPr="0085000B" w:rsidRDefault="0085000B" w:rsidP="0085000B">
      <w:pPr>
        <w:numPr>
          <w:ilvl w:val="0"/>
          <w:numId w:val="14"/>
        </w:numPr>
      </w:pPr>
      <w:r w:rsidRPr="0085000B">
        <w:t>Unit economics (enzyme $/t, yields, uptime).</w:t>
      </w:r>
    </w:p>
    <w:p w14:paraId="52C24759" w14:textId="77777777" w:rsidR="0085000B" w:rsidRPr="0085000B" w:rsidRDefault="0085000B" w:rsidP="0085000B">
      <w:pPr>
        <w:numPr>
          <w:ilvl w:val="0"/>
          <w:numId w:val="14"/>
        </w:numPr>
      </w:pPr>
      <w:r w:rsidRPr="0085000B">
        <w:t>Scale execution (bioprocess).</w:t>
      </w:r>
    </w:p>
    <w:p w14:paraId="02380836" w14:textId="77777777" w:rsidR="0085000B" w:rsidRPr="0085000B" w:rsidRDefault="0085000B" w:rsidP="0085000B">
      <w:pPr>
        <w:numPr>
          <w:ilvl w:val="0"/>
          <w:numId w:val="14"/>
        </w:numPr>
      </w:pPr>
      <w:r w:rsidRPr="0085000B">
        <w:t>Feedstock logistics.</w:t>
      </w:r>
    </w:p>
    <w:p w14:paraId="3A9FC227" w14:textId="77777777" w:rsidR="0085000B" w:rsidRPr="0085000B" w:rsidRDefault="0085000B" w:rsidP="0085000B">
      <w:pPr>
        <w:numPr>
          <w:ilvl w:val="0"/>
          <w:numId w:val="14"/>
        </w:numPr>
      </w:pPr>
      <w:r w:rsidRPr="0085000B">
        <w:t>Policy/virgin price headwinds.</w:t>
      </w:r>
    </w:p>
    <w:p w14:paraId="1DE83767" w14:textId="77777777" w:rsidR="0085000B" w:rsidRPr="0085000B" w:rsidRDefault="0085000B" w:rsidP="0085000B">
      <w:pPr>
        <w:numPr>
          <w:ilvl w:val="0"/>
          <w:numId w:val="14"/>
        </w:numPr>
      </w:pPr>
      <w:r w:rsidRPr="0085000B">
        <w:t>Scope limit (no PE/PP).</w:t>
      </w:r>
    </w:p>
    <w:p w14:paraId="70A21DBE" w14:textId="77777777" w:rsidR="0085000B" w:rsidRPr="0085000B" w:rsidRDefault="0085000B" w:rsidP="0085000B">
      <w:pPr>
        <w:numPr>
          <w:ilvl w:val="0"/>
          <w:numId w:val="14"/>
        </w:numPr>
      </w:pPr>
      <w:r w:rsidRPr="0085000B">
        <w:t>Timeline slips (already pushed).</w:t>
      </w:r>
    </w:p>
    <w:p w14:paraId="165BEC20" w14:textId="77777777" w:rsidR="0085000B" w:rsidRPr="0085000B" w:rsidRDefault="0085000B" w:rsidP="0085000B">
      <w:r w:rsidRPr="0085000B">
        <w:t>12–24m watch-outs</w:t>
      </w:r>
    </w:p>
    <w:p w14:paraId="5F7E42E4" w14:textId="77777777" w:rsidR="0085000B" w:rsidRPr="0085000B" w:rsidRDefault="0085000B" w:rsidP="0085000B">
      <w:pPr>
        <w:numPr>
          <w:ilvl w:val="0"/>
          <w:numId w:val="15"/>
        </w:numPr>
      </w:pPr>
      <w:r w:rsidRPr="0085000B">
        <w:t>Jerrabomberra output/quality; SE Asia FEED + capex package; diversified offtakes; enzyme productivity trend; policy reinforcement.</w:t>
      </w:r>
    </w:p>
    <w:p w14:paraId="09D918AC" w14:textId="77777777" w:rsidR="0085000B" w:rsidRPr="0085000B" w:rsidRDefault="0085000B" w:rsidP="0085000B">
      <w:proofErr w:type="spellStart"/>
      <w:r w:rsidRPr="0085000B">
        <w:t>Kalfresh</w:t>
      </w:r>
      <w:proofErr w:type="spellEnd"/>
      <w:r w:rsidRPr="0085000B">
        <w:t xml:space="preserve"> leverage: Highlight your near-term cash visibility vs Samsara’s pre-profit, capex-heavy arc. Use that delta to negotiate valuation and </w:t>
      </w:r>
      <w:proofErr w:type="spellStart"/>
      <w:proofErr w:type="gramStart"/>
      <w:r w:rsidRPr="0085000B">
        <w:t>prefs</w:t>
      </w:r>
      <w:proofErr w:type="spellEnd"/>
      <w:r w:rsidRPr="0085000B">
        <w:t>;</w:t>
      </w:r>
      <w:proofErr w:type="gramEnd"/>
      <w:r w:rsidRPr="0085000B">
        <w:t xml:space="preserve"> anchor downside protection with milestones.</w:t>
      </w:r>
    </w:p>
    <w:p w14:paraId="68942AEA" w14:textId="77777777" w:rsidR="0085000B" w:rsidRPr="0085000B" w:rsidRDefault="0085000B" w:rsidP="0085000B">
      <w:r w:rsidRPr="0085000B">
        <w:pict w14:anchorId="0EA1463D">
          <v:rect id="_x0000_i1082" style="width:0;height:1.5pt" o:hralign="center" o:hrstd="t" o:hr="t" fillcolor="#a0a0a0" stroked="f"/>
        </w:pict>
      </w:r>
    </w:p>
    <w:p w14:paraId="173F4833" w14:textId="77777777" w:rsidR="0085000B" w:rsidRPr="0085000B" w:rsidRDefault="0085000B" w:rsidP="0085000B">
      <w:r w:rsidRPr="0085000B">
        <w:lastRenderedPageBreak/>
        <w:t>C) Industrial Waste-Heat-to-Power (Kanin Energy)</w:t>
      </w:r>
    </w:p>
    <w:p w14:paraId="71C1834C" w14:textId="77777777" w:rsidR="0085000B" w:rsidRPr="0085000B" w:rsidRDefault="0085000B" w:rsidP="0085000B">
      <w:r w:rsidRPr="0085000B">
        <w:t>Sector</w:t>
      </w:r>
    </w:p>
    <w:p w14:paraId="27D6F259" w14:textId="77777777" w:rsidR="0085000B" w:rsidRPr="0085000B" w:rsidRDefault="0085000B" w:rsidP="0085000B">
      <w:pPr>
        <w:numPr>
          <w:ilvl w:val="0"/>
          <w:numId w:val="16"/>
        </w:numPr>
      </w:pPr>
      <w:r w:rsidRPr="0085000B">
        <w:t>Converts industrial waste heat (steel/cement/O&amp;G/chemicals) to 24/7 carbon-free power (ORC/steam).</w:t>
      </w:r>
    </w:p>
    <w:p w14:paraId="7C1BFDFF" w14:textId="77777777" w:rsidR="0085000B" w:rsidRPr="0085000B" w:rsidRDefault="0085000B" w:rsidP="0085000B">
      <w:pPr>
        <w:numPr>
          <w:ilvl w:val="0"/>
          <w:numId w:val="16"/>
        </w:numPr>
      </w:pPr>
      <w:r w:rsidRPr="0085000B">
        <w:t>EaaS model: developer finances/owns/operates; host buys power or shares savings on 10–20-yr contracts.</w:t>
      </w:r>
    </w:p>
    <w:p w14:paraId="58EC0C48" w14:textId="77777777" w:rsidR="0085000B" w:rsidRPr="0085000B" w:rsidRDefault="0085000B" w:rsidP="0085000B">
      <w:r w:rsidRPr="0085000B">
        <w:t>Market &amp; demand</w:t>
      </w:r>
    </w:p>
    <w:p w14:paraId="72A00EAE" w14:textId="77777777" w:rsidR="0085000B" w:rsidRPr="0085000B" w:rsidRDefault="0085000B" w:rsidP="0085000B">
      <w:pPr>
        <w:numPr>
          <w:ilvl w:val="0"/>
          <w:numId w:val="17"/>
        </w:numPr>
      </w:pPr>
      <w:r w:rsidRPr="0085000B">
        <w:t>Global market ~US$25.2B (2023), ~10.8% CAGR to 2032.</w:t>
      </w:r>
    </w:p>
    <w:p w14:paraId="016011F7" w14:textId="77777777" w:rsidR="0085000B" w:rsidRPr="0085000B" w:rsidRDefault="0085000B" w:rsidP="0085000B">
      <w:pPr>
        <w:numPr>
          <w:ilvl w:val="0"/>
          <w:numId w:val="17"/>
        </w:numPr>
      </w:pPr>
      <w:r w:rsidRPr="0085000B">
        <w:t>US: IRA 30% ITC materially boosts IRR; PPAs common.</w:t>
      </w:r>
    </w:p>
    <w:p w14:paraId="5D9DE1CF" w14:textId="77777777" w:rsidR="0085000B" w:rsidRPr="0085000B" w:rsidRDefault="0085000B" w:rsidP="0085000B">
      <w:pPr>
        <w:numPr>
          <w:ilvl w:val="0"/>
          <w:numId w:val="17"/>
        </w:numPr>
      </w:pPr>
      <w:r w:rsidRPr="0085000B">
        <w:t>EU: Tight policy &amp; €80–100/t CO₂ pricing; cement sub-segment &gt;10.5% CAGR.</w:t>
      </w:r>
    </w:p>
    <w:p w14:paraId="0CEC9B12" w14:textId="77777777" w:rsidR="0085000B" w:rsidRPr="0085000B" w:rsidRDefault="0085000B" w:rsidP="0085000B">
      <w:pPr>
        <w:numPr>
          <w:ilvl w:val="0"/>
          <w:numId w:val="17"/>
        </w:numPr>
      </w:pPr>
      <w:r w:rsidRPr="0085000B">
        <w:t>AU: Large latent potential; ARENA/CEFC supportive; market nascent.</w:t>
      </w:r>
    </w:p>
    <w:p w14:paraId="6C05AA73" w14:textId="77777777" w:rsidR="0085000B" w:rsidRPr="0085000B" w:rsidRDefault="0085000B" w:rsidP="0085000B">
      <w:r w:rsidRPr="0085000B">
        <w:t>Economics</w:t>
      </w:r>
    </w:p>
    <w:p w14:paraId="3068DE5C" w14:textId="77777777" w:rsidR="0085000B" w:rsidRPr="0085000B" w:rsidRDefault="0085000B" w:rsidP="0085000B">
      <w:pPr>
        <w:numPr>
          <w:ilvl w:val="0"/>
          <w:numId w:val="18"/>
        </w:numPr>
      </w:pPr>
      <w:r w:rsidRPr="0085000B">
        <w:t>Many projects NPV-positive; historically blocked by 4–8+ yr paybacks and bespoke engineering soft costs.</w:t>
      </w:r>
    </w:p>
    <w:p w14:paraId="42274E82" w14:textId="77777777" w:rsidR="0085000B" w:rsidRPr="0085000B" w:rsidRDefault="0085000B" w:rsidP="0085000B">
      <w:pPr>
        <w:numPr>
          <w:ilvl w:val="0"/>
          <w:numId w:val="18"/>
        </w:numPr>
      </w:pPr>
      <w:r w:rsidRPr="0085000B">
        <w:t>Today’s power/CO₂ prices + ITC shorten paybacks; EaaS yields infrastructure-like cash flows once online.</w:t>
      </w:r>
    </w:p>
    <w:p w14:paraId="78FB97F5" w14:textId="77777777" w:rsidR="0085000B" w:rsidRPr="0085000B" w:rsidRDefault="0085000B" w:rsidP="0085000B">
      <w:r w:rsidRPr="0085000B">
        <w:t>Kanin snapshot</w:t>
      </w:r>
    </w:p>
    <w:p w14:paraId="67017DD3" w14:textId="77777777" w:rsidR="0085000B" w:rsidRPr="0085000B" w:rsidRDefault="0085000B" w:rsidP="0085000B">
      <w:pPr>
        <w:numPr>
          <w:ilvl w:val="0"/>
          <w:numId w:val="19"/>
        </w:numPr>
      </w:pPr>
      <w:r w:rsidRPr="0085000B">
        <w:t>Founded 2020 (Calgary/Houston). Pre-revenue; first revenue 2025–26.</w:t>
      </w:r>
    </w:p>
    <w:p w14:paraId="3F44F02D" w14:textId="77777777" w:rsidR="0085000B" w:rsidRPr="0085000B" w:rsidRDefault="0085000B" w:rsidP="0085000B">
      <w:pPr>
        <w:numPr>
          <w:ilvl w:val="0"/>
          <w:numId w:val="19"/>
        </w:numPr>
      </w:pPr>
      <w:r w:rsidRPr="0085000B">
        <w:t xml:space="preserve">Funding: US$7–9m equity; US$5.2m Wollemi note (board seat); </w:t>
      </w:r>
      <w:proofErr w:type="spellStart"/>
      <w:r w:rsidRPr="0085000B">
        <w:t>PaceZero</w:t>
      </w:r>
      <w:proofErr w:type="spellEnd"/>
      <w:r w:rsidRPr="0085000B">
        <w:t xml:space="preserve"> development debt. Implied value US$50–100m post-Tallgrass.</w:t>
      </w:r>
    </w:p>
    <w:p w14:paraId="52BED719" w14:textId="77777777" w:rsidR="0085000B" w:rsidRPr="0085000B" w:rsidRDefault="0085000B" w:rsidP="0085000B">
      <w:pPr>
        <w:numPr>
          <w:ilvl w:val="0"/>
          <w:numId w:val="19"/>
        </w:numPr>
      </w:pPr>
      <w:r w:rsidRPr="0085000B">
        <w:t>Pipeline: Tallgrass 4 projects (OH/IN) ~48 MW, ~410,000 MWh/yr; flagship 9.2 MW UD→AES Ohio (COD early-2026; ~71% campus CO₂ cut). 1 GW LT pipeline.</w:t>
      </w:r>
    </w:p>
    <w:p w14:paraId="7E4EB15F" w14:textId="77777777" w:rsidR="0085000B" w:rsidRPr="0085000B" w:rsidRDefault="0085000B" w:rsidP="0085000B">
      <w:pPr>
        <w:numPr>
          <w:ilvl w:val="0"/>
          <w:numId w:val="19"/>
        </w:numPr>
      </w:pPr>
      <w:r w:rsidRPr="0085000B">
        <w:t>Capex reality: $50–100m+ for first 48 MW (mostly partner-funded).</w:t>
      </w:r>
    </w:p>
    <w:p w14:paraId="2BF77ACE" w14:textId="77777777" w:rsidR="0085000B" w:rsidRPr="0085000B" w:rsidRDefault="0085000B" w:rsidP="0085000B">
      <w:r w:rsidRPr="0085000B">
        <w:t>Key risks</w:t>
      </w:r>
    </w:p>
    <w:p w14:paraId="502EFCE3" w14:textId="77777777" w:rsidR="0085000B" w:rsidRPr="0085000B" w:rsidRDefault="0085000B" w:rsidP="0085000B">
      <w:pPr>
        <w:numPr>
          <w:ilvl w:val="0"/>
          <w:numId w:val="20"/>
        </w:numPr>
      </w:pPr>
      <w:r w:rsidRPr="0085000B">
        <w:t>Schedule/Execution: 2024→2026 slippage; EPC/interconnect/permitting.</w:t>
      </w:r>
    </w:p>
    <w:p w14:paraId="35A87851" w14:textId="77777777" w:rsidR="0085000B" w:rsidRPr="0085000B" w:rsidRDefault="0085000B" w:rsidP="0085000B">
      <w:pPr>
        <w:numPr>
          <w:ilvl w:val="0"/>
          <w:numId w:val="20"/>
        </w:numPr>
      </w:pPr>
      <w:r w:rsidRPr="0085000B">
        <w:t>Capital intensity: Reliance on external project finance; rates/inflation squeeze returns.</w:t>
      </w:r>
    </w:p>
    <w:p w14:paraId="1B1C8BD4" w14:textId="77777777" w:rsidR="0085000B" w:rsidRPr="0085000B" w:rsidRDefault="0085000B" w:rsidP="0085000B">
      <w:pPr>
        <w:numPr>
          <w:ilvl w:val="0"/>
          <w:numId w:val="20"/>
        </w:numPr>
      </w:pPr>
      <w:r w:rsidRPr="0085000B">
        <w:t>Concentration: Tallgrass/AES/UD exposure.</w:t>
      </w:r>
    </w:p>
    <w:p w14:paraId="312CF3AC" w14:textId="77777777" w:rsidR="0085000B" w:rsidRPr="0085000B" w:rsidRDefault="0085000B" w:rsidP="0085000B">
      <w:pPr>
        <w:numPr>
          <w:ilvl w:val="0"/>
          <w:numId w:val="20"/>
        </w:numPr>
      </w:pPr>
      <w:r w:rsidRPr="0085000B">
        <w:t>Ops ramp: Fleet-level uptime/O&amp;M at industrial standards.</w:t>
      </w:r>
    </w:p>
    <w:p w14:paraId="248CD50B" w14:textId="77777777" w:rsidR="0085000B" w:rsidRPr="0085000B" w:rsidRDefault="0085000B" w:rsidP="0085000B">
      <w:pPr>
        <w:numPr>
          <w:ilvl w:val="0"/>
          <w:numId w:val="20"/>
        </w:numPr>
      </w:pPr>
      <w:r w:rsidRPr="0085000B">
        <w:t>Policy/competition: Incentive shifts; ORC OEMs/ESCOs can compete.</w:t>
      </w:r>
    </w:p>
    <w:p w14:paraId="49D5CC61" w14:textId="77777777" w:rsidR="0085000B" w:rsidRPr="0085000B" w:rsidRDefault="0085000B" w:rsidP="0085000B">
      <w:proofErr w:type="spellStart"/>
      <w:r w:rsidRPr="0085000B">
        <w:lastRenderedPageBreak/>
        <w:t>Kalfresh</w:t>
      </w:r>
      <w:proofErr w:type="spellEnd"/>
      <w:r w:rsidRPr="0085000B">
        <w:t xml:space="preserve"> leverage: Treat as infrastructure with project-by-project risk—acknowledge quality counterparts yet discount for execution drag; secure milestone-linked terms.</w:t>
      </w:r>
    </w:p>
    <w:p w14:paraId="2A0E86B9" w14:textId="77777777" w:rsidR="0085000B" w:rsidRPr="0085000B" w:rsidRDefault="0085000B" w:rsidP="0085000B">
      <w:r w:rsidRPr="0085000B">
        <w:pict w14:anchorId="5C103F0A">
          <v:rect id="_x0000_i1083" style="width:0;height:1.5pt" o:hralign="center" o:hrstd="t" o:hr="t" fillcolor="#a0a0a0" stroked="f"/>
        </w:pict>
      </w:r>
    </w:p>
    <w:p w14:paraId="0A5326C0" w14:textId="77777777" w:rsidR="0085000B" w:rsidRPr="0085000B" w:rsidRDefault="0085000B" w:rsidP="0085000B">
      <w:r w:rsidRPr="0085000B">
        <w:t>D) Soil Carbon / Carbon Farming (Loam Bio, AU focus)</w:t>
      </w:r>
    </w:p>
    <w:p w14:paraId="3302486D" w14:textId="77777777" w:rsidR="0085000B" w:rsidRPr="0085000B" w:rsidRDefault="0085000B" w:rsidP="0085000B">
      <w:r w:rsidRPr="0085000B">
        <w:t>Market status</w:t>
      </w:r>
    </w:p>
    <w:p w14:paraId="79A14BAB" w14:textId="77777777" w:rsidR="0085000B" w:rsidRPr="0085000B" w:rsidRDefault="0085000B" w:rsidP="0085000B">
      <w:pPr>
        <w:numPr>
          <w:ilvl w:val="0"/>
          <w:numId w:val="21"/>
        </w:numPr>
      </w:pPr>
      <w:r w:rsidRPr="0085000B">
        <w:t>ACCU soil issuances: ~2k total pre-2023 → ~253k in 2023 (first real uptick) — still small share of total ACCUs.</w:t>
      </w:r>
    </w:p>
    <w:p w14:paraId="3BE0E9AA" w14:textId="77777777" w:rsidR="0085000B" w:rsidRPr="0085000B" w:rsidRDefault="0085000B" w:rsidP="0085000B">
      <w:pPr>
        <w:numPr>
          <w:ilvl w:val="0"/>
          <w:numId w:val="21"/>
        </w:numPr>
      </w:pPr>
      <w:r w:rsidRPr="0085000B">
        <w:t>Projects carry 25–100-yr permanence obligations; 2–5-yr lag to first credits.</w:t>
      </w:r>
    </w:p>
    <w:p w14:paraId="3E70F30D" w14:textId="77777777" w:rsidR="0085000B" w:rsidRPr="0085000B" w:rsidRDefault="0085000B" w:rsidP="0085000B">
      <w:r w:rsidRPr="0085000B">
        <w:t>Science &amp; integrity (critical)</w:t>
      </w:r>
    </w:p>
    <w:p w14:paraId="0E2920D4" w14:textId="77777777" w:rsidR="0085000B" w:rsidRPr="0085000B" w:rsidRDefault="0085000B" w:rsidP="0085000B">
      <w:pPr>
        <w:numPr>
          <w:ilvl w:val="0"/>
          <w:numId w:val="22"/>
        </w:numPr>
      </w:pPr>
      <w:r w:rsidRPr="0085000B">
        <w:t xml:space="preserve">Loam claims ~0.75–2.0 </w:t>
      </w:r>
      <w:proofErr w:type="spellStart"/>
      <w:r w:rsidRPr="0085000B">
        <w:t>tCO</w:t>
      </w:r>
      <w:proofErr w:type="spellEnd"/>
      <w:r w:rsidRPr="0085000B">
        <w:t>₂/acre/yr vs ~0.2–0.7 from practice-only; needs broad independent validation.</w:t>
      </w:r>
    </w:p>
    <w:p w14:paraId="5ADD1618" w14:textId="77777777" w:rsidR="0085000B" w:rsidRPr="0085000B" w:rsidRDefault="0085000B" w:rsidP="0085000B">
      <w:pPr>
        <w:numPr>
          <w:ilvl w:val="0"/>
          <w:numId w:val="22"/>
        </w:numPr>
      </w:pPr>
      <w:r w:rsidRPr="0085000B">
        <w:t>Weather attribution risk: Early AU gains aligned with La Niña rainfall; durability/additionality questioned when weather normalises.</w:t>
      </w:r>
    </w:p>
    <w:p w14:paraId="6EA56F95" w14:textId="77777777" w:rsidR="0085000B" w:rsidRPr="0085000B" w:rsidRDefault="0085000B" w:rsidP="0085000B">
      <w:pPr>
        <w:numPr>
          <w:ilvl w:val="0"/>
          <w:numId w:val="22"/>
        </w:numPr>
      </w:pPr>
      <w:r w:rsidRPr="0085000B">
        <w:t>MRV cost &amp; variability: High sampling costs and spatial variance erode value; buffers (25%) may be tight in a volatile climate.</w:t>
      </w:r>
    </w:p>
    <w:p w14:paraId="5BB6914D" w14:textId="77777777" w:rsidR="0085000B" w:rsidRPr="0085000B" w:rsidRDefault="0085000B" w:rsidP="0085000B">
      <w:pPr>
        <w:numPr>
          <w:ilvl w:val="0"/>
          <w:numId w:val="22"/>
        </w:numPr>
      </w:pPr>
      <w:r w:rsidRPr="0085000B">
        <w:t>Permanence risk: Drought/fire/tillage reversals.</w:t>
      </w:r>
    </w:p>
    <w:p w14:paraId="05F11FA7" w14:textId="77777777" w:rsidR="0085000B" w:rsidRPr="0085000B" w:rsidRDefault="0085000B" w:rsidP="0085000B">
      <w:r w:rsidRPr="0085000B">
        <w:t>Unit economics (today)</w:t>
      </w:r>
    </w:p>
    <w:p w14:paraId="0E57F3A2" w14:textId="77777777" w:rsidR="0085000B" w:rsidRPr="0085000B" w:rsidRDefault="0085000B" w:rsidP="0085000B">
      <w:pPr>
        <w:numPr>
          <w:ilvl w:val="0"/>
          <w:numId w:val="23"/>
        </w:numPr>
      </w:pPr>
      <w:r w:rsidRPr="0085000B">
        <w:t>Product price: A$20–28/ha inoculant.</w:t>
      </w:r>
    </w:p>
    <w:p w14:paraId="5F2A3689" w14:textId="77777777" w:rsidR="0085000B" w:rsidRPr="0085000B" w:rsidRDefault="0085000B" w:rsidP="0085000B">
      <w:pPr>
        <w:numPr>
          <w:ilvl w:val="0"/>
          <w:numId w:val="23"/>
        </w:numPr>
      </w:pPr>
      <w:r w:rsidRPr="0085000B">
        <w:t xml:space="preserve">Farm-gate: At A$40/t, 1 </w:t>
      </w:r>
      <w:proofErr w:type="spellStart"/>
      <w:r w:rsidRPr="0085000B">
        <w:t>tCO</w:t>
      </w:r>
      <w:proofErr w:type="spellEnd"/>
      <w:r w:rsidRPr="0085000B">
        <w:t xml:space="preserve">₂/ha </w:t>
      </w:r>
      <w:r w:rsidRPr="0085000B">
        <w:rPr>
          <w:rFonts w:ascii="Cambria Math" w:hAnsi="Cambria Math" w:cs="Cambria Math"/>
        </w:rPr>
        <w:t>⇒</w:t>
      </w:r>
      <w:r w:rsidRPr="0085000B">
        <w:t xml:space="preserve"> ~A$40/ha/yr; MRV/admin can consume much of that.</w:t>
      </w:r>
    </w:p>
    <w:p w14:paraId="717B17CF" w14:textId="77777777" w:rsidR="0085000B" w:rsidRPr="0085000B" w:rsidRDefault="0085000B" w:rsidP="0085000B">
      <w:pPr>
        <w:numPr>
          <w:ilvl w:val="0"/>
          <w:numId w:val="23"/>
        </w:numPr>
      </w:pPr>
      <w:r w:rsidRPr="0085000B">
        <w:t>Revenue timing: 2–5 yrs to first issuance; cash costs now, credits later.</w:t>
      </w:r>
    </w:p>
    <w:p w14:paraId="1A4D4B93" w14:textId="77777777" w:rsidR="0085000B" w:rsidRPr="0085000B" w:rsidRDefault="0085000B" w:rsidP="0085000B">
      <w:r w:rsidRPr="0085000B">
        <w:t>Demand &amp; price outlook</w:t>
      </w:r>
    </w:p>
    <w:p w14:paraId="2259051F" w14:textId="77777777" w:rsidR="0085000B" w:rsidRPr="0085000B" w:rsidRDefault="0085000B" w:rsidP="0085000B">
      <w:pPr>
        <w:numPr>
          <w:ilvl w:val="0"/>
          <w:numId w:val="24"/>
        </w:numPr>
      </w:pPr>
      <w:r w:rsidRPr="0085000B">
        <w:t>Safeguard Mechanism: Compliance demand ramps from &lt;1 Mt (2022) → ~26 Mt by 2030; peak ~31 Mt 2031; market tightens.</w:t>
      </w:r>
    </w:p>
    <w:p w14:paraId="4C262B03" w14:textId="77777777" w:rsidR="0085000B" w:rsidRPr="0085000B" w:rsidRDefault="0085000B" w:rsidP="0085000B">
      <w:pPr>
        <w:numPr>
          <w:ilvl w:val="0"/>
          <w:numId w:val="24"/>
        </w:numPr>
      </w:pPr>
      <w:r w:rsidRPr="0085000B">
        <w:t>Price: A$30–40/t spot late-2024; ≥A$60/t by 2030 plausible; premium for high-integrity credits (~+40%).</w:t>
      </w:r>
    </w:p>
    <w:p w14:paraId="6F4CE722" w14:textId="77777777" w:rsidR="0085000B" w:rsidRPr="0085000B" w:rsidRDefault="0085000B" w:rsidP="0085000B">
      <w:pPr>
        <w:numPr>
          <w:ilvl w:val="0"/>
          <w:numId w:val="24"/>
        </w:numPr>
      </w:pPr>
      <w:r w:rsidRPr="0085000B">
        <w:t>Voluntary market: ~8× growth to 2030 expected; buyers increasingly quality-sensitive.</w:t>
      </w:r>
    </w:p>
    <w:p w14:paraId="744BE368" w14:textId="77777777" w:rsidR="0085000B" w:rsidRPr="0085000B" w:rsidRDefault="0085000B" w:rsidP="0085000B">
      <w:r w:rsidRPr="0085000B">
        <w:t>Loam Bio snapshot</w:t>
      </w:r>
    </w:p>
    <w:p w14:paraId="1E6007E4" w14:textId="77777777" w:rsidR="0085000B" w:rsidRPr="0085000B" w:rsidRDefault="0085000B" w:rsidP="0085000B">
      <w:pPr>
        <w:numPr>
          <w:ilvl w:val="0"/>
          <w:numId w:val="25"/>
        </w:numPr>
      </w:pPr>
      <w:r w:rsidRPr="0085000B">
        <w:t>Founded 2019; microbial seed coatings (</w:t>
      </w:r>
      <w:proofErr w:type="spellStart"/>
      <w:r w:rsidRPr="0085000B">
        <w:t>CarbonBuilder</w:t>
      </w:r>
      <w:proofErr w:type="spellEnd"/>
      <w:r w:rsidRPr="0085000B">
        <w:t>) + carbon project platform (</w:t>
      </w:r>
      <w:proofErr w:type="spellStart"/>
      <w:r w:rsidRPr="0085000B">
        <w:t>SecondCrop</w:t>
      </w:r>
      <w:proofErr w:type="spellEnd"/>
      <w:r w:rsidRPr="0085000B">
        <w:t>).</w:t>
      </w:r>
    </w:p>
    <w:p w14:paraId="651B7A16" w14:textId="77777777" w:rsidR="0085000B" w:rsidRPr="0085000B" w:rsidRDefault="0085000B" w:rsidP="0085000B">
      <w:pPr>
        <w:numPr>
          <w:ilvl w:val="0"/>
          <w:numId w:val="25"/>
        </w:numPr>
      </w:pPr>
      <w:r w:rsidRPr="0085000B">
        <w:lastRenderedPageBreak/>
        <w:t xml:space="preserve">Funding: ~A$150m raised (A$40m 2021; A$105m 2023 co-led by </w:t>
      </w:r>
      <w:proofErr w:type="spellStart"/>
      <w:r w:rsidRPr="0085000B">
        <w:t>Lowercarbon</w:t>
      </w:r>
      <w:proofErr w:type="spellEnd"/>
      <w:r w:rsidRPr="0085000B">
        <w:t>/Wollemi; CEFC A$15m total).</w:t>
      </w:r>
    </w:p>
    <w:p w14:paraId="6A278A09" w14:textId="77777777" w:rsidR="0085000B" w:rsidRPr="0085000B" w:rsidRDefault="0085000B" w:rsidP="0085000B">
      <w:pPr>
        <w:numPr>
          <w:ilvl w:val="0"/>
          <w:numId w:val="25"/>
        </w:numPr>
      </w:pPr>
      <w:r w:rsidRPr="0085000B">
        <w:t>Traction: 2023 pilots ~20–40k ha; low-single-digit A$-m product revenue; no credit revenue yet; first issuances ~2025–26.</w:t>
      </w:r>
    </w:p>
    <w:p w14:paraId="09E778A1" w14:textId="77777777" w:rsidR="0085000B" w:rsidRPr="0085000B" w:rsidRDefault="0085000B" w:rsidP="0085000B">
      <w:pPr>
        <w:numPr>
          <w:ilvl w:val="0"/>
          <w:numId w:val="25"/>
        </w:numPr>
      </w:pPr>
      <w:r w:rsidRPr="0085000B">
        <w:t>Expansion: AU grains; US 2024 soybean pilots (6 states); Brazil targeted next; GrainCorp 1,500 ha pilot.</w:t>
      </w:r>
    </w:p>
    <w:p w14:paraId="100B678C" w14:textId="77777777" w:rsidR="0085000B" w:rsidRPr="0085000B" w:rsidRDefault="0085000B" w:rsidP="0085000B">
      <w:r w:rsidRPr="0085000B">
        <w:t>Key risks</w:t>
      </w:r>
    </w:p>
    <w:p w14:paraId="20901C09" w14:textId="77777777" w:rsidR="0085000B" w:rsidRPr="0085000B" w:rsidRDefault="0085000B" w:rsidP="0085000B">
      <w:pPr>
        <w:numPr>
          <w:ilvl w:val="0"/>
          <w:numId w:val="26"/>
        </w:numPr>
      </w:pPr>
      <w:r w:rsidRPr="0085000B">
        <w:t>Revenue delay &amp; WC drag (2–3 yrs to issuance).</w:t>
      </w:r>
    </w:p>
    <w:p w14:paraId="53904542" w14:textId="77777777" w:rsidR="0085000B" w:rsidRPr="0085000B" w:rsidRDefault="0085000B" w:rsidP="0085000B">
      <w:pPr>
        <w:numPr>
          <w:ilvl w:val="0"/>
          <w:numId w:val="26"/>
        </w:numPr>
      </w:pPr>
      <w:r w:rsidRPr="0085000B">
        <w:t>High MRV costs (Loam often fronts).</w:t>
      </w:r>
    </w:p>
    <w:p w14:paraId="60BDD376" w14:textId="77777777" w:rsidR="0085000B" w:rsidRPr="0085000B" w:rsidRDefault="0085000B" w:rsidP="0085000B">
      <w:pPr>
        <w:numPr>
          <w:ilvl w:val="0"/>
          <w:numId w:val="26"/>
        </w:numPr>
      </w:pPr>
      <w:r w:rsidRPr="0085000B">
        <w:t>Carbon price/policy volatility.</w:t>
      </w:r>
    </w:p>
    <w:p w14:paraId="6D663194" w14:textId="77777777" w:rsidR="0085000B" w:rsidRPr="0085000B" w:rsidRDefault="0085000B" w:rsidP="0085000B">
      <w:pPr>
        <w:numPr>
          <w:ilvl w:val="0"/>
          <w:numId w:val="26"/>
        </w:numPr>
      </w:pPr>
      <w:r w:rsidRPr="0085000B">
        <w:t>Scale execution (manufacturing microbes, nationwide MRV logistics, data QA).</w:t>
      </w:r>
    </w:p>
    <w:p w14:paraId="0488E132" w14:textId="77777777" w:rsidR="0085000B" w:rsidRPr="0085000B" w:rsidRDefault="0085000B" w:rsidP="0085000B">
      <w:pPr>
        <w:numPr>
          <w:ilvl w:val="0"/>
          <w:numId w:val="26"/>
        </w:numPr>
      </w:pPr>
      <w:r w:rsidRPr="0085000B">
        <w:t>Adoption (crossing the chasm beyond innovators).</w:t>
      </w:r>
    </w:p>
    <w:p w14:paraId="1233FA55" w14:textId="77777777" w:rsidR="0085000B" w:rsidRPr="0085000B" w:rsidRDefault="0085000B" w:rsidP="0085000B">
      <w:pPr>
        <w:numPr>
          <w:ilvl w:val="0"/>
          <w:numId w:val="26"/>
        </w:numPr>
      </w:pPr>
      <w:r w:rsidRPr="0085000B">
        <w:t>IP/competition (ag-chem majors).</w:t>
      </w:r>
    </w:p>
    <w:p w14:paraId="6F174713" w14:textId="77777777" w:rsidR="0085000B" w:rsidRPr="0085000B" w:rsidRDefault="0085000B" w:rsidP="0085000B">
      <w:pPr>
        <w:numPr>
          <w:ilvl w:val="0"/>
          <w:numId w:val="26"/>
        </w:numPr>
      </w:pPr>
      <w:r w:rsidRPr="0085000B">
        <w:t>Funding need (likely Series C before break-even).</w:t>
      </w:r>
    </w:p>
    <w:p w14:paraId="6B0E8695" w14:textId="77777777" w:rsidR="0085000B" w:rsidRPr="0085000B" w:rsidRDefault="0085000B" w:rsidP="0085000B">
      <w:proofErr w:type="spellStart"/>
      <w:r w:rsidRPr="0085000B">
        <w:t>Kalfresh</w:t>
      </w:r>
      <w:proofErr w:type="spellEnd"/>
      <w:r w:rsidRPr="0085000B">
        <w:t xml:space="preserve"> leverage: Use the integrity/lag/price overhang to shift risk (Loam-funded inputs &amp; MRV; ≥85% credit share in pilots; floors; performance triggers); ask for exclusivity/perks and warrants for scale commitments.</w:t>
      </w:r>
    </w:p>
    <w:p w14:paraId="274DE483" w14:textId="77777777" w:rsidR="0085000B" w:rsidRPr="0085000B" w:rsidRDefault="0085000B" w:rsidP="0085000B">
      <w:r w:rsidRPr="0085000B">
        <w:pict w14:anchorId="764F5B44">
          <v:rect id="_x0000_i1084" style="width:0;height:1.5pt" o:hralign="center" o:hrstd="t" o:hr="t" fillcolor="#a0a0a0" stroked="f"/>
        </w:pict>
      </w:r>
    </w:p>
    <w:p w14:paraId="72443C18" w14:textId="77777777" w:rsidR="0085000B" w:rsidRPr="0085000B" w:rsidRDefault="0085000B" w:rsidP="0085000B">
      <w:r w:rsidRPr="0085000B">
        <w:t>4) Comparative Scorecard (R/A/G)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753"/>
        <w:gridCol w:w="1282"/>
        <w:gridCol w:w="1434"/>
        <w:gridCol w:w="2067"/>
      </w:tblGrid>
      <w:tr w:rsidR="0085000B" w:rsidRPr="0085000B" w14:paraId="364482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26200" w14:textId="77777777" w:rsidR="0085000B" w:rsidRPr="0085000B" w:rsidRDefault="0085000B" w:rsidP="0085000B">
            <w:r w:rsidRPr="0085000B">
              <w:t>Dimension</w:t>
            </w:r>
          </w:p>
        </w:tc>
        <w:tc>
          <w:tcPr>
            <w:tcW w:w="0" w:type="auto"/>
            <w:vAlign w:val="center"/>
            <w:hideMark/>
          </w:tcPr>
          <w:p w14:paraId="42366873" w14:textId="77777777" w:rsidR="0085000B" w:rsidRPr="0085000B" w:rsidRDefault="0085000B" w:rsidP="0085000B">
            <w:proofErr w:type="spellStart"/>
            <w:r w:rsidRPr="0085000B">
              <w:t>Fortera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1E46F" w14:textId="77777777" w:rsidR="0085000B" w:rsidRPr="0085000B" w:rsidRDefault="0085000B" w:rsidP="0085000B">
            <w:r w:rsidRPr="0085000B">
              <w:t>Samsara Eco</w:t>
            </w:r>
          </w:p>
        </w:tc>
        <w:tc>
          <w:tcPr>
            <w:tcW w:w="0" w:type="auto"/>
            <w:vAlign w:val="center"/>
            <w:hideMark/>
          </w:tcPr>
          <w:p w14:paraId="2CB55C4E" w14:textId="77777777" w:rsidR="0085000B" w:rsidRPr="0085000B" w:rsidRDefault="0085000B" w:rsidP="0085000B">
            <w:r w:rsidRPr="0085000B">
              <w:t>Kanin Energy</w:t>
            </w:r>
          </w:p>
        </w:tc>
        <w:tc>
          <w:tcPr>
            <w:tcW w:w="0" w:type="auto"/>
            <w:vAlign w:val="center"/>
            <w:hideMark/>
          </w:tcPr>
          <w:p w14:paraId="44A2D7FB" w14:textId="77777777" w:rsidR="0085000B" w:rsidRPr="0085000B" w:rsidRDefault="0085000B" w:rsidP="0085000B">
            <w:r w:rsidRPr="0085000B">
              <w:t>Loam Bio</w:t>
            </w:r>
          </w:p>
        </w:tc>
      </w:tr>
      <w:tr w:rsidR="0085000B" w:rsidRPr="0085000B" w14:paraId="6A655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5D44" w14:textId="77777777" w:rsidR="0085000B" w:rsidRPr="0085000B" w:rsidRDefault="0085000B" w:rsidP="0085000B">
            <w:r w:rsidRPr="0085000B">
              <w:t>Time to Cash</w:t>
            </w:r>
          </w:p>
        </w:tc>
        <w:tc>
          <w:tcPr>
            <w:tcW w:w="0" w:type="auto"/>
            <w:vAlign w:val="center"/>
            <w:hideMark/>
          </w:tcPr>
          <w:p w14:paraId="4FA3F0C3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3–5+ yrs</w:t>
            </w:r>
          </w:p>
        </w:tc>
        <w:tc>
          <w:tcPr>
            <w:tcW w:w="0" w:type="auto"/>
            <w:vAlign w:val="center"/>
            <w:hideMark/>
          </w:tcPr>
          <w:p w14:paraId="5F585ACE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3–5+ yrs</w:t>
            </w:r>
          </w:p>
        </w:tc>
        <w:tc>
          <w:tcPr>
            <w:tcW w:w="0" w:type="auto"/>
            <w:vAlign w:val="center"/>
            <w:hideMark/>
          </w:tcPr>
          <w:p w14:paraId="5BA0753D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1–2 yrs (first CODs)</w:t>
            </w:r>
          </w:p>
        </w:tc>
        <w:tc>
          <w:tcPr>
            <w:tcW w:w="0" w:type="auto"/>
            <w:vAlign w:val="center"/>
            <w:hideMark/>
          </w:tcPr>
          <w:p w14:paraId="35BE8E49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2–3 yrs (first issuances)</w:t>
            </w:r>
          </w:p>
        </w:tc>
      </w:tr>
      <w:tr w:rsidR="0085000B" w:rsidRPr="0085000B" w14:paraId="5C3F6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A592" w14:textId="77777777" w:rsidR="0085000B" w:rsidRPr="0085000B" w:rsidRDefault="0085000B" w:rsidP="0085000B">
            <w:r w:rsidRPr="0085000B">
              <w:t>Capex Intensity</w:t>
            </w:r>
          </w:p>
        </w:tc>
        <w:tc>
          <w:tcPr>
            <w:tcW w:w="0" w:type="auto"/>
            <w:vAlign w:val="center"/>
            <w:hideMark/>
          </w:tcPr>
          <w:p w14:paraId="03ED9FF8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Site US$150–200m</w:t>
            </w:r>
          </w:p>
        </w:tc>
        <w:tc>
          <w:tcPr>
            <w:tcW w:w="0" w:type="auto"/>
            <w:vAlign w:val="center"/>
            <w:hideMark/>
          </w:tcPr>
          <w:p w14:paraId="4E1E9CF9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20–50 kt plants €100–230m</w:t>
            </w:r>
          </w:p>
        </w:tc>
        <w:tc>
          <w:tcPr>
            <w:tcW w:w="0" w:type="auto"/>
            <w:vAlign w:val="center"/>
            <w:hideMark/>
          </w:tcPr>
          <w:p w14:paraId="0778D8EC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Project-level multi-$m/MW (partner-funded)</w:t>
            </w:r>
          </w:p>
        </w:tc>
        <w:tc>
          <w:tcPr>
            <w:tcW w:w="0" w:type="auto"/>
            <w:vAlign w:val="center"/>
            <w:hideMark/>
          </w:tcPr>
          <w:p w14:paraId="42268EC1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Corporate burn + MRV </w:t>
            </w:r>
            <w:proofErr w:type="spellStart"/>
            <w:r w:rsidRPr="0085000B">
              <w:t>opex</w:t>
            </w:r>
            <w:proofErr w:type="spellEnd"/>
          </w:p>
        </w:tc>
      </w:tr>
      <w:tr w:rsidR="0085000B" w:rsidRPr="0085000B" w14:paraId="1EF915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C22F" w14:textId="77777777" w:rsidR="0085000B" w:rsidRPr="0085000B" w:rsidRDefault="0085000B" w:rsidP="0085000B">
            <w:r w:rsidRPr="0085000B">
              <w:t>Policy Dependence</w:t>
            </w:r>
          </w:p>
        </w:tc>
        <w:tc>
          <w:tcPr>
            <w:tcW w:w="0" w:type="auto"/>
            <w:vAlign w:val="center"/>
            <w:hideMark/>
          </w:tcPr>
          <w:p w14:paraId="4FB148A9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>/</w:t>
            </w:r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High (mandates/procurement)</w:t>
            </w:r>
          </w:p>
        </w:tc>
        <w:tc>
          <w:tcPr>
            <w:tcW w:w="0" w:type="auto"/>
            <w:vAlign w:val="center"/>
            <w:hideMark/>
          </w:tcPr>
          <w:p w14:paraId="5F3D4F16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High (PCR mandates)</w:t>
            </w:r>
          </w:p>
        </w:tc>
        <w:tc>
          <w:tcPr>
            <w:tcW w:w="0" w:type="auto"/>
            <w:vAlign w:val="center"/>
            <w:hideMark/>
          </w:tcPr>
          <w:p w14:paraId="4E0FFB13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🟢</w:t>
            </w:r>
            <w:r w:rsidRPr="0085000B">
              <w:t>/</w:t>
            </w:r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Moderate </w:t>
            </w:r>
            <w:r w:rsidRPr="0085000B">
              <w:lastRenderedPageBreak/>
              <w:t>(ITC helps; PPAs)</w:t>
            </w:r>
          </w:p>
        </w:tc>
        <w:tc>
          <w:tcPr>
            <w:tcW w:w="0" w:type="auto"/>
            <w:vAlign w:val="center"/>
            <w:hideMark/>
          </w:tcPr>
          <w:p w14:paraId="561FD9F3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lastRenderedPageBreak/>
              <w:t>🟠</w:t>
            </w:r>
            <w:r w:rsidRPr="0085000B">
              <w:t>/</w:t>
            </w:r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High (ACCU/Safeguard, integrity)</w:t>
            </w:r>
          </w:p>
        </w:tc>
      </w:tr>
      <w:tr w:rsidR="0085000B" w:rsidRPr="0085000B" w14:paraId="0FDED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0C6C" w14:textId="77777777" w:rsidR="0085000B" w:rsidRPr="0085000B" w:rsidRDefault="0085000B" w:rsidP="0085000B">
            <w:r w:rsidRPr="0085000B">
              <w:t>Spec/Market Inertia</w:t>
            </w:r>
          </w:p>
        </w:tc>
        <w:tc>
          <w:tcPr>
            <w:tcW w:w="0" w:type="auto"/>
            <w:vAlign w:val="center"/>
            <w:hideMark/>
          </w:tcPr>
          <w:p w14:paraId="0DC27F3A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🔴</w:t>
            </w:r>
            <w:r w:rsidRPr="0085000B">
              <w:t xml:space="preserve"> Cement standards/buyer conservatism</w:t>
            </w:r>
          </w:p>
        </w:tc>
        <w:tc>
          <w:tcPr>
            <w:tcW w:w="0" w:type="auto"/>
            <w:vAlign w:val="center"/>
            <w:hideMark/>
          </w:tcPr>
          <w:p w14:paraId="79978E70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Brand pull but cost-sensitive</w:t>
            </w:r>
          </w:p>
        </w:tc>
        <w:tc>
          <w:tcPr>
            <w:tcW w:w="0" w:type="auto"/>
            <w:vAlign w:val="center"/>
            <w:hideMark/>
          </w:tcPr>
          <w:p w14:paraId="46404BA2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Bespoke engineering slows</w:t>
            </w:r>
          </w:p>
        </w:tc>
        <w:tc>
          <w:tcPr>
            <w:tcW w:w="0" w:type="auto"/>
            <w:vAlign w:val="center"/>
            <w:hideMark/>
          </w:tcPr>
          <w:p w14:paraId="2BA263E3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Farmer adoption + MRV friction</w:t>
            </w:r>
          </w:p>
        </w:tc>
      </w:tr>
      <w:tr w:rsidR="0085000B" w:rsidRPr="0085000B" w14:paraId="1500C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85B9" w14:textId="77777777" w:rsidR="0085000B" w:rsidRPr="0085000B" w:rsidRDefault="0085000B" w:rsidP="0085000B">
            <w:r w:rsidRPr="0085000B">
              <w:t>Unit-Economics Proof</w:t>
            </w:r>
          </w:p>
        </w:tc>
        <w:tc>
          <w:tcPr>
            <w:tcW w:w="0" w:type="auto"/>
            <w:vAlign w:val="center"/>
            <w:hideMark/>
          </w:tcPr>
          <w:p w14:paraId="6EAFED69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Pilot; parity unproven at scale</w:t>
            </w:r>
          </w:p>
        </w:tc>
        <w:tc>
          <w:tcPr>
            <w:tcW w:w="0" w:type="auto"/>
            <w:vAlign w:val="center"/>
            <w:hideMark/>
          </w:tcPr>
          <w:p w14:paraId="6E33C1DD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Modelled; plant proof pending</w:t>
            </w:r>
          </w:p>
        </w:tc>
        <w:tc>
          <w:tcPr>
            <w:tcW w:w="0" w:type="auto"/>
            <w:vAlign w:val="center"/>
            <w:hideMark/>
          </w:tcPr>
          <w:p w14:paraId="52A12AB4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🟢</w:t>
            </w:r>
            <w:r w:rsidRPr="0085000B">
              <w:t xml:space="preserve"> Tech-proven; project returns site-specific</w:t>
            </w:r>
          </w:p>
        </w:tc>
        <w:tc>
          <w:tcPr>
            <w:tcW w:w="0" w:type="auto"/>
            <w:vAlign w:val="center"/>
            <w:hideMark/>
          </w:tcPr>
          <w:p w14:paraId="0BF01921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Early data; MRV cost drag</w:t>
            </w:r>
          </w:p>
        </w:tc>
      </w:tr>
      <w:tr w:rsidR="0085000B" w:rsidRPr="0085000B" w14:paraId="3ADE4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4983" w14:textId="77777777" w:rsidR="0085000B" w:rsidRPr="0085000B" w:rsidRDefault="0085000B" w:rsidP="0085000B">
            <w:r w:rsidRPr="0085000B">
              <w:t>Balance-Sheet Risk to Wollemi</w:t>
            </w:r>
          </w:p>
        </w:tc>
        <w:tc>
          <w:tcPr>
            <w:tcW w:w="0" w:type="auto"/>
            <w:vAlign w:val="center"/>
            <w:hideMark/>
          </w:tcPr>
          <w:p w14:paraId="1195084D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Minority stake; long horizon</w:t>
            </w:r>
          </w:p>
        </w:tc>
        <w:tc>
          <w:tcPr>
            <w:tcW w:w="0" w:type="auto"/>
            <w:vAlign w:val="center"/>
            <w:hideMark/>
          </w:tcPr>
          <w:p w14:paraId="1D6C200E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Significant follow-on likely</w:t>
            </w:r>
          </w:p>
        </w:tc>
        <w:tc>
          <w:tcPr>
            <w:tcW w:w="0" w:type="auto"/>
            <w:vAlign w:val="center"/>
            <w:hideMark/>
          </w:tcPr>
          <w:p w14:paraId="581687C2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Follow-on as projects mature</w:t>
            </w:r>
          </w:p>
        </w:tc>
        <w:tc>
          <w:tcPr>
            <w:tcW w:w="0" w:type="auto"/>
            <w:vAlign w:val="center"/>
            <w:hideMark/>
          </w:tcPr>
          <w:p w14:paraId="73631309" w14:textId="77777777" w:rsidR="0085000B" w:rsidRPr="0085000B" w:rsidRDefault="0085000B" w:rsidP="0085000B">
            <w:r w:rsidRPr="0085000B">
              <w:rPr>
                <w:rFonts w:ascii="Segoe UI Emoji" w:hAnsi="Segoe UI Emoji" w:cs="Segoe UI Emoji"/>
              </w:rPr>
              <w:t>🟠</w:t>
            </w:r>
            <w:r w:rsidRPr="0085000B">
              <w:t xml:space="preserve"> Lead check; further capital probable</w:t>
            </w:r>
          </w:p>
        </w:tc>
      </w:tr>
    </w:tbl>
    <w:p w14:paraId="7B539403" w14:textId="77777777" w:rsidR="0085000B" w:rsidRPr="0085000B" w:rsidRDefault="0085000B" w:rsidP="0085000B">
      <w:r w:rsidRPr="0085000B">
        <w:rPr>
          <w:rFonts w:ascii="Segoe UI Emoji" w:hAnsi="Segoe UI Emoji" w:cs="Segoe UI Emoji"/>
          <w:i/>
          <w:iCs/>
        </w:rPr>
        <w:t>🟢</w:t>
      </w:r>
      <w:r w:rsidRPr="0085000B">
        <w:rPr>
          <w:i/>
          <w:iCs/>
        </w:rPr>
        <w:t xml:space="preserve"> lower risk / </w:t>
      </w:r>
      <w:r w:rsidRPr="0085000B">
        <w:rPr>
          <w:rFonts w:ascii="Segoe UI Emoji" w:hAnsi="Segoe UI Emoji" w:cs="Segoe UI Emoji"/>
          <w:i/>
          <w:iCs/>
        </w:rPr>
        <w:t>🟠</w:t>
      </w:r>
      <w:r w:rsidRPr="0085000B">
        <w:rPr>
          <w:i/>
          <w:iCs/>
        </w:rPr>
        <w:t xml:space="preserve"> moderate / </w:t>
      </w:r>
      <w:r w:rsidRPr="0085000B">
        <w:rPr>
          <w:rFonts w:ascii="Segoe UI Emoji" w:hAnsi="Segoe UI Emoji" w:cs="Segoe UI Emoji"/>
          <w:i/>
          <w:iCs/>
        </w:rPr>
        <w:t>🔴</w:t>
      </w:r>
      <w:r w:rsidRPr="0085000B">
        <w:rPr>
          <w:i/>
          <w:iCs/>
        </w:rPr>
        <w:t xml:space="preserve"> higher risk (relative within portfolio).</w:t>
      </w:r>
    </w:p>
    <w:p w14:paraId="50624335" w14:textId="77777777" w:rsidR="0085000B" w:rsidRPr="0085000B" w:rsidRDefault="0085000B" w:rsidP="0085000B">
      <w:r w:rsidRPr="0085000B">
        <w:pict w14:anchorId="5D6D2A79">
          <v:rect id="_x0000_i1085" style="width:0;height:1.5pt" o:hralign="center" o:hrstd="t" o:hr="t" fillcolor="#a0a0a0" stroked="f"/>
        </w:pict>
      </w:r>
    </w:p>
    <w:p w14:paraId="64B91581" w14:textId="77777777" w:rsidR="0085000B" w:rsidRPr="0085000B" w:rsidRDefault="0085000B" w:rsidP="0085000B">
      <w:r w:rsidRPr="0085000B">
        <w:t xml:space="preserve">5) </w:t>
      </w:r>
      <w:proofErr w:type="spellStart"/>
      <w:r w:rsidRPr="0085000B">
        <w:t>Kalfresh</w:t>
      </w:r>
      <w:proofErr w:type="spellEnd"/>
      <w:r w:rsidRPr="0085000B">
        <w:t xml:space="preserve"> Term Sheet Playbook (by asset archetype)</w:t>
      </w:r>
    </w:p>
    <w:p w14:paraId="2B7ADA1E" w14:textId="77777777" w:rsidR="0085000B" w:rsidRPr="0085000B" w:rsidRDefault="0085000B" w:rsidP="0085000B">
      <w:r w:rsidRPr="0085000B">
        <w:t>For policy-dependent credits (Loam):</w:t>
      </w:r>
    </w:p>
    <w:p w14:paraId="230E8C17" w14:textId="77777777" w:rsidR="0085000B" w:rsidRPr="0085000B" w:rsidRDefault="0085000B" w:rsidP="0085000B">
      <w:pPr>
        <w:numPr>
          <w:ilvl w:val="0"/>
          <w:numId w:val="27"/>
        </w:numPr>
      </w:pPr>
      <w:r w:rsidRPr="0085000B">
        <w:t>Economics: ≥85% credit share on pilots; Loam-funded inputs + MRV; ACCUs price floor via offtake backstop.</w:t>
      </w:r>
    </w:p>
    <w:p w14:paraId="00210402" w14:textId="77777777" w:rsidR="0085000B" w:rsidRPr="0085000B" w:rsidRDefault="0085000B" w:rsidP="0085000B">
      <w:pPr>
        <w:numPr>
          <w:ilvl w:val="0"/>
          <w:numId w:val="27"/>
        </w:numPr>
      </w:pPr>
      <w:r w:rsidRPr="0085000B">
        <w:t>Milestones: Scale tranches only after verified issuance; exit ramp if credits &lt;X t/ha by Y date.</w:t>
      </w:r>
    </w:p>
    <w:p w14:paraId="0DA3764E" w14:textId="77777777" w:rsidR="0085000B" w:rsidRPr="0085000B" w:rsidRDefault="0085000B" w:rsidP="0085000B">
      <w:pPr>
        <w:numPr>
          <w:ilvl w:val="0"/>
          <w:numId w:val="27"/>
        </w:numPr>
      </w:pPr>
      <w:r w:rsidRPr="0085000B">
        <w:t xml:space="preserve">Upside: Warrants for exceeding </w:t>
      </w:r>
      <w:proofErr w:type="spellStart"/>
      <w:r w:rsidRPr="0085000B">
        <w:t>tCO</w:t>
      </w:r>
      <w:proofErr w:type="spellEnd"/>
      <w:r w:rsidRPr="0085000B">
        <w:t>₂/ha or premium pricing.</w:t>
      </w:r>
    </w:p>
    <w:p w14:paraId="52FE3CF1" w14:textId="77777777" w:rsidR="0085000B" w:rsidRPr="0085000B" w:rsidRDefault="0085000B" w:rsidP="0085000B">
      <w:r w:rsidRPr="0085000B">
        <w:t>For FOAK industrial (</w:t>
      </w:r>
      <w:proofErr w:type="spellStart"/>
      <w:r w:rsidRPr="0085000B">
        <w:t>Fortera</w:t>
      </w:r>
      <w:proofErr w:type="spellEnd"/>
      <w:r w:rsidRPr="0085000B">
        <w:t>, Samsara):</w:t>
      </w:r>
    </w:p>
    <w:p w14:paraId="7E74D101" w14:textId="77777777" w:rsidR="0085000B" w:rsidRPr="0085000B" w:rsidRDefault="0085000B" w:rsidP="0085000B">
      <w:pPr>
        <w:numPr>
          <w:ilvl w:val="0"/>
          <w:numId w:val="28"/>
        </w:numPr>
      </w:pPr>
      <w:r w:rsidRPr="0085000B">
        <w:t>Governance: Information rights; EPC/NTP/COD milestone reporting.</w:t>
      </w:r>
    </w:p>
    <w:p w14:paraId="62831583" w14:textId="77777777" w:rsidR="0085000B" w:rsidRPr="0085000B" w:rsidRDefault="0085000B" w:rsidP="0085000B">
      <w:pPr>
        <w:numPr>
          <w:ilvl w:val="0"/>
          <w:numId w:val="28"/>
        </w:numPr>
      </w:pPr>
      <w:r w:rsidRPr="0085000B">
        <w:t xml:space="preserve">Economics: Milestone-tranche capital; ratchets if NTP/COD dates slip; cap </w:t>
      </w:r>
      <w:proofErr w:type="spellStart"/>
      <w:r w:rsidRPr="0085000B">
        <w:t>prefs</w:t>
      </w:r>
      <w:proofErr w:type="spellEnd"/>
      <w:r w:rsidRPr="0085000B">
        <w:t>.</w:t>
      </w:r>
    </w:p>
    <w:p w14:paraId="59DD300F" w14:textId="77777777" w:rsidR="0085000B" w:rsidRPr="0085000B" w:rsidRDefault="0085000B" w:rsidP="0085000B">
      <w:pPr>
        <w:numPr>
          <w:ilvl w:val="0"/>
          <w:numId w:val="28"/>
        </w:numPr>
      </w:pPr>
      <w:r w:rsidRPr="0085000B">
        <w:t>Risk-share: Procurement/credit pass-through clauses; liquidated damages or contingency buffers.</w:t>
      </w:r>
    </w:p>
    <w:p w14:paraId="158997C1" w14:textId="77777777" w:rsidR="0085000B" w:rsidRPr="0085000B" w:rsidRDefault="0085000B" w:rsidP="0085000B">
      <w:r w:rsidRPr="0085000B">
        <w:t>For infrastructure-like (Kanin):</w:t>
      </w:r>
    </w:p>
    <w:p w14:paraId="5A8F7498" w14:textId="77777777" w:rsidR="0085000B" w:rsidRPr="0085000B" w:rsidRDefault="0085000B" w:rsidP="0085000B">
      <w:pPr>
        <w:numPr>
          <w:ilvl w:val="0"/>
          <w:numId w:val="29"/>
        </w:numPr>
      </w:pPr>
      <w:r w:rsidRPr="0085000B">
        <w:lastRenderedPageBreak/>
        <w:t>Revenue quality: Counterparty credit filters (utility/IG), minimum offtake/availability; cost pass-through on interconnection.</w:t>
      </w:r>
    </w:p>
    <w:p w14:paraId="4C78CEDF" w14:textId="77777777" w:rsidR="0085000B" w:rsidRPr="0085000B" w:rsidRDefault="0085000B" w:rsidP="0085000B">
      <w:pPr>
        <w:numPr>
          <w:ilvl w:val="0"/>
          <w:numId w:val="29"/>
        </w:numPr>
      </w:pPr>
      <w:r w:rsidRPr="0085000B">
        <w:t>Portfolio: Diversify hosts; cap single-counterparty exposure; step-down risk if host throughput falls.</w:t>
      </w:r>
    </w:p>
    <w:p w14:paraId="51A5312E" w14:textId="77777777" w:rsidR="0085000B" w:rsidRPr="0085000B" w:rsidRDefault="0085000B" w:rsidP="0085000B">
      <w:r w:rsidRPr="0085000B">
        <w:pict w14:anchorId="40035E04">
          <v:rect id="_x0000_i1086" style="width:0;height:1.5pt" o:hralign="center" o:hrstd="t" o:hr="t" fillcolor="#a0a0a0" stroked="f"/>
        </w:pict>
      </w:r>
    </w:p>
    <w:p w14:paraId="495C8854" w14:textId="77777777" w:rsidR="0085000B" w:rsidRPr="0085000B" w:rsidRDefault="0085000B" w:rsidP="0085000B">
      <w:r w:rsidRPr="0085000B">
        <w:t>6) At-a-Glance Metrics (for reference)</w:t>
      </w:r>
    </w:p>
    <w:p w14:paraId="7DE6D774" w14:textId="77777777" w:rsidR="0085000B" w:rsidRPr="0085000B" w:rsidRDefault="0085000B" w:rsidP="0085000B">
      <w:proofErr w:type="spellStart"/>
      <w:r w:rsidRPr="0085000B">
        <w:t>Fortera</w:t>
      </w:r>
      <w:proofErr w:type="spellEnd"/>
      <w:r w:rsidRPr="0085000B">
        <w:t xml:space="preserve"> — CO₂↓ ~70% vs OPC • Pilot ~15k t/yr • Commercial module 0.5–1.0 Mt/yr @ US$150–200m • Raised ~US$140–145m (US$85m C-round 2024) • Valuation ~US$350m post • Profit 3–5+ yrs.</w:t>
      </w:r>
    </w:p>
    <w:p w14:paraId="1BE46E49" w14:textId="77777777" w:rsidR="0085000B" w:rsidRPr="0085000B" w:rsidRDefault="0085000B" w:rsidP="0085000B">
      <w:r w:rsidRPr="0085000B">
        <w:t>Samsara Eco — First plant 2025 (AU) • SE Asia 20 kt/yr nylon-6,6 ~2028 • A$150m+ raised • 10-yr lululemon offtake • Single-plant revenue A$40–80m/yr at full run-rate • Company break-even late-2020s/2030s.</w:t>
      </w:r>
    </w:p>
    <w:p w14:paraId="2567A4C9" w14:textId="77777777" w:rsidR="0085000B" w:rsidRPr="0085000B" w:rsidRDefault="0085000B" w:rsidP="0085000B">
      <w:r w:rsidRPr="0085000B">
        <w:t>Kanin Energy — 48 MW Tallgrass (OH/IN) ~410 GWh/yr • Flagship 9.2 MW UD→AES (COD early-2026) • Equity US$7–9m; US$5.2m Wollemi note; Dev debt (</w:t>
      </w:r>
      <w:proofErr w:type="spellStart"/>
      <w:r w:rsidRPr="0085000B">
        <w:t>PaceZero</w:t>
      </w:r>
      <w:proofErr w:type="spellEnd"/>
      <w:r w:rsidRPr="0085000B">
        <w:t>) • Implied value US$50–100m • First revenue 2025–26.</w:t>
      </w:r>
    </w:p>
    <w:p w14:paraId="14298AB0" w14:textId="77777777" w:rsidR="0085000B" w:rsidRPr="0085000B" w:rsidRDefault="0085000B" w:rsidP="0085000B">
      <w:r w:rsidRPr="0085000B">
        <w:t>Loam Bio — ~A$150m raised (A$105m B-round 2023) • Product A$20–28/ha • 2023 pilots ~20–40k ha; small product revenue • No credit revenue yet; first issuances ~2025–26 • ACCUs ~A$30–40/t now; ≥A$60/t plausible by 2030; ~+40% premium target.</w:t>
      </w:r>
    </w:p>
    <w:p w14:paraId="18BA4959" w14:textId="77777777" w:rsidR="0085000B" w:rsidRPr="0085000B" w:rsidRDefault="0085000B" w:rsidP="0085000B">
      <w:r w:rsidRPr="0085000B">
        <w:pict w14:anchorId="5C3A952B">
          <v:rect id="_x0000_i1087" style="width:0;height:1.5pt" o:hralign="center" o:hrstd="t" o:hr="t" fillcolor="#a0a0a0" stroked="f"/>
        </w:pict>
      </w:r>
    </w:p>
    <w:p w14:paraId="3D9C92C8" w14:textId="77777777" w:rsidR="0085000B" w:rsidRPr="0085000B" w:rsidRDefault="0085000B" w:rsidP="0085000B">
      <w:r w:rsidRPr="0085000B">
        <w:t>7) Conclusion</w:t>
      </w:r>
    </w:p>
    <w:p w14:paraId="3AB7C604" w14:textId="77777777" w:rsidR="0085000B" w:rsidRPr="0085000B" w:rsidRDefault="0085000B" w:rsidP="0085000B">
      <w:r w:rsidRPr="0085000B">
        <w:t xml:space="preserve">Wollemi’s portfolio is credible and catalytic, but returns are predominantly back-ended and execution-sensitive. That dynamic strengthens </w:t>
      </w:r>
      <w:proofErr w:type="spellStart"/>
      <w:r w:rsidRPr="0085000B">
        <w:t>Kalfresh’s</w:t>
      </w:r>
      <w:proofErr w:type="spellEnd"/>
      <w:r w:rsidRPr="0085000B">
        <w:t xml:space="preserve"> hand if you can demonstrate bankable near-term economics, measurable impact, and disciplined risk controls. Lead with contracts and cost curves, price the policy and scale risk visibly, and insist on milestone-linked terms. Offer </w:t>
      </w:r>
      <w:proofErr w:type="gramStart"/>
      <w:r w:rsidRPr="0085000B">
        <w:t>impact;</w:t>
      </w:r>
      <w:proofErr w:type="gramEnd"/>
      <w:r w:rsidRPr="0085000B">
        <w:t xml:space="preserve"> demand economics.</w:t>
      </w:r>
    </w:p>
    <w:p w14:paraId="1AC61506" w14:textId="77777777" w:rsidR="0085000B" w:rsidRDefault="0085000B"/>
    <w:sectPr w:rsidR="00850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748"/>
    <w:multiLevelType w:val="multilevel"/>
    <w:tmpl w:val="436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2668"/>
    <w:multiLevelType w:val="multilevel"/>
    <w:tmpl w:val="40BC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73678"/>
    <w:multiLevelType w:val="multilevel"/>
    <w:tmpl w:val="97C0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02EDC"/>
    <w:multiLevelType w:val="multilevel"/>
    <w:tmpl w:val="BFB2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A101A"/>
    <w:multiLevelType w:val="multilevel"/>
    <w:tmpl w:val="C4C8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E0240"/>
    <w:multiLevelType w:val="multilevel"/>
    <w:tmpl w:val="213C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B5077"/>
    <w:multiLevelType w:val="multilevel"/>
    <w:tmpl w:val="3A8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D2C1C"/>
    <w:multiLevelType w:val="multilevel"/>
    <w:tmpl w:val="AD94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531A6"/>
    <w:multiLevelType w:val="multilevel"/>
    <w:tmpl w:val="F40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B07C5"/>
    <w:multiLevelType w:val="multilevel"/>
    <w:tmpl w:val="A54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0792B"/>
    <w:multiLevelType w:val="multilevel"/>
    <w:tmpl w:val="7344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C6DD0"/>
    <w:multiLevelType w:val="multilevel"/>
    <w:tmpl w:val="312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C250C"/>
    <w:multiLevelType w:val="multilevel"/>
    <w:tmpl w:val="E09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23142"/>
    <w:multiLevelType w:val="multilevel"/>
    <w:tmpl w:val="F07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60E33"/>
    <w:multiLevelType w:val="multilevel"/>
    <w:tmpl w:val="B89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90BDC"/>
    <w:multiLevelType w:val="multilevel"/>
    <w:tmpl w:val="6F4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D579A"/>
    <w:multiLevelType w:val="multilevel"/>
    <w:tmpl w:val="D84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0295C"/>
    <w:multiLevelType w:val="multilevel"/>
    <w:tmpl w:val="F198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F70AF"/>
    <w:multiLevelType w:val="multilevel"/>
    <w:tmpl w:val="8F44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901639"/>
    <w:multiLevelType w:val="multilevel"/>
    <w:tmpl w:val="88B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92F1A"/>
    <w:multiLevelType w:val="multilevel"/>
    <w:tmpl w:val="88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B255E"/>
    <w:multiLevelType w:val="multilevel"/>
    <w:tmpl w:val="660E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397F33"/>
    <w:multiLevelType w:val="multilevel"/>
    <w:tmpl w:val="3DDC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D7F86"/>
    <w:multiLevelType w:val="multilevel"/>
    <w:tmpl w:val="2D7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71FC0"/>
    <w:multiLevelType w:val="multilevel"/>
    <w:tmpl w:val="A63C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253C5"/>
    <w:multiLevelType w:val="multilevel"/>
    <w:tmpl w:val="D2B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C285E"/>
    <w:multiLevelType w:val="multilevel"/>
    <w:tmpl w:val="CB1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C0946"/>
    <w:multiLevelType w:val="multilevel"/>
    <w:tmpl w:val="C27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A0CB5"/>
    <w:multiLevelType w:val="multilevel"/>
    <w:tmpl w:val="6010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99619">
    <w:abstractNumId w:val="13"/>
  </w:num>
  <w:num w:numId="2" w16cid:durableId="1847865929">
    <w:abstractNumId w:val="11"/>
  </w:num>
  <w:num w:numId="3" w16cid:durableId="396168978">
    <w:abstractNumId w:val="19"/>
  </w:num>
  <w:num w:numId="4" w16cid:durableId="1723213530">
    <w:abstractNumId w:val="20"/>
  </w:num>
  <w:num w:numId="5" w16cid:durableId="1952400162">
    <w:abstractNumId w:val="8"/>
  </w:num>
  <w:num w:numId="6" w16cid:durableId="1499811624">
    <w:abstractNumId w:val="15"/>
  </w:num>
  <w:num w:numId="7" w16cid:durableId="1439761688">
    <w:abstractNumId w:val="23"/>
  </w:num>
  <w:num w:numId="8" w16cid:durableId="2074891928">
    <w:abstractNumId w:val="4"/>
  </w:num>
  <w:num w:numId="9" w16cid:durableId="7752381">
    <w:abstractNumId w:val="14"/>
  </w:num>
  <w:num w:numId="10" w16cid:durableId="491024381">
    <w:abstractNumId w:val="0"/>
  </w:num>
  <w:num w:numId="11" w16cid:durableId="774600000">
    <w:abstractNumId w:val="28"/>
  </w:num>
  <w:num w:numId="12" w16cid:durableId="975068454">
    <w:abstractNumId w:val="22"/>
  </w:num>
  <w:num w:numId="13" w16cid:durableId="1888104346">
    <w:abstractNumId w:val="16"/>
  </w:num>
  <w:num w:numId="14" w16cid:durableId="1341004320">
    <w:abstractNumId w:val="21"/>
  </w:num>
  <w:num w:numId="15" w16cid:durableId="1262883451">
    <w:abstractNumId w:val="1"/>
  </w:num>
  <w:num w:numId="16" w16cid:durableId="501893594">
    <w:abstractNumId w:val="7"/>
  </w:num>
  <w:num w:numId="17" w16cid:durableId="1723168589">
    <w:abstractNumId w:val="26"/>
  </w:num>
  <w:num w:numId="18" w16cid:durableId="1517649058">
    <w:abstractNumId w:val="9"/>
  </w:num>
  <w:num w:numId="19" w16cid:durableId="123157457">
    <w:abstractNumId w:val="10"/>
  </w:num>
  <w:num w:numId="20" w16cid:durableId="268634349">
    <w:abstractNumId w:val="3"/>
  </w:num>
  <w:num w:numId="21" w16cid:durableId="1313875909">
    <w:abstractNumId w:val="5"/>
  </w:num>
  <w:num w:numId="22" w16cid:durableId="1739092925">
    <w:abstractNumId w:val="27"/>
  </w:num>
  <w:num w:numId="23" w16cid:durableId="459954921">
    <w:abstractNumId w:val="24"/>
  </w:num>
  <w:num w:numId="24" w16cid:durableId="111637418">
    <w:abstractNumId w:val="17"/>
  </w:num>
  <w:num w:numId="25" w16cid:durableId="582030345">
    <w:abstractNumId w:val="2"/>
  </w:num>
  <w:num w:numId="26" w16cid:durableId="2067338821">
    <w:abstractNumId w:val="18"/>
  </w:num>
  <w:num w:numId="27" w16cid:durableId="312879383">
    <w:abstractNumId w:val="12"/>
  </w:num>
  <w:num w:numId="28" w16cid:durableId="1424178966">
    <w:abstractNumId w:val="6"/>
  </w:num>
  <w:num w:numId="29" w16cid:durableId="14655817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0B"/>
    <w:rsid w:val="0085000B"/>
    <w:rsid w:val="00B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AD1B"/>
  <w15:chartTrackingRefBased/>
  <w15:docId w15:val="{03668552-A081-496E-A58C-28AEC109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2057</Words>
  <Characters>11727</Characters>
  <Application>Microsoft Office Word</Application>
  <DocSecurity>0</DocSecurity>
  <Lines>97</Lines>
  <Paragraphs>27</Paragraphs>
  <ScaleCrop>false</ScaleCrop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Fish</dc:creator>
  <cp:keywords/>
  <dc:description/>
  <cp:lastModifiedBy>Ted Fish</cp:lastModifiedBy>
  <cp:revision>1</cp:revision>
  <dcterms:created xsi:type="dcterms:W3CDTF">2025-09-06T05:51:00Z</dcterms:created>
  <dcterms:modified xsi:type="dcterms:W3CDTF">2025-09-06T05:52:00Z</dcterms:modified>
</cp:coreProperties>
</file>