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p>
    <w:p>
      <w:pPr>
        <w:spacing w:after="60" w:before="0"/>
      </w:pPr>
      <w:r>
        <w:rPr>
          <w:rFonts w:ascii="Arial" w:cs="Arial" w:eastAsia="Arial" w:hAnsi="Arial"/>
          <w:b/>
          <w:bCs/>
          <w:caps/>
          <w:color w:val="1A4B8C"/>
          <w:sz w:val="72"/>
          <w:szCs w:val="72"/>
        </w:rPr>
        <w:t xml:space="preserve">DEPTH VISION</w:t>
      </w:r>
    </w:p>
    <w:p>
      <w:pPr>
        <w:spacing w:after="80" w:before="0"/>
      </w:pPr>
      <w:r>
        <w:rPr>
          <w:rFonts w:ascii="Arial" w:cs="Arial" w:eastAsia="Arial" w:hAnsi="Arial"/>
          <w:color w:val="4A4E57"/>
          <w:sz w:val="36"/>
          <w:szCs w:val="36"/>
        </w:rPr>
        <w:t xml:space="preserve">Brand Identity Guidelines</w:t>
      </w:r>
    </w:p>
    <w:p>
      <w:pPr>
        <w:spacing w:after="600" w:before="0"/>
      </w:pPr>
      <w:r>
        <w:rPr>
          <w:rFonts w:ascii="Arial" w:cs="Arial" w:eastAsia="Arial" w:hAnsi="Arial"/>
          <w:color w:val="E8803A"/>
          <w:sz w:val="22"/>
          <w:szCs w:val="22"/>
        </w:rPr>
        <w:t xml:space="preserve">Borehole Videography &amp; Measurement  ·  v1.0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B8C" w:val="clear"/>
            <w:tcMar>
              <w:top w:type="dxa" w:w="320"/>
              <w:left w:type="dxa" w:w="400"/>
              <w:bottom w:type="dxa" w:w="320"/>
              <w:right w:type="dxa" w:w="400"/>
            </w:tcMar>
          </w:tcPr>
          <w:p>
            <w:r>
              <w:rPr>
                <w:rFonts w:ascii="Arial" w:cs="Arial" w:eastAsia="Arial" w:hAnsi="Arial"/>
                <w:b/>
                <w:bCs/>
                <w:i/>
                <w:iCs/>
                <w:color w:val="FFFFFF"/>
                <w:sz w:val="36"/>
                <w:szCs w:val="36"/>
              </w:rPr>
              <w:t xml:space="preserve">Potential. Utilisation. Energy.</w:t>
            </w:r>
          </w:p>
          <w:p>
            <w:pPr>
              <w:spacing w:before="80"/>
            </w:pPr>
            <w:r>
              <w:rPr>
                <w:rFonts w:ascii="Arial" w:cs="Arial" w:eastAsia="Arial" w:hAnsi="Arial"/>
                <w:color w:val="B5D4F4"/>
                <w:sz w:val="22"/>
                <w:szCs w:val="22"/>
              </w:rPr>
              <w:t xml:space="preserve">The resource is already there. We help you find it.</w:t>
            </w:r>
          </w:p>
        </w:tc>
      </w:tr>
    </w:tbl>
    <w:p>
      <w:pPr>
        <w:spacing w:after="160" w:before="400"/>
      </w:pPr>
    </w:p>
    <w:p>
      <w:pPr>
        <w:spacing w:after="0" w:before="0"/>
      </w:pPr>
      <w:r>
        <w:rPr>
          <w:rFonts w:ascii="Arial" w:cs="Arial" w:eastAsia="Arial" w:hAnsi="Arial"/>
          <w:i/>
          <w:iCs/>
          <w:color w:val="7A7E87"/>
          <w:sz w:val="18"/>
          <w:szCs w:val="18"/>
        </w:rPr>
        <w:t xml:space="preserve">For brand queries or asset requests, contact your brand lead.</w:t>
      </w:r>
    </w:p>
    <w:p>
      <w:r>
        <w:br w:type="page"/>
      </w:r>
    </w:p>
    <w:p>
      <w:pPr>
        <w:pStyle w:val="Heading1"/>
        <w:spacing w:after="100" w:before="440"/>
      </w:pPr>
      <w:r>
        <w:rPr>
          <w:rFonts w:ascii="Arial" w:cs="Arial" w:eastAsia="Arial" w:hAnsi="Arial"/>
          <w:b/>
          <w:bCs/>
          <w:color w:val="1A4B8C"/>
          <w:sz w:val="36"/>
          <w:szCs w:val="36"/>
        </w:rPr>
        <w:t xml:space="preserve">1. Brand Foundation</w:t>
      </w:r>
    </w:p>
    <w:p>
      <w:pPr>
        <w:pBdr>
          <w:bottom w:val="single" w:color="E8803A" w:sz="8" w:space="1"/>
        </w:pBdr>
        <w:spacing w:after="200" w:before="0"/>
      </w:pPr>
    </w:p>
    <w:p>
      <w:pPr>
        <w:pStyle w:val="Heading2"/>
        <w:spacing w:after="80" w:before="280"/>
      </w:pPr>
      <w:r>
        <w:rPr>
          <w:rFonts w:ascii="Arial" w:cs="Arial" w:eastAsia="Arial" w:hAnsi="Arial"/>
          <w:b/>
          <w:bCs/>
          <w:color w:val="2C2F35"/>
          <w:sz w:val="26"/>
          <w:szCs w:val="26"/>
        </w:rPr>
        <w:t xml:space="preserve">Who We Are</w:t>
      </w:r>
    </w:p>
    <w:p>
      <w:pPr>
        <w:spacing w:after="100" w:before="60"/>
      </w:pPr>
      <w:r>
        <w:rPr>
          <w:rFonts w:ascii="Arial" w:cs="Arial" w:eastAsia="Arial" w:hAnsi="Arial"/>
          <w:color w:val="2C2F35"/>
          <w:sz w:val="22"/>
          <w:szCs w:val="22"/>
        </w:rPr>
        <w:t xml:space="preserve">Depth Vision is a specialist borehole videography and measurement company. We deploy camera systems and precision instruments into boreholes, wells, and subsurface structures across Iceland — returning the clear, calibrated data that engineers, geologists, and energy professionals need to make confident decisions.</w:t>
      </w:r>
    </w:p>
    <w:p>
      <w:pPr>
        <w:spacing w:after="100" w:before="60"/>
      </w:pPr>
      <w:r>
        <w:rPr>
          <w:rFonts w:ascii="Arial" w:cs="Arial" w:eastAsia="Arial" w:hAnsi="Arial"/>
          <w:color w:val="2C2F35"/>
          <w:sz w:val="22"/>
          <w:szCs w:val="22"/>
        </w:rPr>
        <w:t xml:space="preserve">Iceland sits on one of the most energetic geological formations on earth. The potential is already there, beneath our feet. We help you assess it.</w:t>
      </w:r>
    </w:p>
    <w:p>
      <w:pPr>
        <w:spacing w:after="160" w:before="120"/>
      </w:pPr>
    </w:p>
    <w:p>
      <w:pPr>
        <w:pStyle w:val="Heading2"/>
        <w:spacing w:after="80" w:before="280"/>
      </w:pPr>
      <w:r>
        <w:rPr>
          <w:rFonts w:ascii="Arial" w:cs="Arial" w:eastAsia="Arial" w:hAnsi="Arial"/>
          <w:b/>
          <w:bCs/>
          <w:color w:val="2C2F35"/>
          <w:sz w:val="26"/>
          <w:szCs w:val="26"/>
        </w:rPr>
        <w:t xml:space="preserve">Brand Values</w:t>
      </w:r>
    </w:p>
    <w:p>
      <w:pPr>
        <w:spacing w:after="60" w:before="160"/>
      </w:pPr>
      <w:r>
        <w:rPr>
          <w:rFonts w:ascii="Arial" w:cs="Arial" w:eastAsia="Arial" w:hAnsi="Arial"/>
          <w:b/>
          <w:bCs/>
          <w:color w:val="1A4B8C"/>
          <w:sz w:val="26"/>
          <w:szCs w:val="26"/>
        </w:rPr>
        <w:t xml:space="preserve">Potential</w:t>
      </w:r>
    </w:p>
    <w:p>
      <w:pPr>
        <w:spacing w:after="100" w:before="60"/>
      </w:pPr>
      <w:r>
        <w:rPr>
          <w:rFonts w:ascii="Arial" w:cs="Arial" w:eastAsia="Arial" w:hAnsi="Arial"/>
          <w:color w:val="2C2F35"/>
          <w:sz w:val="22"/>
          <w:szCs w:val="22"/>
        </w:rPr>
        <w:t xml:space="preserve">Iceland's geothermal landscape is extraordinary — the energy is already there, abundant and waiting. Our work is about revealing what exists beneath the surface so that others can act on it. Every borehole we survey is a question waiting to be answered. We go and answer it.</w:t>
      </w:r>
    </w:p>
    <w:p>
      <w:pPr>
        <w:spacing w:after="60" w:before="160"/>
      </w:pPr>
      <w:r>
        <w:rPr>
          <w:rFonts w:ascii="Arial" w:cs="Arial" w:eastAsia="Arial" w:hAnsi="Arial"/>
          <w:b/>
          <w:bCs/>
          <w:color w:val="1A4B8C"/>
          <w:sz w:val="26"/>
          <w:szCs w:val="26"/>
        </w:rPr>
        <w:t xml:space="preserve">Utilisation</w:t>
      </w:r>
    </w:p>
    <w:p>
      <w:pPr>
        <w:spacing w:after="100" w:before="60"/>
      </w:pPr>
      <w:r>
        <w:rPr>
          <w:rFonts w:ascii="Arial" w:cs="Arial" w:eastAsia="Arial" w:hAnsi="Arial"/>
          <w:color w:val="2C2F35"/>
          <w:sz w:val="22"/>
          <w:szCs w:val="22"/>
        </w:rPr>
        <w:t xml:space="preserve">There are boreholes across Iceland that could be put to productive use — but nobody has looked inside them recently, or ever. Before a resource can be utilised, it must be assessed. Depth Vision exists precisely for that moment: we provide the eyes that make utilisation possible.</w:t>
      </w:r>
    </w:p>
    <w:p>
      <w:pPr>
        <w:spacing w:after="60" w:before="160"/>
      </w:pPr>
      <w:r>
        <w:rPr>
          <w:rFonts w:ascii="Arial" w:cs="Arial" w:eastAsia="Arial" w:hAnsi="Arial"/>
          <w:b/>
          <w:bCs/>
          <w:color w:val="1A4B8C"/>
          <w:sz w:val="26"/>
          <w:szCs w:val="26"/>
        </w:rPr>
        <w:t xml:space="preserve">Energy</w:t>
      </w:r>
    </w:p>
    <w:p>
      <w:pPr>
        <w:spacing w:after="100" w:before="60"/>
      </w:pPr>
      <w:r>
        <w:rPr>
          <w:rFonts w:ascii="Arial" w:cs="Arial" w:eastAsia="Arial" w:hAnsi="Arial"/>
          <w:color w:val="2C2F35"/>
          <w:sz w:val="22"/>
          <w:szCs w:val="22"/>
        </w:rPr>
        <w:t xml:space="preserve">Geothermal heat is pure energy — clean, renewable, and already present in the ground beneath Icelandic homes and industry. Heating a home, powering a factory, running a community — this is what the work is ultimately for. Energy is not just what we help unlock; it is what drives us to do the work well.</w:t>
      </w:r>
    </w:p>
    <w:p>
      <w:pPr>
        <w:spacing w:after="160" w:before="120"/>
      </w:pPr>
    </w:p>
    <w:p>
      <w:pPr>
        <w:pStyle w:val="Heading2"/>
        <w:spacing w:after="80" w:before="280"/>
      </w:pPr>
      <w:r>
        <w:rPr>
          <w:rFonts w:ascii="Arial" w:cs="Arial" w:eastAsia="Arial" w:hAnsi="Arial"/>
          <w:b/>
          <w:bCs/>
          <w:color w:val="2C2F35"/>
          <w:sz w:val="26"/>
          <w:szCs w:val="26"/>
        </w:rPr>
        <w:t xml:space="preserve">Mission Statement</w:t>
      </w:r>
    </w:p>
    <w:p>
      <w:pPr>
        <w:pBdr>
          <w:left w:val="single" w:color="2D6CC0" w:sz="20" w:space="1"/>
        </w:pBdr>
        <w:spacing w:after="120" w:before="120"/>
        <w:ind w:left="360" w:right="360"/>
      </w:pPr>
      <w:r>
        <w:rPr>
          <w:rFonts w:ascii="Arial" w:cs="Arial" w:eastAsia="Arial" w:hAnsi="Arial"/>
          <w:i/>
          <w:iCs/>
          <w:color w:val="2C2F35"/>
          <w:sz w:val="24"/>
          <w:szCs w:val="24"/>
        </w:rPr>
        <w:t xml:space="preserve">"To reveal the potential beneath the surface — delivering precise borehole imaging and measurement that enables geothermal energy, groundwater, and subsurface resources across Iceland to be assessed, understood, and put to use."</w:t>
      </w:r>
    </w:p>
    <w:p>
      <w:pPr>
        <w:spacing w:after="160" w:before="120"/>
      </w:pPr>
    </w:p>
    <w:p>
      <w:pPr>
        <w:pStyle w:val="Heading2"/>
        <w:spacing w:after="80" w:before="280"/>
      </w:pPr>
      <w:r>
        <w:rPr>
          <w:rFonts w:ascii="Arial" w:cs="Arial" w:eastAsia="Arial" w:hAnsi="Arial"/>
          <w:b/>
          <w:bCs/>
          <w:color w:val="2C2F35"/>
          <w:sz w:val="26"/>
          <w:szCs w:val="26"/>
        </w:rPr>
        <w:t xml:space="preserve">Brand Personality</w:t>
      </w:r>
    </w:p>
    <w:p>
      <w:pPr>
        <w:pStyle w:val="ListParagraph"/>
        <w:numPr>
          <w:ilvl w:val="0"/>
          <w:numId w:val="2"/>
        </w:numPr>
        <w:spacing w:after="60" w:before="60"/>
      </w:pPr>
      <w:r>
        <w:rPr>
          <w:rFonts w:ascii="Arial" w:cs="Arial" w:eastAsia="Arial" w:hAnsi="Arial"/>
          <w:color w:val="2C2F35"/>
          <w:sz w:val="22"/>
          <w:szCs w:val="22"/>
        </w:rPr>
        <w:t xml:space="preserve">Direct and technically confident — we do not over-explain or over-promise</w:t>
      </w:r>
    </w:p>
    <w:p>
      <w:pPr>
        <w:pStyle w:val="ListParagraph"/>
        <w:numPr>
          <w:ilvl w:val="0"/>
          <w:numId w:val="2"/>
        </w:numPr>
        <w:spacing w:after="60" w:before="60"/>
      </w:pPr>
      <w:r>
        <w:rPr>
          <w:rFonts w:ascii="Arial" w:cs="Arial" w:eastAsia="Arial" w:hAnsi="Arial"/>
          <w:color w:val="2C2F35"/>
          <w:sz w:val="22"/>
          <w:szCs w:val="22"/>
        </w:rPr>
        <w:t xml:space="preserve">Grounded in place — we are an Icelandic company working in an Icelandic landscape with Icelandic energy</w:t>
      </w:r>
    </w:p>
    <w:p>
      <w:pPr>
        <w:pStyle w:val="ListParagraph"/>
        <w:numPr>
          <w:ilvl w:val="0"/>
          <w:numId w:val="2"/>
        </w:numPr>
        <w:spacing w:after="60" w:before="60"/>
      </w:pPr>
      <w:r>
        <w:rPr>
          <w:rFonts w:ascii="Arial" w:cs="Arial" w:eastAsia="Arial" w:hAnsi="Arial"/>
          <w:color w:val="2C2F35"/>
          <w:sz w:val="22"/>
          <w:szCs w:val="22"/>
        </w:rPr>
        <w:t xml:space="preserve">Purposeful — every survey we do has a downstream use: heat, power, water, informed decisions</w:t>
      </w:r>
    </w:p>
    <w:p>
      <w:pPr>
        <w:pStyle w:val="ListParagraph"/>
        <w:numPr>
          <w:ilvl w:val="0"/>
          <w:numId w:val="2"/>
        </w:numPr>
        <w:spacing w:after="60" w:before="60"/>
      </w:pPr>
      <w:r>
        <w:rPr>
          <w:rFonts w:ascii="Arial" w:cs="Arial" w:eastAsia="Arial" w:hAnsi="Arial"/>
          <w:color w:val="2C2F35"/>
          <w:sz w:val="22"/>
          <w:szCs w:val="22"/>
        </w:rPr>
        <w:t xml:space="preserve">Field-hardened — our aesthetic reflects real work in real conditions, not a polished tech startup</w:t>
      </w:r>
    </w:p>
    <w:p>
      <w:pPr>
        <w:pStyle w:val="ListParagraph"/>
        <w:numPr>
          <w:ilvl w:val="0"/>
          <w:numId w:val="2"/>
        </w:numPr>
        <w:spacing w:after="60" w:before="60"/>
      </w:pPr>
      <w:r>
        <w:rPr>
          <w:rFonts w:ascii="Arial" w:cs="Arial" w:eastAsia="Arial" w:hAnsi="Arial"/>
          <w:color w:val="2C2F35"/>
          <w:sz w:val="22"/>
          <w:szCs w:val="22"/>
        </w:rPr>
        <w:t xml:space="preserve">Quietly optimistic — the resource is there; our job is simply to go and look</w:t>
      </w:r>
    </w:p>
    <w:p>
      <w:pPr>
        <w:spacing w:after="160" w:before="120"/>
      </w:pPr>
    </w:p>
    <w:p>
      <w:pPr>
        <w:pStyle w:val="Heading2"/>
        <w:spacing w:after="80" w:before="280"/>
      </w:pPr>
      <w:r>
        <w:rPr>
          <w:rFonts w:ascii="Arial" w:cs="Arial" w:eastAsia="Arial" w:hAnsi="Arial"/>
          <w:b/>
          <w:bCs/>
          <w:color w:val="2C2F35"/>
          <w:sz w:val="26"/>
          <w:szCs w:val="26"/>
        </w:rPr>
        <w:t xml:space="preserve">Our Clients</w:t>
      </w:r>
    </w:p>
    <w:p>
      <w:pPr>
        <w:spacing w:after="100" w:before="60"/>
      </w:pPr>
      <w:r>
        <w:rPr>
          <w:rFonts w:ascii="Arial" w:cs="Arial" w:eastAsia="Arial" w:hAnsi="Arial"/>
          <w:color w:val="2C2F35"/>
          <w:sz w:val="22"/>
          <w:szCs w:val="22"/>
        </w:rPr>
        <w:t xml:space="preserve">Depth Vision serves a broad range of clients across Iceland — from municipalities and local authorities managing community infrastructure, to hot water and geothermal energy companies assessing production wells, to private companies and individual landowners exploring or maintaining their own boreholes. What unites them is a need to know what is down there before they can decide what to do next.</w:t>
      </w:r>
    </w:p>
    <w:p>
      <w:r>
        <w:br w:type="page"/>
      </w:r>
    </w:p>
    <w:p>
      <w:pPr>
        <w:pStyle w:val="Heading1"/>
        <w:spacing w:after="100" w:before="440"/>
      </w:pPr>
      <w:r>
        <w:rPr>
          <w:rFonts w:ascii="Arial" w:cs="Arial" w:eastAsia="Arial" w:hAnsi="Arial"/>
          <w:b/>
          <w:bCs/>
          <w:color w:val="1A4B8C"/>
          <w:sz w:val="36"/>
          <w:szCs w:val="36"/>
        </w:rPr>
        <w:t xml:space="preserve">2. Logo System</w:t>
      </w:r>
    </w:p>
    <w:p>
      <w:pPr>
        <w:pBdr>
          <w:bottom w:val="single" w:color="2D6CC0" w:sz="8" w:space="1"/>
        </w:pBdr>
        <w:spacing w:after="200" w:before="0"/>
      </w:pPr>
    </w:p>
    <w:p>
      <w:pPr>
        <w:pStyle w:val="Heading2"/>
        <w:spacing w:after="80" w:before="280"/>
      </w:pPr>
      <w:r>
        <w:rPr>
          <w:rFonts w:ascii="Arial" w:cs="Arial" w:eastAsia="Arial" w:hAnsi="Arial"/>
          <w:b/>
          <w:bCs/>
          <w:color w:val="2C2F35"/>
          <w:sz w:val="26"/>
          <w:szCs w:val="26"/>
        </w:rPr>
        <w:t xml:space="preserve">The Mark — Compass Rose Borehole</w:t>
      </w:r>
    </w:p>
    <w:p>
      <w:pPr>
        <w:spacing w:after="100" w:before="60"/>
      </w:pPr>
      <w:r>
        <w:rPr>
          <w:rFonts w:ascii="Arial" w:cs="Arial" w:eastAsia="Arial" w:hAnsi="Arial"/>
          <w:color w:val="2C2F35"/>
          <w:sz w:val="22"/>
          <w:szCs w:val="22"/>
        </w:rPr>
        <w:t xml:space="preserve">The Depth Vision logo mark is a compass rose rendered as a borehole cross-section. Concentric rings represent geological depth layers. Four arrowhead pointers in orange indicate cardinal directions — referencing both the surveying heritage of the industry and the directional precision of our instruments. The orange centre dot represents the camera eye at the heart of every deployment.</w:t>
      </w:r>
    </w:p>
    <w:p>
      <w:pPr>
        <w:spacing w:after="100" w:before="60"/>
      </w:pPr>
      <w:r>
        <w:rPr>
          <w:rFonts w:ascii="Arial" w:cs="Arial" w:eastAsia="Arial" w:hAnsi="Arial"/>
          <w:color w:val="2C2F35"/>
          <w:sz w:val="22"/>
          <w:szCs w:val="22"/>
        </w:rPr>
        <w:t xml:space="preserve">The diagonal hatch fill within the outer ring references geological survey drawings and field documentation — a deliberately rustic, tactile quality that grounds the brand in real fieldwork rather than generic technology aesthetics.</w:t>
      </w:r>
    </w:p>
    <w:p>
      <w:pPr>
        <w:spacing w:after="160" w:before="80"/>
      </w:pPr>
    </w:p>
    <w:p>
      <w:pPr>
        <w:pStyle w:val="Heading2"/>
        <w:spacing w:after="80" w:before="280"/>
      </w:pPr>
      <w:r>
        <w:rPr>
          <w:rFonts w:ascii="Arial" w:cs="Arial" w:eastAsia="Arial" w:hAnsi="Arial"/>
          <w:b/>
          <w:bCs/>
          <w:color w:val="2C2F35"/>
          <w:sz w:val="26"/>
          <w:szCs w:val="26"/>
        </w:rPr>
        <w:t xml:space="preserve">Logo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3313"/>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Background</w:t>
            </w:r>
          </w:p>
        </w:tc>
        <w:tc>
          <w:tcPr>
            <w:tcW w:type="dxa" w:w="3313"/>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Primary Use</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Primary (Dark)</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Dark blue (#1C2230) or dark photography</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Website header, presentations, field equipment, print on dark stock</w:t>
            </w:r>
          </w:p>
        </w:tc>
      </w:tr>
      <w:tr>
        <w:tc>
          <w:tcPr>
            <w:tcW w:type="dxa" w:w="24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Reversed (Light)</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White or off-white (#F5F7FA)</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Documents, reports, letterhead, email signatures</w:t>
            </w:r>
          </w:p>
        </w:tc>
      </w:tr>
      <w:tr>
        <w:tc>
          <w:tcPr>
            <w:tcW w:type="dxa" w:w="24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Single Colour Blue</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Any</w:t>
            </w:r>
          </w:p>
        </w:tc>
        <w:tc>
          <w:tcPr>
            <w:tcW w:type="dxa" w:w="3313"/>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Embossing, screen printing, single-colour print runs</w:t>
            </w:r>
          </w:p>
        </w:tc>
      </w:tr>
      <w:tr>
        <w:tc>
          <w:tcPr>
            <w:tcW w:type="dxa" w:w="24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Single Colour White</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Dark backgrounds only</w:t>
            </w:r>
          </w:p>
        </w:tc>
        <w:tc>
          <w:tcPr>
            <w:tcW w:type="dxa" w:w="3313"/>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Hi-vis workwear, hard hat stickers, instrument casings</w:t>
            </w:r>
          </w:p>
        </w:tc>
      </w:tr>
    </w:tbl>
    <w:p>
      <w:pPr>
        <w:spacing w:after="160" w:before="200"/>
      </w:pPr>
    </w:p>
    <w:p>
      <w:pPr>
        <w:pStyle w:val="Heading2"/>
        <w:spacing w:after="80" w:before="280"/>
      </w:pPr>
      <w:r>
        <w:rPr>
          <w:rFonts w:ascii="Arial" w:cs="Arial" w:eastAsia="Arial" w:hAnsi="Arial"/>
          <w:b/>
          <w:bCs/>
          <w:color w:val="2C2F35"/>
          <w:sz w:val="26"/>
          <w:szCs w:val="26"/>
        </w:rPr>
        <w:t xml:space="preserve">Clear Space &amp; Minimum Size</w:t>
      </w:r>
    </w:p>
    <w:p>
      <w:pPr>
        <w:pStyle w:val="ListParagraph"/>
        <w:numPr>
          <w:ilvl w:val="0"/>
          <w:numId w:val="2"/>
        </w:numPr>
        <w:spacing w:after="60" w:before="60"/>
      </w:pPr>
      <w:r>
        <w:rPr>
          <w:rFonts w:ascii="Arial" w:cs="Arial" w:eastAsia="Arial" w:hAnsi="Arial"/>
          <w:color w:val="2C2F35"/>
          <w:sz w:val="22"/>
          <w:szCs w:val="22"/>
        </w:rPr>
        <w:t xml:space="preserve">Clear space: maintain a minimum gap equal to the height of the letter "D" in DEPTH on all sides of the logo</w:t>
      </w:r>
    </w:p>
    <w:p>
      <w:pPr>
        <w:pStyle w:val="ListParagraph"/>
        <w:numPr>
          <w:ilvl w:val="0"/>
          <w:numId w:val="2"/>
        </w:numPr>
        <w:spacing w:after="60" w:before="60"/>
      </w:pPr>
      <w:r>
        <w:rPr>
          <w:rFonts w:ascii="Arial" w:cs="Arial" w:eastAsia="Arial" w:hAnsi="Arial"/>
          <w:color w:val="2C2F35"/>
          <w:sz w:val="22"/>
          <w:szCs w:val="22"/>
        </w:rPr>
        <w:t xml:space="preserve">Minimum print size: 30mm wide for the horizontal lockup; 12mm wide for the mark alone</w:t>
      </w:r>
    </w:p>
    <w:p>
      <w:pPr>
        <w:pStyle w:val="ListParagraph"/>
        <w:numPr>
          <w:ilvl w:val="0"/>
          <w:numId w:val="2"/>
        </w:numPr>
        <w:spacing w:after="60" w:before="60"/>
      </w:pPr>
      <w:r>
        <w:rPr>
          <w:rFonts w:ascii="Arial" w:cs="Arial" w:eastAsia="Arial" w:hAnsi="Arial"/>
          <w:color w:val="2C2F35"/>
          <w:sz w:val="22"/>
          <w:szCs w:val="22"/>
        </w:rPr>
        <w:t xml:space="preserve">Minimum digital size: 120px wide for the horizontal lockup; 40px wide for the mark alone</w:t>
      </w:r>
    </w:p>
    <w:p>
      <w:pPr>
        <w:pStyle w:val="ListParagraph"/>
        <w:numPr>
          <w:ilvl w:val="0"/>
          <w:numId w:val="2"/>
        </w:numPr>
        <w:spacing w:after="60" w:before="60"/>
      </w:pPr>
      <w:r>
        <w:rPr>
          <w:rFonts w:ascii="Arial" w:cs="Arial" w:eastAsia="Arial" w:hAnsi="Arial"/>
          <w:color w:val="2C2F35"/>
          <w:sz w:val="22"/>
          <w:szCs w:val="22"/>
        </w:rPr>
        <w:t xml:space="preserve">Below minimum sizes, use the mark only — never compress the lockup to fit a small space</w:t>
      </w:r>
    </w:p>
    <w:p>
      <w:pPr>
        <w:spacing w:after="160" w:before="80"/>
      </w:pPr>
    </w:p>
    <w:p>
      <w:pPr>
        <w:pStyle w:val="Heading2"/>
        <w:spacing w:after="80" w:before="280"/>
      </w:pPr>
      <w:r>
        <w:rPr>
          <w:rFonts w:ascii="Arial" w:cs="Arial" w:eastAsia="Arial" w:hAnsi="Arial"/>
          <w:b/>
          <w:bCs/>
          <w:color w:val="2C2F35"/>
          <w:sz w:val="26"/>
          <w:szCs w:val="26"/>
        </w:rPr>
        <w:t xml:space="preserve">Wordmark</w:t>
      </w:r>
    </w:p>
    <w:p>
      <w:pPr>
        <w:spacing w:after="100" w:before="60"/>
      </w:pPr>
      <w:r>
        <w:rPr>
          <w:rFonts w:ascii="Arial" w:cs="Arial" w:eastAsia="Arial" w:hAnsi="Arial"/>
          <w:color w:val="2C2F35"/>
          <w:sz w:val="22"/>
          <w:szCs w:val="22"/>
        </w:rPr>
        <w:t xml:space="preserve">The wordmark is set in two weights to create hierarchy. "DEPTH" is set bold in Deep Blue — the active, technical word. "VISION" is set light in a cooler grey — the aspirational word. The two-line tagline below the divider rule uses a small tracking to reinforce the full service scope.</w:t>
      </w:r>
    </w:p>
    <w:p>
      <w:pPr>
        <w:spacing w:after="160" w:before="80"/>
      </w:pPr>
    </w:p>
    <w:p>
      <w:pPr>
        <w:pStyle w:val="Heading2"/>
        <w:spacing w:after="80" w:before="280"/>
      </w:pPr>
      <w:r>
        <w:rPr>
          <w:rFonts w:ascii="Arial" w:cs="Arial" w:eastAsia="Arial" w:hAnsi="Arial"/>
          <w:b/>
          <w:bCs/>
          <w:color w:val="2C2F35"/>
          <w:sz w:val="26"/>
          <w:szCs w:val="26"/>
        </w:rPr>
        <w:t xml:space="preserve">Prohibited Uses</w:t>
      </w:r>
    </w:p>
    <w:p>
      <w:pPr>
        <w:pStyle w:val="ListParagraph"/>
        <w:numPr>
          <w:ilvl w:val="0"/>
          <w:numId w:val="2"/>
        </w:numPr>
        <w:spacing w:after="60" w:before="60"/>
      </w:pPr>
      <w:r>
        <w:rPr>
          <w:rFonts w:ascii="Arial" w:cs="Arial" w:eastAsia="Arial" w:hAnsi="Arial"/>
          <w:color w:val="2C2F35"/>
          <w:sz w:val="22"/>
          <w:szCs w:val="22"/>
        </w:rPr>
        <w:t xml:space="preserve">Do not change the orange pointer colour to any other colour</w:t>
      </w:r>
    </w:p>
    <w:p>
      <w:pPr>
        <w:pStyle w:val="ListParagraph"/>
        <w:numPr>
          <w:ilvl w:val="0"/>
          <w:numId w:val="2"/>
        </w:numPr>
        <w:spacing w:after="60" w:before="60"/>
      </w:pPr>
      <w:r>
        <w:rPr>
          <w:rFonts w:ascii="Arial" w:cs="Arial" w:eastAsia="Arial" w:hAnsi="Arial"/>
          <w:color w:val="2C2F35"/>
          <w:sz w:val="22"/>
          <w:szCs w:val="22"/>
        </w:rPr>
        <w:t xml:space="preserve">Do not remove the hatch fill from the outer ring</w:t>
      </w:r>
    </w:p>
    <w:p>
      <w:pPr>
        <w:pStyle w:val="ListParagraph"/>
        <w:numPr>
          <w:ilvl w:val="0"/>
          <w:numId w:val="2"/>
        </w:numPr>
        <w:spacing w:after="60" w:before="60"/>
      </w:pPr>
      <w:r>
        <w:rPr>
          <w:rFonts w:ascii="Arial" w:cs="Arial" w:eastAsia="Arial" w:hAnsi="Arial"/>
          <w:color w:val="2C2F35"/>
          <w:sz w:val="22"/>
          <w:szCs w:val="22"/>
        </w:rPr>
        <w:t xml:space="preserve">Do not stretch, skew, rotate, or distort the mark in any direction</w:t>
      </w:r>
    </w:p>
    <w:p>
      <w:pPr>
        <w:pStyle w:val="ListParagraph"/>
        <w:numPr>
          <w:ilvl w:val="0"/>
          <w:numId w:val="2"/>
        </w:numPr>
        <w:spacing w:after="60" w:before="60"/>
      </w:pPr>
      <w:r>
        <w:rPr>
          <w:rFonts w:ascii="Arial" w:cs="Arial" w:eastAsia="Arial" w:hAnsi="Arial"/>
          <w:color w:val="2C2F35"/>
          <w:sz w:val="22"/>
          <w:szCs w:val="22"/>
        </w:rPr>
        <w:t xml:space="preserve">Do not place the logo over busy imagery without a solid or semi-opaque background panel</w:t>
      </w:r>
    </w:p>
    <w:p>
      <w:pPr>
        <w:pStyle w:val="ListParagraph"/>
        <w:numPr>
          <w:ilvl w:val="0"/>
          <w:numId w:val="2"/>
        </w:numPr>
        <w:spacing w:after="60" w:before="60"/>
      </w:pPr>
      <w:r>
        <w:rPr>
          <w:rFonts w:ascii="Arial" w:cs="Arial" w:eastAsia="Arial" w:hAnsi="Arial"/>
          <w:color w:val="2C2F35"/>
          <w:sz w:val="22"/>
          <w:szCs w:val="22"/>
        </w:rPr>
        <w:t xml:space="preserve">Do not add drop shadows, glows, bevels, or any visual effects</w:t>
      </w:r>
    </w:p>
    <w:p>
      <w:pPr>
        <w:pStyle w:val="ListParagraph"/>
        <w:numPr>
          <w:ilvl w:val="0"/>
          <w:numId w:val="2"/>
        </w:numPr>
        <w:spacing w:after="60" w:before="60"/>
      </w:pPr>
      <w:r>
        <w:rPr>
          <w:rFonts w:ascii="Arial" w:cs="Arial" w:eastAsia="Arial" w:hAnsi="Arial"/>
          <w:color w:val="2C2F35"/>
          <w:sz w:val="22"/>
          <w:szCs w:val="22"/>
        </w:rPr>
        <w:t xml:space="preserve">Do not rearrange the mark and wordmark or alter their proportional relationship</w:t>
      </w:r>
    </w:p>
    <w:p>
      <w:pPr>
        <w:pStyle w:val="ListParagraph"/>
        <w:numPr>
          <w:ilvl w:val="0"/>
          <w:numId w:val="2"/>
        </w:numPr>
        <w:spacing w:after="60" w:before="60"/>
      </w:pPr>
      <w:r>
        <w:rPr>
          <w:rFonts w:ascii="Arial" w:cs="Arial" w:eastAsia="Arial" w:hAnsi="Arial"/>
          <w:color w:val="2C2F35"/>
          <w:sz w:val="22"/>
          <w:szCs w:val="22"/>
        </w:rPr>
        <w:t xml:space="preserve">Do not use the logo at sizes smaller than the minimums above</w:t>
      </w:r>
    </w:p>
    <w:p>
      <w:pPr>
        <w:pStyle w:val="ListParagraph"/>
        <w:numPr>
          <w:ilvl w:val="0"/>
          <w:numId w:val="2"/>
        </w:numPr>
        <w:spacing w:after="60" w:before="60"/>
      </w:pPr>
      <w:r>
        <w:rPr>
          <w:rFonts w:ascii="Arial" w:cs="Arial" w:eastAsia="Arial" w:hAnsi="Arial"/>
          <w:color w:val="2C2F35"/>
          <w:sz w:val="22"/>
          <w:szCs w:val="22"/>
        </w:rPr>
        <w:t xml:space="preserve">Do not use the wordmark without the mark — always keep them together in the lockup</w:t>
      </w:r>
    </w:p>
    <w:p>
      <w:r>
        <w:br w:type="page"/>
      </w:r>
    </w:p>
    <w:p>
      <w:pPr>
        <w:pStyle w:val="Heading1"/>
        <w:spacing w:after="100" w:before="440"/>
      </w:pPr>
      <w:r>
        <w:rPr>
          <w:rFonts w:ascii="Arial" w:cs="Arial" w:eastAsia="Arial" w:hAnsi="Arial"/>
          <w:b/>
          <w:bCs/>
          <w:color w:val="1A4B8C"/>
          <w:sz w:val="36"/>
          <w:szCs w:val="36"/>
        </w:rPr>
        <w:t xml:space="preserve">3. Colour Palette</w:t>
      </w:r>
    </w:p>
    <w:p>
      <w:pPr>
        <w:pBdr>
          <w:bottom w:val="single" w:color="E8803A" w:sz="8" w:space="1"/>
        </w:pBdr>
        <w:spacing w:after="200" w:before="0"/>
      </w:pPr>
    </w:p>
    <w:p>
      <w:pPr>
        <w:spacing w:after="100" w:before="60"/>
      </w:pPr>
      <w:r>
        <w:rPr>
          <w:rFonts w:ascii="Arial" w:cs="Arial" w:eastAsia="Arial" w:hAnsi="Arial"/>
          <w:color w:val="2C2F35"/>
          <w:sz w:val="22"/>
          <w:szCs w:val="22"/>
        </w:rPr>
        <w:t xml:space="preserve">The Depth Vision palette is built around depth, precision, and kinetic energy. Deep Blue anchors authority and trust — it is the colour of the instruments, the data, the night sky above a remote drill site. Basalt Gray is the geology itself: the rock, the casing, the honest material of the work. Light Orange is the signal — the scan line, the pointer, the camera dot — optimism and energy in a single accent.</w:t>
      </w:r>
    </w:p>
    <w:p>
      <w:pPr>
        <w:spacing w:after="16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786"/>
      </w:tblGrid>
      <w:tr>
        <w:tc>
          <w:tcPr>
            <w:tcW w:type="dxa" w:w="3080"/>
            <w:tcBorders>
              <w:top w:val="none" w:color="FFFFFF" w:sz="0"/>
              <w:left w:val="none" w:color="FFFFFF" w:sz="0"/>
              <w:bottom w:val="none" w:color="FFFFFF" w:sz="0"/>
              <w:right w:val="none" w:color="FFFFFF" w:sz="0"/>
            </w:tcBorders>
            <w:shd w:fill="1A4B8C" w:val="clear"/>
            <w:tcMar>
              <w:top w:type="dxa" w:w="200"/>
              <w:left w:type="dxa" w:w="200"/>
              <w:bottom w:type="dxa" w:w="200"/>
              <w:right w:type="dxa" w:w="200"/>
            </w:tcMar>
          </w:tcPr>
          <w:p>
            <w:r>
              <w:rPr>
                <w:rFonts w:ascii="Arial" w:cs="Arial" w:eastAsia="Arial" w:hAnsi="Arial"/>
                <w:b/>
                <w:bCs/>
                <w:color w:val="FFFFFF"/>
                <w:sz w:val="22"/>
                <w:szCs w:val="22"/>
              </w:rPr>
              <w:t xml:space="preserve">Deep Blue</w:t>
            </w:r>
          </w:p>
          <w:p>
            <w:r>
              <w:rPr>
                <w:rFonts w:ascii="Arial" w:cs="Arial" w:eastAsia="Arial" w:hAnsi="Arial"/>
                <w:i/>
                <w:iCs/>
                <w:color w:val="FFFFFF"/>
                <w:sz w:val="18"/>
                <w:szCs w:val="18"/>
              </w:rPr>
              <w:t xml:space="preserve">#1A4B8C</w:t>
            </w:r>
          </w:p>
          <w:p>
            <w:r>
              <w:rPr>
                <w:rFonts w:ascii="Arial" w:cs="Arial" w:eastAsia="Arial" w:hAnsi="Arial"/>
                <w:color w:val="FFFFFF"/>
                <w:sz w:val="17"/>
                <w:szCs w:val="17"/>
              </w:rPr>
              <w:t xml:space="preserve">Primary — trust &amp; depth</w:t>
            </w:r>
          </w:p>
        </w:tc>
        <w:tc>
          <w:tcPr>
            <w:tcW w:type="dxa" w:w="3080"/>
            <w:tcBorders>
              <w:top w:val="none" w:color="FFFFFF" w:sz="0"/>
              <w:left w:val="none" w:color="FFFFFF" w:sz="0"/>
              <w:bottom w:val="none" w:color="FFFFFF" w:sz="0"/>
              <w:right w:val="none" w:color="FFFFFF" w:sz="0"/>
            </w:tcBorders>
            <w:shd w:fill="4A4E57" w:val="clear"/>
            <w:tcMar>
              <w:top w:type="dxa" w:w="200"/>
              <w:left w:type="dxa" w:w="200"/>
              <w:bottom w:type="dxa" w:w="200"/>
              <w:right w:type="dxa" w:w="200"/>
            </w:tcMar>
          </w:tcPr>
          <w:p>
            <w:r>
              <w:rPr>
                <w:rFonts w:ascii="Arial" w:cs="Arial" w:eastAsia="Arial" w:hAnsi="Arial"/>
                <w:b/>
                <w:bCs/>
                <w:color w:val="FFFFFF"/>
                <w:sz w:val="22"/>
                <w:szCs w:val="22"/>
              </w:rPr>
              <w:t xml:space="preserve">Basalt Gray</w:t>
            </w:r>
          </w:p>
          <w:p>
            <w:r>
              <w:rPr>
                <w:rFonts w:ascii="Arial" w:cs="Arial" w:eastAsia="Arial" w:hAnsi="Arial"/>
                <w:i/>
                <w:iCs/>
                <w:color w:val="FFFFFF"/>
                <w:sz w:val="18"/>
                <w:szCs w:val="18"/>
              </w:rPr>
              <w:t xml:space="preserve">#4A4E57</w:t>
            </w:r>
          </w:p>
          <w:p>
            <w:r>
              <w:rPr>
                <w:rFonts w:ascii="Arial" w:cs="Arial" w:eastAsia="Arial" w:hAnsi="Arial"/>
                <w:color w:val="FFFFFF"/>
                <w:sz w:val="17"/>
                <w:szCs w:val="17"/>
              </w:rPr>
              <w:t xml:space="preserve">Secondary — precision &amp; rock</w:t>
            </w:r>
          </w:p>
        </w:tc>
        <w:tc>
          <w:tcPr>
            <w:tcW w:type="dxa" w:w="3080"/>
            <w:tcBorders>
              <w:top w:val="none" w:color="FFFFFF" w:sz="0"/>
              <w:left w:val="none" w:color="FFFFFF" w:sz="0"/>
              <w:bottom w:val="none" w:color="FFFFFF" w:sz="0"/>
              <w:right w:val="none" w:color="FFFFFF" w:sz="0"/>
            </w:tcBorders>
            <w:shd w:fill="E8803A" w:val="clear"/>
            <w:tcMar>
              <w:top w:type="dxa" w:w="200"/>
              <w:left w:type="dxa" w:w="200"/>
              <w:bottom w:type="dxa" w:w="200"/>
              <w:right w:type="dxa" w:w="200"/>
            </w:tcMar>
          </w:tcPr>
          <w:p>
            <w:r>
              <w:rPr>
                <w:rFonts w:ascii="Arial" w:cs="Arial" w:eastAsia="Arial" w:hAnsi="Arial"/>
                <w:b/>
                <w:bCs/>
                <w:color w:val="FFFFFF"/>
                <w:sz w:val="22"/>
                <w:szCs w:val="22"/>
              </w:rPr>
              <w:t xml:space="preserve">Light Orange</w:t>
            </w:r>
          </w:p>
          <w:p>
            <w:r>
              <w:rPr>
                <w:rFonts w:ascii="Arial" w:cs="Arial" w:eastAsia="Arial" w:hAnsi="Arial"/>
                <w:i/>
                <w:iCs/>
                <w:color w:val="FFFFFF"/>
                <w:sz w:val="18"/>
                <w:szCs w:val="18"/>
              </w:rPr>
              <w:t xml:space="preserve">#E8803A</w:t>
            </w:r>
          </w:p>
          <w:p>
            <w:r>
              <w:rPr>
                <w:rFonts w:ascii="Arial" w:cs="Arial" w:eastAsia="Arial" w:hAnsi="Arial"/>
                <w:color w:val="FFFFFF"/>
                <w:sz w:val="17"/>
                <w:szCs w:val="17"/>
              </w:rPr>
              <w:t xml:space="preserve">Accent — energy &amp; optimism</w:t>
            </w:r>
          </w:p>
        </w:tc>
        <w:tc>
          <w:tcPr>
            <w:tcW w:type="dxa" w:w="786"/>
            <w:tcBorders>
              <w:top w:val="none" w:color="FFFFFF" w:sz="0"/>
              <w:left w:val="none" w:color="FFFFFF" w:sz="0"/>
              <w:bottom w:val="none" w:color="FFFFFF" w:sz="0"/>
              <w:right w:val="none" w:color="FFFFFF" w:sz="0"/>
            </w:tcBorders>
          </w:tcPr>
          <w:p/>
        </w:tc>
      </w:tr>
    </w:tbl>
    <w:p>
      <w:pPr>
        <w:spacing w:after="16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786"/>
      </w:tblGrid>
      <w:tr>
        <w:tc>
          <w:tcPr>
            <w:tcW w:type="dxa" w:w="3080"/>
            <w:tcBorders>
              <w:top w:val="none" w:color="FFFFFF" w:sz="0"/>
              <w:left w:val="none" w:color="FFFFFF" w:sz="0"/>
              <w:bottom w:val="none" w:color="FFFFFF" w:sz="0"/>
              <w:right w:val="none" w:color="FFFFFF" w:sz="0"/>
            </w:tcBorders>
            <w:shd w:fill="2D6CC0" w:val="clear"/>
            <w:tcMar>
              <w:top w:type="dxa" w:w="200"/>
              <w:left w:type="dxa" w:w="200"/>
              <w:bottom w:type="dxa" w:w="200"/>
              <w:right w:type="dxa" w:w="200"/>
            </w:tcMar>
          </w:tcPr>
          <w:p>
            <w:r>
              <w:rPr>
                <w:rFonts w:ascii="Arial" w:cs="Arial" w:eastAsia="Arial" w:hAnsi="Arial"/>
                <w:b/>
                <w:bCs/>
                <w:color w:val="FFFFFF"/>
                <w:sz w:val="22"/>
                <w:szCs w:val="22"/>
              </w:rPr>
              <w:t xml:space="preserve">Mid Blue</w:t>
            </w:r>
          </w:p>
          <w:p>
            <w:r>
              <w:rPr>
                <w:rFonts w:ascii="Arial" w:cs="Arial" w:eastAsia="Arial" w:hAnsi="Arial"/>
                <w:i/>
                <w:iCs/>
                <w:color w:val="FFFFFF"/>
                <w:sz w:val="18"/>
                <w:szCs w:val="18"/>
              </w:rPr>
              <w:t xml:space="preserve">#2D6CC0</w:t>
            </w:r>
          </w:p>
          <w:p>
            <w:r>
              <w:rPr>
                <w:rFonts w:ascii="Arial" w:cs="Arial" w:eastAsia="Arial" w:hAnsi="Arial"/>
                <w:color w:val="FFFFFF"/>
                <w:sz w:val="17"/>
                <w:szCs w:val="17"/>
              </w:rPr>
              <w:t xml:space="preserve">#2D6CC0 — digital UI &amp; links</w:t>
            </w:r>
          </w:p>
        </w:tc>
        <w:tc>
          <w:tcPr>
            <w:tcW w:type="dxa" w:w="3080"/>
            <w:tcBorders>
              <w:top w:val="none" w:color="FFFFFF" w:sz="0"/>
              <w:left w:val="none" w:color="FFFFFF" w:sz="0"/>
              <w:bottom w:val="none" w:color="FFFFFF" w:sz="0"/>
              <w:right w:val="none" w:color="FFFFFF" w:sz="0"/>
            </w:tcBorders>
            <w:shd w:fill="7A7E87" w:val="clear"/>
            <w:tcMar>
              <w:top w:type="dxa" w:w="200"/>
              <w:left w:type="dxa" w:w="200"/>
              <w:bottom w:type="dxa" w:w="200"/>
              <w:right w:type="dxa" w:w="200"/>
            </w:tcMar>
          </w:tcPr>
          <w:p>
            <w:r>
              <w:rPr>
                <w:rFonts w:ascii="Arial" w:cs="Arial" w:eastAsia="Arial" w:hAnsi="Arial"/>
                <w:b/>
                <w:bCs/>
                <w:color w:val="FFFFFF"/>
                <w:sz w:val="22"/>
                <w:szCs w:val="22"/>
              </w:rPr>
              <w:t xml:space="preserve">Basalt Light</w:t>
            </w:r>
          </w:p>
          <w:p>
            <w:r>
              <w:rPr>
                <w:rFonts w:ascii="Arial" w:cs="Arial" w:eastAsia="Arial" w:hAnsi="Arial"/>
                <w:i/>
                <w:iCs/>
                <w:color w:val="FFFFFF"/>
                <w:sz w:val="18"/>
                <w:szCs w:val="18"/>
              </w:rPr>
              <w:t xml:space="preserve">#7A7E87</w:t>
            </w:r>
          </w:p>
          <w:p>
            <w:r>
              <w:rPr>
                <w:rFonts w:ascii="Arial" w:cs="Arial" w:eastAsia="Arial" w:hAnsi="Arial"/>
                <w:color w:val="FFFFFF"/>
                <w:sz w:val="17"/>
                <w:szCs w:val="17"/>
              </w:rPr>
              <w:t xml:space="preserve">#7A7E87 — captions &amp; dividers</w:t>
            </w:r>
          </w:p>
        </w:tc>
        <w:tc>
          <w:tcPr>
            <w:tcW w:type="dxa" w:w="3080"/>
            <w:tcBorders>
              <w:top w:val="none" w:color="FFFFFF" w:sz="0"/>
              <w:left w:val="none" w:color="FFFFFF" w:sz="0"/>
              <w:bottom w:val="none" w:color="FFFFFF" w:sz="0"/>
              <w:right w:val="none" w:color="FFFFFF" w:sz="0"/>
            </w:tcBorders>
            <w:shd w:fill="F2A060" w:val="clear"/>
            <w:tcMar>
              <w:top w:type="dxa" w:w="200"/>
              <w:left w:type="dxa" w:w="200"/>
              <w:bottom w:type="dxa" w:w="200"/>
              <w:right w:type="dxa" w:w="200"/>
            </w:tcMar>
          </w:tcPr>
          <w:p>
            <w:r>
              <w:rPr>
                <w:rFonts w:ascii="Arial" w:cs="Arial" w:eastAsia="Arial" w:hAnsi="Arial"/>
                <w:b/>
                <w:bCs/>
                <w:color w:val="2C2F35"/>
                <w:sz w:val="22"/>
                <w:szCs w:val="22"/>
              </w:rPr>
              <w:t xml:space="preserve">Orange Light</w:t>
            </w:r>
          </w:p>
          <w:p>
            <w:r>
              <w:rPr>
                <w:rFonts w:ascii="Arial" w:cs="Arial" w:eastAsia="Arial" w:hAnsi="Arial"/>
                <w:i/>
                <w:iCs/>
                <w:color w:val="2C2F35"/>
                <w:sz w:val="18"/>
                <w:szCs w:val="18"/>
              </w:rPr>
              <w:t xml:space="preserve">#F2A060</w:t>
            </w:r>
          </w:p>
          <w:p>
            <w:r>
              <w:rPr>
                <w:rFonts w:ascii="Arial" w:cs="Arial" w:eastAsia="Arial" w:hAnsi="Arial"/>
                <w:color w:val="2C2F35"/>
                <w:sz w:val="17"/>
                <w:szCs w:val="17"/>
              </w:rPr>
              <w:t xml:space="preserve">#F2A060 — warm highlights</w:t>
            </w:r>
          </w:p>
        </w:tc>
        <w:tc>
          <w:tcPr>
            <w:tcW w:type="dxa" w:w="786"/>
            <w:tcBorders>
              <w:top w:val="none" w:color="FFFFFF" w:sz="0"/>
              <w:left w:val="none" w:color="FFFFFF" w:sz="0"/>
              <w:bottom w:val="none" w:color="FFFFFF" w:sz="0"/>
              <w:right w:val="none" w:color="FFFFFF" w:sz="0"/>
            </w:tcBorders>
          </w:tcPr>
          <w:p/>
        </w:tc>
      </w:tr>
    </w:tbl>
    <w:p>
      <w:pPr>
        <w:spacing w:after="16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786"/>
      </w:tblGrid>
      <w:tr>
        <w:tc>
          <w:tcPr>
            <w:tcW w:type="dxa" w:w="3080"/>
            <w:tcBorders>
              <w:top w:val="none" w:color="FFFFFF" w:sz="0"/>
              <w:left w:val="none" w:color="FFFFFF" w:sz="0"/>
              <w:bottom w:val="none" w:color="FFFFFF" w:sz="0"/>
              <w:right w:val="none" w:color="FFFFFF" w:sz="0"/>
            </w:tcBorders>
            <w:shd w:fill="1C2230" w:val="clear"/>
            <w:tcMar>
              <w:top w:type="dxa" w:w="200"/>
              <w:left w:type="dxa" w:w="200"/>
              <w:bottom w:type="dxa" w:w="200"/>
              <w:right w:type="dxa" w:w="200"/>
            </w:tcMar>
          </w:tcPr>
          <w:p>
            <w:r>
              <w:rPr>
                <w:rFonts w:ascii="Arial" w:cs="Arial" w:eastAsia="Arial" w:hAnsi="Arial"/>
                <w:b/>
                <w:bCs/>
                <w:color w:val="FFFFFF"/>
                <w:sz w:val="22"/>
                <w:szCs w:val="22"/>
              </w:rPr>
              <w:t xml:space="preserve">Dark Background</w:t>
            </w:r>
          </w:p>
          <w:p>
            <w:r>
              <w:rPr>
                <w:rFonts w:ascii="Arial" w:cs="Arial" w:eastAsia="Arial" w:hAnsi="Arial"/>
                <w:i/>
                <w:iCs/>
                <w:color w:val="FFFFFF"/>
                <w:sz w:val="18"/>
                <w:szCs w:val="18"/>
              </w:rPr>
              <w:t xml:space="preserve">#1C2230</w:t>
            </w:r>
          </w:p>
          <w:p>
            <w:r>
              <w:rPr>
                <w:rFonts w:ascii="Arial" w:cs="Arial" w:eastAsia="Arial" w:hAnsi="Arial"/>
                <w:color w:val="FFFFFF"/>
                <w:sz w:val="17"/>
                <w:szCs w:val="17"/>
              </w:rPr>
              <w:t xml:space="preserve">#1C2230 — dark theme base</w:t>
            </w:r>
          </w:p>
        </w:tc>
        <w:tc>
          <w:tcPr>
            <w:tcW w:type="dxa" w:w="3080"/>
            <w:tcBorders>
              <w:top w:val="none" w:color="FFFFFF" w:sz="0"/>
              <w:left w:val="none" w:color="FFFFFF" w:sz="0"/>
              <w:bottom w:val="none" w:color="FFFFFF" w:sz="0"/>
              <w:right w:val="none" w:color="FFFFFF" w:sz="0"/>
            </w:tcBorders>
            <w:shd w:fill="F5F7FA" w:val="clear"/>
            <w:tcMar>
              <w:top w:type="dxa" w:w="200"/>
              <w:left w:type="dxa" w:w="200"/>
              <w:bottom w:type="dxa" w:w="200"/>
              <w:right w:type="dxa" w:w="200"/>
            </w:tcMar>
          </w:tcPr>
          <w:p>
            <w:r>
              <w:rPr>
                <w:rFonts w:ascii="Arial" w:cs="Arial" w:eastAsia="Arial" w:hAnsi="Arial"/>
                <w:b/>
                <w:bCs/>
                <w:color w:val="2C2F35"/>
                <w:sz w:val="22"/>
                <w:szCs w:val="22"/>
              </w:rPr>
              <w:t xml:space="preserve">Off White</w:t>
            </w:r>
          </w:p>
          <w:p>
            <w:r>
              <w:rPr>
                <w:rFonts w:ascii="Arial" w:cs="Arial" w:eastAsia="Arial" w:hAnsi="Arial"/>
                <w:i/>
                <w:iCs/>
                <w:color w:val="2C2F35"/>
                <w:sz w:val="18"/>
                <w:szCs w:val="18"/>
              </w:rPr>
              <w:t xml:space="preserve">#F5F7FA</w:t>
            </w:r>
          </w:p>
          <w:p>
            <w:r>
              <w:rPr>
                <w:rFonts w:ascii="Arial" w:cs="Arial" w:eastAsia="Arial" w:hAnsi="Arial"/>
                <w:color w:val="2C2F35"/>
                <w:sz w:val="17"/>
                <w:szCs w:val="17"/>
              </w:rPr>
              <w:t xml:space="preserve">#F5F7FA — light theme base</w:t>
            </w:r>
          </w:p>
        </w:tc>
        <w:tc>
          <w:tcPr>
            <w:tcW w:type="dxa" w:w="3080"/>
            <w:tcBorders>
              <w:top w:val="none" w:color="FFFFFF" w:sz="0"/>
              <w:left w:val="none" w:color="FFFFFF" w:sz="0"/>
              <w:bottom w:val="none" w:color="FFFFFF" w:sz="0"/>
              <w:right w:val="none" w:color="FFFFFF" w:sz="0"/>
            </w:tcBorders>
            <w:shd w:fill="FFFFFF" w:val="clear"/>
            <w:tcMar>
              <w:top w:type="dxa" w:w="200"/>
              <w:left w:type="dxa" w:w="200"/>
              <w:bottom w:type="dxa" w:w="200"/>
              <w:right w:type="dxa" w:w="200"/>
            </w:tcMar>
          </w:tcPr>
          <w:p>
            <w:r>
              <w:rPr>
                <w:rFonts w:ascii="Arial" w:cs="Arial" w:eastAsia="Arial" w:hAnsi="Arial"/>
                <w:b/>
                <w:bCs/>
                <w:color w:val="4A4E57"/>
                <w:sz w:val="22"/>
                <w:szCs w:val="22"/>
              </w:rPr>
              <w:t xml:space="preserve">White</w:t>
            </w:r>
          </w:p>
          <w:p>
            <w:r>
              <w:rPr>
                <w:rFonts w:ascii="Arial" w:cs="Arial" w:eastAsia="Arial" w:hAnsi="Arial"/>
                <w:i/>
                <w:iCs/>
                <w:color w:val="4A4E57"/>
                <w:sz w:val="18"/>
                <w:szCs w:val="18"/>
              </w:rPr>
              <w:t xml:space="preserve">#FFFFFF</w:t>
            </w:r>
          </w:p>
          <w:p>
            <w:r>
              <w:rPr>
                <w:rFonts w:ascii="Arial" w:cs="Arial" w:eastAsia="Arial" w:hAnsi="Arial"/>
                <w:color w:val="4A4E57"/>
                <w:sz w:val="17"/>
                <w:szCs w:val="17"/>
              </w:rPr>
              <w:t xml:space="preserve">#FFFFFF — documents &amp; reports</w:t>
            </w:r>
          </w:p>
        </w:tc>
        <w:tc>
          <w:tcPr>
            <w:tcW w:type="dxa" w:w="786"/>
            <w:tcBorders>
              <w:top w:val="none" w:color="FFFFFF" w:sz="0"/>
              <w:left w:val="none" w:color="FFFFFF" w:sz="0"/>
              <w:bottom w:val="none" w:color="FFFFFF" w:sz="0"/>
              <w:right w:val="none" w:color="FFFFFF" w:sz="0"/>
            </w:tcBorders>
          </w:tcPr>
          <w:p/>
        </w:tc>
      </w:tr>
    </w:tbl>
    <w:p>
      <w:pPr>
        <w:spacing w:after="160" w:before="240"/>
      </w:pPr>
    </w:p>
    <w:p>
      <w:pPr>
        <w:pStyle w:val="Heading2"/>
        <w:spacing w:after="80" w:before="280"/>
      </w:pPr>
      <w:r>
        <w:rPr>
          <w:rFonts w:ascii="Arial" w:cs="Arial" w:eastAsia="Arial" w:hAnsi="Arial"/>
          <w:b/>
          <w:bCs/>
          <w:color w:val="2C2F35"/>
          <w:sz w:val="26"/>
          <w:szCs w:val="26"/>
        </w:rPr>
        <w:t xml:space="preserve">Colour Usage Rules</w:t>
      </w:r>
    </w:p>
    <w:p>
      <w:pPr>
        <w:pStyle w:val="ListParagraph"/>
        <w:numPr>
          <w:ilvl w:val="0"/>
          <w:numId w:val="2"/>
        </w:numPr>
        <w:spacing w:after="60" w:before="60"/>
      </w:pPr>
      <w:r>
        <w:rPr>
          <w:rFonts w:ascii="Arial" w:cs="Arial" w:eastAsia="Arial" w:hAnsi="Arial"/>
          <w:color w:val="2C2F35"/>
          <w:sz w:val="22"/>
          <w:szCs w:val="22"/>
        </w:rPr>
        <w:t xml:space="preserve">Deep Blue is the primary brand colour — use for headlines, primary CTAs, the logo mark, and key UI elements</w:t>
      </w:r>
    </w:p>
    <w:p>
      <w:pPr>
        <w:pStyle w:val="ListParagraph"/>
        <w:numPr>
          <w:ilvl w:val="0"/>
          <w:numId w:val="2"/>
        </w:numPr>
        <w:spacing w:after="60" w:before="60"/>
      </w:pPr>
      <w:r>
        <w:rPr>
          <w:rFonts w:ascii="Arial" w:cs="Arial" w:eastAsia="Arial" w:hAnsi="Arial"/>
          <w:color w:val="2C2F35"/>
          <w:sz w:val="22"/>
          <w:szCs w:val="22"/>
        </w:rPr>
        <w:t xml:space="preserve">Basalt Gray is the default for all body text and secondary UI elements</w:t>
      </w:r>
    </w:p>
    <w:p>
      <w:pPr>
        <w:pStyle w:val="ListParagraph"/>
        <w:numPr>
          <w:ilvl w:val="0"/>
          <w:numId w:val="2"/>
        </w:numPr>
        <w:spacing w:after="60" w:before="60"/>
      </w:pPr>
      <w:r>
        <w:rPr>
          <w:rFonts w:ascii="Arial" w:cs="Arial" w:eastAsia="Arial" w:hAnsi="Arial"/>
          <w:color w:val="2C2F35"/>
          <w:sz w:val="22"/>
          <w:szCs w:val="22"/>
        </w:rPr>
        <w:t xml:space="preserve">Light Orange is a signal colour only — use sparingly for key data points, active states, the scan line, and the logo pointers</w:t>
      </w:r>
    </w:p>
    <w:p>
      <w:pPr>
        <w:pStyle w:val="ListParagraph"/>
        <w:numPr>
          <w:ilvl w:val="0"/>
          <w:numId w:val="2"/>
        </w:numPr>
        <w:spacing w:after="60" w:before="60"/>
      </w:pPr>
      <w:r>
        <w:rPr>
          <w:rFonts w:ascii="Arial" w:cs="Arial" w:eastAsia="Arial" w:hAnsi="Arial"/>
          <w:color w:val="2C2F35"/>
          <w:sz w:val="22"/>
          <w:szCs w:val="22"/>
        </w:rPr>
        <w:t xml:space="preserve">Never use Orange as a large background or primary surface colour — it loses its signal quality</w:t>
      </w:r>
    </w:p>
    <w:p>
      <w:pPr>
        <w:pStyle w:val="ListParagraph"/>
        <w:numPr>
          <w:ilvl w:val="0"/>
          <w:numId w:val="2"/>
        </w:numPr>
        <w:spacing w:after="60" w:before="60"/>
      </w:pPr>
      <w:r>
        <w:rPr>
          <w:rFonts w:ascii="Arial" w:cs="Arial" w:eastAsia="Arial" w:hAnsi="Arial"/>
          <w:color w:val="2C2F35"/>
          <w:sz w:val="22"/>
          <w:szCs w:val="22"/>
        </w:rPr>
        <w:t xml:space="preserve">White and Off-White (#F5F7FA) are the primary background colours for documents and light interfaces</w:t>
      </w:r>
    </w:p>
    <w:p>
      <w:pPr>
        <w:pStyle w:val="ListParagraph"/>
        <w:numPr>
          <w:ilvl w:val="0"/>
          <w:numId w:val="2"/>
        </w:numPr>
        <w:spacing w:after="60" w:before="60"/>
      </w:pPr>
      <w:r>
        <w:rPr>
          <w:rFonts w:ascii="Arial" w:cs="Arial" w:eastAsia="Arial" w:hAnsi="Arial"/>
          <w:color w:val="2C2F35"/>
          <w:sz w:val="22"/>
          <w:szCs w:val="22"/>
        </w:rPr>
        <w:t xml:space="preserve">The Dark Background (#1C2230) is reserved for the primary dark logo, presentations, and instrument UI</w:t>
      </w:r>
    </w:p>
    <w:p>
      <w:pPr>
        <w:pStyle w:val="ListParagraph"/>
        <w:numPr>
          <w:ilvl w:val="0"/>
          <w:numId w:val="2"/>
        </w:numPr>
        <w:spacing w:after="60" w:before="60"/>
      </w:pPr>
      <w:r>
        <w:rPr>
          <w:rFonts w:ascii="Arial" w:cs="Arial" w:eastAsia="Arial" w:hAnsi="Arial"/>
          <w:color w:val="2C2F35"/>
          <w:sz w:val="22"/>
          <w:szCs w:val="22"/>
        </w:rPr>
        <w:t xml:space="preserve">Minimum contrast ratio of 4.5:1 must be maintained for all body text per WCAG AA</w:t>
      </w:r>
    </w:p>
    <w:p>
      <w:pPr>
        <w:pStyle w:val="ListParagraph"/>
        <w:numPr>
          <w:ilvl w:val="0"/>
          <w:numId w:val="2"/>
        </w:numPr>
        <w:spacing w:after="60" w:before="60"/>
      </w:pPr>
      <w:r>
        <w:rPr>
          <w:rFonts w:ascii="Arial" w:cs="Arial" w:eastAsia="Arial" w:hAnsi="Arial"/>
          <w:color w:val="2C2F35"/>
          <w:sz w:val="22"/>
          <w:szCs w:val="22"/>
        </w:rPr>
        <w:t xml:space="preserve">Never introduce colours outside this palette without brand team approval</w:t>
      </w:r>
    </w:p>
    <w:p>
      <w:r>
        <w:br w:type="page"/>
      </w:r>
    </w:p>
    <w:p>
      <w:pPr>
        <w:pStyle w:val="Heading1"/>
        <w:spacing w:after="100" w:before="440"/>
      </w:pPr>
      <w:r>
        <w:rPr>
          <w:rFonts w:ascii="Arial" w:cs="Arial" w:eastAsia="Arial" w:hAnsi="Arial"/>
          <w:b/>
          <w:bCs/>
          <w:color w:val="1A4B8C"/>
          <w:sz w:val="36"/>
          <w:szCs w:val="36"/>
        </w:rPr>
        <w:t xml:space="preserve">4. Typography</w:t>
      </w:r>
    </w:p>
    <w:p>
      <w:pPr>
        <w:pBdr>
          <w:bottom w:val="single" w:color="2D6CC0" w:sz="8" w:space="1"/>
        </w:pBdr>
        <w:spacing w:after="200" w:before="0"/>
      </w:pPr>
    </w:p>
    <w:p>
      <w:pPr>
        <w:spacing w:after="100" w:before="60"/>
      </w:pPr>
      <w:r>
        <w:rPr>
          <w:rFonts w:ascii="Arial" w:cs="Arial" w:eastAsia="Arial" w:hAnsi="Arial"/>
          <w:color w:val="2C2F35"/>
          <w:sz w:val="22"/>
          <w:szCs w:val="22"/>
        </w:rPr>
        <w:t xml:space="preserve">The Depth Vision type system is built on Barlow — a condensed, slightly industrial grotesque that has both the technical rigour and the open warmth the brand requires. Barlow Condensed is used for display and logo work; Barlow Regular for all body copy.</w:t>
      </w:r>
    </w:p>
    <w:p>
      <w:pPr>
        <w:spacing w:after="160" w:before="120"/>
      </w:pPr>
    </w:p>
    <w:p>
      <w:pPr>
        <w:pStyle w:val="Heading2"/>
        <w:spacing w:after="80" w:before="280"/>
      </w:pPr>
      <w:r>
        <w:rPr>
          <w:rFonts w:ascii="Arial" w:cs="Arial" w:eastAsia="Arial" w:hAnsi="Arial"/>
          <w:b/>
          <w:bCs/>
          <w:color w:val="2C2F35"/>
          <w:sz w:val="26"/>
          <w:szCs w:val="26"/>
        </w:rPr>
        <w:t xml:space="preserve">Typeface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800"/>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Typeface</w:t>
            </w:r>
          </w:p>
        </w:tc>
        <w:tc>
          <w:tcPr>
            <w:tcW w:type="dxa" w:w="4026"/>
            <w:tcBorders>
              <w:top w:val="single" w:color="D0D4DA" w:sz="1"/>
              <w:left w:val="single" w:color="D0D4DA" w:sz="1"/>
              <w:bottom w:val="single" w:color="D0D4DA" w:sz="1"/>
              <w:right w:val="single" w:color="D0D4DA" w:sz="1"/>
            </w:tcBorders>
            <w:shd w:fill="1A4B8C"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2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Display / Logo</w:t>
            </w:r>
          </w:p>
        </w:tc>
        <w:tc>
          <w:tcPr>
            <w:tcW w:type="dxa" w:w="28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Barlow Condensed Bold</w:t>
            </w:r>
          </w:p>
        </w:tc>
        <w:tc>
          <w:tcPr>
            <w:tcW w:type="dxa" w:w="4026"/>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Logo wordmark, campaign headlines, report cover titles, large figures</w:t>
            </w:r>
          </w:p>
        </w:tc>
      </w:tr>
      <w:tr>
        <w:tc>
          <w:tcPr>
            <w:tcW w:type="dxa" w:w="22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Heading</w:t>
            </w:r>
          </w:p>
        </w:tc>
        <w:tc>
          <w:tcPr>
            <w:tcW w:type="dxa" w:w="28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Barlow SemiBold</w:t>
            </w:r>
          </w:p>
        </w:tc>
        <w:tc>
          <w:tcPr>
            <w:tcW w:type="dxa" w:w="4026"/>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Section headings, slide titles, document H1–H2</w:t>
            </w:r>
          </w:p>
        </w:tc>
      </w:tr>
      <w:tr>
        <w:tc>
          <w:tcPr>
            <w:tcW w:type="dxa" w:w="22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Body</w:t>
            </w:r>
          </w:p>
        </w:tc>
        <w:tc>
          <w:tcPr>
            <w:tcW w:type="dxa" w:w="28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Barlow Regular</w:t>
            </w:r>
          </w:p>
        </w:tc>
        <w:tc>
          <w:tcPr>
            <w:tcW w:type="dxa" w:w="4026"/>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All body copy, captions, data labels, UI text</w:t>
            </w:r>
          </w:p>
        </w:tc>
      </w:tr>
      <w:tr>
        <w:tc>
          <w:tcPr>
            <w:tcW w:type="dxa" w:w="22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Monospace / Data</w:t>
            </w:r>
          </w:p>
        </w:tc>
        <w:tc>
          <w:tcPr>
            <w:tcW w:type="dxa" w:w="2800"/>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IBM Plex Mono</w:t>
            </w:r>
          </w:p>
        </w:tc>
        <w:tc>
          <w:tcPr>
            <w:tcW w:type="dxa" w:w="4026"/>
            <w:tcBorders>
              <w:top w:val="single" w:color="D0D4DA" w:sz="1"/>
              <w:left w:val="single" w:color="D0D4DA" w:sz="1"/>
              <w:bottom w:val="single" w:color="D0D4DA" w:sz="1"/>
              <w:right w:val="single" w:color="D0D4DA" w:sz="1"/>
            </w:tcBorders>
            <w:shd w:fill="FFFFFF" w:val="clear"/>
            <w:tcMar>
              <w:top w:type="dxa" w:w="80"/>
              <w:left w:type="dxa" w:w="160"/>
              <w:bottom w:type="dxa" w:w="80"/>
              <w:right w:type="dxa" w:w="160"/>
            </w:tcMar>
          </w:tcPr>
          <w:p>
            <w:r>
              <w:rPr>
                <w:rFonts w:ascii="Arial" w:cs="Arial" w:eastAsia="Arial" w:hAnsi="Arial"/>
                <w:color w:val="2C2F35"/>
                <w:sz w:val="20"/>
                <w:szCs w:val="20"/>
              </w:rPr>
              <w:t xml:space="preserve">Measurement readouts, coordinates, depth values, technical annotations</w:t>
            </w:r>
          </w:p>
        </w:tc>
      </w:tr>
      <w:tr>
        <w:tc>
          <w:tcPr>
            <w:tcW w:type="dxa" w:w="22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Document fallback</w:t>
            </w:r>
          </w:p>
        </w:tc>
        <w:tc>
          <w:tcPr>
            <w:tcW w:type="dxa" w:w="2800"/>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Arial Bold / Arial</w:t>
            </w:r>
          </w:p>
        </w:tc>
        <w:tc>
          <w:tcPr>
            <w:tcW w:type="dxa" w:w="4026"/>
            <w:tcBorders>
              <w:top w:val="single" w:color="D0D4DA" w:sz="1"/>
              <w:left w:val="single" w:color="D0D4DA" w:sz="1"/>
              <w:bottom w:val="single" w:color="D0D4DA" w:sz="1"/>
              <w:right w:val="single" w:color="D0D4DA" w:sz="1"/>
            </w:tcBorders>
            <w:shd w:fill="F5F7FA" w:val="clear"/>
            <w:tcMar>
              <w:top w:type="dxa" w:w="80"/>
              <w:left w:type="dxa" w:w="160"/>
              <w:bottom w:type="dxa" w:w="80"/>
              <w:right w:type="dxa" w:w="160"/>
            </w:tcMar>
          </w:tcPr>
          <w:p>
            <w:r>
              <w:rPr>
                <w:rFonts w:ascii="Arial" w:cs="Arial" w:eastAsia="Arial" w:hAnsi="Arial"/>
                <w:color w:val="2C2F35"/>
                <w:sz w:val="20"/>
                <w:szCs w:val="20"/>
              </w:rPr>
              <w:t xml:space="preserve">Email, Word, any environment without web font access</w:t>
            </w:r>
          </w:p>
        </w:tc>
      </w:tr>
    </w:tbl>
    <w:p>
      <w:pPr>
        <w:spacing w:after="160" w:before="200"/>
      </w:pPr>
    </w:p>
    <w:p>
      <w:pPr>
        <w:pStyle w:val="Heading2"/>
        <w:spacing w:after="80" w:before="280"/>
      </w:pPr>
      <w:r>
        <w:rPr>
          <w:rFonts w:ascii="Arial" w:cs="Arial" w:eastAsia="Arial" w:hAnsi="Arial"/>
          <w:b/>
          <w:bCs/>
          <w:color w:val="2C2F35"/>
          <w:sz w:val="26"/>
          <w:szCs w:val="26"/>
        </w:rPr>
        <w:t xml:space="preserve">Type Scale</w:t>
      </w:r>
    </w:p>
    <w:p>
      <w:pPr>
        <w:pStyle w:val="ListParagraph"/>
        <w:numPr>
          <w:ilvl w:val="0"/>
          <w:numId w:val="2"/>
        </w:numPr>
        <w:spacing w:after="60" w:before="60"/>
      </w:pPr>
      <w:r>
        <w:rPr>
          <w:rFonts w:ascii="Arial" w:cs="Arial" w:eastAsia="Arial" w:hAnsi="Arial"/>
          <w:color w:val="2C2F35"/>
          <w:sz w:val="22"/>
          <w:szCs w:val="22"/>
        </w:rPr>
        <w:t xml:space="preserve">Display — 48–72pt · Barlow Condensed Bold · Deep Blue or White · logos and campaign titles only</w:t>
      </w:r>
    </w:p>
    <w:p>
      <w:pPr>
        <w:pStyle w:val="ListParagraph"/>
        <w:numPr>
          <w:ilvl w:val="0"/>
          <w:numId w:val="2"/>
        </w:numPr>
        <w:spacing w:after="60" w:before="60"/>
      </w:pPr>
      <w:r>
        <w:rPr>
          <w:rFonts w:ascii="Arial" w:cs="Arial" w:eastAsia="Arial" w:hAnsi="Arial"/>
          <w:color w:val="2C2F35"/>
          <w:sz w:val="22"/>
          <w:szCs w:val="22"/>
        </w:rPr>
        <w:t xml:space="preserve">H1 Page Title — 32–36pt · Barlow SemiBold · Deep Blue · one per page</w:t>
      </w:r>
    </w:p>
    <w:p>
      <w:pPr>
        <w:pStyle w:val="ListParagraph"/>
        <w:numPr>
          <w:ilvl w:val="0"/>
          <w:numId w:val="2"/>
        </w:numPr>
        <w:spacing w:after="60" w:before="60"/>
      </w:pPr>
      <w:r>
        <w:rPr>
          <w:rFonts w:ascii="Arial" w:cs="Arial" w:eastAsia="Arial" w:hAnsi="Arial"/>
          <w:color w:val="2C2F35"/>
          <w:sz w:val="22"/>
          <w:szCs w:val="22"/>
        </w:rPr>
        <w:t xml:space="preserve">H2 Section — 22–26pt · Barlow SemiBold · Basalt Dark</w:t>
      </w:r>
    </w:p>
    <w:p>
      <w:pPr>
        <w:pStyle w:val="ListParagraph"/>
        <w:numPr>
          <w:ilvl w:val="0"/>
          <w:numId w:val="2"/>
        </w:numPr>
        <w:spacing w:after="60" w:before="60"/>
      </w:pPr>
      <w:r>
        <w:rPr>
          <w:rFonts w:ascii="Arial" w:cs="Arial" w:eastAsia="Arial" w:hAnsi="Arial"/>
          <w:color w:val="2C2F35"/>
          <w:sz w:val="22"/>
          <w:szCs w:val="22"/>
        </w:rPr>
        <w:t xml:space="preserve">H3 Sub-section — 18pt · Barlow SemiBold · Basalt Dark</w:t>
      </w:r>
    </w:p>
    <w:p>
      <w:pPr>
        <w:pStyle w:val="ListParagraph"/>
        <w:numPr>
          <w:ilvl w:val="0"/>
          <w:numId w:val="2"/>
        </w:numPr>
        <w:spacing w:after="60" w:before="60"/>
      </w:pPr>
      <w:r>
        <w:rPr>
          <w:rFonts w:ascii="Arial" w:cs="Arial" w:eastAsia="Arial" w:hAnsi="Arial"/>
          <w:color w:val="2C2F35"/>
          <w:sz w:val="22"/>
          <w:szCs w:val="22"/>
        </w:rPr>
        <w:t xml:space="preserve">Body — 11–12pt · Barlow Regular · Basalt Dark · 1.6 line-height</w:t>
      </w:r>
    </w:p>
    <w:p>
      <w:pPr>
        <w:pStyle w:val="ListParagraph"/>
        <w:numPr>
          <w:ilvl w:val="0"/>
          <w:numId w:val="2"/>
        </w:numPr>
        <w:spacing w:after="60" w:before="60"/>
      </w:pPr>
      <w:r>
        <w:rPr>
          <w:rFonts w:ascii="Arial" w:cs="Arial" w:eastAsia="Arial" w:hAnsi="Arial"/>
          <w:color w:val="2C2F35"/>
          <w:sz w:val="22"/>
          <w:szCs w:val="22"/>
        </w:rPr>
        <w:t xml:space="preserve">Caption / Label — 9–10pt · Barlow Regular · Basalt Light</w:t>
      </w:r>
    </w:p>
    <w:p>
      <w:pPr>
        <w:pStyle w:val="ListParagraph"/>
        <w:numPr>
          <w:ilvl w:val="0"/>
          <w:numId w:val="2"/>
        </w:numPr>
        <w:spacing w:after="60" w:before="60"/>
      </w:pPr>
      <w:r>
        <w:rPr>
          <w:rFonts w:ascii="Arial" w:cs="Arial" w:eastAsia="Arial" w:hAnsi="Arial"/>
          <w:color w:val="2C2F35"/>
          <w:sz w:val="22"/>
          <w:szCs w:val="22"/>
        </w:rPr>
        <w:t xml:space="preserve">Data / Measurement — any size · IBM Plex Mono · Basalt Dark or Deep Blue · always monospace</w:t>
      </w:r>
    </w:p>
    <w:p>
      <w:pPr>
        <w:spacing w:after="160" w:before="120"/>
      </w:pPr>
    </w:p>
    <w:p>
      <w:pPr>
        <w:pStyle w:val="Heading2"/>
        <w:spacing w:after="80" w:before="280"/>
      </w:pPr>
      <w:r>
        <w:rPr>
          <w:rFonts w:ascii="Arial" w:cs="Arial" w:eastAsia="Arial" w:hAnsi="Arial"/>
          <w:b/>
          <w:bCs/>
          <w:color w:val="2C2F35"/>
          <w:sz w:val="26"/>
          <w:szCs w:val="26"/>
        </w:rPr>
        <w:t xml:space="preserve">Typography Rules</w:t>
      </w:r>
    </w:p>
    <w:p>
      <w:pPr>
        <w:pStyle w:val="ListParagraph"/>
        <w:numPr>
          <w:ilvl w:val="0"/>
          <w:numId w:val="2"/>
        </w:numPr>
        <w:spacing w:after="60" w:before="60"/>
      </w:pPr>
      <w:r>
        <w:rPr>
          <w:rFonts w:ascii="Arial" w:cs="Arial" w:eastAsia="Arial" w:hAnsi="Arial"/>
          <w:color w:val="2C2F35"/>
          <w:sz w:val="22"/>
          <w:szCs w:val="22"/>
        </w:rPr>
        <w:t xml:space="preserve">Never set body copy in Barlow Condensed — it is a display face only</w:t>
      </w:r>
    </w:p>
    <w:p>
      <w:pPr>
        <w:pStyle w:val="ListParagraph"/>
        <w:numPr>
          <w:ilvl w:val="0"/>
          <w:numId w:val="2"/>
        </w:numPr>
        <w:spacing w:after="60" w:before="60"/>
      </w:pPr>
      <w:r>
        <w:rPr>
          <w:rFonts w:ascii="Arial" w:cs="Arial" w:eastAsia="Arial" w:hAnsi="Arial"/>
          <w:color w:val="2C2F35"/>
          <w:sz w:val="22"/>
          <w:szCs w:val="22"/>
        </w:rPr>
        <w:t xml:space="preserve">Headings in sentence case for most contexts; ALL CAPS permitted for display and logo use only</w:t>
      </w:r>
    </w:p>
    <w:p>
      <w:pPr>
        <w:pStyle w:val="ListParagraph"/>
        <w:numPr>
          <w:ilvl w:val="0"/>
          <w:numId w:val="2"/>
        </w:numPr>
        <w:spacing w:after="60" w:before="60"/>
      </w:pPr>
      <w:r>
        <w:rPr>
          <w:rFonts w:ascii="Arial" w:cs="Arial" w:eastAsia="Arial" w:hAnsi="Arial"/>
          <w:color w:val="2C2F35"/>
          <w:sz w:val="22"/>
          <w:szCs w:val="22"/>
        </w:rPr>
        <w:t xml:space="preserve">Generous letter-spacing (tracking) on small caps and all-caps settings — minimum +50 tracking</w:t>
      </w:r>
    </w:p>
    <w:p>
      <w:pPr>
        <w:pStyle w:val="ListParagraph"/>
        <w:numPr>
          <w:ilvl w:val="0"/>
          <w:numId w:val="2"/>
        </w:numPr>
        <w:spacing w:after="60" w:before="60"/>
      </w:pPr>
      <w:r>
        <w:rPr>
          <w:rFonts w:ascii="Arial" w:cs="Arial" w:eastAsia="Arial" w:hAnsi="Arial"/>
          <w:color w:val="2C2F35"/>
          <w:sz w:val="22"/>
          <w:szCs w:val="22"/>
        </w:rPr>
        <w:t xml:space="preserve">Line length: 60–80 characters per line for body copy; use column layouts to control this</w:t>
      </w:r>
    </w:p>
    <w:p>
      <w:pPr>
        <w:pStyle w:val="ListParagraph"/>
        <w:numPr>
          <w:ilvl w:val="0"/>
          <w:numId w:val="2"/>
        </w:numPr>
        <w:spacing w:after="60" w:before="60"/>
      </w:pPr>
      <w:r>
        <w:rPr>
          <w:rFonts w:ascii="Arial" w:cs="Arial" w:eastAsia="Arial" w:hAnsi="Arial"/>
          <w:color w:val="2C2F35"/>
          <w:sz w:val="22"/>
          <w:szCs w:val="22"/>
        </w:rPr>
        <w:t xml:space="preserve">Do not use more than two typeface weights on a single page</w:t>
      </w:r>
    </w:p>
    <w:p>
      <w:pPr>
        <w:pStyle w:val="ListParagraph"/>
        <w:numPr>
          <w:ilvl w:val="0"/>
          <w:numId w:val="2"/>
        </w:numPr>
        <w:spacing w:after="60" w:before="60"/>
      </w:pPr>
      <w:r>
        <w:rPr>
          <w:rFonts w:ascii="Arial" w:cs="Arial" w:eastAsia="Arial" w:hAnsi="Arial"/>
          <w:color w:val="2C2F35"/>
          <w:sz w:val="22"/>
          <w:szCs w:val="22"/>
        </w:rPr>
        <w:t xml:space="preserve">IBM Plex Mono must be used for all numerical measurements and coordinates — never render data in a proportional font</w:t>
      </w:r>
    </w:p>
    <w:p>
      <w:r>
        <w:br w:type="page"/>
      </w:r>
    </w:p>
    <w:p>
      <w:pPr>
        <w:pStyle w:val="Heading1"/>
        <w:spacing w:after="100" w:before="440"/>
      </w:pPr>
      <w:r>
        <w:rPr>
          <w:rFonts w:ascii="Arial" w:cs="Arial" w:eastAsia="Arial" w:hAnsi="Arial"/>
          <w:b/>
          <w:bCs/>
          <w:color w:val="1A4B8C"/>
          <w:sz w:val="36"/>
          <w:szCs w:val="36"/>
        </w:rPr>
        <w:t xml:space="preserve">5. Voice &amp; Tone</w:t>
      </w:r>
    </w:p>
    <w:p>
      <w:pPr>
        <w:pBdr>
          <w:bottom w:val="single" w:color="E8803A" w:sz="8" w:space="1"/>
        </w:pBdr>
        <w:spacing w:after="200" w:before="0"/>
      </w:pPr>
    </w:p>
    <w:p>
      <w:pPr>
        <w:spacing w:after="100" w:before="60"/>
      </w:pPr>
      <w:r>
        <w:rPr>
          <w:rFonts w:ascii="Arial" w:cs="Arial" w:eastAsia="Arial" w:hAnsi="Arial"/>
          <w:color w:val="2C2F35"/>
          <w:sz w:val="22"/>
          <w:szCs w:val="22"/>
        </w:rPr>
        <w:t xml:space="preserve">Depth Vision speaks with the confidence of people who know exactly what they are doing — and the directness of people who respect their audience's time. We are technically precise without being impenetrable. We are optimistic without being glossy.</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0D4DA" w:sz="1"/>
              <w:left w:val="single" w:color="D0D4DA" w:sz="1"/>
              <w:bottom w:val="single" w:color="D0D4DA" w:sz="1"/>
              <w:right w:val="single" w:color="D0D4DA" w:sz="1"/>
            </w:tcBorders>
            <w:shd w:fill="1A4B8C" w:val="clear"/>
            <w:tcMar>
              <w:top w:type="dxa" w:w="120"/>
              <w:left w:type="dxa" w:w="200"/>
              <w:bottom w:type="dxa" w:w="120"/>
              <w:right w:type="dxa" w:w="200"/>
            </w:tcMar>
          </w:tcPr>
          <w:p>
            <w:r>
              <w:rPr>
                <w:rFonts w:ascii="Arial" w:cs="Arial" w:eastAsia="Arial" w:hAnsi="Arial"/>
                <w:b/>
                <w:bCs/>
                <w:color w:val="FFFFFF"/>
                <w:sz w:val="22"/>
                <w:szCs w:val="22"/>
              </w:rPr>
              <w:t xml:space="preserve">We sound like this</w:t>
            </w:r>
          </w:p>
        </w:tc>
        <w:tc>
          <w:tcPr>
            <w:tcW w:type="dxa" w:w="4513"/>
            <w:tcBorders>
              <w:top w:val="single" w:color="D0D4DA" w:sz="1"/>
              <w:left w:val="single" w:color="D0D4DA" w:sz="1"/>
              <w:bottom w:val="single" w:color="D0D4DA" w:sz="1"/>
              <w:right w:val="single" w:color="D0D4DA" w:sz="1"/>
            </w:tcBorders>
            <w:shd w:fill="4A4E57" w:val="clear"/>
            <w:tcMar>
              <w:top w:type="dxa" w:w="120"/>
              <w:left w:type="dxa" w:w="200"/>
              <w:bottom w:type="dxa" w:w="120"/>
              <w:right w:type="dxa" w:w="200"/>
            </w:tcMar>
          </w:tcPr>
          <w:p>
            <w:r>
              <w:rPr>
                <w:rFonts w:ascii="Arial" w:cs="Arial" w:eastAsia="Arial" w:hAnsi="Arial"/>
                <w:b/>
                <w:bCs/>
                <w:color w:val="FFFFFF"/>
                <w:sz w:val="22"/>
                <w:szCs w:val="22"/>
              </w:rPr>
              <w:t xml:space="preserve">Not like this</w:t>
            </w:r>
          </w:p>
        </w:tc>
      </w:tr>
      <w:tr>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"Clear colour footage at 40m depth, 1mm resolution."</w:t>
            </w:r>
          </w:p>
        </w:tc>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"We provide world-class imaging solutions across all subsurface environments."</w:t>
            </w:r>
          </w:p>
        </w:tc>
      </w:tr>
      <w:tr>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"We found the fracture at 27.4m. Here is what it looks like."</w:t>
            </w:r>
          </w:p>
        </w:tc>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"Our proprietary technology enables comprehensive defect characterisation."</w:t>
            </w:r>
          </w:p>
        </w:tc>
      </w:tr>
      <w:tr>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"Same-day turnaround on standard surveys. Ask us about complex sites."</w:t>
            </w:r>
          </w:p>
        </w:tc>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"We strive to deliver timely results across a variety of project types."</w:t>
            </w:r>
          </w:p>
        </w:tc>
      </w:tr>
      <w:tr>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"Your data, exported clean, ready for your software."</w:t>
            </w:r>
          </w:p>
        </w:tc>
        <w:tc>
          <w:tcPr>
            <w:tcW w:type="dxa" w:w="4513"/>
            <w:tcBorders>
              <w:top w:val="single" w:color="D0D4DA" w:sz="1"/>
              <w:left w:val="single" w:color="D0D4DA" w:sz="1"/>
              <w:bottom w:val="single" w:color="D0D4DA" w:sz="1"/>
              <w:right w:val="single" w:color="D0D4DA" w:sz="1"/>
            </w:tcBorders>
            <w:shd w:fill="FFFFFF" w:val="clear"/>
            <w:tcMar>
              <w:top w:type="dxa" w:w="100"/>
              <w:left w:type="dxa" w:w="200"/>
              <w:bottom w:type="dxa" w:w="100"/>
              <w:right w:type="dxa" w:w="200"/>
            </w:tcMar>
          </w:tcPr>
          <w:p>
            <w:r>
              <w:rPr>
                <w:rFonts w:ascii="Arial" w:cs="Arial" w:eastAsia="Arial" w:hAnsi="Arial"/>
                <w:i/>
                <w:iCs/>
                <w:color w:val="2C2F35"/>
                <w:sz w:val="20"/>
                <w:szCs w:val="20"/>
              </w:rPr>
              <w:t xml:space="preserve">"We offer a range of data delivery formats to meet stakeholder requirements."</w:t>
            </w:r>
          </w:p>
        </w:tc>
      </w:tr>
      <w:tr>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"The borehole was partially collapsed at 18m. We got the footage anyway."</w:t>
            </w:r>
          </w:p>
        </w:tc>
        <w:tc>
          <w:tcPr>
            <w:tcW w:type="dxa" w:w="4513"/>
            <w:tcBorders>
              <w:top w:val="single" w:color="D0D4DA" w:sz="1"/>
              <w:left w:val="single" w:color="D0D4DA" w:sz="1"/>
              <w:bottom w:val="single" w:color="D0D4DA" w:sz="1"/>
              <w:right w:val="single" w:color="D0D4DA" w:sz="1"/>
            </w:tcBorders>
            <w:shd w:fill="E6F1FB" w:val="clear"/>
            <w:tcMar>
              <w:top w:type="dxa" w:w="100"/>
              <w:left w:type="dxa" w:w="200"/>
              <w:bottom w:type="dxa" w:w="100"/>
              <w:right w:type="dxa" w:w="200"/>
            </w:tcMar>
          </w:tcPr>
          <w:p>
            <w:r>
              <w:rPr>
                <w:rFonts w:ascii="Arial" w:cs="Arial" w:eastAsia="Arial" w:hAnsi="Arial"/>
                <w:i/>
                <w:iCs/>
                <w:color w:val="2C2F35"/>
                <w:sz w:val="20"/>
                <w:szCs w:val="20"/>
              </w:rPr>
              <w:t xml:space="preserve">"Despite challenging site conditions, we successfully completed the survey."</w:t>
            </w:r>
          </w:p>
        </w:tc>
      </w:tr>
    </w:tbl>
    <w:p>
      <w:pPr>
        <w:spacing w:after="160" w:before="240"/>
      </w:pPr>
    </w:p>
    <w:p>
      <w:pPr>
        <w:pStyle w:val="Heading2"/>
        <w:spacing w:after="80" w:before="280"/>
      </w:pPr>
      <w:r>
        <w:rPr>
          <w:rFonts w:ascii="Arial" w:cs="Arial" w:eastAsia="Arial" w:hAnsi="Arial"/>
          <w:b/>
          <w:bCs/>
          <w:color w:val="2C2F35"/>
          <w:sz w:val="26"/>
          <w:szCs w:val="26"/>
        </w:rPr>
        <w:t xml:space="preserve">Writing Principles</w:t>
      </w:r>
    </w:p>
    <w:p>
      <w:pPr>
        <w:pStyle w:val="ListParagraph"/>
        <w:numPr>
          <w:ilvl w:val="0"/>
          <w:numId w:val="2"/>
        </w:numPr>
        <w:spacing w:after="60" w:before="60"/>
      </w:pPr>
      <w:r>
        <w:rPr>
          <w:rFonts w:ascii="Arial" w:cs="Arial" w:eastAsia="Arial" w:hAnsi="Arial"/>
          <w:color w:val="2C2F35"/>
          <w:sz w:val="22"/>
          <w:szCs w:val="22"/>
        </w:rPr>
        <w:t xml:space="preserve">Lead with specifics — depth, resolution, file format, turnaround time — not vague superlatives</w:t>
      </w:r>
    </w:p>
    <w:p>
      <w:pPr>
        <w:pStyle w:val="ListParagraph"/>
        <w:numPr>
          <w:ilvl w:val="0"/>
          <w:numId w:val="2"/>
        </w:numPr>
        <w:spacing w:after="60" w:before="60"/>
      </w:pPr>
      <w:r>
        <w:rPr>
          <w:rFonts w:ascii="Arial" w:cs="Arial" w:eastAsia="Arial" w:hAnsi="Arial"/>
          <w:color w:val="2C2F35"/>
          <w:sz w:val="22"/>
          <w:szCs w:val="22"/>
        </w:rPr>
        <w:t xml:space="preserve">Use active voice and short sentences — target an average sentence length under 18 words</w:t>
      </w:r>
    </w:p>
    <w:p>
      <w:pPr>
        <w:pStyle w:val="ListParagraph"/>
        <w:numPr>
          <w:ilvl w:val="0"/>
          <w:numId w:val="2"/>
        </w:numPr>
        <w:spacing w:after="60" w:before="60"/>
      </w:pPr>
      <w:r>
        <w:rPr>
          <w:rFonts w:ascii="Arial" w:cs="Arial" w:eastAsia="Arial" w:hAnsi="Arial"/>
          <w:color w:val="2C2F35"/>
          <w:sz w:val="22"/>
          <w:szCs w:val="22"/>
        </w:rPr>
        <w:t xml:space="preserve">Optimistic framing: describe what is possible, not what is difficult</w:t>
      </w:r>
    </w:p>
    <w:p>
      <w:pPr>
        <w:pStyle w:val="ListParagraph"/>
        <w:numPr>
          <w:ilvl w:val="0"/>
          <w:numId w:val="2"/>
        </w:numPr>
        <w:spacing w:after="60" w:before="60"/>
      </w:pPr>
      <w:r>
        <w:rPr>
          <w:rFonts w:ascii="Arial" w:cs="Arial" w:eastAsia="Arial" w:hAnsi="Arial"/>
          <w:color w:val="2C2F35"/>
          <w:sz w:val="22"/>
          <w:szCs w:val="22"/>
        </w:rPr>
        <w:t xml:space="preserve">Technical precision earns trust — use correct terminology, define jargon on first use</w:t>
      </w:r>
    </w:p>
    <w:p>
      <w:pPr>
        <w:pStyle w:val="ListParagraph"/>
        <w:numPr>
          <w:ilvl w:val="0"/>
          <w:numId w:val="2"/>
        </w:numPr>
        <w:spacing w:after="60" w:before="60"/>
      </w:pPr>
      <w:r>
        <w:rPr>
          <w:rFonts w:ascii="Arial" w:cs="Arial" w:eastAsia="Arial" w:hAnsi="Arial"/>
          <w:color w:val="2C2F35"/>
          <w:sz w:val="22"/>
          <w:szCs w:val="22"/>
        </w:rPr>
        <w:t xml:space="preserve">Never use: "world-class", "cutting-edge", "state-of-the-art", "end-to-end", "solutions"</w:t>
      </w:r>
    </w:p>
    <w:p>
      <w:pPr>
        <w:pStyle w:val="ListParagraph"/>
        <w:numPr>
          <w:ilvl w:val="0"/>
          <w:numId w:val="2"/>
        </w:numPr>
        <w:spacing w:after="60" w:before="60"/>
      </w:pPr>
      <w:r>
        <w:rPr>
          <w:rFonts w:ascii="Arial" w:cs="Arial" w:eastAsia="Arial" w:hAnsi="Arial"/>
          <w:color w:val="2C2F35"/>
          <w:sz w:val="22"/>
          <w:szCs w:val="22"/>
        </w:rPr>
        <w:t xml:space="preserve">Always prefer: specific numbers, named technologies, direct outcomes, named client benefits</w:t>
      </w:r>
    </w:p>
    <w:p>
      <w:pPr>
        <w:pStyle w:val="ListParagraph"/>
        <w:numPr>
          <w:ilvl w:val="0"/>
          <w:numId w:val="2"/>
        </w:numPr>
        <w:spacing w:after="60" w:before="60"/>
      </w:pPr>
      <w:r>
        <w:rPr>
          <w:rFonts w:ascii="Arial" w:cs="Arial" w:eastAsia="Arial" w:hAnsi="Arial"/>
          <w:color w:val="2C2F35"/>
          <w:sz w:val="22"/>
          <w:szCs w:val="22"/>
        </w:rPr>
        <w:t xml:space="preserve">Warmth comes from directness and confidence, not from exclamation marks or filler phrases</w:t>
      </w:r>
    </w:p>
    <w:p>
      <w:r>
        <w:br w:type="page"/>
      </w:r>
    </w:p>
    <w:p>
      <w:pPr>
        <w:pStyle w:val="Heading1"/>
        <w:spacing w:after="100" w:before="440"/>
      </w:pPr>
      <w:r>
        <w:rPr>
          <w:rFonts w:ascii="Arial" w:cs="Arial" w:eastAsia="Arial" w:hAnsi="Arial"/>
          <w:b/>
          <w:bCs/>
          <w:color w:val="1A4B8C"/>
          <w:sz w:val="36"/>
          <w:szCs w:val="36"/>
        </w:rPr>
        <w:t xml:space="preserve">6. Imagery &amp; Photography</w:t>
      </w:r>
    </w:p>
    <w:p>
      <w:pPr>
        <w:pBdr>
          <w:bottom w:val="single" w:color="2D6CC0" w:sz="8" w:space="1"/>
        </w:pBdr>
        <w:spacing w:after="200" w:before="0"/>
      </w:pPr>
    </w:p>
    <w:p>
      <w:pPr>
        <w:spacing w:after="100" w:before="60"/>
      </w:pPr>
      <w:r>
        <w:rPr>
          <w:rFonts w:ascii="Arial" w:cs="Arial" w:eastAsia="Arial" w:hAnsi="Arial"/>
          <w:color w:val="2C2F35"/>
          <w:sz w:val="22"/>
          <w:szCs w:val="22"/>
        </w:rPr>
        <w:t xml:space="preserve">Depth Vision imagery should feel purposeful and technically honest — real equipment, real sites, real data. We do not use stock photography of generic construction or technology themes. Every image should communicate expertise, precision, or the environments we work in.</w:t>
      </w:r>
    </w:p>
    <w:p>
      <w:pPr>
        <w:spacing w:after="160" w:before="120"/>
      </w:pPr>
    </w:p>
    <w:p>
      <w:pPr>
        <w:pStyle w:val="Heading2"/>
        <w:spacing w:after="80" w:before="280"/>
      </w:pPr>
      <w:r>
        <w:rPr>
          <w:rFonts w:ascii="Arial" w:cs="Arial" w:eastAsia="Arial" w:hAnsi="Arial"/>
          <w:b/>
          <w:bCs/>
          <w:color w:val="2C2F35"/>
          <w:sz w:val="26"/>
          <w:szCs w:val="26"/>
        </w:rPr>
        <w:t xml:space="preserve">Approved Visual Themes</w:t>
      </w:r>
    </w:p>
    <w:p>
      <w:pPr>
        <w:pStyle w:val="ListParagraph"/>
        <w:numPr>
          <w:ilvl w:val="0"/>
          <w:numId w:val="2"/>
        </w:numPr>
        <w:spacing w:after="60" w:before="60"/>
      </w:pPr>
      <w:r>
        <w:rPr>
          <w:rFonts w:ascii="Arial" w:cs="Arial" w:eastAsia="Arial" w:hAnsi="Arial"/>
          <w:color w:val="2C2F35"/>
          <w:sz w:val="22"/>
          <w:szCs w:val="22"/>
        </w:rPr>
        <w:t xml:space="preserve">Borehole footage stills — high-contrast geological cross-sections, fracture and void details, formation boundaries</w:t>
      </w:r>
    </w:p>
    <w:p>
      <w:pPr>
        <w:pStyle w:val="ListParagraph"/>
        <w:numPr>
          <w:ilvl w:val="0"/>
          <w:numId w:val="2"/>
        </w:numPr>
        <w:spacing w:after="60" w:before="60"/>
      </w:pPr>
      <w:r>
        <w:rPr>
          <w:rFonts w:ascii="Arial" w:cs="Arial" w:eastAsia="Arial" w:hAnsi="Arial"/>
          <w:color w:val="2C2F35"/>
          <w:sz w:val="22"/>
          <w:szCs w:val="22"/>
        </w:rPr>
        <w:t xml:space="preserve">Deployed equipment in field conditions — probes in use, drill rigs, field teams at work in genuine environments</w:t>
      </w:r>
    </w:p>
    <w:p>
      <w:pPr>
        <w:pStyle w:val="ListParagraph"/>
        <w:numPr>
          <w:ilvl w:val="0"/>
          <w:numId w:val="2"/>
        </w:numPr>
        <w:spacing w:after="60" w:before="60"/>
      </w:pPr>
      <w:r>
        <w:rPr>
          <w:rFonts w:ascii="Arial" w:cs="Arial" w:eastAsia="Arial" w:hAnsi="Arial"/>
          <w:color w:val="2C2F35"/>
          <w:sz w:val="22"/>
          <w:szCs w:val="22"/>
        </w:rPr>
        <w:t xml:space="preserve">Data visualisations — borehole logs, depth profiles, interpreted geology renderings, televiewer images</w:t>
      </w:r>
    </w:p>
    <w:p>
      <w:pPr>
        <w:pStyle w:val="ListParagraph"/>
        <w:numPr>
          <w:ilvl w:val="0"/>
          <w:numId w:val="2"/>
        </w:numPr>
        <w:spacing w:after="60" w:before="60"/>
      </w:pPr>
      <w:r>
        <w:rPr>
          <w:rFonts w:ascii="Arial" w:cs="Arial" w:eastAsia="Arial" w:hAnsi="Arial"/>
          <w:color w:val="2C2F35"/>
          <w:sz w:val="22"/>
          <w:szCs w:val="22"/>
        </w:rPr>
        <w:t xml:space="preserve">Close-up engineering detail — probe housings, connectors, cable management, calibration setups</w:t>
      </w:r>
    </w:p>
    <w:p>
      <w:pPr>
        <w:pStyle w:val="ListParagraph"/>
        <w:numPr>
          <w:ilvl w:val="0"/>
          <w:numId w:val="2"/>
        </w:numPr>
        <w:spacing w:after="60" w:before="60"/>
      </w:pPr>
      <w:r>
        <w:rPr>
          <w:rFonts w:ascii="Arial" w:cs="Arial" w:eastAsia="Arial" w:hAnsi="Arial"/>
          <w:color w:val="2C2F35"/>
          <w:sz w:val="22"/>
          <w:szCs w:val="22"/>
        </w:rPr>
        <w:t xml:space="preserve">Wide landscape establishing shots — geotechnical sites, quarries, geothermal fields, remote survey locations</w:t>
      </w:r>
    </w:p>
    <w:p>
      <w:pPr>
        <w:spacing w:after="160" w:before="120"/>
      </w:pPr>
    </w:p>
    <w:p>
      <w:pPr>
        <w:pStyle w:val="Heading2"/>
        <w:spacing w:after="80" w:before="280"/>
      </w:pPr>
      <w:r>
        <w:rPr>
          <w:rFonts w:ascii="Arial" w:cs="Arial" w:eastAsia="Arial" w:hAnsi="Arial"/>
          <w:b/>
          <w:bCs/>
          <w:color w:val="2C2F35"/>
          <w:sz w:val="26"/>
          <w:szCs w:val="26"/>
        </w:rPr>
        <w:t xml:space="preserve">Image Treatment</w:t>
      </w:r>
    </w:p>
    <w:p>
      <w:pPr>
        <w:pStyle w:val="ListParagraph"/>
        <w:numPr>
          <w:ilvl w:val="0"/>
          <w:numId w:val="2"/>
        </w:numPr>
        <w:spacing w:after="60" w:before="60"/>
      </w:pPr>
      <w:r>
        <w:rPr>
          <w:rFonts w:ascii="Arial" w:cs="Arial" w:eastAsia="Arial" w:hAnsi="Arial"/>
          <w:color w:val="2C2F35"/>
          <w:sz w:val="22"/>
          <w:szCs w:val="22"/>
        </w:rPr>
        <w:t xml:space="preserve">Colour imagery should feel natural and unfiltered — no over-saturation, heavy grading, or trendy colour grades</w:t>
      </w:r>
    </w:p>
    <w:p>
      <w:pPr>
        <w:pStyle w:val="ListParagraph"/>
        <w:numPr>
          <w:ilvl w:val="0"/>
          <w:numId w:val="2"/>
        </w:numPr>
        <w:spacing w:after="60" w:before="60"/>
      </w:pPr>
      <w:r>
        <w:rPr>
          <w:rFonts w:ascii="Arial" w:cs="Arial" w:eastAsia="Arial" w:hAnsi="Arial"/>
          <w:color w:val="2C2F35"/>
          <w:sz w:val="22"/>
          <w:szCs w:val="22"/>
        </w:rPr>
        <w:t xml:space="preserve">Desaturate background or supporting imagery by 15–20% to keep it from competing with brand colour elements</w:t>
      </w:r>
    </w:p>
    <w:p>
      <w:pPr>
        <w:pStyle w:val="ListParagraph"/>
        <w:numPr>
          <w:ilvl w:val="0"/>
          <w:numId w:val="2"/>
        </w:numPr>
        <w:spacing w:after="60" w:before="60"/>
      </w:pPr>
      <w:r>
        <w:rPr>
          <w:rFonts w:ascii="Arial" w:cs="Arial" w:eastAsia="Arial" w:hAnsi="Arial"/>
          <w:color w:val="2C2F35"/>
          <w:sz w:val="22"/>
          <w:szCs w:val="22"/>
        </w:rPr>
        <w:t xml:space="preserve">Brand overlays on photography: use Deep Blue at 55–70% opacity; never use Orange as a full overlay</w:t>
      </w:r>
    </w:p>
    <w:p>
      <w:pPr>
        <w:pStyle w:val="ListParagraph"/>
        <w:numPr>
          <w:ilvl w:val="0"/>
          <w:numId w:val="2"/>
        </w:numPr>
        <w:spacing w:after="60" w:before="60"/>
      </w:pPr>
      <w:r>
        <w:rPr>
          <w:rFonts w:ascii="Arial" w:cs="Arial" w:eastAsia="Arial" w:hAnsi="Arial"/>
          <w:color w:val="2C2F35"/>
          <w:sz w:val="22"/>
          <w:szCs w:val="22"/>
        </w:rPr>
        <w:t xml:space="preserve">Orange graphic elements over photography should appear once per layout at most</w:t>
      </w:r>
    </w:p>
    <w:p>
      <w:pPr>
        <w:spacing w:after="160" w:before="120"/>
      </w:pPr>
    </w:p>
    <w:p>
      <w:pPr>
        <w:pStyle w:val="Heading2"/>
        <w:spacing w:after="80" w:before="280"/>
      </w:pPr>
      <w:r>
        <w:rPr>
          <w:rFonts w:ascii="Arial" w:cs="Arial" w:eastAsia="Arial" w:hAnsi="Arial"/>
          <w:b/>
          <w:bCs/>
          <w:color w:val="2C2F35"/>
          <w:sz w:val="26"/>
          <w:szCs w:val="26"/>
        </w:rPr>
        <w:t xml:space="preserve">What to Avoid</w:t>
      </w:r>
    </w:p>
    <w:p>
      <w:pPr>
        <w:pStyle w:val="ListParagraph"/>
        <w:numPr>
          <w:ilvl w:val="0"/>
          <w:numId w:val="2"/>
        </w:numPr>
        <w:spacing w:after="60" w:before="60"/>
      </w:pPr>
      <w:r>
        <w:rPr>
          <w:rFonts w:ascii="Arial" w:cs="Arial" w:eastAsia="Arial" w:hAnsi="Arial"/>
          <w:color w:val="2C2F35"/>
          <w:sz w:val="22"/>
          <w:szCs w:val="22"/>
        </w:rPr>
        <w:t xml:space="preserve">People looking at screens, generic handshakes, abstract "data sphere" visualisations</w:t>
      </w:r>
    </w:p>
    <w:p>
      <w:pPr>
        <w:pStyle w:val="ListParagraph"/>
        <w:numPr>
          <w:ilvl w:val="0"/>
          <w:numId w:val="2"/>
        </w:numPr>
        <w:spacing w:after="60" w:before="60"/>
      </w:pPr>
      <w:r>
        <w:rPr>
          <w:rFonts w:ascii="Arial" w:cs="Arial" w:eastAsia="Arial" w:hAnsi="Arial"/>
          <w:color w:val="2C2F35"/>
          <w:sz w:val="22"/>
          <w:szCs w:val="22"/>
        </w:rPr>
        <w:t xml:space="preserve">AI-generated imagery — it undermines the authenticity the brand depends on</w:t>
      </w:r>
    </w:p>
    <w:p>
      <w:pPr>
        <w:pStyle w:val="ListParagraph"/>
        <w:numPr>
          <w:ilvl w:val="0"/>
          <w:numId w:val="2"/>
        </w:numPr>
        <w:spacing w:after="60" w:before="60"/>
      </w:pPr>
      <w:r>
        <w:rPr>
          <w:rFonts w:ascii="Arial" w:cs="Arial" w:eastAsia="Arial" w:hAnsi="Arial"/>
          <w:color w:val="2C2F35"/>
          <w:sz w:val="22"/>
          <w:szCs w:val="22"/>
        </w:rPr>
        <w:t xml:space="preserve">Overly polished "corporate" photography that could belong to any company</w:t>
      </w:r>
    </w:p>
    <w:p>
      <w:pPr>
        <w:pStyle w:val="ListParagraph"/>
        <w:numPr>
          <w:ilvl w:val="0"/>
          <w:numId w:val="2"/>
        </w:numPr>
        <w:spacing w:after="60" w:before="60"/>
      </w:pPr>
      <w:r>
        <w:rPr>
          <w:rFonts w:ascii="Arial" w:cs="Arial" w:eastAsia="Arial" w:hAnsi="Arial"/>
          <w:color w:val="2C2F35"/>
          <w:sz w:val="22"/>
          <w:szCs w:val="22"/>
        </w:rPr>
        <w:t xml:space="preserve">Imagery with visible competitor branding or equipment</w:t>
      </w:r>
    </w:p>
    <w:p>
      <w:r>
        <w:br w:type="page"/>
      </w:r>
    </w:p>
    <w:p>
      <w:pPr>
        <w:pStyle w:val="Heading1"/>
        <w:spacing w:after="100" w:before="440"/>
      </w:pPr>
      <w:r>
        <w:rPr>
          <w:rFonts w:ascii="Arial" w:cs="Arial" w:eastAsia="Arial" w:hAnsi="Arial"/>
          <w:b/>
          <w:bCs/>
          <w:color w:val="1A4B8C"/>
          <w:sz w:val="36"/>
          <w:szCs w:val="36"/>
        </w:rPr>
        <w:t xml:space="preserve">7. Brand Applications</w:t>
      </w:r>
    </w:p>
    <w:p>
      <w:pPr>
        <w:pBdr>
          <w:bottom w:val="single" w:color="E8803A" w:sz="8" w:space="1"/>
        </w:pBdr>
        <w:spacing w:after="200" w:before="0"/>
      </w:pPr>
    </w:p>
    <w:p>
      <w:pPr>
        <w:pStyle w:val="Heading2"/>
        <w:spacing w:after="80" w:before="280"/>
      </w:pPr>
      <w:r>
        <w:rPr>
          <w:rFonts w:ascii="Arial" w:cs="Arial" w:eastAsia="Arial" w:hAnsi="Arial"/>
          <w:b/>
          <w:bCs/>
          <w:color w:val="2C2F35"/>
          <w:sz w:val="26"/>
          <w:szCs w:val="26"/>
        </w:rPr>
        <w:t xml:space="preserve">Field Equipment &amp; Vehicle</w:t>
      </w:r>
    </w:p>
    <w:p>
      <w:pPr>
        <w:pStyle w:val="ListParagraph"/>
        <w:numPr>
          <w:ilvl w:val="0"/>
          <w:numId w:val="2"/>
        </w:numPr>
        <w:spacing w:after="60" w:before="60"/>
      </w:pPr>
      <w:r>
        <w:rPr>
          <w:rFonts w:ascii="Arial" w:cs="Arial" w:eastAsia="Arial" w:hAnsi="Arial"/>
          <w:color w:val="2C2F35"/>
          <w:sz w:val="22"/>
          <w:szCs w:val="22"/>
        </w:rPr>
        <w:t xml:space="preserve">Vehicle doors: horizontal logo lockup, minimum 350mm wide, dark background panel if vehicle is not dark coloured</w:t>
      </w:r>
    </w:p>
    <w:p>
      <w:pPr>
        <w:pStyle w:val="ListParagraph"/>
        <w:numPr>
          <w:ilvl w:val="0"/>
          <w:numId w:val="2"/>
        </w:numPr>
        <w:spacing w:after="60" w:before="60"/>
      </w:pPr>
      <w:r>
        <w:rPr>
          <w:rFonts w:ascii="Arial" w:cs="Arial" w:eastAsia="Arial" w:hAnsi="Arial"/>
          <w:color w:val="2C2F35"/>
          <w:sz w:val="22"/>
          <w:szCs w:val="22"/>
        </w:rPr>
        <w:t xml:space="preserve">Equipment cases: mark only, minimum 50mm, Deep Blue or White depending on case colour</w:t>
      </w:r>
    </w:p>
    <w:p>
      <w:pPr>
        <w:pStyle w:val="ListParagraph"/>
        <w:numPr>
          <w:ilvl w:val="0"/>
          <w:numId w:val="2"/>
        </w:numPr>
        <w:spacing w:after="60" w:before="60"/>
      </w:pPr>
      <w:r>
        <w:rPr>
          <w:rFonts w:ascii="Arial" w:cs="Arial" w:eastAsia="Arial" w:hAnsi="Arial"/>
          <w:color w:val="2C2F35"/>
          <w:sz w:val="22"/>
          <w:szCs w:val="22"/>
        </w:rPr>
        <w:t xml:space="preserve">Hi-vis workwear: mark embroidered on left chest (minimum 40mm), wordmark printed or embroidered across back yoke</w:t>
      </w:r>
    </w:p>
    <w:p>
      <w:pPr>
        <w:pStyle w:val="ListParagraph"/>
        <w:numPr>
          <w:ilvl w:val="0"/>
          <w:numId w:val="2"/>
        </w:numPr>
        <w:spacing w:after="60" w:before="60"/>
      </w:pPr>
      <w:r>
        <w:rPr>
          <w:rFonts w:ascii="Arial" w:cs="Arial" w:eastAsia="Arial" w:hAnsi="Arial"/>
          <w:color w:val="2C2F35"/>
          <w:sz w:val="22"/>
          <w:szCs w:val="22"/>
        </w:rPr>
        <w:t xml:space="preserve">Hard hat sticker: mark alone, minimum 40mm, high-contrast single colour version</w:t>
      </w:r>
    </w:p>
    <w:p>
      <w:pPr>
        <w:pStyle w:val="ListParagraph"/>
        <w:numPr>
          <w:ilvl w:val="0"/>
          <w:numId w:val="2"/>
        </w:numPr>
        <w:spacing w:after="60" w:before="60"/>
      </w:pPr>
      <w:r>
        <w:rPr>
          <w:rFonts w:ascii="Arial" w:cs="Arial" w:eastAsia="Arial" w:hAnsi="Arial"/>
          <w:color w:val="2C2F35"/>
          <w:sz w:val="22"/>
          <w:szCs w:val="22"/>
        </w:rPr>
        <w:t xml:space="preserve">Cable and equipment labels: IBM Plex Mono for all asset IDs and depth markings</w:t>
      </w:r>
    </w:p>
    <w:p>
      <w:pPr>
        <w:spacing w:after="160" w:before="80"/>
      </w:pPr>
    </w:p>
    <w:p>
      <w:pPr>
        <w:pStyle w:val="Heading2"/>
        <w:spacing w:after="80" w:before="280"/>
      </w:pPr>
      <w:r>
        <w:rPr>
          <w:rFonts w:ascii="Arial" w:cs="Arial" w:eastAsia="Arial" w:hAnsi="Arial"/>
          <w:b/>
          <w:bCs/>
          <w:color w:val="2C2F35"/>
          <w:sz w:val="26"/>
          <w:szCs w:val="26"/>
        </w:rPr>
        <w:t xml:space="preserve">Digital — Website</w:t>
      </w:r>
    </w:p>
    <w:p>
      <w:pPr>
        <w:pStyle w:val="ListParagraph"/>
        <w:numPr>
          <w:ilvl w:val="0"/>
          <w:numId w:val="2"/>
        </w:numPr>
        <w:spacing w:after="60" w:before="60"/>
      </w:pPr>
      <w:r>
        <w:rPr>
          <w:rFonts w:ascii="Arial" w:cs="Arial" w:eastAsia="Arial" w:hAnsi="Arial"/>
          <w:color w:val="2C2F35"/>
          <w:sz w:val="22"/>
          <w:szCs w:val="22"/>
        </w:rPr>
        <w:t xml:space="preserve">Navigation bar: horizontal logo lockup on dark background (#1C2230), minimum 120px wide</w:t>
      </w:r>
    </w:p>
    <w:p>
      <w:pPr>
        <w:pStyle w:val="ListParagraph"/>
        <w:numPr>
          <w:ilvl w:val="0"/>
          <w:numId w:val="2"/>
        </w:numPr>
        <w:spacing w:after="60" w:before="60"/>
      </w:pPr>
      <w:r>
        <w:rPr>
          <w:rFonts w:ascii="Arial" w:cs="Arial" w:eastAsia="Arial" w:hAnsi="Arial"/>
          <w:color w:val="2C2F35"/>
          <w:sz w:val="22"/>
          <w:szCs w:val="22"/>
        </w:rPr>
        <w:t xml:space="preserve">Key statistics and depth figures: Barlow Condensed Bold numerals in Deep Blue, units in Basalt Light</w:t>
      </w:r>
    </w:p>
    <w:p>
      <w:pPr>
        <w:pStyle w:val="ListParagraph"/>
        <w:numPr>
          <w:ilvl w:val="0"/>
          <w:numId w:val="2"/>
        </w:numPr>
        <w:spacing w:after="60" w:before="60"/>
      </w:pPr>
      <w:r>
        <w:rPr>
          <w:rFonts w:ascii="Arial" w:cs="Arial" w:eastAsia="Arial" w:hAnsi="Arial"/>
          <w:color w:val="2C2F35"/>
          <w:sz w:val="22"/>
          <w:szCs w:val="22"/>
        </w:rPr>
        <w:t xml:space="preserve">Site photography: geological imagery, desaturated –15% to sit behind brand colour elements</w:t>
      </w:r>
    </w:p>
    <w:p>
      <w:pPr>
        <w:pStyle w:val="ListParagraph"/>
        <w:numPr>
          <w:ilvl w:val="0"/>
          <w:numId w:val="2"/>
        </w:numPr>
        <w:spacing w:after="60" w:before="60"/>
      </w:pPr>
      <w:r>
        <w:rPr>
          <w:rFonts w:ascii="Arial" w:cs="Arial" w:eastAsia="Arial" w:hAnsi="Arial"/>
          <w:color w:val="2C2F35"/>
          <w:sz w:val="22"/>
          <w:szCs w:val="22"/>
        </w:rPr>
        <w:t xml:space="preserve">Data visualisations: Deep Blue primary series, Basalt Gray secondary, Orange for anomalies and highlights</w:t>
      </w:r>
    </w:p>
    <w:p>
      <w:pPr>
        <w:pStyle w:val="ListParagraph"/>
        <w:numPr>
          <w:ilvl w:val="0"/>
          <w:numId w:val="2"/>
        </w:numPr>
        <w:spacing w:after="60" w:before="60"/>
      </w:pPr>
      <w:r>
        <w:rPr>
          <w:rFonts w:ascii="Arial" w:cs="Arial" w:eastAsia="Arial" w:hAnsi="Arial"/>
          <w:color w:val="2C2F35"/>
          <w:sz w:val="22"/>
          <w:szCs w:val="22"/>
        </w:rPr>
        <w:t xml:space="preserve">Call to action buttons: Deep Blue fill, White text; hover state shifts to Mid Blue (#2D6CC0)</w:t>
      </w:r>
    </w:p>
    <w:p>
      <w:pPr>
        <w:pStyle w:val="ListParagraph"/>
        <w:numPr>
          <w:ilvl w:val="0"/>
          <w:numId w:val="2"/>
        </w:numPr>
        <w:spacing w:after="60" w:before="60"/>
      </w:pPr>
      <w:r>
        <w:rPr>
          <w:rFonts w:ascii="Arial" w:cs="Arial" w:eastAsia="Arial" w:hAnsi="Arial"/>
          <w:color w:val="2C2F35"/>
          <w:sz w:val="22"/>
          <w:szCs w:val="22"/>
        </w:rPr>
        <w:t xml:space="preserve">Links: Mid Blue, underline on hover</w:t>
      </w:r>
    </w:p>
    <w:p>
      <w:pPr>
        <w:spacing w:after="160" w:before="80"/>
      </w:pPr>
    </w:p>
    <w:p>
      <w:pPr>
        <w:pStyle w:val="Heading2"/>
        <w:spacing w:after="80" w:before="280"/>
      </w:pPr>
      <w:r>
        <w:rPr>
          <w:rFonts w:ascii="Arial" w:cs="Arial" w:eastAsia="Arial" w:hAnsi="Arial"/>
          <w:b/>
          <w:bCs/>
          <w:color w:val="2C2F35"/>
          <w:sz w:val="26"/>
          <w:szCs w:val="26"/>
        </w:rPr>
        <w:t xml:space="preserve">Reports &amp; Survey Deliverables</w:t>
      </w:r>
    </w:p>
    <w:p>
      <w:pPr>
        <w:pStyle w:val="ListParagraph"/>
        <w:numPr>
          <w:ilvl w:val="0"/>
          <w:numId w:val="2"/>
        </w:numPr>
        <w:spacing w:after="60" w:before="60"/>
      </w:pPr>
      <w:r>
        <w:rPr>
          <w:rFonts w:ascii="Arial" w:cs="Arial" w:eastAsia="Arial" w:hAnsi="Arial"/>
          <w:color w:val="2C2F35"/>
          <w:sz w:val="22"/>
          <w:szCs w:val="22"/>
        </w:rPr>
        <w:t xml:space="preserve">Cover page: horizontal logo lockup top-left, Deep Blue accent rule bottom, site or borehole photography full-width</w:t>
      </w:r>
    </w:p>
    <w:p>
      <w:pPr>
        <w:pStyle w:val="ListParagraph"/>
        <w:numPr>
          <w:ilvl w:val="0"/>
          <w:numId w:val="2"/>
        </w:numPr>
        <w:spacing w:after="60" w:before="60"/>
      </w:pPr>
      <w:r>
        <w:rPr>
          <w:rFonts w:ascii="Arial" w:cs="Arial" w:eastAsia="Arial" w:hAnsi="Arial"/>
          <w:color w:val="2C2F35"/>
          <w:sz w:val="22"/>
          <w:szCs w:val="22"/>
        </w:rPr>
        <w:t xml:space="preserve">Body pages: Barlow body text at 11pt, IBM Plex Mono for all measurement data and coordinate strings</w:t>
      </w:r>
    </w:p>
    <w:p>
      <w:pPr>
        <w:pStyle w:val="ListParagraph"/>
        <w:numPr>
          <w:ilvl w:val="0"/>
          <w:numId w:val="2"/>
        </w:numPr>
        <w:spacing w:after="60" w:before="60"/>
      </w:pPr>
      <w:r>
        <w:rPr>
          <w:rFonts w:ascii="Arial" w:cs="Arial" w:eastAsia="Arial" w:hAnsi="Arial"/>
          <w:color w:val="2C2F35"/>
          <w:sz w:val="22"/>
          <w:szCs w:val="22"/>
        </w:rPr>
        <w:t xml:space="preserve">Depth scale graphics: Deep Blue baseline, Orange measurement markers, Basalt Light annotation text</w:t>
      </w:r>
    </w:p>
    <w:p>
      <w:pPr>
        <w:pStyle w:val="ListParagraph"/>
        <w:numPr>
          <w:ilvl w:val="0"/>
          <w:numId w:val="2"/>
        </w:numPr>
        <w:spacing w:after="60" w:before="60"/>
      </w:pPr>
      <w:r>
        <w:rPr>
          <w:rFonts w:ascii="Arial" w:cs="Arial" w:eastAsia="Arial" w:hAnsi="Arial"/>
          <w:color w:val="2C2F35"/>
          <w:sz w:val="22"/>
          <w:szCs w:val="22"/>
        </w:rPr>
        <w:t xml:space="preserve">Borehole log charts: Deep Blue primary formation, Orange anomaly or highlight layer, Basalt secondary formation</w:t>
      </w:r>
    </w:p>
    <w:p>
      <w:pPr>
        <w:pStyle w:val="ListParagraph"/>
        <w:numPr>
          <w:ilvl w:val="0"/>
          <w:numId w:val="2"/>
        </w:numPr>
        <w:spacing w:after="60" w:before="60"/>
      </w:pPr>
      <w:r>
        <w:rPr>
          <w:rFonts w:ascii="Arial" w:cs="Arial" w:eastAsia="Arial" w:hAnsi="Arial"/>
          <w:color w:val="2C2F35"/>
          <w:sz w:val="22"/>
          <w:szCs w:val="22"/>
        </w:rPr>
        <w:t xml:space="preserve">Page footer: page number right-aligned, project reference left-aligned, Mid Blue rule above</w:t>
      </w:r>
    </w:p>
    <w:p>
      <w:pPr>
        <w:pStyle w:val="ListParagraph"/>
        <w:numPr>
          <w:ilvl w:val="0"/>
          <w:numId w:val="2"/>
        </w:numPr>
        <w:spacing w:after="60" w:before="60"/>
      </w:pPr>
      <w:r>
        <w:rPr>
          <w:rFonts w:ascii="Arial" w:cs="Arial" w:eastAsia="Arial" w:hAnsi="Arial"/>
          <w:color w:val="2C2F35"/>
          <w:sz w:val="22"/>
          <w:szCs w:val="22"/>
        </w:rPr>
        <w:t xml:space="preserve">Table headers: Deep Blue background, White bold text, Barlow SemiBold</w:t>
      </w:r>
    </w:p>
    <w:p>
      <w:pPr>
        <w:spacing w:after="160" w:before="80"/>
      </w:pPr>
    </w:p>
    <w:p>
      <w:pPr>
        <w:pStyle w:val="Heading2"/>
        <w:spacing w:after="80" w:before="280"/>
      </w:pPr>
      <w:r>
        <w:rPr>
          <w:rFonts w:ascii="Arial" w:cs="Arial" w:eastAsia="Arial" w:hAnsi="Arial"/>
          <w:b/>
          <w:bCs/>
          <w:color w:val="2C2F35"/>
          <w:sz w:val="26"/>
          <w:szCs w:val="26"/>
        </w:rPr>
        <w:t xml:space="preserve">Presentations</w:t>
      </w:r>
    </w:p>
    <w:p>
      <w:pPr>
        <w:pStyle w:val="ListParagraph"/>
        <w:numPr>
          <w:ilvl w:val="0"/>
          <w:numId w:val="2"/>
        </w:numPr>
        <w:spacing w:after="60" w:before="60"/>
      </w:pPr>
      <w:r>
        <w:rPr>
          <w:rFonts w:ascii="Arial" w:cs="Arial" w:eastAsia="Arial" w:hAnsi="Arial"/>
          <w:color w:val="2C2F35"/>
          <w:sz w:val="22"/>
          <w:szCs w:val="22"/>
        </w:rPr>
        <w:t xml:space="preserve">Title slide: Deep Blue full-bleed background, White horizontal logo lockup top-left, Orange compass pointer accent element</w:t>
      </w:r>
    </w:p>
    <w:p>
      <w:pPr>
        <w:pStyle w:val="ListParagraph"/>
        <w:numPr>
          <w:ilvl w:val="0"/>
          <w:numId w:val="2"/>
        </w:numPr>
        <w:spacing w:after="60" w:before="60"/>
      </w:pPr>
      <w:r>
        <w:rPr>
          <w:rFonts w:ascii="Arial" w:cs="Arial" w:eastAsia="Arial" w:hAnsi="Arial"/>
          <w:color w:val="2C2F35"/>
          <w:sz w:val="22"/>
          <w:szCs w:val="22"/>
        </w:rPr>
        <w:t xml:space="preserve">Content slides: White background, Basalt Dark body text, Deep Blue headings</w:t>
      </w:r>
    </w:p>
    <w:p>
      <w:pPr>
        <w:pStyle w:val="ListParagraph"/>
        <w:numPr>
          <w:ilvl w:val="0"/>
          <w:numId w:val="2"/>
        </w:numPr>
        <w:spacing w:after="60" w:before="60"/>
      </w:pPr>
      <w:r>
        <w:rPr>
          <w:rFonts w:ascii="Arial" w:cs="Arial" w:eastAsia="Arial" w:hAnsi="Arial"/>
          <w:color w:val="2C2F35"/>
          <w:sz w:val="22"/>
          <w:szCs w:val="22"/>
        </w:rPr>
        <w:t xml:space="preserve">Data slides: generous white space, large numerals in Deep Blue, unit labels in Basalt Light, one Orange highlight per slide maximum</w:t>
      </w:r>
    </w:p>
    <w:p>
      <w:pPr>
        <w:pStyle w:val="ListParagraph"/>
        <w:numPr>
          <w:ilvl w:val="0"/>
          <w:numId w:val="2"/>
        </w:numPr>
        <w:spacing w:after="60" w:before="60"/>
      </w:pPr>
      <w:r>
        <w:rPr>
          <w:rFonts w:ascii="Arial" w:cs="Arial" w:eastAsia="Arial" w:hAnsi="Arial"/>
          <w:color w:val="2C2F35"/>
          <w:sz w:val="22"/>
          <w:szCs w:val="22"/>
        </w:rPr>
        <w:t xml:space="preserve">Section divider slides: Dark Background with Mid Blue heading text — use sparingly</w:t>
      </w:r>
    </w:p>
    <w:p>
      <w:pPr>
        <w:pStyle w:val="ListParagraph"/>
        <w:numPr>
          <w:ilvl w:val="0"/>
          <w:numId w:val="2"/>
        </w:numPr>
        <w:spacing w:after="60" w:before="60"/>
      </w:pPr>
      <w:r>
        <w:rPr>
          <w:rFonts w:ascii="Arial" w:cs="Arial" w:eastAsia="Arial" w:hAnsi="Arial"/>
          <w:color w:val="2C2F35"/>
          <w:sz w:val="22"/>
          <w:szCs w:val="22"/>
        </w:rPr>
        <w:t xml:space="preserve">Never exceed three colours per slide</w:t>
      </w:r>
    </w:p>
    <w:p>
      <w:pPr>
        <w:spacing w:after="160" w:before="80"/>
      </w:pPr>
    </w:p>
    <w:p>
      <w:pPr>
        <w:pStyle w:val="Heading2"/>
        <w:spacing w:after="80" w:before="280"/>
      </w:pPr>
      <w:r>
        <w:rPr>
          <w:rFonts w:ascii="Arial" w:cs="Arial" w:eastAsia="Arial" w:hAnsi="Arial"/>
          <w:b/>
          <w:bCs/>
          <w:color w:val="2C2F35"/>
          <w:sz w:val="26"/>
          <w:szCs w:val="26"/>
        </w:rPr>
        <w:t xml:space="preserve">Print &amp; Stationery</w:t>
      </w:r>
    </w:p>
    <w:p>
      <w:pPr>
        <w:pStyle w:val="ListParagraph"/>
        <w:numPr>
          <w:ilvl w:val="0"/>
          <w:numId w:val="2"/>
        </w:numPr>
        <w:spacing w:after="60" w:before="60"/>
      </w:pPr>
      <w:r>
        <w:rPr>
          <w:rFonts w:ascii="Arial" w:cs="Arial" w:eastAsia="Arial" w:hAnsi="Arial"/>
          <w:color w:val="2C2F35"/>
          <w:sz w:val="22"/>
          <w:szCs w:val="22"/>
        </w:rPr>
        <w:t xml:space="preserve">Letterhead: horizontal logo lockup top-left on white, Deep Blue footer rule, contact details in Basalt Light</w:t>
      </w:r>
    </w:p>
    <w:p>
      <w:pPr>
        <w:pStyle w:val="ListParagraph"/>
        <w:numPr>
          <w:ilvl w:val="0"/>
          <w:numId w:val="2"/>
        </w:numPr>
        <w:spacing w:after="60" w:before="60"/>
      </w:pPr>
      <w:r>
        <w:rPr>
          <w:rFonts w:ascii="Arial" w:cs="Arial" w:eastAsia="Arial" w:hAnsi="Arial"/>
          <w:color w:val="2C2F35"/>
          <w:sz w:val="22"/>
          <w:szCs w:val="22"/>
        </w:rPr>
        <w:t xml:space="preserve">Business cards: Dark Background front with primary logo, White back with contact details in clean Barlow</w:t>
      </w:r>
    </w:p>
    <w:p>
      <w:pPr>
        <w:pStyle w:val="ListParagraph"/>
        <w:numPr>
          <w:ilvl w:val="0"/>
          <w:numId w:val="2"/>
        </w:numPr>
        <w:spacing w:after="60" w:before="60"/>
      </w:pPr>
      <w:r>
        <w:rPr>
          <w:rFonts w:ascii="Arial" w:cs="Arial" w:eastAsia="Arial" w:hAnsi="Arial"/>
          <w:color w:val="2C2F35"/>
          <w:sz w:val="22"/>
          <w:szCs w:val="22"/>
        </w:rPr>
        <w:t xml:space="preserve">Site signage: mark only at large scale, Deep Blue on white or white on Deep Blue, high-contrast for visibility</w:t>
      </w:r>
    </w:p>
    <w:p>
      <w:pPr>
        <w:spacing w:after="16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C2230" w:val="clear"/>
            <w:tcMar>
              <w:top w:type="dxa" w:w="400"/>
              <w:left w:type="dxa" w:w="520"/>
              <w:bottom w:type="dxa" w:w="400"/>
              <w:right w:type="dxa" w:w="520"/>
            </w:tcMar>
          </w:tcPr>
          <w:p>
            <w:pPr>
              <w:jc w:val="center"/>
            </w:pPr>
            <w:r>
              <w:rPr>
                <w:rFonts w:ascii="Arial" w:cs="Arial" w:eastAsia="Arial" w:hAnsi="Arial"/>
                <w:b/>
                <w:bCs/>
                <w:caps/>
                <w:color w:val="FFFFFF"/>
                <w:sz w:val="48"/>
                <w:szCs w:val="48"/>
              </w:rPr>
              <w:t xml:space="preserve">DEPTH VISION</w:t>
            </w:r>
          </w:p>
          <w:p>
            <w:pPr>
              <w:spacing w:before="80"/>
              <w:jc w:val="center"/>
            </w:pPr>
            <w:r>
              <w:rPr>
                <w:rFonts w:ascii="Arial" w:cs="Arial" w:eastAsia="Arial" w:hAnsi="Arial"/>
                <w:color w:val="4A90D9"/>
                <w:sz w:val="24"/>
                <w:szCs w:val="24"/>
              </w:rPr>
              <w:t xml:space="preserve">Borehole Videography &amp; Measurement</w:t>
            </w:r>
          </w:p>
          <w:p>
            <w:pPr>
              <w:spacing w:before="80"/>
              <w:jc w:val="center"/>
            </w:pPr>
            <w:r>
              <w:rPr>
                <w:rFonts w:ascii="Arial" w:cs="Arial" w:eastAsia="Arial" w:hAnsi="Arial"/>
                <w:i/>
                <w:iCs/>
                <w:color w:val="E8803A"/>
                <w:sz w:val="20"/>
                <w:szCs w:val="20"/>
              </w:rPr>
              <w:t xml:space="preserve">Potential. Utilisation. Energy.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CC0" w:sz="4" w:space="1"/>
      </w:pBdr>
      <w:spacing w:before="80"/>
      <w:jc w:val="center"/>
    </w:pPr>
    <w:r>
      <w:rPr>
        <w:rFonts w:ascii="Arial" w:cs="Arial" w:eastAsia="Arial" w:hAnsi="Arial"/>
        <w:color w:val="7A7E87"/>
        <w:sz w:val="18"/>
        <w:szCs w:val="18"/>
      </w:rPr>
      <w:t xml:space="preserve">Page </w:t>
    </w:r>
    <w:r>
      <w:rPr>
        <w:rFonts w:ascii="Arial" w:cs="Arial" w:eastAsia="Arial" w:hAnsi="Arial"/>
        <w:color w:val="7A7E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03A" w:sz="6" w:space="1"/>
      </w:pBdr>
      <w:spacing w:after="80"/>
    </w:pPr>
    <w:r>
      <w:rPr>
        <w:rFonts w:ascii="Arial" w:cs="Arial" w:eastAsia="Arial" w:hAnsi="Arial"/>
        <w:b/>
        <w:bCs/>
        <w:color w:val="1A4B8C"/>
        <w:sz w:val="18"/>
        <w:szCs w:val="18"/>
      </w:rPr>
      <w:t xml:space="preserve">Depth Vision</w:t>
    </w:r>
    <w:r>
      <w:rPr>
        <w:rFonts w:ascii="Arial" w:cs="Arial" w:eastAsia="Arial" w:hAnsi="Arial"/>
        <w:color w:val="7A7E87"/>
        <w:sz w:val="18"/>
        <w:szCs w:val="18"/>
      </w:rPr>
      <w:t xml:space="preserve">  ·  Brand Identity Guidelines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color w:val="1A4B8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C2F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2026-05-13T21:28:14.217Z</dcterms:created>
  <dcterms:modified xsi:type="dcterms:W3CDTF">2026-05-13T21:28:14.229Z</dcterms:modified>
</cp:coreProperties>
</file>

<file path=docProps/custom.xml><?xml version="1.0" encoding="utf-8"?>
<Properties xmlns="http://schemas.openxmlformats.org/officeDocument/2006/custom-properties" xmlns:vt="http://schemas.openxmlformats.org/officeDocument/2006/docPropsVTypes"/>
</file>