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left"/>
      </w:pPr>
      <w:r>
        <w:rPr>
          <w:rFonts w:ascii="Arial" w:cs="Arial" w:eastAsia="Arial" w:hAnsi="Arial"/>
          <w:b/>
          <w:bCs/>
          <w:caps/>
          <w:color w:val="1A4B8C"/>
          <w:sz w:val="56"/>
          <w:szCs w:val="56"/>
        </w:rPr>
        <w:t xml:space="preserve">BRAND IDENTITY GUIDELINES</w:t>
      </w:r>
    </w:p>
    <w:p>
      <w:pPr>
        <w:spacing w:after="60" w:before="0"/>
      </w:pPr>
      <w:r>
        <w:rPr>
          <w:rFonts w:ascii="Arial" w:cs="Arial" w:eastAsia="Arial" w:hAnsi="Arial"/>
          <w:color w:val="4A4E57"/>
          <w:sz w:val="32"/>
          <w:szCs w:val="32"/>
        </w:rPr>
        <w:t xml:space="preserve">Borehole Videography &amp; Measurement</w:t>
      </w:r>
    </w:p>
    <w:p>
      <w:pPr>
        <w:spacing w:after="600" w:before="0"/>
      </w:pPr>
      <w:r>
        <w:rPr>
          <w:rFonts w:ascii="Arial" w:cs="Arial" w:eastAsia="Arial" w:hAnsi="Arial"/>
          <w:color w:val="E8803A"/>
          <w:sz w:val="22"/>
          <w:szCs w:val="22"/>
        </w:rPr>
        <w:t xml:space="preserve">Version 1.0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B8C" w:val="clear"/>
            <w:tcMar>
              <w:top w:type="dxa" w:w="280"/>
              <w:left w:type="dxa" w:w="360"/>
              <w:bottom w:type="dxa" w:w="280"/>
              <w:right w:type="dxa" w:w="360"/>
            </w:tcMar>
          </w:tcPr>
          <w:p>
            <w:r>
              <w:rPr>
                <w:rFonts w:ascii="Arial" w:cs="Arial" w:eastAsia="Arial" w:hAnsi="Arial"/>
                <w:b/>
                <w:bCs/>
                <w:i/>
                <w:iCs/>
                <w:color w:val="FFFFFF"/>
                <w:sz w:val="32"/>
                <w:szCs w:val="32"/>
              </w:rPr>
              <w:t xml:space="preserve">Optimism. Utilisation. Energy.</w:t>
            </w:r>
          </w:p>
          <w:p>
            <w:pPr>
              <w:spacing w:before="80"/>
            </w:pPr>
            <w:r>
              <w:rPr>
                <w:rFonts w:ascii="Arial" w:cs="Arial" w:eastAsia="Arial" w:hAnsi="Arial"/>
                <w:color w:val="B5D4F4"/>
                <w:sz w:val="22"/>
                <w:szCs w:val="22"/>
              </w:rPr>
              <w:t xml:space="preserve">Seeing what others cannot. Measuring what matters most.</w:t>
            </w:r>
          </w:p>
        </w:tc>
      </w:tr>
    </w:tbl>
    <w:p>
      <w:r>
        <w:br w:type="page"/>
      </w:r>
    </w:p>
    <w:p>
      <w:pPr>
        <w:pStyle w:val="Heading1"/>
        <w:spacing w:after="120" w:before="480"/>
      </w:pPr>
      <w:r>
        <w:rPr>
          <w:rFonts w:ascii="Arial" w:cs="Arial" w:eastAsia="Arial" w:hAnsi="Arial"/>
          <w:b/>
          <w:bCs/>
          <w:color w:val="1A4B8C"/>
          <w:sz w:val="36"/>
          <w:szCs w:val="36"/>
        </w:rPr>
        <w:t xml:space="preserve">1. Brand Foundation</w:t>
      </w:r>
    </w:p>
    <w:p>
      <w:pPr>
        <w:pBdr>
          <w:bottom w:val="single" w:color="E8803A" w:sz="6" w:space="1"/>
        </w:pBdr>
        <w:spacing w:after="240" w:before="0"/>
      </w:pPr>
    </w:p>
    <w:p>
      <w:pPr>
        <w:pStyle w:val="Heading2"/>
        <w:spacing w:after="80" w:before="320"/>
      </w:pPr>
      <w:r>
        <w:rPr>
          <w:rFonts w:ascii="Arial" w:cs="Arial" w:eastAsia="Arial" w:hAnsi="Arial"/>
          <w:b/>
          <w:bCs/>
          <w:color w:val="2C2F35"/>
          <w:sz w:val="26"/>
          <w:szCs w:val="26"/>
        </w:rPr>
        <w:t xml:space="preserve">Brand Purpose</w:t>
      </w:r>
    </w:p>
    <w:p>
      <w:pPr>
        <w:spacing w:after="100" w:before="80"/>
      </w:pPr>
      <w:r>
        <w:rPr>
          <w:rFonts w:ascii="Arial" w:cs="Arial" w:eastAsia="Arial" w:hAnsi="Arial"/>
          <w:color w:val="2C2F35"/>
          <w:sz w:val="22"/>
          <w:szCs w:val="22"/>
        </w:rPr>
        <w:t xml:space="preserve">We go where others cannot see — delivering high-definition visual intelligence and precision measurement from inside boreholes, mines, and subsurface structures. Our work turns geological unknowns into actionable data.</w:t>
      </w:r>
    </w:p>
    <w:p>
      <w:pPr>
        <w:pStyle w:val="Heading2"/>
        <w:spacing w:after="80" w:before="320"/>
      </w:pPr>
      <w:r>
        <w:rPr>
          <w:rFonts w:ascii="Arial" w:cs="Arial" w:eastAsia="Arial" w:hAnsi="Arial"/>
          <w:b/>
          <w:bCs/>
          <w:color w:val="2C2F35"/>
          <w:sz w:val="26"/>
          <w:szCs w:val="26"/>
        </w:rPr>
        <w:t xml:space="preserve">Brand Values</w:t>
      </w:r>
    </w:p>
    <w:p>
      <w:pPr>
        <w:spacing w:after="80" w:before="120"/>
      </w:pPr>
      <w:r>
        <w:rPr>
          <w:rFonts w:ascii="Arial" w:cs="Arial" w:eastAsia="Arial" w:hAnsi="Arial"/>
          <w:b/>
          <w:bCs/>
          <w:color w:val="1A4B8C"/>
          <w:sz w:val="24"/>
          <w:szCs w:val="24"/>
        </w:rPr>
        <w:t xml:space="preserve">Optimism</w:t>
      </w:r>
    </w:p>
    <w:p>
      <w:pPr>
        <w:spacing w:after="100" w:before="80"/>
      </w:pPr>
      <w:r>
        <w:rPr>
          <w:rFonts w:ascii="Arial" w:cs="Arial" w:eastAsia="Arial" w:hAnsi="Arial"/>
          <w:color w:val="2C2F35"/>
          <w:sz w:val="22"/>
          <w:szCs w:val="22"/>
        </w:rPr>
        <w:t xml:space="preserve">We approach every deployment with a problem-solving mindset. Challenging environments energise rather than deter us. We believe there is always a way to get the image, the measurement, the answer.</w:t>
      </w:r>
    </w:p>
    <w:p>
      <w:pPr>
        <w:spacing w:after="80" w:before="120"/>
      </w:pPr>
      <w:r>
        <w:rPr>
          <w:rFonts w:ascii="Arial" w:cs="Arial" w:eastAsia="Arial" w:hAnsi="Arial"/>
          <w:b/>
          <w:bCs/>
          <w:color w:val="1A4B8C"/>
          <w:sz w:val="24"/>
          <w:szCs w:val="24"/>
        </w:rPr>
        <w:t xml:space="preserve">Utilisation</w:t>
      </w:r>
    </w:p>
    <w:p>
      <w:pPr>
        <w:spacing w:after="100" w:before="80"/>
      </w:pPr>
      <w:r>
        <w:rPr>
          <w:rFonts w:ascii="Arial" w:cs="Arial" w:eastAsia="Arial" w:hAnsi="Arial"/>
          <w:color w:val="2C2F35"/>
          <w:sz w:val="22"/>
          <w:szCs w:val="22"/>
        </w:rPr>
        <w:t xml:space="preserve">We extract maximum value from every survey — rigorous calibration, zero wasted footage, data that integrates cleanly into client workflows. Efficiency is a form of respect.</w:t>
      </w:r>
    </w:p>
    <w:p>
      <w:pPr>
        <w:spacing w:after="80" w:before="120"/>
      </w:pPr>
      <w:r>
        <w:rPr>
          <w:rFonts w:ascii="Arial" w:cs="Arial" w:eastAsia="Arial" w:hAnsi="Arial"/>
          <w:b/>
          <w:bCs/>
          <w:color w:val="1A4B8C"/>
          <w:sz w:val="24"/>
          <w:szCs w:val="24"/>
        </w:rPr>
        <w:t xml:space="preserve">Energy</w:t>
      </w:r>
    </w:p>
    <w:p>
      <w:pPr>
        <w:spacing w:after="100" w:before="80"/>
      </w:pPr>
      <w:r>
        <w:rPr>
          <w:rFonts w:ascii="Arial" w:cs="Arial" w:eastAsia="Arial" w:hAnsi="Arial"/>
          <w:color w:val="2C2F35"/>
          <w:sz w:val="22"/>
          <w:szCs w:val="22"/>
        </w:rPr>
        <w:t xml:space="preserve">Our team brings intensity to fieldwork and enthusiasm to client briefings. The brand feels alive — technically serious, never dull.</w:t>
      </w:r>
    </w:p>
    <w:p>
      <w:pPr>
        <w:pStyle w:val="Heading2"/>
        <w:spacing w:after="80" w:before="320"/>
      </w:pPr>
      <w:r>
        <w:rPr>
          <w:rFonts w:ascii="Arial" w:cs="Arial" w:eastAsia="Arial" w:hAnsi="Arial"/>
          <w:b/>
          <w:bCs/>
          <w:color w:val="2C2F35"/>
          <w:sz w:val="26"/>
          <w:szCs w:val="26"/>
        </w:rPr>
        <w:t xml:space="preserve">Brand Personality</w:t>
      </w:r>
    </w:p>
    <w:p>
      <w:pPr>
        <w:pStyle w:val="ListParagraph"/>
        <w:numPr>
          <w:ilvl w:val="0"/>
          <w:numId w:val="2"/>
        </w:numPr>
        <w:spacing w:after="60" w:before="60"/>
      </w:pPr>
      <w:r>
        <w:rPr>
          <w:rFonts w:ascii="Arial" w:cs="Arial" w:eastAsia="Arial" w:hAnsi="Arial"/>
          <w:color w:val="2C2F35"/>
          <w:sz w:val="22"/>
          <w:szCs w:val="22"/>
        </w:rPr>
        <w:t xml:space="preserve">Direct and technically confident — we do not over-explain or over-promise</w:t>
      </w:r>
    </w:p>
    <w:p>
      <w:pPr>
        <w:pStyle w:val="ListParagraph"/>
        <w:numPr>
          <w:ilvl w:val="0"/>
          <w:numId w:val="2"/>
        </w:numPr>
        <w:spacing w:after="60" w:before="60"/>
      </w:pPr>
      <w:r>
        <w:rPr>
          <w:rFonts w:ascii="Arial" w:cs="Arial" w:eastAsia="Arial" w:hAnsi="Arial"/>
          <w:color w:val="2C2F35"/>
          <w:sz w:val="22"/>
          <w:szCs w:val="22"/>
        </w:rPr>
        <w:t xml:space="preserve">Energised and forward-looking — the industry is changing and we are driving it</w:t>
      </w:r>
    </w:p>
    <w:p>
      <w:pPr>
        <w:pStyle w:val="ListParagraph"/>
        <w:numPr>
          <w:ilvl w:val="0"/>
          <w:numId w:val="2"/>
        </w:numPr>
        <w:spacing w:after="60" w:before="60"/>
      </w:pPr>
      <w:r>
        <w:rPr>
          <w:rFonts w:ascii="Arial" w:cs="Arial" w:eastAsia="Arial" w:hAnsi="Arial"/>
          <w:color w:val="2C2F35"/>
          <w:sz w:val="22"/>
          <w:szCs w:val="22"/>
        </w:rPr>
        <w:t xml:space="preserve">Grounded and reliable — precision instruments operated by careful people</w:t>
      </w:r>
    </w:p>
    <w:p>
      <w:pPr>
        <w:pStyle w:val="ListParagraph"/>
        <w:numPr>
          <w:ilvl w:val="0"/>
          <w:numId w:val="2"/>
        </w:numPr>
        <w:spacing w:after="60" w:before="60"/>
      </w:pPr>
      <w:r>
        <w:rPr>
          <w:rFonts w:ascii="Arial" w:cs="Arial" w:eastAsia="Arial" w:hAnsi="Arial"/>
          <w:color w:val="2C2F35"/>
          <w:sz w:val="22"/>
          <w:szCs w:val="22"/>
        </w:rPr>
        <w:t xml:space="preserve">Optimistic without being naive — we acknowledge difficulty and solve it anyway</w:t>
      </w:r>
    </w:p>
    <w:p>
      <w:pPr>
        <w:pStyle w:val="Heading2"/>
        <w:spacing w:after="80" w:before="320"/>
      </w:pPr>
      <w:r>
        <w:rPr>
          <w:rFonts w:ascii="Arial" w:cs="Arial" w:eastAsia="Arial" w:hAnsi="Arial"/>
          <w:b/>
          <w:bCs/>
          <w:color w:val="2C2F35"/>
          <w:sz w:val="26"/>
          <w:szCs w:val="26"/>
        </w:rPr>
        <w:t xml:space="preserve">Mission Statement</w:t>
      </w:r>
    </w:p>
    <w:p>
      <w:pPr>
        <w:pBdr>
          <w:left w:val="single" w:color="2D6CC0" w:sz="18"/>
        </w:pBdr>
        <w:shd w:fill="E6F1FB" w:val="clear"/>
        <w:spacing w:after="100" w:before="80"/>
        <w:ind w:left="360" w:right="360"/>
      </w:pPr>
      <w:r>
        <w:rPr>
          <w:rFonts w:ascii="Arial" w:cs="Arial" w:eastAsia="Arial" w:hAnsi="Arial"/>
          <w:i/>
          <w:iCs/>
          <w:color w:val="2C2F35"/>
          <w:sz w:val="24"/>
          <w:szCs w:val="24"/>
        </w:rPr>
        <w:t xml:space="preserve">"To illuminate the subsurface — delivering precision borehole imaging and measurement that accelerates informed decision-making for geotechnical, environmental and energy professionals."</w:t>
      </w:r>
    </w:p>
    <w:p>
      <w:r>
        <w:br w:type="page"/>
      </w:r>
    </w:p>
    <w:p>
      <w:pPr>
        <w:pStyle w:val="Heading1"/>
        <w:spacing w:after="120" w:before="480"/>
      </w:pPr>
      <w:r>
        <w:rPr>
          <w:rFonts w:ascii="Arial" w:cs="Arial" w:eastAsia="Arial" w:hAnsi="Arial"/>
          <w:b/>
          <w:bCs/>
          <w:color w:val="1A4B8C"/>
          <w:sz w:val="36"/>
          <w:szCs w:val="36"/>
        </w:rPr>
        <w:t xml:space="preserve">2. Colour Palette</w:t>
      </w:r>
    </w:p>
    <w:p>
      <w:pPr>
        <w:pBdr>
          <w:bottom w:val="single" w:color="2D6CC0" w:sz="6" w:space="1"/>
        </w:pBdr>
        <w:spacing w:after="240" w:before="0"/>
      </w:pPr>
    </w:p>
    <w:p>
      <w:pPr>
        <w:spacing w:after="100" w:before="80"/>
      </w:pPr>
      <w:r>
        <w:rPr>
          <w:rFonts w:ascii="Arial" w:cs="Arial" w:eastAsia="Arial" w:hAnsi="Arial"/>
          <w:color w:val="2C2F35"/>
          <w:sz w:val="22"/>
          <w:szCs w:val="22"/>
        </w:rPr>
        <w:t xml:space="preserve">The palette is built around depth, technology and kinetic energy. Deep Blue anchors authority and trust. Basalt Gray grounds the brand in geology and precision engineering. Light Orange delivers the optimism and energy that differentiates us.</w:t>
      </w:r>
    </w:p>
    <w:p>
      <w:pP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0"/>
        <w:gridCol w:w="2920"/>
        <w:gridCol w:w="2920"/>
        <w:gridCol w:w="600"/>
      </w:tblGrid>
      <w:tr>
        <w:tc>
          <w:tcPr>
            <w:tcW w:type="dxa" w:w="2920"/>
            <w:tcBorders>
              <w:top w:val="none" w:color="FFFFFF" w:sz="0"/>
              <w:left w:val="none" w:color="FFFFFF" w:sz="0"/>
              <w:bottom w:val="none" w:color="FFFFFF" w:sz="0"/>
              <w:right w:val="none" w:color="FFFFFF" w:sz="0"/>
            </w:tcBorders>
            <w:shd w:fill="1A4B8C" w:val="clear"/>
            <w:tcMar>
              <w:top w:type="dxa" w:w="180"/>
              <w:left w:type="dxa" w:w="200"/>
              <w:bottom w:type="dxa" w:w="180"/>
              <w:right w:type="dxa" w:w="200"/>
            </w:tcMar>
          </w:tcPr>
          <w:p>
            <w:r>
              <w:rPr>
                <w:rFonts w:ascii="Arial" w:cs="Arial" w:eastAsia="Arial" w:hAnsi="Arial"/>
                <w:b/>
                <w:bCs/>
                <w:color w:val="FFFFFF"/>
                <w:sz w:val="22"/>
                <w:szCs w:val="22"/>
              </w:rPr>
              <w:t xml:space="preserve">Deep Blue</w:t>
            </w:r>
          </w:p>
          <w:p>
            <w:r>
              <w:rPr>
                <w:rFonts w:ascii="Arial" w:cs="Arial" w:eastAsia="Arial" w:hAnsi="Arial"/>
                <w:i/>
                <w:iCs/>
                <w:color w:val="FFFFFF"/>
                <w:sz w:val="18"/>
                <w:szCs w:val="18"/>
              </w:rPr>
              <w:t xml:space="preserve">#1A4B8C</w:t>
            </w:r>
          </w:p>
          <w:p>
            <w:r>
              <w:rPr>
                <w:rFonts w:ascii="Arial" w:cs="Arial" w:eastAsia="Arial" w:hAnsi="Arial"/>
                <w:color w:val="FFFFFF"/>
                <w:sz w:val="18"/>
                <w:szCs w:val="18"/>
              </w:rPr>
              <w:t xml:space="preserve">Primary · Trust · Depth</w:t>
            </w:r>
          </w:p>
        </w:tc>
        <w:tc>
          <w:tcPr>
            <w:tcW w:type="dxa" w:w="2920"/>
            <w:tcBorders>
              <w:top w:val="none" w:color="FFFFFF" w:sz="0"/>
              <w:left w:val="none" w:color="FFFFFF" w:sz="0"/>
              <w:bottom w:val="none" w:color="FFFFFF" w:sz="0"/>
              <w:right w:val="none" w:color="FFFFFF" w:sz="0"/>
            </w:tcBorders>
            <w:shd w:fill="4A4E57" w:val="clear"/>
            <w:tcMar>
              <w:top w:type="dxa" w:w="180"/>
              <w:left w:type="dxa" w:w="200"/>
              <w:bottom w:type="dxa" w:w="180"/>
              <w:right w:type="dxa" w:w="200"/>
            </w:tcMar>
          </w:tcPr>
          <w:p>
            <w:r>
              <w:rPr>
                <w:rFonts w:ascii="Arial" w:cs="Arial" w:eastAsia="Arial" w:hAnsi="Arial"/>
                <w:b/>
                <w:bCs/>
                <w:color w:val="FFFFFF"/>
                <w:sz w:val="22"/>
                <w:szCs w:val="22"/>
              </w:rPr>
              <w:t xml:space="preserve">Basalt Gray</w:t>
            </w:r>
          </w:p>
          <w:p>
            <w:r>
              <w:rPr>
                <w:rFonts w:ascii="Arial" w:cs="Arial" w:eastAsia="Arial" w:hAnsi="Arial"/>
                <w:i/>
                <w:iCs/>
                <w:color w:val="FFFFFF"/>
                <w:sz w:val="18"/>
                <w:szCs w:val="18"/>
              </w:rPr>
              <w:t xml:space="preserve">#4A4E57</w:t>
            </w:r>
          </w:p>
          <w:p>
            <w:r>
              <w:rPr>
                <w:rFonts w:ascii="Arial" w:cs="Arial" w:eastAsia="Arial" w:hAnsi="Arial"/>
                <w:color w:val="FFFFFF"/>
                <w:sz w:val="18"/>
                <w:szCs w:val="18"/>
              </w:rPr>
              <w:t xml:space="preserve">Secondary · Precision · Rock</w:t>
            </w:r>
          </w:p>
        </w:tc>
        <w:tc>
          <w:tcPr>
            <w:tcW w:type="dxa" w:w="2920"/>
            <w:tcBorders>
              <w:top w:val="none" w:color="FFFFFF" w:sz="0"/>
              <w:left w:val="none" w:color="FFFFFF" w:sz="0"/>
              <w:bottom w:val="none" w:color="FFFFFF" w:sz="0"/>
              <w:right w:val="none" w:color="FFFFFF" w:sz="0"/>
            </w:tcBorders>
            <w:shd w:fill="E8803A" w:val="clear"/>
            <w:tcMar>
              <w:top w:type="dxa" w:w="180"/>
              <w:left w:type="dxa" w:w="200"/>
              <w:bottom w:type="dxa" w:w="180"/>
              <w:right w:type="dxa" w:w="200"/>
            </w:tcMar>
          </w:tcPr>
          <w:p>
            <w:r>
              <w:rPr>
                <w:rFonts w:ascii="Arial" w:cs="Arial" w:eastAsia="Arial" w:hAnsi="Arial"/>
                <w:b/>
                <w:bCs/>
                <w:color w:val="FFFFFF"/>
                <w:sz w:val="22"/>
                <w:szCs w:val="22"/>
              </w:rPr>
              <w:t xml:space="preserve">Light Orange</w:t>
            </w:r>
          </w:p>
          <w:p>
            <w:r>
              <w:rPr>
                <w:rFonts w:ascii="Arial" w:cs="Arial" w:eastAsia="Arial" w:hAnsi="Arial"/>
                <w:i/>
                <w:iCs/>
                <w:color w:val="FFFFFF"/>
                <w:sz w:val="18"/>
                <w:szCs w:val="18"/>
              </w:rPr>
              <w:t xml:space="preserve">#E8803A</w:t>
            </w:r>
          </w:p>
          <w:p>
            <w:r>
              <w:rPr>
                <w:rFonts w:ascii="Arial" w:cs="Arial" w:eastAsia="Arial" w:hAnsi="Arial"/>
                <w:color w:val="FFFFFF"/>
                <w:sz w:val="18"/>
                <w:szCs w:val="18"/>
              </w:rPr>
              <w:t xml:space="preserve">Accent · Energy · Optimism</w:t>
            </w:r>
          </w:p>
        </w:tc>
        <w:tc>
          <w:tcPr>
            <w:tcW w:type="dxa" w:w="600"/>
            <w:tcBorders>
              <w:top w:val="none" w:color="FFFFFF" w:sz="0"/>
              <w:left w:val="none" w:color="FFFFFF" w:sz="0"/>
              <w:bottom w:val="none" w:color="FFFFFF" w:sz="0"/>
              <w:right w:val="none" w:color="FFFFFF" w:sz="0"/>
            </w:tcBorders>
          </w:tcP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0"/>
        <w:gridCol w:w="2920"/>
        <w:gridCol w:w="2920"/>
        <w:gridCol w:w="600"/>
      </w:tblGrid>
      <w:tr>
        <w:tc>
          <w:tcPr>
            <w:tcW w:type="dxa" w:w="2920"/>
            <w:tcBorders>
              <w:top w:val="none" w:color="FFFFFF" w:sz="0"/>
              <w:left w:val="none" w:color="FFFFFF" w:sz="0"/>
              <w:bottom w:val="none" w:color="FFFFFF" w:sz="0"/>
              <w:right w:val="none" w:color="FFFFFF" w:sz="0"/>
            </w:tcBorders>
            <w:shd w:fill="2D6CC0" w:val="clear"/>
            <w:tcMar>
              <w:top w:type="dxa" w:w="180"/>
              <w:left w:type="dxa" w:w="200"/>
              <w:bottom w:type="dxa" w:w="180"/>
              <w:right w:type="dxa" w:w="200"/>
            </w:tcMar>
          </w:tcPr>
          <w:p>
            <w:r>
              <w:rPr>
                <w:rFonts w:ascii="Arial" w:cs="Arial" w:eastAsia="Arial" w:hAnsi="Arial"/>
                <w:b/>
                <w:bCs/>
                <w:color w:val="FFFFFF"/>
                <w:sz w:val="22"/>
                <w:szCs w:val="22"/>
              </w:rPr>
              <w:t xml:space="preserve">Mid Blue</w:t>
            </w:r>
          </w:p>
          <w:p>
            <w:r>
              <w:rPr>
                <w:rFonts w:ascii="Arial" w:cs="Arial" w:eastAsia="Arial" w:hAnsi="Arial"/>
                <w:i/>
                <w:iCs/>
                <w:color w:val="FFFFFF"/>
                <w:sz w:val="18"/>
                <w:szCs w:val="18"/>
              </w:rPr>
              <w:t xml:space="preserve">#2D6CC0</w:t>
            </w:r>
          </w:p>
          <w:p>
            <w:r>
              <w:rPr>
                <w:rFonts w:ascii="Arial" w:cs="Arial" w:eastAsia="Arial" w:hAnsi="Arial"/>
                <w:color w:val="FFFFFF"/>
                <w:sz w:val="18"/>
                <w:szCs w:val="18"/>
              </w:rPr>
              <w:t xml:space="preserve">#2D6CC0 · UI / Digital</w:t>
            </w:r>
          </w:p>
        </w:tc>
        <w:tc>
          <w:tcPr>
            <w:tcW w:type="dxa" w:w="2920"/>
            <w:tcBorders>
              <w:top w:val="none" w:color="FFFFFF" w:sz="0"/>
              <w:left w:val="none" w:color="FFFFFF" w:sz="0"/>
              <w:bottom w:val="none" w:color="FFFFFF" w:sz="0"/>
              <w:right w:val="none" w:color="FFFFFF" w:sz="0"/>
            </w:tcBorders>
            <w:shd w:fill="7A7E87" w:val="clear"/>
            <w:tcMar>
              <w:top w:type="dxa" w:w="180"/>
              <w:left w:type="dxa" w:w="200"/>
              <w:bottom w:type="dxa" w:w="180"/>
              <w:right w:type="dxa" w:w="200"/>
            </w:tcMar>
          </w:tcPr>
          <w:p>
            <w:r>
              <w:rPr>
                <w:rFonts w:ascii="Arial" w:cs="Arial" w:eastAsia="Arial" w:hAnsi="Arial"/>
                <w:b/>
                <w:bCs/>
                <w:color w:val="FFFFFF"/>
                <w:sz w:val="22"/>
                <w:szCs w:val="22"/>
              </w:rPr>
              <w:t xml:space="preserve">Basalt Light</w:t>
            </w:r>
          </w:p>
          <w:p>
            <w:r>
              <w:rPr>
                <w:rFonts w:ascii="Arial" w:cs="Arial" w:eastAsia="Arial" w:hAnsi="Arial"/>
                <w:i/>
                <w:iCs/>
                <w:color w:val="FFFFFF"/>
                <w:sz w:val="18"/>
                <w:szCs w:val="18"/>
              </w:rPr>
              <w:t xml:space="preserve">#7A7E87</w:t>
            </w:r>
          </w:p>
          <w:p>
            <w:r>
              <w:rPr>
                <w:rFonts w:ascii="Arial" w:cs="Arial" w:eastAsia="Arial" w:hAnsi="Arial"/>
                <w:color w:val="FFFFFF"/>
                <w:sz w:val="18"/>
                <w:szCs w:val="18"/>
              </w:rPr>
              <w:t xml:space="preserve">#7A7E87 · Captions / Dividers</w:t>
            </w:r>
          </w:p>
        </w:tc>
        <w:tc>
          <w:tcPr>
            <w:tcW w:type="dxa" w:w="2920"/>
            <w:tcBorders>
              <w:top w:val="none" w:color="FFFFFF" w:sz="0"/>
              <w:left w:val="none" w:color="FFFFFF" w:sz="0"/>
              <w:bottom w:val="none" w:color="FFFFFF" w:sz="0"/>
              <w:right w:val="none" w:color="FFFFFF" w:sz="0"/>
            </w:tcBorders>
            <w:shd w:fill="F2A060" w:val="clear"/>
            <w:tcMar>
              <w:top w:type="dxa" w:w="180"/>
              <w:left w:type="dxa" w:w="200"/>
              <w:bottom w:type="dxa" w:w="180"/>
              <w:right w:type="dxa" w:w="200"/>
            </w:tcMar>
          </w:tcPr>
          <w:p>
            <w:r>
              <w:rPr>
                <w:rFonts w:ascii="Arial" w:cs="Arial" w:eastAsia="Arial" w:hAnsi="Arial"/>
                <w:b/>
                <w:bCs/>
                <w:color w:val="2C2F35"/>
                <w:sz w:val="22"/>
                <w:szCs w:val="22"/>
              </w:rPr>
              <w:t xml:space="preserve">Orange Light</w:t>
            </w:r>
          </w:p>
          <w:p>
            <w:r>
              <w:rPr>
                <w:rFonts w:ascii="Arial" w:cs="Arial" w:eastAsia="Arial" w:hAnsi="Arial"/>
                <w:i/>
                <w:iCs/>
                <w:color w:val="2C2F35"/>
                <w:sz w:val="18"/>
                <w:szCs w:val="18"/>
              </w:rPr>
              <w:t xml:space="preserve">#F2A060</w:t>
            </w:r>
          </w:p>
          <w:p>
            <w:r>
              <w:rPr>
                <w:rFonts w:ascii="Arial" w:cs="Arial" w:eastAsia="Arial" w:hAnsi="Arial"/>
                <w:color w:val="2C2F35"/>
                <w:sz w:val="18"/>
                <w:szCs w:val="18"/>
              </w:rPr>
              <w:t xml:space="preserve">#F2A060 · Highlights / Warm</w:t>
            </w:r>
          </w:p>
        </w:tc>
        <w:tc>
          <w:tcPr>
            <w:tcW w:type="dxa" w:w="600"/>
            <w:tcBorders>
              <w:top w:val="none" w:color="FFFFFF" w:sz="0"/>
              <w:left w:val="none" w:color="FFFFFF" w:sz="0"/>
              <w:bottom w:val="none" w:color="FFFFFF" w:sz="0"/>
              <w:right w:val="none" w:color="FFFFFF" w:sz="0"/>
            </w:tcBorders>
          </w:tcPr>
          <w:p/>
        </w:tc>
      </w:tr>
    </w:tbl>
    <w:p>
      <w:pPr>
        <w:spacing w:after="80" w:before="240"/>
      </w:pPr>
    </w:p>
    <w:p>
      <w:pPr>
        <w:pStyle w:val="Heading2"/>
        <w:spacing w:after="80" w:before="320"/>
      </w:pPr>
      <w:r>
        <w:rPr>
          <w:rFonts w:ascii="Arial" w:cs="Arial" w:eastAsia="Arial" w:hAnsi="Arial"/>
          <w:b/>
          <w:bCs/>
          <w:color w:val="2C2F35"/>
          <w:sz w:val="26"/>
          <w:szCs w:val="26"/>
        </w:rPr>
        <w:t xml:space="preserve">Colour Usage Rules</w:t>
      </w:r>
    </w:p>
    <w:p>
      <w:pPr>
        <w:pStyle w:val="ListParagraph"/>
        <w:numPr>
          <w:ilvl w:val="0"/>
          <w:numId w:val="2"/>
        </w:numPr>
        <w:spacing w:after="60" w:before="60"/>
      </w:pPr>
      <w:r>
        <w:rPr>
          <w:rFonts w:ascii="Arial" w:cs="Arial" w:eastAsia="Arial" w:hAnsi="Arial"/>
          <w:color w:val="2C2F35"/>
          <w:sz w:val="22"/>
          <w:szCs w:val="22"/>
        </w:rPr>
        <w:t xml:space="preserve">Deep Blue is the primary brand colour — headlines, primary CTAs, logo mark</w:t>
      </w:r>
    </w:p>
    <w:p>
      <w:pPr>
        <w:pStyle w:val="ListParagraph"/>
        <w:numPr>
          <w:ilvl w:val="0"/>
          <w:numId w:val="2"/>
        </w:numPr>
        <w:spacing w:after="60" w:before="60"/>
      </w:pPr>
      <w:r>
        <w:rPr>
          <w:rFonts w:ascii="Arial" w:cs="Arial" w:eastAsia="Arial" w:hAnsi="Arial"/>
          <w:color w:val="2C2F35"/>
          <w:sz w:val="22"/>
          <w:szCs w:val="22"/>
        </w:rPr>
        <w:t xml:space="preserve">Basalt Gray is the default for body text and secondary UI elements</w:t>
      </w:r>
    </w:p>
    <w:p>
      <w:pPr>
        <w:pStyle w:val="ListParagraph"/>
        <w:numPr>
          <w:ilvl w:val="0"/>
          <w:numId w:val="2"/>
        </w:numPr>
        <w:spacing w:after="60" w:before="60"/>
      </w:pPr>
      <w:r>
        <w:rPr>
          <w:rFonts w:ascii="Arial" w:cs="Arial" w:eastAsia="Arial" w:hAnsi="Arial"/>
          <w:color w:val="2C2F35"/>
          <w:sz w:val="22"/>
          <w:szCs w:val="22"/>
        </w:rPr>
        <w:t xml:space="preserve">Light Orange is used sparingly as a signal colour — key data points, active states, highlights</w:t>
      </w:r>
    </w:p>
    <w:p>
      <w:pPr>
        <w:pStyle w:val="ListParagraph"/>
        <w:numPr>
          <w:ilvl w:val="0"/>
          <w:numId w:val="2"/>
        </w:numPr>
        <w:spacing w:after="60" w:before="60"/>
      </w:pPr>
      <w:r>
        <w:rPr>
          <w:rFonts w:ascii="Arial" w:cs="Arial" w:eastAsia="Arial" w:hAnsi="Arial"/>
          <w:color w:val="2C2F35"/>
          <w:sz w:val="22"/>
          <w:szCs w:val="22"/>
        </w:rPr>
        <w:t xml:space="preserve">Never use Orange as a primary background on large surfaces</w:t>
      </w:r>
    </w:p>
    <w:p>
      <w:pPr>
        <w:pStyle w:val="ListParagraph"/>
        <w:numPr>
          <w:ilvl w:val="0"/>
          <w:numId w:val="2"/>
        </w:numPr>
        <w:spacing w:after="60" w:before="60"/>
      </w:pPr>
      <w:r>
        <w:rPr>
          <w:rFonts w:ascii="Arial" w:cs="Arial" w:eastAsia="Arial" w:hAnsi="Arial"/>
          <w:color w:val="2C2F35"/>
          <w:sz w:val="22"/>
          <w:szCs w:val="22"/>
        </w:rPr>
        <w:t xml:space="preserve">White and Off-White (#F5F7FA) are the primary background colours</w:t>
      </w:r>
    </w:p>
    <w:p>
      <w:pPr>
        <w:pStyle w:val="ListParagraph"/>
        <w:numPr>
          <w:ilvl w:val="0"/>
          <w:numId w:val="2"/>
        </w:numPr>
        <w:spacing w:after="60" w:before="60"/>
      </w:pPr>
      <w:r>
        <w:rPr>
          <w:rFonts w:ascii="Arial" w:cs="Arial" w:eastAsia="Arial" w:hAnsi="Arial"/>
          <w:color w:val="2C2F35"/>
          <w:sz w:val="22"/>
          <w:szCs w:val="22"/>
        </w:rPr>
        <w:t xml:space="preserve">Minimum contrast ratio of 4.5:1 for all body text</w:t>
      </w:r>
    </w:p>
    <w:p>
      <w:r>
        <w:br w:type="page"/>
      </w:r>
    </w:p>
    <w:p>
      <w:pPr>
        <w:pStyle w:val="Heading1"/>
        <w:spacing w:after="120" w:before="480"/>
      </w:pPr>
      <w:r>
        <w:rPr>
          <w:rFonts w:ascii="Arial" w:cs="Arial" w:eastAsia="Arial" w:hAnsi="Arial"/>
          <w:b/>
          <w:bCs/>
          <w:color w:val="1A4B8C"/>
          <w:sz w:val="36"/>
          <w:szCs w:val="36"/>
        </w:rPr>
        <w:t xml:space="preserve">3. Typography</w:t>
      </w:r>
    </w:p>
    <w:p>
      <w:pPr>
        <w:pBdr>
          <w:bottom w:val="single" w:color="1A4B8C" w:sz="6" w:space="1"/>
        </w:pBdr>
        <w:spacing w:after="240" w:before="0"/>
      </w:pPr>
    </w:p>
    <w:p>
      <w:pPr>
        <w:pStyle w:val="Heading2"/>
        <w:spacing w:after="80" w:before="320"/>
      </w:pPr>
      <w:r>
        <w:rPr>
          <w:rFonts w:ascii="Arial" w:cs="Arial" w:eastAsia="Arial" w:hAnsi="Arial"/>
          <w:b/>
          <w:bCs/>
          <w:color w:val="2C2F35"/>
          <w:sz w:val="26"/>
          <w:szCs w:val="26"/>
        </w:rPr>
        <w:t xml:space="preserve">Typeface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0D4DA" w:sz="1"/>
              <w:left w:val="single" w:color="D0D4DA" w:sz="1"/>
              <w:bottom w:val="single" w:color="D0D4DA" w:sz="1"/>
              <w:right w:val="single" w:color="D0D4DA" w:sz="1"/>
            </w:tcBorders>
            <w:shd w:fill="1A4B8C"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3480"/>
            <w:tcBorders>
              <w:top w:val="single" w:color="D0D4DA" w:sz="1"/>
              <w:left w:val="single" w:color="D0D4DA" w:sz="1"/>
              <w:bottom w:val="single" w:color="D0D4DA" w:sz="1"/>
              <w:right w:val="single" w:color="D0D4DA" w:sz="1"/>
            </w:tcBorders>
            <w:shd w:fill="1A4B8C" w:val="clear"/>
            <w:tcMar>
              <w:top w:type="dxa" w:w="100"/>
              <w:left w:type="dxa" w:w="160"/>
              <w:bottom w:type="dxa" w:w="100"/>
              <w:right w:type="dxa" w:w="160"/>
            </w:tcMar>
          </w:tcPr>
          <w:p>
            <w:r>
              <w:rPr>
                <w:rFonts w:ascii="Arial" w:cs="Arial" w:eastAsia="Arial" w:hAnsi="Arial"/>
                <w:b/>
                <w:bCs/>
                <w:color w:val="FFFFFF"/>
                <w:sz w:val="20"/>
                <w:szCs w:val="20"/>
              </w:rPr>
              <w:t xml:space="preserve">Typeface</w:t>
            </w:r>
          </w:p>
        </w:tc>
        <w:tc>
          <w:tcPr>
            <w:tcW w:type="dxa" w:w="3480"/>
            <w:tcBorders>
              <w:top w:val="single" w:color="D0D4DA" w:sz="1"/>
              <w:left w:val="single" w:color="D0D4DA" w:sz="1"/>
              <w:bottom w:val="single" w:color="D0D4DA" w:sz="1"/>
              <w:right w:val="single" w:color="D0D4DA" w:sz="1"/>
            </w:tcBorders>
            <w:shd w:fill="1A4B8C" w:val="clear"/>
            <w:tcMar>
              <w:top w:type="dxa" w:w="100"/>
              <w:left w:type="dxa" w:w="160"/>
              <w:bottom w:type="dxa" w:w="100"/>
              <w:right w:type="dxa" w:w="160"/>
            </w:tcMar>
          </w:tcPr>
          <w:p>
            <w:r>
              <w:rPr>
                <w:rFonts w:ascii="Arial" w:cs="Arial" w:eastAsia="Arial" w:hAnsi="Arial"/>
                <w:b/>
                <w:bCs/>
                <w:color w:val="FFFFFF"/>
                <w:sz w:val="20"/>
                <w:szCs w:val="20"/>
              </w:rPr>
              <w:t xml:space="preserve">Usage</w:t>
            </w:r>
          </w:p>
        </w:tc>
      </w:tr>
      <w:tr>
        <w:tc>
          <w:tcPr>
            <w:tcW w:type="dxa" w:w="240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Display / Logo</w:t>
            </w:r>
          </w:p>
        </w:tc>
        <w:tc>
          <w:tcPr>
            <w:tcW w:type="dxa" w:w="348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Barlow Condensed Bold</w:t>
            </w:r>
          </w:p>
        </w:tc>
        <w:tc>
          <w:tcPr>
            <w:tcW w:type="dxa" w:w="348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Logo wordmark, large campaign headlines, report cover titles</w:t>
            </w:r>
          </w:p>
        </w:tc>
      </w:tr>
      <w:tr>
        <w:tc>
          <w:tcPr>
            <w:tcW w:type="dxa" w:w="2400"/>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Heading</w:t>
            </w:r>
          </w:p>
        </w:tc>
        <w:tc>
          <w:tcPr>
            <w:tcW w:type="dxa" w:w="3480"/>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Barlow SemiBold</w:t>
            </w:r>
          </w:p>
        </w:tc>
        <w:tc>
          <w:tcPr>
            <w:tcW w:type="dxa" w:w="3480"/>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Section headings, slide titles, document H1–H2</w:t>
            </w:r>
          </w:p>
        </w:tc>
      </w:tr>
      <w:tr>
        <w:tc>
          <w:tcPr>
            <w:tcW w:type="dxa" w:w="240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Body</w:t>
            </w:r>
          </w:p>
        </w:tc>
        <w:tc>
          <w:tcPr>
            <w:tcW w:type="dxa" w:w="348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Barlow Regular</w:t>
            </w:r>
          </w:p>
        </w:tc>
        <w:tc>
          <w:tcPr>
            <w:tcW w:type="dxa" w:w="348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All body copy, captions, data labels, UI text</w:t>
            </w:r>
          </w:p>
        </w:tc>
      </w:tr>
      <w:tr>
        <w:tc>
          <w:tcPr>
            <w:tcW w:type="dxa" w:w="2400"/>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Monospace / Data</w:t>
            </w:r>
          </w:p>
        </w:tc>
        <w:tc>
          <w:tcPr>
            <w:tcW w:type="dxa" w:w="3480"/>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IBM Plex Mono</w:t>
            </w:r>
          </w:p>
        </w:tc>
        <w:tc>
          <w:tcPr>
            <w:tcW w:type="dxa" w:w="3480"/>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Measurement readouts, coordinates, technical annotations</w:t>
            </w:r>
          </w:p>
        </w:tc>
      </w:tr>
      <w:tr>
        <w:tc>
          <w:tcPr>
            <w:tcW w:type="dxa" w:w="240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Fallback</w:t>
            </w:r>
          </w:p>
        </w:tc>
        <w:tc>
          <w:tcPr>
            <w:tcW w:type="dxa" w:w="348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Arial / Helvetica Neue</w:t>
            </w:r>
          </w:p>
        </w:tc>
        <w:tc>
          <w:tcPr>
            <w:tcW w:type="dxa" w:w="348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Email, Word documents, any environment without web fonts</w:t>
            </w:r>
          </w:p>
        </w:tc>
      </w:tr>
    </w:tbl>
    <w:p>
      <w:pPr>
        <w:pStyle w:val="Heading2"/>
        <w:spacing w:after="80" w:before="320"/>
      </w:pPr>
      <w:r>
        <w:rPr>
          <w:rFonts w:ascii="Arial" w:cs="Arial" w:eastAsia="Arial" w:hAnsi="Arial"/>
          <w:b/>
          <w:bCs/>
          <w:color w:val="2C2F35"/>
          <w:sz w:val="26"/>
          <w:szCs w:val="26"/>
        </w:rPr>
        <w:t xml:space="preserve">Type Scale</w:t>
      </w:r>
    </w:p>
    <w:p>
      <w:pPr>
        <w:pStyle w:val="ListParagraph"/>
        <w:numPr>
          <w:ilvl w:val="0"/>
          <w:numId w:val="2"/>
        </w:numPr>
        <w:spacing w:after="60" w:before="60"/>
      </w:pPr>
      <w:r>
        <w:rPr>
          <w:rFonts w:ascii="Arial" w:cs="Arial" w:eastAsia="Arial" w:hAnsi="Arial"/>
          <w:color w:val="2C2F35"/>
          <w:sz w:val="22"/>
          <w:szCs w:val="22"/>
        </w:rPr>
        <w:t xml:space="preserve">Display (Logo): 48–72pt · Barlow Condensed Bold · Deep Blue or White</w:t>
      </w:r>
    </w:p>
    <w:p>
      <w:pPr>
        <w:pStyle w:val="ListParagraph"/>
        <w:numPr>
          <w:ilvl w:val="0"/>
          <w:numId w:val="2"/>
        </w:numPr>
        <w:spacing w:after="60" w:before="60"/>
      </w:pPr>
      <w:r>
        <w:rPr>
          <w:rFonts w:ascii="Arial" w:cs="Arial" w:eastAsia="Arial" w:hAnsi="Arial"/>
          <w:color w:val="2C2F35"/>
          <w:sz w:val="22"/>
          <w:szCs w:val="22"/>
        </w:rPr>
        <w:t xml:space="preserve">H1 Page Title: 32–36pt · Barlow SemiBold · Deep Blue</w:t>
      </w:r>
    </w:p>
    <w:p>
      <w:pPr>
        <w:pStyle w:val="ListParagraph"/>
        <w:numPr>
          <w:ilvl w:val="0"/>
          <w:numId w:val="2"/>
        </w:numPr>
        <w:spacing w:after="60" w:before="60"/>
      </w:pPr>
      <w:r>
        <w:rPr>
          <w:rFonts w:ascii="Arial" w:cs="Arial" w:eastAsia="Arial" w:hAnsi="Arial"/>
          <w:color w:val="2C2F35"/>
          <w:sz w:val="22"/>
          <w:szCs w:val="22"/>
        </w:rPr>
        <w:t xml:space="preserve">H2 Section: 22–26pt · Barlow SemiBold · Basalt Dark</w:t>
      </w:r>
    </w:p>
    <w:p>
      <w:pPr>
        <w:pStyle w:val="ListParagraph"/>
        <w:numPr>
          <w:ilvl w:val="0"/>
          <w:numId w:val="2"/>
        </w:numPr>
        <w:spacing w:after="60" w:before="60"/>
      </w:pPr>
      <w:r>
        <w:rPr>
          <w:rFonts w:ascii="Arial" w:cs="Arial" w:eastAsia="Arial" w:hAnsi="Arial"/>
          <w:color w:val="2C2F35"/>
          <w:sz w:val="22"/>
          <w:szCs w:val="22"/>
        </w:rPr>
        <w:t xml:space="preserve">H3 Sub-section: 18pt · Barlow SemiBold · Basalt Dark</w:t>
      </w:r>
    </w:p>
    <w:p>
      <w:pPr>
        <w:pStyle w:val="ListParagraph"/>
        <w:numPr>
          <w:ilvl w:val="0"/>
          <w:numId w:val="2"/>
        </w:numPr>
        <w:spacing w:after="60" w:before="60"/>
      </w:pPr>
      <w:r>
        <w:rPr>
          <w:rFonts w:ascii="Arial" w:cs="Arial" w:eastAsia="Arial" w:hAnsi="Arial"/>
          <w:color w:val="2C2F35"/>
          <w:sz w:val="22"/>
          <w:szCs w:val="22"/>
        </w:rPr>
        <w:t xml:space="preserve">Body: 11–12pt · Barlow Regular · Basalt Dark · 1.6 line-height</w:t>
      </w:r>
    </w:p>
    <w:p>
      <w:pPr>
        <w:pStyle w:val="ListParagraph"/>
        <w:numPr>
          <w:ilvl w:val="0"/>
          <w:numId w:val="2"/>
        </w:numPr>
        <w:spacing w:after="60" w:before="60"/>
      </w:pPr>
      <w:r>
        <w:rPr>
          <w:rFonts w:ascii="Arial" w:cs="Arial" w:eastAsia="Arial" w:hAnsi="Arial"/>
          <w:color w:val="2C2F35"/>
          <w:sz w:val="22"/>
          <w:szCs w:val="22"/>
        </w:rPr>
        <w:t xml:space="preserve">Caption / Label: 9–10pt · Barlow Regular · Basalt Light</w:t>
      </w:r>
    </w:p>
    <w:p>
      <w:pPr>
        <w:pStyle w:val="ListParagraph"/>
        <w:numPr>
          <w:ilvl w:val="0"/>
          <w:numId w:val="2"/>
        </w:numPr>
        <w:spacing w:after="60" w:before="60"/>
      </w:pPr>
      <w:r>
        <w:rPr>
          <w:rFonts w:ascii="Arial" w:cs="Arial" w:eastAsia="Arial" w:hAnsi="Arial"/>
          <w:color w:val="2C2F35"/>
          <w:sz w:val="22"/>
          <w:szCs w:val="22"/>
        </w:rPr>
        <w:t xml:space="preserve">Data / Measurement: Any size · IBM Plex Mono · Basalt Dark or Deep Blue</w:t>
      </w:r>
    </w:p>
    <w:p>
      <w:r>
        <w:br w:type="page"/>
      </w:r>
    </w:p>
    <w:p>
      <w:pPr>
        <w:pStyle w:val="Heading1"/>
        <w:spacing w:after="120" w:before="480"/>
      </w:pPr>
      <w:r>
        <w:rPr>
          <w:rFonts w:ascii="Arial" w:cs="Arial" w:eastAsia="Arial" w:hAnsi="Arial"/>
          <w:b/>
          <w:bCs/>
          <w:color w:val="1A4B8C"/>
          <w:sz w:val="36"/>
          <w:szCs w:val="36"/>
        </w:rPr>
        <w:t xml:space="preserve">4. Logo System</w:t>
      </w:r>
    </w:p>
    <w:p>
      <w:pPr>
        <w:pBdr>
          <w:bottom w:val="single" w:color="E8803A" w:sz="6" w:space="1"/>
        </w:pBdr>
        <w:spacing w:after="240" w:before="0"/>
      </w:pPr>
    </w:p>
    <w:p>
      <w:pPr>
        <w:spacing w:after="100" w:before="80"/>
      </w:pPr>
      <w:r>
        <w:rPr>
          <w:rFonts w:ascii="Arial" w:cs="Arial" w:eastAsia="Arial" w:hAnsi="Arial"/>
          <w:color w:val="2C2F35"/>
          <w:sz w:val="22"/>
          <w:szCs w:val="22"/>
        </w:rPr>
        <w:t xml:space="preserve">Three logo concepts have been developed. The primary mark for general use should be selected and locked in before brand launch. Until then, all three are provided for evaluation.</w:t>
      </w:r>
    </w:p>
    <w:p>
      <w:pPr>
        <w:pStyle w:val="Heading2"/>
        <w:spacing w:after="80" w:before="320"/>
      </w:pPr>
      <w:r>
        <w:rPr>
          <w:rFonts w:ascii="Arial" w:cs="Arial" w:eastAsia="Arial" w:hAnsi="Arial"/>
          <w:b/>
          <w:bCs/>
          <w:color w:val="2C2F35"/>
          <w:sz w:val="26"/>
          <w:szCs w:val="26"/>
        </w:rPr>
        <w:t xml:space="preserve">Concept A — "Depth Vision" (Radial Borehole Mark)</w:t>
      </w:r>
    </w:p>
    <w:p>
      <w:pPr>
        <w:spacing w:after="100" w:before="80"/>
      </w:pPr>
      <w:r>
        <w:rPr>
          <w:rFonts w:ascii="Arial" w:cs="Arial" w:eastAsia="Arial" w:hAnsi="Arial"/>
          <w:color w:val="2C2F35"/>
          <w:sz w:val="22"/>
          <w:szCs w:val="22"/>
        </w:rPr>
        <w:t xml:space="preserve">The icon represents a borehole in cross-section: concentric rings denoting depth layers, a horizontal scan line in Orange, and a central camera point. This mark communicates direct technical relevance, precision instrumentation, and the act of looking inward.</w:t>
      </w:r>
    </w:p>
    <w:p>
      <w:pPr>
        <w:pStyle w:val="Heading2"/>
        <w:spacing w:after="80" w:before="320"/>
      </w:pPr>
      <w:r>
        <w:rPr>
          <w:rFonts w:ascii="Arial" w:cs="Arial" w:eastAsia="Arial" w:hAnsi="Arial"/>
          <w:b/>
          <w:bCs/>
          <w:color w:val="2C2F35"/>
          <w:sz w:val="26"/>
          <w:szCs w:val="26"/>
        </w:rPr>
        <w:t xml:space="preserve">Concept B — "Strata Scan" (Probe &amp; Shaft Mark)</w:t>
      </w:r>
    </w:p>
    <w:p>
      <w:pPr>
        <w:spacing w:after="100" w:before="80"/>
      </w:pPr>
      <w:r>
        <w:rPr>
          <w:rFonts w:ascii="Arial" w:cs="Arial" w:eastAsia="Arial" w:hAnsi="Arial"/>
          <w:color w:val="2C2F35"/>
          <w:sz w:val="22"/>
          <w:szCs w:val="22"/>
        </w:rPr>
        <w:t xml:space="preserve">A vertical borehole shaft with a deployed camera probe and depth measurement ticks. The ascending signal arcs in Orange suggest live data transmission. This icon skews more narrative — it tells the story of the survey in a single glyph.</w:t>
      </w:r>
    </w:p>
    <w:p>
      <w:pPr>
        <w:pStyle w:val="Heading2"/>
        <w:spacing w:after="80" w:before="320"/>
      </w:pPr>
      <w:r>
        <w:rPr>
          <w:rFonts w:ascii="Arial" w:cs="Arial" w:eastAsia="Arial" w:hAnsi="Arial"/>
          <w:b/>
          <w:bCs/>
          <w:color w:val="2C2F35"/>
          <w:sz w:val="26"/>
          <w:szCs w:val="26"/>
        </w:rPr>
        <w:t xml:space="preserve">Concept C — "CoreLog Technologies" (Hexagonal Waveform Mark)</w:t>
      </w:r>
    </w:p>
    <w:p>
      <w:pPr>
        <w:spacing w:after="100" w:before="80"/>
      </w:pPr>
      <w:r>
        <w:rPr>
          <w:rFonts w:ascii="Arial" w:cs="Arial" w:eastAsia="Arial" w:hAnsi="Arial"/>
          <w:color w:val="2C2F35"/>
          <w:sz w:val="22"/>
          <w:szCs w:val="22"/>
        </w:rPr>
        <w:t xml:space="preserve">A hexagonal frame (referencing geological structure and engineering precision) contains a measurement waveform in Orange. The hex form is highly versatile — it works as an app icon, embossed on hardware, and at very small sizes. The name "CoreLog" references both core sampling and well logging.</w:t>
      </w:r>
    </w:p>
    <w:p>
      <w:pPr>
        <w:pStyle w:val="Heading2"/>
        <w:spacing w:after="80" w:before="320"/>
      </w:pPr>
      <w:r>
        <w:rPr>
          <w:rFonts w:ascii="Arial" w:cs="Arial" w:eastAsia="Arial" w:hAnsi="Arial"/>
          <w:b/>
          <w:bCs/>
          <w:color w:val="2C2F35"/>
          <w:sz w:val="26"/>
          <w:szCs w:val="26"/>
        </w:rPr>
        <w:t xml:space="preserve">Clear Space &amp; Minimum Size</w:t>
      </w:r>
    </w:p>
    <w:p>
      <w:pPr>
        <w:pStyle w:val="ListParagraph"/>
        <w:numPr>
          <w:ilvl w:val="0"/>
          <w:numId w:val="2"/>
        </w:numPr>
        <w:spacing w:after="60" w:before="60"/>
      </w:pPr>
      <w:r>
        <w:rPr>
          <w:rFonts w:ascii="Arial" w:cs="Arial" w:eastAsia="Arial" w:hAnsi="Arial"/>
          <w:color w:val="2C2F35"/>
          <w:sz w:val="22"/>
          <w:szCs w:val="22"/>
        </w:rPr>
        <w:t xml:space="preserve">Clear space: minimum 1× the height of the cap-height around all sides of the logo</w:t>
      </w:r>
    </w:p>
    <w:p>
      <w:pPr>
        <w:pStyle w:val="ListParagraph"/>
        <w:numPr>
          <w:ilvl w:val="0"/>
          <w:numId w:val="2"/>
        </w:numPr>
        <w:spacing w:after="60" w:before="60"/>
      </w:pPr>
      <w:r>
        <w:rPr>
          <w:rFonts w:ascii="Arial" w:cs="Arial" w:eastAsia="Arial" w:hAnsi="Arial"/>
          <w:color w:val="2C2F35"/>
          <w:sz w:val="22"/>
          <w:szCs w:val="22"/>
        </w:rPr>
        <w:t xml:space="preserve">Minimum print size: 20mm wide for the full wordmark, 10mm for the mark alone</w:t>
      </w:r>
    </w:p>
    <w:p>
      <w:pPr>
        <w:pStyle w:val="ListParagraph"/>
        <w:numPr>
          <w:ilvl w:val="0"/>
          <w:numId w:val="2"/>
        </w:numPr>
        <w:spacing w:after="60" w:before="60"/>
      </w:pPr>
      <w:r>
        <w:rPr>
          <w:rFonts w:ascii="Arial" w:cs="Arial" w:eastAsia="Arial" w:hAnsi="Arial"/>
          <w:color w:val="2C2F35"/>
          <w:sz w:val="22"/>
          <w:szCs w:val="22"/>
        </w:rPr>
        <w:t xml:space="preserve">Minimum digital size: 80px wide for the full wordmark, 32px for the mark alone</w:t>
      </w:r>
    </w:p>
    <w:p>
      <w:pPr>
        <w:pStyle w:val="Heading2"/>
        <w:spacing w:after="80" w:before="320"/>
      </w:pPr>
      <w:r>
        <w:rPr>
          <w:rFonts w:ascii="Arial" w:cs="Arial" w:eastAsia="Arial" w:hAnsi="Arial"/>
          <w:b/>
          <w:bCs/>
          <w:color w:val="2C2F35"/>
          <w:sz w:val="26"/>
          <w:szCs w:val="26"/>
        </w:rPr>
        <w:t xml:space="preserve">Colour Versions</w:t>
      </w:r>
    </w:p>
    <w:p>
      <w:pPr>
        <w:pStyle w:val="ListParagraph"/>
        <w:numPr>
          <w:ilvl w:val="0"/>
          <w:numId w:val="2"/>
        </w:numPr>
        <w:spacing w:after="60" w:before="60"/>
      </w:pPr>
      <w:r>
        <w:rPr>
          <w:rFonts w:ascii="Arial" w:cs="Arial" w:eastAsia="Arial" w:hAnsi="Arial"/>
          <w:color w:val="2C2F35"/>
          <w:sz w:val="22"/>
          <w:szCs w:val="22"/>
        </w:rPr>
        <w:t xml:space="preserve">Primary: Deep Blue mark + Basalt wordmark on White or Off-White</w:t>
      </w:r>
    </w:p>
    <w:p>
      <w:pPr>
        <w:pStyle w:val="ListParagraph"/>
        <w:numPr>
          <w:ilvl w:val="0"/>
          <w:numId w:val="2"/>
        </w:numPr>
        <w:spacing w:after="60" w:before="60"/>
      </w:pPr>
      <w:r>
        <w:rPr>
          <w:rFonts w:ascii="Arial" w:cs="Arial" w:eastAsia="Arial" w:hAnsi="Arial"/>
          <w:color w:val="2C2F35"/>
          <w:sz w:val="22"/>
          <w:szCs w:val="22"/>
        </w:rPr>
        <w:t xml:space="preserve">Reversed: Mid Blue mark + Light wordmark on Deep Blue or dark photography</w:t>
      </w:r>
    </w:p>
    <w:p>
      <w:pPr>
        <w:pStyle w:val="ListParagraph"/>
        <w:numPr>
          <w:ilvl w:val="0"/>
          <w:numId w:val="2"/>
        </w:numPr>
        <w:spacing w:after="60" w:before="60"/>
      </w:pPr>
      <w:r>
        <w:rPr>
          <w:rFonts w:ascii="Arial" w:cs="Arial" w:eastAsia="Arial" w:hAnsi="Arial"/>
          <w:color w:val="2C2F35"/>
          <w:sz w:val="22"/>
          <w:szCs w:val="22"/>
        </w:rPr>
        <w:t xml:space="preserve">Single colour: Full Deep Blue or full White — for embossing, screen printing, fax</w:t>
      </w:r>
    </w:p>
    <w:p>
      <w:pPr>
        <w:pStyle w:val="ListParagraph"/>
        <w:numPr>
          <w:ilvl w:val="0"/>
          <w:numId w:val="2"/>
        </w:numPr>
        <w:spacing w:after="60" w:before="60"/>
      </w:pPr>
      <w:r>
        <w:rPr>
          <w:rFonts w:ascii="Arial" w:cs="Arial" w:eastAsia="Arial" w:hAnsi="Arial"/>
          <w:color w:val="2C2F35"/>
          <w:sz w:val="22"/>
          <w:szCs w:val="22"/>
        </w:rPr>
        <w:t xml:space="preserve">Never use Orange as the sole logo colour — it lacks sufficient weight at small sizes</w:t>
      </w:r>
    </w:p>
    <w:p>
      <w:pPr>
        <w:pStyle w:val="Heading2"/>
        <w:spacing w:after="80" w:before="320"/>
      </w:pPr>
      <w:r>
        <w:rPr>
          <w:rFonts w:ascii="Arial" w:cs="Arial" w:eastAsia="Arial" w:hAnsi="Arial"/>
          <w:b/>
          <w:bCs/>
          <w:color w:val="2C2F35"/>
          <w:sz w:val="26"/>
          <w:szCs w:val="26"/>
        </w:rPr>
        <w:t xml:space="preserve">Prohibited Uses</w:t>
      </w:r>
    </w:p>
    <w:p>
      <w:pPr>
        <w:pStyle w:val="ListParagraph"/>
        <w:numPr>
          <w:ilvl w:val="0"/>
          <w:numId w:val="2"/>
        </w:numPr>
        <w:spacing w:after="60" w:before="60"/>
      </w:pPr>
      <w:r>
        <w:rPr>
          <w:rFonts w:ascii="Arial" w:cs="Arial" w:eastAsia="Arial" w:hAnsi="Arial"/>
          <w:color w:val="2C2F35"/>
          <w:sz w:val="22"/>
          <w:szCs w:val="22"/>
        </w:rPr>
        <w:t xml:space="preserve">Do not stretch, skew, or recolour the logo outside the approved palette</w:t>
      </w:r>
    </w:p>
    <w:p>
      <w:pPr>
        <w:pStyle w:val="ListParagraph"/>
        <w:numPr>
          <w:ilvl w:val="0"/>
          <w:numId w:val="2"/>
        </w:numPr>
        <w:spacing w:after="60" w:before="60"/>
      </w:pPr>
      <w:r>
        <w:rPr>
          <w:rFonts w:ascii="Arial" w:cs="Arial" w:eastAsia="Arial" w:hAnsi="Arial"/>
          <w:color w:val="2C2F35"/>
          <w:sz w:val="22"/>
          <w:szCs w:val="22"/>
        </w:rPr>
        <w:t xml:space="preserve">Do not place the logo over busy imagery without a colour-safe knockout</w:t>
      </w:r>
    </w:p>
    <w:p>
      <w:pPr>
        <w:pStyle w:val="ListParagraph"/>
        <w:numPr>
          <w:ilvl w:val="0"/>
          <w:numId w:val="2"/>
        </w:numPr>
        <w:spacing w:after="60" w:before="60"/>
      </w:pPr>
      <w:r>
        <w:rPr>
          <w:rFonts w:ascii="Arial" w:cs="Arial" w:eastAsia="Arial" w:hAnsi="Arial"/>
          <w:color w:val="2C2F35"/>
          <w:sz w:val="22"/>
          <w:szCs w:val="22"/>
        </w:rPr>
        <w:t xml:space="preserve">Do not use drop shadows, bevels, or any visual effects on the logo</w:t>
      </w:r>
    </w:p>
    <w:p>
      <w:pPr>
        <w:pStyle w:val="ListParagraph"/>
        <w:numPr>
          <w:ilvl w:val="0"/>
          <w:numId w:val="2"/>
        </w:numPr>
        <w:spacing w:after="60" w:before="60"/>
      </w:pPr>
      <w:r>
        <w:rPr>
          <w:rFonts w:ascii="Arial" w:cs="Arial" w:eastAsia="Arial" w:hAnsi="Arial"/>
          <w:color w:val="2C2F35"/>
          <w:sz w:val="22"/>
          <w:szCs w:val="22"/>
        </w:rPr>
        <w:t xml:space="preserve">Do not rearrange or alter the relationship between the mark and wordmark</w:t>
      </w:r>
    </w:p>
    <w:p>
      <w:pPr>
        <w:pStyle w:val="ListParagraph"/>
        <w:numPr>
          <w:ilvl w:val="0"/>
          <w:numId w:val="2"/>
        </w:numPr>
        <w:spacing w:after="60" w:before="60"/>
      </w:pPr>
      <w:r>
        <w:rPr>
          <w:rFonts w:ascii="Arial" w:cs="Arial" w:eastAsia="Arial" w:hAnsi="Arial"/>
          <w:color w:val="2C2F35"/>
          <w:sz w:val="22"/>
          <w:szCs w:val="22"/>
        </w:rPr>
        <w:t xml:space="preserve">Do not use the full wordmark at sizes below minimum — use the mark alone instead</w:t>
      </w:r>
    </w:p>
    <w:p>
      <w:r>
        <w:br w:type="page"/>
      </w:r>
    </w:p>
    <w:p>
      <w:pPr>
        <w:pStyle w:val="Heading1"/>
        <w:spacing w:after="120" w:before="480"/>
      </w:pPr>
      <w:r>
        <w:rPr>
          <w:rFonts w:ascii="Arial" w:cs="Arial" w:eastAsia="Arial" w:hAnsi="Arial"/>
          <w:b/>
          <w:bCs/>
          <w:color w:val="1A4B8C"/>
          <w:sz w:val="36"/>
          <w:szCs w:val="36"/>
        </w:rPr>
        <w:t xml:space="preserve">5. Voice &amp; Tone</w:t>
      </w:r>
    </w:p>
    <w:p>
      <w:pPr>
        <w:pBdr>
          <w:bottom w:val="single" w:color="2D6CC0" w:sz="6" w:space="1"/>
        </w:pBdr>
        <w:spacing w:after="240" w:before="0"/>
      </w:pPr>
    </w:p>
    <w:p>
      <w:pPr>
        <w:spacing w:after="100" w:before="80"/>
      </w:pPr>
      <w:r>
        <w:rPr>
          <w:rFonts w:ascii="Arial" w:cs="Arial" w:eastAsia="Arial" w:hAnsi="Arial"/>
          <w:color w:val="2C2F35"/>
          <w:sz w:val="22"/>
          <w:szCs w:val="22"/>
        </w:rPr>
        <w:t xml:space="preserve">The brand voice is grounded, precise and energised. We speak with the confidence of people who know exactly what they are doing — and the warmth of people who enjoy it.</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4DA" w:sz="1"/>
              <w:left w:val="single" w:color="D0D4DA" w:sz="1"/>
              <w:bottom w:val="single" w:color="D0D4DA" w:sz="1"/>
              <w:right w:val="single" w:color="D0D4DA" w:sz="1"/>
            </w:tcBorders>
            <w:shd w:fill="1A4B8C" w:val="clear"/>
            <w:tcMar>
              <w:top w:type="dxa" w:w="100"/>
              <w:left w:type="dxa" w:w="160"/>
              <w:bottom w:type="dxa" w:w="100"/>
              <w:right w:type="dxa" w:w="160"/>
            </w:tcMar>
          </w:tcPr>
          <w:p>
            <w:r>
              <w:rPr>
                <w:rFonts w:ascii="Arial" w:cs="Arial" w:eastAsia="Arial" w:hAnsi="Arial"/>
                <w:b/>
                <w:bCs/>
                <w:color w:val="FFFFFF"/>
                <w:sz w:val="22"/>
                <w:szCs w:val="22"/>
              </w:rPr>
              <w:t xml:space="preserve">We sound like this</w:t>
            </w:r>
          </w:p>
        </w:tc>
        <w:tc>
          <w:tcPr>
            <w:tcW w:type="dxa" w:w="4680"/>
            <w:tcBorders>
              <w:top w:val="single" w:color="D0D4DA" w:sz="1"/>
              <w:left w:val="single" w:color="D0D4DA" w:sz="1"/>
              <w:bottom w:val="single" w:color="D0D4DA" w:sz="1"/>
              <w:right w:val="single" w:color="D0D4DA" w:sz="1"/>
            </w:tcBorders>
            <w:shd w:fill="4A4E57" w:val="clear"/>
            <w:tcMar>
              <w:top w:type="dxa" w:w="100"/>
              <w:left w:type="dxa" w:w="160"/>
              <w:bottom w:type="dxa" w:w="100"/>
              <w:right w:type="dxa" w:w="160"/>
            </w:tcMar>
          </w:tcPr>
          <w:p>
            <w:r>
              <w:rPr>
                <w:rFonts w:ascii="Arial" w:cs="Arial" w:eastAsia="Arial" w:hAnsi="Arial"/>
                <w:b/>
                <w:bCs/>
                <w:color w:val="FFFFFF"/>
                <w:sz w:val="22"/>
                <w:szCs w:val="22"/>
              </w:rPr>
              <w:t xml:space="preserve">Not like this</w:t>
            </w:r>
          </w:p>
        </w:tc>
      </w:tr>
      <w:tr>
        <w:tc>
          <w:tcPr>
            <w:tcW w:type="dxa" w:w="4680"/>
            <w:tcBorders>
              <w:top w:val="single" w:color="D0D4DA" w:sz="1"/>
              <w:left w:val="single" w:color="D0D4DA" w:sz="1"/>
              <w:bottom w:val="single" w:color="D0D4DA" w:sz="1"/>
              <w:right w:val="single" w:color="D0D4DA" w:sz="1"/>
            </w:tcBorders>
            <w:shd w:fill="E6F1FB" w:val="clear"/>
            <w:tcMar>
              <w:top w:type="dxa" w:w="100"/>
              <w:left w:type="dxa" w:w="160"/>
              <w:bottom w:type="dxa" w:w="100"/>
              <w:right w:type="dxa" w:w="160"/>
            </w:tcMar>
          </w:tcPr>
          <w:p>
            <w:r>
              <w:rPr>
                <w:rFonts w:ascii="Arial" w:cs="Arial" w:eastAsia="Arial" w:hAnsi="Arial"/>
                <w:i/>
                <w:iCs/>
                <w:color w:val="2C2F35"/>
                <w:sz w:val="20"/>
                <w:szCs w:val="20"/>
              </w:rPr>
              <w:t xml:space="preserve">"Full 360° colour footage at 40m depth, 1mm resolution."</w:t>
            </w:r>
          </w:p>
        </w:tc>
        <w:tc>
          <w:tcPr>
            <w:tcW w:type="dxa" w:w="4680"/>
            <w:tcBorders>
              <w:top w:val="single" w:color="D0D4DA" w:sz="1"/>
              <w:left w:val="single" w:color="D0D4DA" w:sz="1"/>
              <w:bottom w:val="single" w:color="D0D4DA" w:sz="1"/>
              <w:right w:val="single" w:color="D0D4DA" w:sz="1"/>
            </w:tcBorders>
            <w:shd w:fill="E6F1FB" w:val="clear"/>
            <w:tcMar>
              <w:top w:type="dxa" w:w="100"/>
              <w:left w:type="dxa" w:w="160"/>
              <w:bottom w:type="dxa" w:w="100"/>
              <w:right w:type="dxa" w:w="160"/>
            </w:tcMar>
          </w:tcPr>
          <w:p>
            <w:r>
              <w:rPr>
                <w:rFonts w:ascii="Arial" w:cs="Arial" w:eastAsia="Arial" w:hAnsi="Arial"/>
                <w:i/>
                <w:iCs/>
                <w:color w:val="2C2F35"/>
                <w:sz w:val="20"/>
                <w:szCs w:val="20"/>
              </w:rPr>
              <w:t xml:space="preserve">"We provide world-class imaging solutions across all subsurface environments."</w:t>
            </w:r>
          </w:p>
        </w:tc>
      </w:tr>
      <w:tr>
        <w:tc>
          <w:tcPr>
            <w:tcW w:type="dxa" w:w="4680"/>
            <w:tcBorders>
              <w:top w:val="single" w:color="D0D4DA" w:sz="1"/>
              <w:left w:val="single" w:color="D0D4DA" w:sz="1"/>
              <w:bottom w:val="single" w:color="D0D4DA" w:sz="1"/>
              <w:right w:val="single" w:color="D0D4DA" w:sz="1"/>
            </w:tcBorders>
            <w:shd w:fill="FFFFFF" w:val="clear"/>
            <w:tcMar>
              <w:top w:type="dxa" w:w="100"/>
              <w:left w:type="dxa" w:w="160"/>
              <w:bottom w:type="dxa" w:w="100"/>
              <w:right w:type="dxa" w:w="160"/>
            </w:tcMar>
          </w:tcPr>
          <w:p>
            <w:r>
              <w:rPr>
                <w:rFonts w:ascii="Arial" w:cs="Arial" w:eastAsia="Arial" w:hAnsi="Arial"/>
                <w:i/>
                <w:iCs/>
                <w:color w:val="2C2F35"/>
                <w:sz w:val="20"/>
                <w:szCs w:val="20"/>
              </w:rPr>
              <w:t xml:space="preserve">"We found the fracture at 27.4m. Here is what it looks like."</w:t>
            </w:r>
          </w:p>
        </w:tc>
        <w:tc>
          <w:tcPr>
            <w:tcW w:type="dxa" w:w="4680"/>
            <w:tcBorders>
              <w:top w:val="single" w:color="D0D4DA" w:sz="1"/>
              <w:left w:val="single" w:color="D0D4DA" w:sz="1"/>
              <w:bottom w:val="single" w:color="D0D4DA" w:sz="1"/>
              <w:right w:val="single" w:color="D0D4DA" w:sz="1"/>
            </w:tcBorders>
            <w:shd w:fill="FFFFFF" w:val="clear"/>
            <w:tcMar>
              <w:top w:type="dxa" w:w="100"/>
              <w:left w:type="dxa" w:w="160"/>
              <w:bottom w:type="dxa" w:w="100"/>
              <w:right w:type="dxa" w:w="160"/>
            </w:tcMar>
          </w:tcPr>
          <w:p>
            <w:r>
              <w:rPr>
                <w:rFonts w:ascii="Arial" w:cs="Arial" w:eastAsia="Arial" w:hAnsi="Arial"/>
                <w:i/>
                <w:iCs/>
                <w:color w:val="2C2F35"/>
                <w:sz w:val="20"/>
                <w:szCs w:val="20"/>
              </w:rPr>
              <w:t xml:space="preserve">"Our proprietary technology enables comprehensive defect characterisation."</w:t>
            </w:r>
          </w:p>
        </w:tc>
      </w:tr>
      <w:tr>
        <w:tc>
          <w:tcPr>
            <w:tcW w:type="dxa" w:w="4680"/>
            <w:tcBorders>
              <w:top w:val="single" w:color="D0D4DA" w:sz="1"/>
              <w:left w:val="single" w:color="D0D4DA" w:sz="1"/>
              <w:bottom w:val="single" w:color="D0D4DA" w:sz="1"/>
              <w:right w:val="single" w:color="D0D4DA" w:sz="1"/>
            </w:tcBorders>
            <w:shd w:fill="E6F1FB" w:val="clear"/>
            <w:tcMar>
              <w:top w:type="dxa" w:w="100"/>
              <w:left w:type="dxa" w:w="160"/>
              <w:bottom w:type="dxa" w:w="100"/>
              <w:right w:type="dxa" w:w="160"/>
            </w:tcMar>
          </w:tcPr>
          <w:p>
            <w:r>
              <w:rPr>
                <w:rFonts w:ascii="Arial" w:cs="Arial" w:eastAsia="Arial" w:hAnsi="Arial"/>
                <w:i/>
                <w:iCs/>
                <w:color w:val="2C2F35"/>
                <w:sz w:val="20"/>
                <w:szCs w:val="20"/>
              </w:rPr>
              <w:t xml:space="preserve">"Same-day turnaround on standard surveys. Ask us about complex sites."</w:t>
            </w:r>
          </w:p>
        </w:tc>
        <w:tc>
          <w:tcPr>
            <w:tcW w:type="dxa" w:w="4680"/>
            <w:tcBorders>
              <w:top w:val="single" w:color="D0D4DA" w:sz="1"/>
              <w:left w:val="single" w:color="D0D4DA" w:sz="1"/>
              <w:bottom w:val="single" w:color="D0D4DA" w:sz="1"/>
              <w:right w:val="single" w:color="D0D4DA" w:sz="1"/>
            </w:tcBorders>
            <w:shd w:fill="E6F1FB" w:val="clear"/>
            <w:tcMar>
              <w:top w:type="dxa" w:w="100"/>
              <w:left w:type="dxa" w:w="160"/>
              <w:bottom w:type="dxa" w:w="100"/>
              <w:right w:type="dxa" w:w="160"/>
            </w:tcMar>
          </w:tcPr>
          <w:p>
            <w:r>
              <w:rPr>
                <w:rFonts w:ascii="Arial" w:cs="Arial" w:eastAsia="Arial" w:hAnsi="Arial"/>
                <w:i/>
                <w:iCs/>
                <w:color w:val="2C2F35"/>
                <w:sz w:val="20"/>
                <w:szCs w:val="20"/>
              </w:rPr>
              <w:t xml:space="preserve">"We strive to deliver timely results across a variety of project types."</w:t>
            </w:r>
          </w:p>
        </w:tc>
      </w:tr>
      <w:tr>
        <w:tc>
          <w:tcPr>
            <w:tcW w:type="dxa" w:w="4680"/>
            <w:tcBorders>
              <w:top w:val="single" w:color="D0D4DA" w:sz="1"/>
              <w:left w:val="single" w:color="D0D4DA" w:sz="1"/>
              <w:bottom w:val="single" w:color="D0D4DA" w:sz="1"/>
              <w:right w:val="single" w:color="D0D4DA" w:sz="1"/>
            </w:tcBorders>
            <w:shd w:fill="FFFFFF" w:val="clear"/>
            <w:tcMar>
              <w:top w:type="dxa" w:w="100"/>
              <w:left w:type="dxa" w:w="160"/>
              <w:bottom w:type="dxa" w:w="100"/>
              <w:right w:type="dxa" w:w="160"/>
            </w:tcMar>
          </w:tcPr>
          <w:p>
            <w:r>
              <w:rPr>
                <w:rFonts w:ascii="Arial" w:cs="Arial" w:eastAsia="Arial" w:hAnsi="Arial"/>
                <w:i/>
                <w:iCs/>
                <w:color w:val="2C2F35"/>
                <w:sz w:val="20"/>
                <w:szCs w:val="20"/>
              </w:rPr>
              <w:t xml:space="preserve">"Your data, exported clean, ready for your software."</w:t>
            </w:r>
          </w:p>
        </w:tc>
        <w:tc>
          <w:tcPr>
            <w:tcW w:type="dxa" w:w="4680"/>
            <w:tcBorders>
              <w:top w:val="single" w:color="D0D4DA" w:sz="1"/>
              <w:left w:val="single" w:color="D0D4DA" w:sz="1"/>
              <w:bottom w:val="single" w:color="D0D4DA" w:sz="1"/>
              <w:right w:val="single" w:color="D0D4DA" w:sz="1"/>
            </w:tcBorders>
            <w:shd w:fill="FFFFFF" w:val="clear"/>
            <w:tcMar>
              <w:top w:type="dxa" w:w="100"/>
              <w:left w:type="dxa" w:w="160"/>
              <w:bottom w:type="dxa" w:w="100"/>
              <w:right w:type="dxa" w:w="160"/>
            </w:tcMar>
          </w:tcPr>
          <w:p>
            <w:r>
              <w:rPr>
                <w:rFonts w:ascii="Arial" w:cs="Arial" w:eastAsia="Arial" w:hAnsi="Arial"/>
                <w:i/>
                <w:iCs/>
                <w:color w:val="2C2F35"/>
                <w:sz w:val="20"/>
                <w:szCs w:val="20"/>
              </w:rPr>
              <w:t xml:space="preserve">"We offer a range of data delivery formats to meet stakeholder requirements."</w:t>
            </w:r>
          </w:p>
        </w:tc>
      </w:tr>
    </w:tbl>
    <w:p>
      <w:pPr>
        <w:spacing w:after="0" w:before="240"/>
      </w:pPr>
    </w:p>
    <w:p>
      <w:pPr>
        <w:pStyle w:val="Heading2"/>
        <w:spacing w:after="80" w:before="320"/>
      </w:pPr>
      <w:r>
        <w:rPr>
          <w:rFonts w:ascii="Arial" w:cs="Arial" w:eastAsia="Arial" w:hAnsi="Arial"/>
          <w:b/>
          <w:bCs/>
          <w:color w:val="2C2F35"/>
          <w:sz w:val="26"/>
          <w:szCs w:val="26"/>
        </w:rPr>
        <w:t xml:space="preserve">Writing Principles</w:t>
      </w:r>
    </w:p>
    <w:p>
      <w:pPr>
        <w:pStyle w:val="ListParagraph"/>
        <w:numPr>
          <w:ilvl w:val="0"/>
          <w:numId w:val="2"/>
        </w:numPr>
        <w:spacing w:after="60" w:before="60"/>
      </w:pPr>
      <w:r>
        <w:rPr>
          <w:rFonts w:ascii="Arial" w:cs="Arial" w:eastAsia="Arial" w:hAnsi="Arial"/>
          <w:color w:val="2C2F35"/>
          <w:sz w:val="22"/>
          <w:szCs w:val="22"/>
        </w:rPr>
        <w:t xml:space="preserve">Lead with specifics — depth, resolution, duration, file format — not vague superlatives</w:t>
      </w:r>
    </w:p>
    <w:p>
      <w:pPr>
        <w:pStyle w:val="ListParagraph"/>
        <w:numPr>
          <w:ilvl w:val="0"/>
          <w:numId w:val="2"/>
        </w:numPr>
        <w:spacing w:after="60" w:before="60"/>
      </w:pPr>
      <w:r>
        <w:rPr>
          <w:rFonts w:ascii="Arial" w:cs="Arial" w:eastAsia="Arial" w:hAnsi="Arial"/>
          <w:color w:val="2C2F35"/>
          <w:sz w:val="22"/>
          <w:szCs w:val="22"/>
        </w:rPr>
        <w:t xml:space="preserve">Use active voice and short sentences. Average sentence length: under 18 words</w:t>
      </w:r>
    </w:p>
    <w:p>
      <w:pPr>
        <w:pStyle w:val="ListParagraph"/>
        <w:numPr>
          <w:ilvl w:val="0"/>
          <w:numId w:val="2"/>
        </w:numPr>
        <w:spacing w:after="60" w:before="60"/>
      </w:pPr>
      <w:r>
        <w:rPr>
          <w:rFonts w:ascii="Arial" w:cs="Arial" w:eastAsia="Arial" w:hAnsi="Arial"/>
          <w:color w:val="2C2F35"/>
          <w:sz w:val="22"/>
          <w:szCs w:val="22"/>
        </w:rPr>
        <w:t xml:space="preserve">Optimistic framing: describe what is possible, not what is difficult</w:t>
      </w:r>
    </w:p>
    <w:p>
      <w:pPr>
        <w:pStyle w:val="ListParagraph"/>
        <w:numPr>
          <w:ilvl w:val="0"/>
          <w:numId w:val="2"/>
        </w:numPr>
        <w:spacing w:after="60" w:before="60"/>
      </w:pPr>
      <w:r>
        <w:rPr>
          <w:rFonts w:ascii="Arial" w:cs="Arial" w:eastAsia="Arial" w:hAnsi="Arial"/>
          <w:color w:val="2C2F35"/>
          <w:sz w:val="22"/>
          <w:szCs w:val="22"/>
        </w:rPr>
        <w:t xml:space="preserve">Technical precision is a virtue, but jargon must earn its place — define it on first use</w:t>
      </w:r>
    </w:p>
    <w:p>
      <w:pPr>
        <w:pStyle w:val="ListParagraph"/>
        <w:numPr>
          <w:ilvl w:val="0"/>
          <w:numId w:val="2"/>
        </w:numPr>
        <w:spacing w:after="60" w:before="60"/>
      </w:pPr>
      <w:r>
        <w:rPr>
          <w:rFonts w:ascii="Arial" w:cs="Arial" w:eastAsia="Arial" w:hAnsi="Arial"/>
          <w:color w:val="2C2F35"/>
          <w:sz w:val="22"/>
          <w:szCs w:val="22"/>
        </w:rPr>
        <w:t xml:space="preserve">Avoid: "world-class", "cutting-edge", "state-of-the-art", "end-to-end solution"</w:t>
      </w:r>
    </w:p>
    <w:p>
      <w:pPr>
        <w:pStyle w:val="ListParagraph"/>
        <w:numPr>
          <w:ilvl w:val="0"/>
          <w:numId w:val="2"/>
        </w:numPr>
        <w:spacing w:after="60" w:before="60"/>
      </w:pPr>
      <w:r>
        <w:rPr>
          <w:rFonts w:ascii="Arial" w:cs="Arial" w:eastAsia="Arial" w:hAnsi="Arial"/>
          <w:color w:val="2C2F35"/>
          <w:sz w:val="22"/>
          <w:szCs w:val="22"/>
        </w:rPr>
        <w:t xml:space="preserve">Use: specific numbers, named technologies, direct outcomes, named client benefits</w:t>
      </w:r>
    </w:p>
    <w:p>
      <w:r>
        <w:br w:type="page"/>
      </w:r>
    </w:p>
    <w:p>
      <w:pPr>
        <w:pStyle w:val="Heading1"/>
        <w:spacing w:after="120" w:before="480"/>
      </w:pPr>
      <w:r>
        <w:rPr>
          <w:rFonts w:ascii="Arial" w:cs="Arial" w:eastAsia="Arial" w:hAnsi="Arial"/>
          <w:b/>
          <w:bCs/>
          <w:color w:val="1A4B8C"/>
          <w:sz w:val="36"/>
          <w:szCs w:val="36"/>
        </w:rPr>
        <w:t xml:space="preserve">6. Brand Applications</w:t>
      </w:r>
    </w:p>
    <w:p>
      <w:pPr>
        <w:pBdr>
          <w:bottom w:val="single" w:color="1A4B8C" w:sz="6" w:space="1"/>
        </w:pBdr>
        <w:spacing w:after="240" w:before="0"/>
      </w:pPr>
    </w:p>
    <w:p>
      <w:pPr>
        <w:pStyle w:val="Heading2"/>
        <w:spacing w:after="80" w:before="320"/>
      </w:pPr>
      <w:r>
        <w:rPr>
          <w:rFonts w:ascii="Arial" w:cs="Arial" w:eastAsia="Arial" w:hAnsi="Arial"/>
          <w:b/>
          <w:bCs/>
          <w:color w:val="2C2F35"/>
          <w:sz w:val="26"/>
          <w:szCs w:val="26"/>
        </w:rPr>
        <w:t xml:space="preserve">Field Equipment &amp; Vehicle</w:t>
      </w:r>
    </w:p>
    <w:p>
      <w:pPr>
        <w:pStyle w:val="ListParagraph"/>
        <w:numPr>
          <w:ilvl w:val="0"/>
          <w:numId w:val="2"/>
        </w:numPr>
        <w:spacing w:after="60" w:before="60"/>
      </w:pPr>
      <w:r>
        <w:rPr>
          <w:rFonts w:ascii="Arial" w:cs="Arial" w:eastAsia="Arial" w:hAnsi="Arial"/>
          <w:color w:val="2C2F35"/>
          <w:sz w:val="22"/>
          <w:szCs w:val="22"/>
        </w:rPr>
        <w:t xml:space="preserve">Logo on vehicle: full wordmark, minimum 300mm wide, Deep Blue on White or reversed on Blue</w:t>
      </w:r>
    </w:p>
    <w:p>
      <w:pPr>
        <w:pStyle w:val="ListParagraph"/>
        <w:numPr>
          <w:ilvl w:val="0"/>
          <w:numId w:val="2"/>
        </w:numPr>
        <w:spacing w:after="60" w:before="60"/>
      </w:pPr>
      <w:r>
        <w:rPr>
          <w:rFonts w:ascii="Arial" w:cs="Arial" w:eastAsia="Arial" w:hAnsi="Arial"/>
          <w:color w:val="2C2F35"/>
          <w:sz w:val="22"/>
          <w:szCs w:val="22"/>
        </w:rPr>
        <w:t xml:space="preserve">Equipment cases: logo mark only, debossed or printed in Deep Blue or White</w:t>
      </w:r>
    </w:p>
    <w:p>
      <w:pPr>
        <w:pStyle w:val="ListParagraph"/>
        <w:numPr>
          <w:ilvl w:val="0"/>
          <w:numId w:val="2"/>
        </w:numPr>
        <w:spacing w:after="60" w:before="60"/>
      </w:pPr>
      <w:r>
        <w:rPr>
          <w:rFonts w:ascii="Arial" w:cs="Arial" w:eastAsia="Arial" w:hAnsi="Arial"/>
          <w:color w:val="2C2F35"/>
          <w:sz w:val="22"/>
          <w:szCs w:val="22"/>
        </w:rPr>
        <w:t xml:space="preserve">Hi-vis workwear: mark embroidered on left chest, wordmark on back yoke</w:t>
      </w:r>
    </w:p>
    <w:p>
      <w:pPr>
        <w:pStyle w:val="ListParagraph"/>
        <w:numPr>
          <w:ilvl w:val="0"/>
          <w:numId w:val="2"/>
        </w:numPr>
        <w:spacing w:after="60" w:before="60"/>
      </w:pPr>
      <w:r>
        <w:rPr>
          <w:rFonts w:ascii="Arial" w:cs="Arial" w:eastAsia="Arial" w:hAnsi="Arial"/>
          <w:color w:val="2C2F35"/>
          <w:sz w:val="22"/>
          <w:szCs w:val="22"/>
        </w:rPr>
        <w:t xml:space="preserve">Hard hat sticker: mark alone, minimum 40mm, high-contrast version</w:t>
      </w:r>
    </w:p>
    <w:p>
      <w:pPr>
        <w:pStyle w:val="Heading2"/>
        <w:spacing w:after="80" w:before="320"/>
      </w:pPr>
      <w:r>
        <w:rPr>
          <w:rFonts w:ascii="Arial" w:cs="Arial" w:eastAsia="Arial" w:hAnsi="Arial"/>
          <w:b/>
          <w:bCs/>
          <w:color w:val="2C2F35"/>
          <w:sz w:val="26"/>
          <w:szCs w:val="26"/>
        </w:rPr>
        <w:t xml:space="preserve">Digital — Website</w:t>
      </w:r>
    </w:p>
    <w:p>
      <w:pPr>
        <w:pStyle w:val="ListParagraph"/>
        <w:numPr>
          <w:ilvl w:val="0"/>
          <w:numId w:val="2"/>
        </w:numPr>
        <w:spacing w:after="60" w:before="60"/>
      </w:pPr>
      <w:r>
        <w:rPr>
          <w:rFonts w:ascii="Arial" w:cs="Arial" w:eastAsia="Arial" w:hAnsi="Arial"/>
          <w:color w:val="2C2F35"/>
          <w:sz w:val="22"/>
          <w:szCs w:val="22"/>
        </w:rPr>
        <w:t xml:space="preserve">Primary nav: wordmark in Deep Blue on White header</w:t>
      </w:r>
    </w:p>
    <w:p>
      <w:pPr>
        <w:pStyle w:val="ListParagraph"/>
        <w:numPr>
          <w:ilvl w:val="0"/>
          <w:numId w:val="2"/>
        </w:numPr>
        <w:spacing w:after="60" w:before="60"/>
      </w:pPr>
      <w:r>
        <w:rPr>
          <w:rFonts w:ascii="Arial" w:cs="Arial" w:eastAsia="Arial" w:hAnsi="Arial"/>
          <w:color w:val="2C2F35"/>
          <w:sz w:val="22"/>
          <w:szCs w:val="22"/>
        </w:rPr>
        <w:t xml:space="preserve">Key statistics highlighted in Orange with Barlow Condensed Bold numerals</w:t>
      </w:r>
    </w:p>
    <w:p>
      <w:pPr>
        <w:pStyle w:val="ListParagraph"/>
        <w:numPr>
          <w:ilvl w:val="0"/>
          <w:numId w:val="2"/>
        </w:numPr>
        <w:spacing w:after="60" w:before="60"/>
      </w:pPr>
      <w:r>
        <w:rPr>
          <w:rFonts w:ascii="Arial" w:cs="Arial" w:eastAsia="Arial" w:hAnsi="Arial"/>
          <w:color w:val="2C2F35"/>
          <w:sz w:val="22"/>
          <w:szCs w:val="22"/>
        </w:rPr>
        <w:t xml:space="preserve">Photo backgrounds: geological imagery (rock faces, equipment, boreholes) desaturated –20%</w:t>
      </w:r>
    </w:p>
    <w:p>
      <w:pPr>
        <w:pStyle w:val="ListParagraph"/>
        <w:numPr>
          <w:ilvl w:val="0"/>
          <w:numId w:val="2"/>
        </w:numPr>
        <w:spacing w:after="60" w:before="60"/>
      </w:pPr>
      <w:r>
        <w:rPr>
          <w:rFonts w:ascii="Arial" w:cs="Arial" w:eastAsia="Arial" w:hAnsi="Arial"/>
          <w:color w:val="2C2F35"/>
          <w:sz w:val="22"/>
          <w:szCs w:val="22"/>
        </w:rPr>
        <w:t xml:space="preserve">Data visualisations: Deep Blue primary, Basalt secondary, Orange for highlights and anomalies</w:t>
      </w:r>
    </w:p>
    <w:p>
      <w:pPr>
        <w:pStyle w:val="ListParagraph"/>
        <w:numPr>
          <w:ilvl w:val="0"/>
          <w:numId w:val="2"/>
        </w:numPr>
        <w:spacing w:after="60" w:before="60"/>
      </w:pPr>
      <w:r>
        <w:rPr>
          <w:rFonts w:ascii="Arial" w:cs="Arial" w:eastAsia="Arial" w:hAnsi="Arial"/>
          <w:color w:val="2C2F35"/>
          <w:sz w:val="22"/>
          <w:szCs w:val="22"/>
        </w:rPr>
        <w:t xml:space="preserve">CTAs: Deep Blue fill, White text; hover state shifts to Mid Blue</w:t>
      </w:r>
    </w:p>
    <w:p>
      <w:pPr>
        <w:pStyle w:val="Heading2"/>
        <w:spacing w:after="80" w:before="320"/>
      </w:pPr>
      <w:r>
        <w:rPr>
          <w:rFonts w:ascii="Arial" w:cs="Arial" w:eastAsia="Arial" w:hAnsi="Arial"/>
          <w:b/>
          <w:bCs/>
          <w:color w:val="2C2F35"/>
          <w:sz w:val="26"/>
          <w:szCs w:val="26"/>
        </w:rPr>
        <w:t xml:space="preserve">Reports &amp; Deliverables</w:t>
      </w:r>
    </w:p>
    <w:p>
      <w:pPr>
        <w:pStyle w:val="ListParagraph"/>
        <w:numPr>
          <w:ilvl w:val="0"/>
          <w:numId w:val="2"/>
        </w:numPr>
        <w:spacing w:after="60" w:before="60"/>
      </w:pPr>
      <w:r>
        <w:rPr>
          <w:rFonts w:ascii="Arial" w:cs="Arial" w:eastAsia="Arial" w:hAnsi="Arial"/>
          <w:color w:val="2C2F35"/>
          <w:sz w:val="22"/>
          <w:szCs w:val="22"/>
        </w:rPr>
        <w:t xml:space="preserve">Cover: wordmark top-left, Deep Blue accent bar bottom, site photography full-bleed</w:t>
      </w:r>
    </w:p>
    <w:p>
      <w:pPr>
        <w:pStyle w:val="ListParagraph"/>
        <w:numPr>
          <w:ilvl w:val="0"/>
          <w:numId w:val="2"/>
        </w:numPr>
        <w:spacing w:after="60" w:before="60"/>
      </w:pPr>
      <w:r>
        <w:rPr>
          <w:rFonts w:ascii="Arial" w:cs="Arial" w:eastAsia="Arial" w:hAnsi="Arial"/>
          <w:color w:val="2C2F35"/>
          <w:sz w:val="22"/>
          <w:szCs w:val="22"/>
        </w:rPr>
        <w:t xml:space="preserve">Body pages: Barlow body text, IBM Plex Mono for all measurement data and coordinates</w:t>
      </w:r>
    </w:p>
    <w:p>
      <w:pPr>
        <w:pStyle w:val="ListParagraph"/>
        <w:numPr>
          <w:ilvl w:val="0"/>
          <w:numId w:val="2"/>
        </w:numPr>
        <w:spacing w:after="60" w:before="60"/>
      </w:pPr>
      <w:r>
        <w:rPr>
          <w:rFonts w:ascii="Arial" w:cs="Arial" w:eastAsia="Arial" w:hAnsi="Arial"/>
          <w:color w:val="2C2F35"/>
          <w:sz w:val="22"/>
          <w:szCs w:val="22"/>
        </w:rPr>
        <w:t xml:space="preserve">Depth scale graphics: Deep Blue line, Orange measurement markers, Basalt annotations</w:t>
      </w:r>
    </w:p>
    <w:p>
      <w:pPr>
        <w:pStyle w:val="ListParagraph"/>
        <w:numPr>
          <w:ilvl w:val="0"/>
          <w:numId w:val="2"/>
        </w:numPr>
        <w:spacing w:after="60" w:before="60"/>
      </w:pPr>
      <w:r>
        <w:rPr>
          <w:rFonts w:ascii="Arial" w:cs="Arial" w:eastAsia="Arial" w:hAnsi="Arial"/>
          <w:color w:val="2C2F35"/>
          <w:sz w:val="22"/>
          <w:szCs w:val="22"/>
        </w:rPr>
        <w:t xml:space="preserve">Charts: Deep Blue primary series, Basalt Gray secondary, Orange anomaly highlight</w:t>
      </w:r>
    </w:p>
    <w:p>
      <w:pPr>
        <w:pStyle w:val="ListParagraph"/>
        <w:numPr>
          <w:ilvl w:val="0"/>
          <w:numId w:val="2"/>
        </w:numPr>
        <w:spacing w:after="60" w:before="60"/>
      </w:pPr>
      <w:r>
        <w:rPr>
          <w:rFonts w:ascii="Arial" w:cs="Arial" w:eastAsia="Arial" w:hAnsi="Arial"/>
          <w:color w:val="2C2F35"/>
          <w:sz w:val="22"/>
          <w:szCs w:val="22"/>
        </w:rPr>
        <w:t xml:space="preserve">Footer: page number right-aligned, client name left-aligned, Mid Blue rule above</w:t>
      </w:r>
    </w:p>
    <w:p>
      <w:pPr>
        <w:pStyle w:val="Heading2"/>
        <w:spacing w:after="80" w:before="320"/>
      </w:pPr>
      <w:r>
        <w:rPr>
          <w:rFonts w:ascii="Arial" w:cs="Arial" w:eastAsia="Arial" w:hAnsi="Arial"/>
          <w:b/>
          <w:bCs/>
          <w:color w:val="2C2F35"/>
          <w:sz w:val="26"/>
          <w:szCs w:val="26"/>
        </w:rPr>
        <w:t xml:space="preserve">Slide Decks</w:t>
      </w:r>
    </w:p>
    <w:p>
      <w:pPr>
        <w:pStyle w:val="ListParagraph"/>
        <w:numPr>
          <w:ilvl w:val="0"/>
          <w:numId w:val="2"/>
        </w:numPr>
        <w:spacing w:after="60" w:before="60"/>
      </w:pPr>
      <w:r>
        <w:rPr>
          <w:rFonts w:ascii="Arial" w:cs="Arial" w:eastAsia="Arial" w:hAnsi="Arial"/>
          <w:color w:val="2C2F35"/>
          <w:sz w:val="22"/>
          <w:szCs w:val="22"/>
        </w:rPr>
        <w:t xml:space="preserve">Title slide: Deep Blue background, White wordmark top-left, Orange accent element</w:t>
      </w:r>
    </w:p>
    <w:p>
      <w:pPr>
        <w:pStyle w:val="ListParagraph"/>
        <w:numPr>
          <w:ilvl w:val="0"/>
          <w:numId w:val="2"/>
        </w:numPr>
        <w:spacing w:after="60" w:before="60"/>
      </w:pPr>
      <w:r>
        <w:rPr>
          <w:rFonts w:ascii="Arial" w:cs="Arial" w:eastAsia="Arial" w:hAnsi="Arial"/>
          <w:color w:val="2C2F35"/>
          <w:sz w:val="22"/>
          <w:szCs w:val="22"/>
        </w:rPr>
        <w:t xml:space="preserve">Content slides: White background, Basalt body text, Deep Blue headings</w:t>
      </w:r>
    </w:p>
    <w:p>
      <w:pPr>
        <w:pStyle w:val="ListParagraph"/>
        <w:numPr>
          <w:ilvl w:val="0"/>
          <w:numId w:val="2"/>
        </w:numPr>
        <w:spacing w:after="60" w:before="60"/>
      </w:pPr>
      <w:r>
        <w:rPr>
          <w:rFonts w:ascii="Arial" w:cs="Arial" w:eastAsia="Arial" w:hAnsi="Arial"/>
          <w:color w:val="2C2F35"/>
          <w:sz w:val="22"/>
          <w:szCs w:val="22"/>
        </w:rPr>
        <w:t xml:space="preserve">Data slides: generous white space, large numbers in Deep Blue, unit labels in Basalt Light</w:t>
      </w:r>
    </w:p>
    <w:p>
      <w:pPr>
        <w:pStyle w:val="ListParagraph"/>
        <w:numPr>
          <w:ilvl w:val="0"/>
          <w:numId w:val="2"/>
        </w:numPr>
        <w:spacing w:after="60" w:before="60"/>
      </w:pPr>
      <w:r>
        <w:rPr>
          <w:rFonts w:ascii="Arial" w:cs="Arial" w:eastAsia="Arial" w:hAnsi="Arial"/>
          <w:color w:val="2C2F35"/>
          <w:sz w:val="22"/>
          <w:szCs w:val="22"/>
        </w:rPr>
        <w:t xml:space="preserve">Never use more than three colours per slide; keep the Orange for one key emphasis per slide</w:t>
      </w:r>
    </w:p>
    <w:p>
      <w:r>
        <w:br w:type="page"/>
      </w:r>
    </w:p>
    <w:p>
      <w:pPr>
        <w:pStyle w:val="Heading1"/>
        <w:spacing w:after="120" w:before="480"/>
      </w:pPr>
      <w:r>
        <w:rPr>
          <w:rFonts w:ascii="Arial" w:cs="Arial" w:eastAsia="Arial" w:hAnsi="Arial"/>
          <w:b/>
          <w:bCs/>
          <w:color w:val="1A4B8C"/>
          <w:sz w:val="36"/>
          <w:szCs w:val="36"/>
        </w:rPr>
        <w:t xml:space="preserve">7. Photography &amp; Imagery Guidelines</w:t>
      </w:r>
    </w:p>
    <w:p>
      <w:pPr>
        <w:pBdr>
          <w:bottom w:val="single" w:color="E8803A" w:sz="6" w:space="1"/>
        </w:pBdr>
        <w:spacing w:after="240" w:before="0"/>
      </w:pPr>
    </w:p>
    <w:p>
      <w:pPr>
        <w:spacing w:after="100" w:before="80"/>
      </w:pPr>
      <w:r>
        <w:rPr>
          <w:rFonts w:ascii="Arial" w:cs="Arial" w:eastAsia="Arial" w:hAnsi="Arial"/>
          <w:color w:val="2C2F35"/>
          <w:sz w:val="22"/>
          <w:szCs w:val="22"/>
        </w:rPr>
        <w:t xml:space="preserve">Visual content should feel purposeful and technically honest — real equipment, real sites, real data. We do not use stock photography of generic "construction" or "technology" themes.</w:t>
      </w:r>
    </w:p>
    <w:p>
      <w:pPr>
        <w:pStyle w:val="Heading2"/>
        <w:spacing w:after="80" w:before="320"/>
      </w:pPr>
      <w:r>
        <w:rPr>
          <w:rFonts w:ascii="Arial" w:cs="Arial" w:eastAsia="Arial" w:hAnsi="Arial"/>
          <w:b/>
          <w:bCs/>
          <w:color w:val="2C2F35"/>
          <w:sz w:val="26"/>
          <w:szCs w:val="26"/>
        </w:rPr>
        <w:t xml:space="preserve">Approved Visual Themes</w:t>
      </w:r>
    </w:p>
    <w:p>
      <w:pPr>
        <w:pStyle w:val="ListParagraph"/>
        <w:numPr>
          <w:ilvl w:val="0"/>
          <w:numId w:val="2"/>
        </w:numPr>
        <w:spacing w:after="60" w:before="60"/>
      </w:pPr>
      <w:r>
        <w:rPr>
          <w:rFonts w:ascii="Arial" w:cs="Arial" w:eastAsia="Arial" w:hAnsi="Arial"/>
          <w:color w:val="2C2F35"/>
          <w:sz w:val="22"/>
          <w:szCs w:val="22"/>
        </w:rPr>
        <w:t xml:space="preserve">Borehole footage stills — high-contrast geological cross-sections, fracture details</w:t>
      </w:r>
    </w:p>
    <w:p>
      <w:pPr>
        <w:pStyle w:val="ListParagraph"/>
        <w:numPr>
          <w:ilvl w:val="0"/>
          <w:numId w:val="2"/>
        </w:numPr>
        <w:spacing w:after="60" w:before="60"/>
      </w:pPr>
      <w:r>
        <w:rPr>
          <w:rFonts w:ascii="Arial" w:cs="Arial" w:eastAsia="Arial" w:hAnsi="Arial"/>
          <w:color w:val="2C2F35"/>
          <w:sz w:val="22"/>
          <w:szCs w:val="22"/>
        </w:rPr>
        <w:t xml:space="preserve">Deployed equipment in field conditions — mud, drill rigs, field teams at work</w:t>
      </w:r>
    </w:p>
    <w:p>
      <w:pPr>
        <w:pStyle w:val="ListParagraph"/>
        <w:numPr>
          <w:ilvl w:val="0"/>
          <w:numId w:val="2"/>
        </w:numPr>
        <w:spacing w:after="60" w:before="60"/>
      </w:pPr>
      <w:r>
        <w:rPr>
          <w:rFonts w:ascii="Arial" w:cs="Arial" w:eastAsia="Arial" w:hAnsi="Arial"/>
          <w:color w:val="2C2F35"/>
          <w:sz w:val="22"/>
          <w:szCs w:val="22"/>
        </w:rPr>
        <w:t xml:space="preserve">Data visualisations — borehole logs, depth profiles, interpreted geology renderings</w:t>
      </w:r>
    </w:p>
    <w:p>
      <w:pPr>
        <w:pStyle w:val="ListParagraph"/>
        <w:numPr>
          <w:ilvl w:val="0"/>
          <w:numId w:val="2"/>
        </w:numPr>
        <w:spacing w:after="60" w:before="60"/>
      </w:pPr>
      <w:r>
        <w:rPr>
          <w:rFonts w:ascii="Arial" w:cs="Arial" w:eastAsia="Arial" w:hAnsi="Arial"/>
          <w:color w:val="2C2F35"/>
          <w:sz w:val="22"/>
          <w:szCs w:val="22"/>
        </w:rPr>
        <w:t xml:space="preserve">Close-up engineering detail — probe housings, connectors, cable systems</w:t>
      </w:r>
    </w:p>
    <w:p>
      <w:pPr>
        <w:pStyle w:val="ListParagraph"/>
        <w:numPr>
          <w:ilvl w:val="0"/>
          <w:numId w:val="2"/>
        </w:numPr>
        <w:spacing w:after="60" w:before="60"/>
      </w:pPr>
      <w:r>
        <w:rPr>
          <w:rFonts w:ascii="Arial" w:cs="Arial" w:eastAsia="Arial" w:hAnsi="Arial"/>
          <w:color w:val="2C2F35"/>
          <w:sz w:val="22"/>
          <w:szCs w:val="22"/>
        </w:rPr>
        <w:t xml:space="preserve">Wide landscape establishing shots — geotechnical sites, quarries, geothermal fields</w:t>
      </w:r>
    </w:p>
    <w:p>
      <w:pPr>
        <w:pStyle w:val="Heading2"/>
        <w:spacing w:after="80" w:before="320"/>
      </w:pPr>
      <w:r>
        <w:rPr>
          <w:rFonts w:ascii="Arial" w:cs="Arial" w:eastAsia="Arial" w:hAnsi="Arial"/>
          <w:b/>
          <w:bCs/>
          <w:color w:val="2C2F35"/>
          <w:sz w:val="26"/>
          <w:szCs w:val="26"/>
        </w:rPr>
        <w:t xml:space="preserve">Image Treatment</w:t>
      </w:r>
    </w:p>
    <w:p>
      <w:pPr>
        <w:pStyle w:val="ListParagraph"/>
        <w:numPr>
          <w:ilvl w:val="0"/>
          <w:numId w:val="2"/>
        </w:numPr>
        <w:spacing w:after="60" w:before="60"/>
      </w:pPr>
      <w:r>
        <w:rPr>
          <w:rFonts w:ascii="Arial" w:cs="Arial" w:eastAsia="Arial" w:hAnsi="Arial"/>
          <w:color w:val="2C2F35"/>
          <w:sz w:val="22"/>
          <w:szCs w:val="22"/>
        </w:rPr>
        <w:t xml:space="preserve">Colour imagery should feel natural — no over-saturation, no filters</w:t>
      </w:r>
    </w:p>
    <w:p>
      <w:pPr>
        <w:pStyle w:val="ListParagraph"/>
        <w:numPr>
          <w:ilvl w:val="0"/>
          <w:numId w:val="2"/>
        </w:numPr>
        <w:spacing w:after="60" w:before="60"/>
      </w:pPr>
      <w:r>
        <w:rPr>
          <w:rFonts w:ascii="Arial" w:cs="Arial" w:eastAsia="Arial" w:hAnsi="Arial"/>
          <w:color w:val="2C2F35"/>
          <w:sz w:val="22"/>
          <w:szCs w:val="22"/>
        </w:rPr>
        <w:t xml:space="preserve">Technical documentation photography: neutral background, even lighting, no shadows</w:t>
      </w:r>
    </w:p>
    <w:p>
      <w:pPr>
        <w:pStyle w:val="ListParagraph"/>
        <w:numPr>
          <w:ilvl w:val="0"/>
          <w:numId w:val="2"/>
        </w:numPr>
        <w:spacing w:after="60" w:before="60"/>
      </w:pPr>
      <w:r>
        <w:rPr>
          <w:rFonts w:ascii="Arial" w:cs="Arial" w:eastAsia="Arial" w:hAnsi="Arial"/>
          <w:color w:val="2C2F35"/>
          <w:sz w:val="22"/>
          <w:szCs w:val="22"/>
        </w:rPr>
        <w:t xml:space="preserve">Brand overlays on photography: Deep Blue at 55–70% opacity, or use the image unfiltered</w:t>
      </w:r>
    </w:p>
    <w:p>
      <w:pPr>
        <w:pStyle w:val="ListParagraph"/>
        <w:numPr>
          <w:ilvl w:val="0"/>
          <w:numId w:val="2"/>
        </w:numPr>
        <w:spacing w:after="60" w:before="60"/>
      </w:pPr>
      <w:r>
        <w:rPr>
          <w:rFonts w:ascii="Arial" w:cs="Arial" w:eastAsia="Arial" w:hAnsi="Arial"/>
          <w:color w:val="2C2F35"/>
          <w:sz w:val="22"/>
          <w:szCs w:val="22"/>
        </w:rPr>
        <w:t xml:space="preserve">Orange graphic elements over photography should be used sparingly — one per layout</w:t>
      </w:r>
    </w:p>
    <w:p>
      <w:pPr>
        <w:pStyle w:val="ListParagraph"/>
        <w:numPr>
          <w:ilvl w:val="0"/>
          <w:numId w:val="2"/>
        </w:numPr>
        <w:spacing w:after="60" w:before="60"/>
      </w:pPr>
      <w:r>
        <w:rPr>
          <w:rFonts w:ascii="Arial" w:cs="Arial" w:eastAsia="Arial" w:hAnsi="Arial"/>
          <w:color w:val="2C2F35"/>
          <w:sz w:val="22"/>
          <w:szCs w:val="22"/>
        </w:rPr>
        <w:t xml:space="preserve">Avoid: people looking at screens, handshakes, abstract "data" visualisations, AI art</w:t>
      </w:r>
    </w:p>
    <w:p>
      <w:pPr>
        <w:spacing w:after="8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230" w:val="clear"/>
            <w:tcMar>
              <w:top w:type="dxa" w:w="360"/>
              <w:left w:type="dxa" w:w="480"/>
              <w:bottom w:type="dxa" w:w="360"/>
              <w:right w:type="dxa" w:w="480"/>
            </w:tcMar>
          </w:tcPr>
          <w:p>
            <w:pPr>
              <w:jc w:val="center"/>
            </w:pPr>
            <w:r>
              <w:rPr>
                <w:rFonts w:ascii="Arial" w:cs="Arial" w:eastAsia="Arial" w:hAnsi="Arial"/>
                <w:b/>
                <w:bCs/>
                <w:color w:val="FFFFFF"/>
                <w:sz w:val="40"/>
                <w:szCs w:val="40"/>
              </w:rPr>
              <w:t xml:space="preserve">Depth. Precision. Energy.</w:t>
            </w:r>
          </w:p>
          <w:p>
            <w:pPr>
              <w:spacing w:before="80"/>
              <w:jc w:val="center"/>
            </w:pPr>
            <w:r>
              <w:rPr>
                <w:rFonts w:ascii="Arial" w:cs="Arial" w:eastAsia="Arial" w:hAnsi="Arial"/>
                <w:color w:val="4A90D9"/>
                <w:sz w:val="24"/>
                <w:szCs w:val="24"/>
              </w:rPr>
              <w:t xml:space="preserve">Borehole Videography &amp; Measurement</w:t>
            </w:r>
          </w:p>
        </w:tc>
      </w:tr>
    </w:tbl>
    <w:p>
      <w:pPr>
        <w:spacing w:after="0" w:before="120"/>
      </w:pPr>
    </w:p>
    <w:p>
      <w:pPr>
        <w:jc w:val="center"/>
      </w:pPr>
      <w:r>
        <w:rPr>
          <w:rFonts w:ascii="Arial" w:cs="Arial" w:eastAsia="Arial" w:hAnsi="Arial"/>
          <w:i/>
          <w:iCs/>
          <w:color w:val="7A7E87"/>
          <w:sz w:val="18"/>
          <w:szCs w:val="18"/>
        </w:rPr>
        <w:t xml:space="preserve">For brand queries, new assets, or approvals, contact your brand lead.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CC0" w:sz="4" w:space="1"/>
      </w:pBdr>
      <w:spacing w:before="100"/>
      <w:jc w:val="center"/>
    </w:pPr>
    <w:r>
      <w:rPr>
        <w:rFonts w:ascii="Arial" w:cs="Arial" w:eastAsia="Arial" w:hAnsi="Arial"/>
        <w:color w:val="7A7E87"/>
        <w:sz w:val="18"/>
        <w:szCs w:val="18"/>
      </w:rPr>
      <w:t xml:space="preserve">Page </w:t>
    </w:r>
    <w:r>
      <w:rPr>
        <w:rFonts w:ascii="Arial" w:cs="Arial" w:eastAsia="Arial" w:hAnsi="Arial"/>
        <w:color w:val="7A7E8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803A" w:sz="4" w:space="1"/>
      </w:pBdr>
      <w:spacing w:after="100"/>
    </w:pPr>
    <w:r>
      <w:rPr>
        <w:rFonts w:ascii="Arial" w:cs="Arial" w:eastAsia="Arial" w:hAnsi="Arial"/>
        <w:color w:val="7A7E87"/>
        <w:sz w:val="18"/>
        <w:szCs w:val="18"/>
      </w:rPr>
      <w:t xml:space="preserve">Brand Identity Guidelines</w:t>
    </w:r>
    <w:r>
      <w:rPr>
        <w:rFonts w:ascii="Arial" w:cs="Arial" w:eastAsia="Arial" w:hAnsi="Arial"/>
        <w:i/>
        <w:iCs/>
        <w:color w:val="7A7E87"/>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4B8C"/>
      <w:sz w:val="36"/>
      <w:szCs w:val="36"/>
    </w:rPr>
  </w:style>
  <w:style w:type="paragraph" w:styleId="Heading2">
    <w:name w:val="Heading 2"/>
    <w:basedOn w:val="Normal"/>
    <w:next w:val="Normal"/>
    <w:qFormat/>
    <w:pPr>
      <w:spacing w:after="80" w:before="320"/>
      <w:outlineLvl w:val="1"/>
    </w:pPr>
    <w:rPr>
      <w:rFonts w:ascii="Arial" w:cs="Arial" w:eastAsia="Arial" w:hAnsi="Arial"/>
      <w:b/>
      <w:bCs/>
      <w:color w:val="2C2F3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2026-05-11T15:53:19.166Z</dcterms:created>
  <dcterms:modified xsi:type="dcterms:W3CDTF">2026-05-11T15:53:19.166Z</dcterms:modified>
</cp:coreProperties>
</file>

<file path=docProps/custom.xml><?xml version="1.0" encoding="utf-8"?>
<Properties xmlns="http://schemas.openxmlformats.org/officeDocument/2006/custom-properties" xmlns:vt="http://schemas.openxmlformats.org/officeDocument/2006/docPropsVTypes"/>
</file>