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7442" w14:textId="77777777" w:rsidR="00815FEA" w:rsidRDefault="00815FEA"/>
    <w:p w14:paraId="6862B7F8" w14:textId="77777777" w:rsidR="00CE7C46" w:rsidRDefault="00CE7C46"/>
    <w:p w14:paraId="2E388A66" w14:textId="77777777" w:rsidR="00CE7C46" w:rsidRDefault="00CE7C46"/>
    <w:p w14:paraId="4A2234B5" w14:textId="77777777" w:rsidR="00CE7C46" w:rsidRDefault="00CE7C46"/>
    <w:p w14:paraId="1D4CF2CD" w14:textId="77777777" w:rsidR="00CE7C46" w:rsidRDefault="00CE7C46"/>
    <w:p w14:paraId="35FFC0F9" w14:textId="77777777" w:rsidR="00CE7C46" w:rsidRDefault="00CE7C46" w:rsidP="00CE7C46">
      <w:pPr>
        <w:pStyle w:val="Style1"/>
        <w:widowControl/>
        <w:tabs>
          <w:tab w:val="left" w:pos="142"/>
        </w:tabs>
        <w:jc w:val="center"/>
        <w:rPr>
          <w:rStyle w:val="FontStyle13"/>
          <w:rFonts w:ascii="Times New Roman" w:hAnsi="Times New Roman"/>
          <w:sz w:val="22"/>
          <w:szCs w:val="22"/>
        </w:rPr>
      </w:pPr>
      <w:r>
        <w:rPr>
          <w:rStyle w:val="FontStyle13"/>
          <w:rFonts w:ascii="Times New Roman" w:hAnsi="Times New Roman"/>
          <w:sz w:val="22"/>
          <w:szCs w:val="22"/>
        </w:rPr>
        <w:t>Памятка Клиенту!</w:t>
      </w:r>
    </w:p>
    <w:p w14:paraId="2F9AE188" w14:textId="77777777" w:rsidR="00CE7C46" w:rsidRDefault="00CE7C46" w:rsidP="00CE7C46">
      <w:pPr>
        <w:pStyle w:val="Style1"/>
        <w:widowControl/>
        <w:tabs>
          <w:tab w:val="left" w:pos="142"/>
        </w:tabs>
        <w:jc w:val="center"/>
        <w:rPr>
          <w:rStyle w:val="FontStyle13"/>
          <w:rFonts w:ascii="Times New Roman" w:hAnsi="Times New Roman"/>
          <w:sz w:val="22"/>
          <w:szCs w:val="22"/>
        </w:rPr>
      </w:pPr>
    </w:p>
    <w:p w14:paraId="63CAE669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cs="Times New Roman"/>
          <w:i/>
        </w:rPr>
      </w:pPr>
      <w:r>
        <w:rPr>
          <w:rFonts w:ascii="Times New Roman" w:hAnsi="Times New Roman"/>
          <w:b/>
          <w:i/>
        </w:rPr>
        <w:t xml:space="preserve">Рекомендации по эксплуатации мебельных фасадов и </w:t>
      </w:r>
      <w:proofErr w:type="spellStart"/>
      <w:r>
        <w:rPr>
          <w:rFonts w:ascii="Times New Roman" w:hAnsi="Times New Roman"/>
          <w:b/>
          <w:i/>
        </w:rPr>
        <w:t>погонажных</w:t>
      </w:r>
      <w:proofErr w:type="spellEnd"/>
      <w:r>
        <w:rPr>
          <w:rFonts w:ascii="Times New Roman" w:hAnsi="Times New Roman"/>
          <w:b/>
          <w:i/>
        </w:rPr>
        <w:t xml:space="preserve"> изделий:</w:t>
      </w:r>
    </w:p>
    <w:p w14:paraId="79F63956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мебельные фасады предназначены для установки на корпусную мебель, эксплуатируемую в сухих и теплых (без резких перепадов температур) помещениях, имеющих отопление и вентиляцию, при температуре не ниже +10</w:t>
      </w:r>
      <w:proofErr w:type="gramStart"/>
      <w:r>
        <w:rPr>
          <w:rFonts w:ascii="Times New Roman" w:hAnsi="Times New Roman"/>
        </w:rPr>
        <w:t>°С</w:t>
      </w:r>
      <w:proofErr w:type="gramEnd"/>
      <w:r>
        <w:rPr>
          <w:rFonts w:ascii="Times New Roman" w:hAnsi="Times New Roman"/>
        </w:rPr>
        <w:t xml:space="preserve"> и не выше +35°С и с относительной влажностью воздуха не более 60%;</w:t>
      </w:r>
    </w:p>
    <w:p w14:paraId="7602875C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 началом работы с готовыми фасадами в холодный период времени (при низких температурах) необходимо дать возможность продукции нагреться до +18</w:t>
      </w:r>
      <w:proofErr w:type="gramStart"/>
      <w:r>
        <w:rPr>
          <w:rFonts w:ascii="Times New Roman" w:hAnsi="Times New Roman"/>
        </w:rPr>
        <w:t>°С</w:t>
      </w:r>
      <w:proofErr w:type="gramEnd"/>
      <w:r>
        <w:rPr>
          <w:rFonts w:ascii="Times New Roman" w:hAnsi="Times New Roman"/>
        </w:rPr>
        <w:t xml:space="preserve"> и выдержать продукцию при этой температуре как минимум в течение 1 суток;</w:t>
      </w:r>
    </w:p>
    <w:p w14:paraId="5A0FBCA5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 рекомендуется подвергать фасады тепловому воздействию выше +60</w:t>
      </w:r>
      <w:proofErr w:type="gramStart"/>
      <w:r>
        <w:rPr>
          <w:rFonts w:ascii="Times New Roman" w:hAnsi="Times New Roman"/>
        </w:rPr>
        <w:t>°С</w:t>
      </w:r>
      <w:proofErr w:type="gramEnd"/>
      <w:r>
        <w:rPr>
          <w:rFonts w:ascii="Times New Roman" w:hAnsi="Times New Roman"/>
        </w:rPr>
        <w:t xml:space="preserve"> (например, от неплотно закрытого духового шкафа), т.к. это может привести к отслаиванию пленки или к ее деформации;</w:t>
      </w:r>
    </w:p>
    <w:p w14:paraId="28C4F942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кухонный гарнитур должен быть защищен от длительного воздействия прямых солнечных лучей и близко расположенных отопительных приборов, т.к. это может вызвать необратимые изменения фасадов;</w:t>
      </w:r>
    </w:p>
    <w:p w14:paraId="279B215C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 допускать прямой контакт фасадов с поверхностями, температура которых превышает +60</w:t>
      </w:r>
      <w:proofErr w:type="gramStart"/>
      <w:r>
        <w:rPr>
          <w:rFonts w:ascii="Times New Roman" w:hAnsi="Times New Roman"/>
        </w:rPr>
        <w:t>°С</w:t>
      </w:r>
      <w:proofErr w:type="gramEnd"/>
      <w:r>
        <w:rPr>
          <w:rFonts w:ascii="Times New Roman" w:hAnsi="Times New Roman"/>
        </w:rPr>
        <w:t>;</w:t>
      </w:r>
    </w:p>
    <w:p w14:paraId="055B8BBC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 избежание повреждения изделий в результате воздействия высоких температур необходимо оставлять расстояние между электрической или газовой плитой и фасадом не менее 15 см;</w:t>
      </w:r>
    </w:p>
    <w:p w14:paraId="240C5F73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запрещено использовать в дизайне мебели осветительные приборы, расположенные от поверхности фасадов на расстоянии менее 10 см. Это может привести к локальному изменению цвета пленки;</w:t>
      </w:r>
    </w:p>
    <w:p w14:paraId="09B68271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поверхность фасадов следует оберегать от длительного воздействия влаги во избежание разбухания фасадов;</w:t>
      </w:r>
    </w:p>
    <w:p w14:paraId="39B6DD5A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своевременно очищайте фасады от пыли и грязи. Используйте для ухода за фасадами специализированные средства для чистки, обезжиривания, обновления декоративной поверхности фасадов;</w:t>
      </w:r>
    </w:p>
    <w:p w14:paraId="3756974B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 применять для очистки абразивные порошки и растворители. При очистке лицевой поверхности мебельных фасадов, при необходимости, рекомендуется использовать мягкую влажную ткань и неагрессивные моющие средства, после чего вытереть насухо;</w:t>
      </w:r>
    </w:p>
    <w:p w14:paraId="0FF6EAAC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 подвергать фасады механическим воздействиям: контакту с острыми предметами, соударению, трению и пр.;</w:t>
      </w:r>
    </w:p>
    <w:p w14:paraId="0E957478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недопустимо попадание на лаковые поверхности жидкостей, растворяющих лакокрасочные пленки (спирт, ацетон, бензин);</w:t>
      </w:r>
    </w:p>
    <w:p w14:paraId="16A1EAF9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рекомендуется устанавливать электрические вытяжки во избежание прямого попадания пара на фасады, который со временем может испортить внешний вид и привести к отслаиванию пленки или к ее деформации;</w:t>
      </w:r>
    </w:p>
    <w:p w14:paraId="5CC021F4" w14:textId="77777777" w:rsidR="00CE7C46" w:rsidRDefault="00CE7C46" w:rsidP="00CE7C46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хранить посуду в кухонной мебели исключительно в сухом виде.</w:t>
      </w:r>
    </w:p>
    <w:p w14:paraId="51E38321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условии выполнения вышеперечисленных правил эксплуатации и ухода за мебельными фасадами и </w:t>
      </w:r>
      <w:proofErr w:type="spellStart"/>
      <w:r>
        <w:rPr>
          <w:rFonts w:ascii="Times New Roman" w:hAnsi="Times New Roman"/>
        </w:rPr>
        <w:t>погонажными</w:t>
      </w:r>
      <w:proofErr w:type="spellEnd"/>
      <w:r>
        <w:rPr>
          <w:rFonts w:ascii="Times New Roman" w:hAnsi="Times New Roman"/>
        </w:rPr>
        <w:t xml:space="preserve"> изделиями предприятие-изготовитель гарантирует покупателю сохранность всех показателей качества согласно ГОСТу 16371 в течение 18 месяцев с момента приобретения продукции. В гарантийные обязательства продавца входит устранение недостатков на фасадах, возникших по вине Изготовителя, или замена фасадов с выявленным производственным браком. В случае несоблюдения инструкции по эксплуатации изготовитель не несет ответственности и гарантийные обязательства аннулируются.</w:t>
      </w:r>
    </w:p>
    <w:p w14:paraId="202A5BA3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Гарантия не распространяется на неисправности и дефекты, вызванные следующими причинами:</w:t>
      </w:r>
    </w:p>
    <w:p w14:paraId="140A3D1B" w14:textId="77777777" w:rsidR="00CE7C46" w:rsidRDefault="00CE7C46" w:rsidP="00CE7C46">
      <w:pPr>
        <w:widowControl w:val="0"/>
        <w:numPr>
          <w:ilvl w:val="0"/>
          <w:numId w:val="2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наличии механических повреждений, возникшие вследствие погрузочно-разгрузочных работ, транспортировки, неправильного хранения, монтажа;</w:t>
      </w:r>
    </w:p>
    <w:p w14:paraId="67D6F3D2" w14:textId="77777777" w:rsidR="00CE7C46" w:rsidRDefault="00CE7C46" w:rsidP="00CE7C46">
      <w:pPr>
        <w:widowControl w:val="0"/>
        <w:numPr>
          <w:ilvl w:val="0"/>
          <w:numId w:val="2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наличии на поверхностях фасадов дефектов, </w:t>
      </w:r>
      <w:proofErr w:type="spellStart"/>
      <w:r>
        <w:rPr>
          <w:rFonts w:ascii="Times New Roman" w:hAnsi="Times New Roman"/>
        </w:rPr>
        <w:t>термовоздействий</w:t>
      </w:r>
      <w:proofErr w:type="spellEnd"/>
      <w:r>
        <w:rPr>
          <w:rFonts w:ascii="Times New Roman" w:hAnsi="Times New Roman"/>
        </w:rPr>
        <w:t xml:space="preserve"> или следов воздействия химических веществ, попадания большого объёма жидкости на фасады и т.д.;</w:t>
      </w:r>
    </w:p>
    <w:p w14:paraId="3C54B647" w14:textId="77777777" w:rsidR="00CE7C46" w:rsidRDefault="00CE7C46" w:rsidP="00CE7C46">
      <w:pPr>
        <w:widowControl w:val="0"/>
        <w:numPr>
          <w:ilvl w:val="0"/>
          <w:numId w:val="2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механические и другие повреждения, возникшие вследствие естественного износа изделия;</w:t>
      </w:r>
    </w:p>
    <w:p w14:paraId="18E1865B" w14:textId="77777777" w:rsidR="00CE7C46" w:rsidRDefault="00CE7C46" w:rsidP="00CE7C46">
      <w:pPr>
        <w:widowControl w:val="0"/>
        <w:numPr>
          <w:ilvl w:val="0"/>
          <w:numId w:val="2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не по назначению и нарушение правил эксплуатации изделия;</w:t>
      </w:r>
    </w:p>
    <w:p w14:paraId="1EEC0C41" w14:textId="77777777" w:rsidR="00CE7C46" w:rsidRDefault="00CE7C46" w:rsidP="00CE7C46">
      <w:pPr>
        <w:widowControl w:val="0"/>
        <w:numPr>
          <w:ilvl w:val="0"/>
          <w:numId w:val="2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преднамеренная порча изделия и в случаях порчи изделия под воздействием непреодолимой силы (пожар, затопление и др. стихийные бедствия).</w:t>
      </w:r>
    </w:p>
    <w:p w14:paraId="080BD1B4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48789406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54D37568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4F4BFEB5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31773D1F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4670A029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69BD0CD3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14A1E2E1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</w:p>
    <w:p w14:paraId="609EE01F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Особенности изделий (также гарантия не распространяется):</w:t>
      </w:r>
    </w:p>
    <w:p w14:paraId="4A08DC2E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гнутых фасадов допускается незначительное несоответствие высот (±1 мм). Это обусловлено тем, что при изготовлении деталей мебельных профильных </w:t>
      </w:r>
      <w:proofErr w:type="spellStart"/>
      <w:r>
        <w:rPr>
          <w:rFonts w:ascii="Times New Roman" w:hAnsi="Times New Roman"/>
        </w:rPr>
        <w:t>погонажных</w:t>
      </w:r>
      <w:proofErr w:type="spellEnd"/>
      <w:r>
        <w:rPr>
          <w:rFonts w:ascii="Times New Roman" w:hAnsi="Times New Roman"/>
        </w:rPr>
        <w:t xml:space="preserve"> (гнутых и прямых) наряду с идентичным инструментом используется различное оборудование. Еще одной причиной несоответствия высот является применение различных способов облицовывания, в частности, различные толщины облицовочного материала и количество наносимого клея;</w:t>
      </w:r>
    </w:p>
    <w:p w14:paraId="50F39F29" w14:textId="77777777" w:rsidR="00CE7C46" w:rsidRDefault="00CE7C46" w:rsidP="00CE7C46">
      <w:pPr>
        <w:widowControl w:val="0"/>
        <w:numPr>
          <w:ilvl w:val="0"/>
          <w:numId w:val="4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гнутых фасадов возможны не значительные отличия по цвету между вертикальными прямыми и горизонтальными гнутыми заготовками. Это обусловлено тем, что производство этих заготовок происходит по различным технологическим процессам и способам облицовывания. Применяемый облицовочный материала для вертикальных прямых и горизонтальных гнутых заготовок импортируется от различных поставщиков и отличается по составу и соответственно может незначительно отличаться по цвету;</w:t>
      </w:r>
    </w:p>
    <w:p w14:paraId="2D2DC88E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фасадах </w:t>
      </w:r>
      <w:proofErr w:type="gramStart"/>
      <w:r>
        <w:rPr>
          <w:rFonts w:ascii="Times New Roman" w:hAnsi="Times New Roman"/>
        </w:rPr>
        <w:t>допустима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неповторяемость</w:t>
      </w:r>
      <w:proofErr w:type="spellEnd"/>
      <w:r>
        <w:rPr>
          <w:rFonts w:ascii="Times New Roman" w:hAnsi="Times New Roman"/>
        </w:rPr>
        <w:t xml:space="preserve"> рисунков древоподобной структуры;</w:t>
      </w:r>
    </w:p>
    <w:p w14:paraId="5073AF33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фасадах, имеющих декоративный узор, нанесенный механическим тиснением или заводским способом, допустимо несовпадение геометрии прокатки;</w:t>
      </w:r>
    </w:p>
    <w:p w14:paraId="0115198A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умолчанию направление древоподобной структуры на филенке вертикальное, но если ширина фасада превышает 1000 мм – то направление структуры меняется </w:t>
      </w:r>
      <w:proofErr w:type="gramStart"/>
      <w:r>
        <w:rPr>
          <w:rFonts w:ascii="Times New Roman" w:hAnsi="Times New Roman"/>
        </w:rPr>
        <w:t>на</w:t>
      </w:r>
      <w:proofErr w:type="gramEnd"/>
      <w:r>
        <w:rPr>
          <w:rFonts w:ascii="Times New Roman" w:hAnsi="Times New Roman"/>
        </w:rPr>
        <w:t xml:space="preserve"> горизонтальное;</w:t>
      </w:r>
    </w:p>
    <w:p w14:paraId="218166BA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возможно незначительное отклонение оттенков фасадов в поставках, сделанных в разные периоды времени, данное несовпадение дефектом не является;</w:t>
      </w:r>
    </w:p>
    <w:p w14:paraId="7C4EABC2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предприятие изготавливает патинированные фасады (с целью искусственного </w:t>
      </w:r>
      <w:proofErr w:type="spellStart"/>
      <w:r>
        <w:rPr>
          <w:rFonts w:ascii="Times New Roman" w:hAnsi="Times New Roman"/>
        </w:rPr>
        <w:t>состаривания</w:t>
      </w:r>
      <w:proofErr w:type="spellEnd"/>
      <w:r>
        <w:rPr>
          <w:rFonts w:ascii="Times New Roman" w:hAnsi="Times New Roman"/>
        </w:rPr>
        <w:t xml:space="preserve"> и выделения рельефной поверхности). При патинировании применяется сугубо ручной труд, поэтому следует учитывать человеческий фактор и разницу восприятия цветов разными людьми. Поэтому установлены отклонения от образца в пределах одной партии – 5%, в пределах разных партий – 20 %. Допускается незначительное </w:t>
      </w:r>
      <w:proofErr w:type="gramStart"/>
      <w:r>
        <w:rPr>
          <w:rFonts w:ascii="Times New Roman" w:hAnsi="Times New Roman"/>
        </w:rPr>
        <w:t>отклонение</w:t>
      </w:r>
      <w:proofErr w:type="gramEnd"/>
      <w:r>
        <w:rPr>
          <w:rFonts w:ascii="Times New Roman" w:hAnsi="Times New Roman"/>
        </w:rPr>
        <w:t xml:space="preserve"> как по ширине, так и по тону патинированной части от партии к партии изделий. На вставке в фасаде полипропиленовая пленка имитирует структуру древесины, пористую или гладкую. В зависимости от того, какая текстура пленки в углах, патина может полностью стираться или частично оставаться во внутренних углах рамочного фасада. </w:t>
      </w:r>
    </w:p>
    <w:p w14:paraId="71203409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р</w:t>
      </w:r>
      <w:proofErr w:type="gramEnd"/>
      <w:r>
        <w:rPr>
          <w:rFonts w:ascii="Times New Roman" w:hAnsi="Times New Roman"/>
        </w:rPr>
        <w:t xml:space="preserve">адиус гнутых элементов 236 градусов, </w:t>
      </w:r>
      <w:r>
        <w:rPr>
          <w:rFonts w:ascii="Times New Roman" w:hAnsi="Times New Roman"/>
          <w:color w:val="000000"/>
        </w:rPr>
        <w:t>установлен допуск по радиусу ±3 мм;</w:t>
      </w:r>
    </w:p>
    <w:p w14:paraId="7B793DEB" w14:textId="77777777" w:rsidR="00CE7C46" w:rsidRDefault="00CE7C46" w:rsidP="00CE7C46">
      <w:pPr>
        <w:widowControl w:val="0"/>
        <w:numPr>
          <w:ilvl w:val="0"/>
          <w:numId w:val="3"/>
        </w:numPr>
        <w:tabs>
          <w:tab w:val="left" w:pos="142"/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текстура на гнутых элементах не прямолинейна и не совпадает с текстурой прямых элементов при состыковке, что обусловлено различием при облицовывании.</w:t>
      </w:r>
    </w:p>
    <w:p w14:paraId="75495BED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Обращаем Ваше внимание, что производственным браком считаются только несмываемые загрязнения (т.е. остатки клея от защитной пленки браком не являются). </w:t>
      </w:r>
    </w:p>
    <w:p w14:paraId="1A58812C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Условия исполнения гарантийных обязательств:</w:t>
      </w:r>
    </w:p>
    <w:p w14:paraId="50602204" w14:textId="77777777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получении товара необходимо проверять приобретённую продукцию на предмет её комплектности и качества. Прием товара осуществляется в соответствии с «Положением о приемке товаров по количеству и качеству», утвержденному Постановлением Совета Министров РБ №1290 от 03.09.2008 г., если иное не предусмотрено договором.</w:t>
      </w:r>
    </w:p>
    <w:p w14:paraId="1305D3AA" w14:textId="7D0E7529" w:rsidR="00CE7C46" w:rsidRDefault="00CE7C46" w:rsidP="00CE7C46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Выражаем Вам нашу благодарность за то, что Вы остановили свой выбор на наших компаниях! Подробную информацию о нашей продукции и ее новинках Вы можете найти на сайте </w:t>
      </w:r>
      <w:r w:rsidRPr="00CE7C46">
        <w:rPr>
          <w:rFonts w:ascii="Times New Roman" w:hAnsi="Times New Roman"/>
          <w:b/>
          <w:lang w:val="en-US"/>
        </w:rPr>
        <w:t>wellmaker</w:t>
      </w:r>
      <w:r w:rsidRPr="00CE7C46">
        <w:rPr>
          <w:rFonts w:ascii="Times New Roman" w:hAnsi="Times New Roman"/>
          <w:b/>
        </w:rPr>
        <w:t>.</w:t>
      </w:r>
      <w:r w:rsidRPr="00CE7C46">
        <w:rPr>
          <w:rFonts w:ascii="Times New Roman" w:hAnsi="Times New Roman"/>
          <w:b/>
          <w:lang w:val="en-US"/>
        </w:rPr>
        <w:t>by</w:t>
      </w:r>
      <w:bookmarkStart w:id="0" w:name="_GoBack"/>
      <w:bookmarkEnd w:id="0"/>
    </w:p>
    <w:p w14:paraId="6195DCEC" w14:textId="77777777" w:rsidR="00CE7C46" w:rsidRDefault="00CE7C46" w:rsidP="00CE7C46">
      <w:pPr>
        <w:spacing w:after="0" w:line="240" w:lineRule="auto"/>
        <w:rPr>
          <w:rFonts w:ascii="Calibri" w:hAnsi="Calibri"/>
          <w:sz w:val="18"/>
          <w:szCs w:val="18"/>
        </w:rPr>
      </w:pPr>
    </w:p>
    <w:p w14:paraId="4D494477" w14:textId="77777777" w:rsidR="00CE7C46" w:rsidRDefault="00CE7C46" w:rsidP="00CE7C46">
      <w:pPr>
        <w:tabs>
          <w:tab w:val="left" w:pos="5715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</w:t>
      </w:r>
    </w:p>
    <w:p w14:paraId="0ED4774E" w14:textId="494D4635" w:rsidR="00CE7C46" w:rsidRDefault="00CE7C46" w:rsidP="00CE7C4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Директор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</w:rPr>
        <w:t>А.В. Литвиненко</w:t>
      </w:r>
    </w:p>
    <w:p w14:paraId="07F1984C" w14:textId="77777777" w:rsidR="00CE7C46" w:rsidRDefault="00CE7C46" w:rsidP="00CE7C4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Главный технолог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Ю.К. </w:t>
      </w:r>
      <w:proofErr w:type="spellStart"/>
      <w:r>
        <w:rPr>
          <w:rFonts w:ascii="Times New Roman" w:hAnsi="Times New Roman"/>
        </w:rPr>
        <w:t>Янкойть</w:t>
      </w:r>
      <w:proofErr w:type="spellEnd"/>
    </w:p>
    <w:p w14:paraId="5A6C4E7C" w14:textId="6EB8F3B3" w:rsidR="00CE7C46" w:rsidRDefault="00CE7C46" w:rsidP="00CE7C46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Инженер по качеству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Т.И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Шемет</w:t>
      </w:r>
      <w:proofErr w:type="spellEnd"/>
    </w:p>
    <w:p w14:paraId="2C0B5D4B" w14:textId="77777777" w:rsidR="00CE7C46" w:rsidRDefault="00CE7C46"/>
    <w:sectPr w:rsidR="00CE7C46" w:rsidSect="000C6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26DD5" w14:textId="77777777" w:rsidR="009361AB" w:rsidRDefault="009361AB" w:rsidP="000C63CB">
      <w:pPr>
        <w:spacing w:after="0" w:line="240" w:lineRule="auto"/>
      </w:pPr>
      <w:r>
        <w:separator/>
      </w:r>
    </w:p>
  </w:endnote>
  <w:endnote w:type="continuationSeparator" w:id="0">
    <w:p w14:paraId="7C39DA76" w14:textId="77777777" w:rsidR="009361AB" w:rsidRDefault="009361AB" w:rsidP="000C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0C52B" w14:textId="77777777" w:rsidR="000C63CB" w:rsidRDefault="000C63C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42E2E" w14:textId="77777777" w:rsidR="000C63CB" w:rsidRDefault="000C63C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79223" w14:textId="77777777" w:rsidR="000C63CB" w:rsidRDefault="000C63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77E3F" w14:textId="77777777" w:rsidR="009361AB" w:rsidRDefault="009361AB" w:rsidP="000C63CB">
      <w:pPr>
        <w:spacing w:after="0" w:line="240" w:lineRule="auto"/>
      </w:pPr>
      <w:r>
        <w:separator/>
      </w:r>
    </w:p>
  </w:footnote>
  <w:footnote w:type="continuationSeparator" w:id="0">
    <w:p w14:paraId="430477EE" w14:textId="77777777" w:rsidR="009361AB" w:rsidRDefault="009361AB" w:rsidP="000C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7D2B1" w14:textId="7F0FB0B0" w:rsidR="000C63CB" w:rsidRDefault="00CE7C46">
    <w:pPr>
      <w:pStyle w:val="a3"/>
    </w:pPr>
    <w:r>
      <w:rPr>
        <w:noProof/>
      </w:rPr>
      <w:pict w14:anchorId="17FA5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6063" o:spid="_x0000_s2050" type="#_x0000_t75" style="position:absolute;margin-left:0;margin-top:0;width:595.2pt;height:864.25pt;z-index:-251657216;mso-position-horizontal:center;mso-position-horizontal-relative:margin;mso-position-vertical:center;mso-position-vertical-relative:margin" o:allowincell="f">
          <v:imagedata r:id="rId1" o:title="Бланк фирменны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C4165" w14:textId="7B14AD79" w:rsidR="000C63CB" w:rsidRDefault="00CE7C46">
    <w:pPr>
      <w:pStyle w:val="a3"/>
    </w:pPr>
    <w:r>
      <w:rPr>
        <w:noProof/>
      </w:rPr>
      <w:pict w14:anchorId="634FFF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6064" o:spid="_x0000_s2051" type="#_x0000_t75" style="position:absolute;margin-left:0;margin-top:0;width:595.2pt;height:864.25pt;z-index:-251656192;mso-position-horizontal:center;mso-position-horizontal-relative:margin;mso-position-vertical:center;mso-position-vertical-relative:margin" o:allowincell="f">
          <v:imagedata r:id="rId1" o:title="Бланк фирменный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9A91C" w14:textId="744E016F" w:rsidR="000C63CB" w:rsidRDefault="00CE7C46">
    <w:pPr>
      <w:pStyle w:val="a3"/>
    </w:pPr>
    <w:r>
      <w:rPr>
        <w:noProof/>
      </w:rPr>
      <w:pict w14:anchorId="6F99EC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786062" o:spid="_x0000_s2049" type="#_x0000_t75" style="position:absolute;margin-left:0;margin-top:0;width:595.2pt;height:864.25pt;z-index:-251658240;mso-position-horizontal:center;mso-position-horizontal-relative:margin;mso-position-vertical:center;mso-position-vertical-relative:margin" o:allowincell="f">
          <v:imagedata r:id="rId1" o:title="Бланк фирменны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78F"/>
    <w:multiLevelType w:val="hybridMultilevel"/>
    <w:tmpl w:val="FDE000CA"/>
    <w:lvl w:ilvl="0" w:tplc="E354A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74CF1"/>
    <w:multiLevelType w:val="hybridMultilevel"/>
    <w:tmpl w:val="239EB88E"/>
    <w:lvl w:ilvl="0" w:tplc="E354A21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5382641F"/>
    <w:multiLevelType w:val="hybridMultilevel"/>
    <w:tmpl w:val="75FA806A"/>
    <w:lvl w:ilvl="0" w:tplc="E354A2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72550A5"/>
    <w:multiLevelType w:val="hybridMultilevel"/>
    <w:tmpl w:val="392468CE"/>
    <w:lvl w:ilvl="0" w:tplc="E354A218">
      <w:start w:val="1"/>
      <w:numFmt w:val="bullet"/>
      <w:lvlText w:val=""/>
      <w:lvlJc w:val="left"/>
      <w:pPr>
        <w:ind w:left="29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CB"/>
    <w:rsid w:val="000C63CB"/>
    <w:rsid w:val="00815FEA"/>
    <w:rsid w:val="009361AB"/>
    <w:rsid w:val="00C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AFA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3CB"/>
  </w:style>
  <w:style w:type="paragraph" w:styleId="a5">
    <w:name w:val="footer"/>
    <w:basedOn w:val="a"/>
    <w:link w:val="a6"/>
    <w:uiPriority w:val="99"/>
    <w:unhideWhenUsed/>
    <w:rsid w:val="000C6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3CB"/>
  </w:style>
  <w:style w:type="paragraph" w:customStyle="1" w:styleId="Style1">
    <w:name w:val="Style1"/>
    <w:basedOn w:val="a"/>
    <w:rsid w:val="00CE7C4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3">
    <w:name w:val="Font Style13"/>
    <w:rsid w:val="00CE7C46"/>
    <w:rPr>
      <w:rFonts w:ascii="Arial" w:hAnsi="Arial" w:cs="Arial" w:hint="default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3CB"/>
  </w:style>
  <w:style w:type="paragraph" w:styleId="a5">
    <w:name w:val="footer"/>
    <w:basedOn w:val="a"/>
    <w:link w:val="a6"/>
    <w:uiPriority w:val="99"/>
    <w:unhideWhenUsed/>
    <w:rsid w:val="000C6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3CB"/>
  </w:style>
  <w:style w:type="paragraph" w:customStyle="1" w:styleId="Style1">
    <w:name w:val="Style1"/>
    <w:basedOn w:val="a"/>
    <w:rsid w:val="00CE7C4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3">
    <w:name w:val="Font Style13"/>
    <w:rsid w:val="00CE7C46"/>
    <w:rPr>
      <w:rFonts w:ascii="Arial" w:hAnsi="Arial" w:cs="Arial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Дарья Трубина</cp:lastModifiedBy>
  <cp:revision>2</cp:revision>
  <dcterms:created xsi:type="dcterms:W3CDTF">2022-10-05T07:22:00Z</dcterms:created>
  <dcterms:modified xsi:type="dcterms:W3CDTF">2022-10-05T07:22:00Z</dcterms:modified>
</cp:coreProperties>
</file>